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3BCE" w:rsidRDefault="00D93BCE" w:rsidP="00D93BCE">
      <w:pPr>
        <w:spacing w:line="240" w:lineRule="auto"/>
        <w:jc w:val="both"/>
        <w:rPr>
          <w:rFonts w:ascii="Times New Roman" w:hAnsi="Times New Roman" w:cs="Times New Roman"/>
          <w:b/>
          <w:sz w:val="24"/>
          <w:szCs w:val="24"/>
        </w:rPr>
      </w:pPr>
      <w:bookmarkStart w:id="0" w:name="_GoBack"/>
      <w:bookmarkEnd w:id="0"/>
      <w:r w:rsidRPr="00F2605B">
        <w:rPr>
          <w:rFonts w:ascii="Times New Roman" w:hAnsi="Times New Roman" w:cs="Times New Roman"/>
          <w:b/>
          <w:sz w:val="24"/>
          <w:szCs w:val="24"/>
        </w:rPr>
        <w:t xml:space="preserve">Paper - El </w:t>
      </w:r>
      <w:r>
        <w:rPr>
          <w:rFonts w:ascii="Times New Roman" w:hAnsi="Times New Roman" w:cs="Times New Roman"/>
          <w:b/>
          <w:sz w:val="24"/>
          <w:szCs w:val="24"/>
        </w:rPr>
        <w:t>“</w:t>
      </w:r>
      <w:r w:rsidRPr="00F2605B">
        <w:rPr>
          <w:rFonts w:ascii="Times New Roman" w:hAnsi="Times New Roman" w:cs="Times New Roman"/>
          <w:b/>
          <w:sz w:val="24"/>
          <w:szCs w:val="24"/>
        </w:rPr>
        <w:t>Gran Reseteo</w:t>
      </w:r>
      <w:r>
        <w:rPr>
          <w:rFonts w:ascii="Times New Roman" w:hAnsi="Times New Roman" w:cs="Times New Roman"/>
          <w:b/>
          <w:sz w:val="24"/>
          <w:szCs w:val="24"/>
        </w:rPr>
        <w:t xml:space="preserve">” de Davos, </w:t>
      </w:r>
      <w:r w:rsidRPr="00F2605B">
        <w:rPr>
          <w:rFonts w:ascii="Times New Roman" w:hAnsi="Times New Roman" w:cs="Times New Roman"/>
          <w:b/>
          <w:sz w:val="24"/>
          <w:szCs w:val="24"/>
        </w:rPr>
        <w:t xml:space="preserve">y la </w:t>
      </w:r>
      <w:r>
        <w:rPr>
          <w:rFonts w:ascii="Times New Roman" w:hAnsi="Times New Roman" w:cs="Times New Roman"/>
          <w:b/>
          <w:sz w:val="24"/>
          <w:szCs w:val="24"/>
        </w:rPr>
        <w:t>“</w:t>
      </w:r>
      <w:r w:rsidRPr="00F2605B">
        <w:rPr>
          <w:rFonts w:ascii="Times New Roman" w:hAnsi="Times New Roman" w:cs="Times New Roman"/>
          <w:b/>
          <w:sz w:val="24"/>
          <w:szCs w:val="24"/>
        </w:rPr>
        <w:t xml:space="preserve">fórmula de </w:t>
      </w:r>
      <w:r>
        <w:rPr>
          <w:rFonts w:ascii="Times New Roman" w:hAnsi="Times New Roman" w:cs="Times New Roman"/>
          <w:b/>
          <w:sz w:val="24"/>
          <w:szCs w:val="24"/>
        </w:rPr>
        <w:t>la felicidad”, según Xi Jinping</w:t>
      </w:r>
    </w:p>
    <w:p w:rsidR="00D93BCE" w:rsidRDefault="00D93BCE" w:rsidP="00D93BC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(Parte II) </w:t>
      </w:r>
    </w:p>
    <w:p w:rsidR="00DD7437" w:rsidRDefault="00D93BCE" w:rsidP="00D93BCE">
      <w:pPr>
        <w:spacing w:after="120" w:line="240" w:lineRule="auto"/>
        <w:jc w:val="both"/>
        <w:outlineLvl w:val="0"/>
        <w:rPr>
          <w:rFonts w:ascii="Times New Roman" w:eastAsia="Times New Roman" w:hAnsi="Times New Roman" w:cs="Times New Roman"/>
          <w:b/>
          <w:bCs/>
          <w:spacing w:val="-5"/>
          <w:kern w:val="36"/>
          <w:sz w:val="24"/>
          <w:szCs w:val="24"/>
          <w:lang w:eastAsia="es-ES"/>
        </w:rPr>
      </w:pPr>
      <w:r>
        <w:rPr>
          <w:rFonts w:ascii="Times New Roman" w:eastAsia="Times New Roman" w:hAnsi="Times New Roman" w:cs="Times New Roman"/>
          <w:b/>
          <w:bCs/>
          <w:spacing w:val="-5"/>
          <w:kern w:val="36"/>
          <w:sz w:val="24"/>
          <w:szCs w:val="24"/>
          <w:lang w:eastAsia="es-ES"/>
        </w:rPr>
        <w:t>Anexo: La c</w:t>
      </w:r>
      <w:r w:rsidR="0064679C">
        <w:rPr>
          <w:rFonts w:ascii="Times New Roman" w:eastAsia="Times New Roman" w:hAnsi="Times New Roman" w:cs="Times New Roman"/>
          <w:b/>
          <w:bCs/>
          <w:spacing w:val="-5"/>
          <w:kern w:val="36"/>
          <w:sz w:val="24"/>
          <w:szCs w:val="24"/>
          <w:lang w:eastAsia="es-ES"/>
        </w:rPr>
        <w:t xml:space="preserve">onjura de los necios </w:t>
      </w:r>
    </w:p>
    <w:p w:rsidR="00D93BCE" w:rsidRDefault="0064679C" w:rsidP="00D93BCE">
      <w:pPr>
        <w:spacing w:after="120" w:line="240" w:lineRule="auto"/>
        <w:jc w:val="both"/>
        <w:outlineLvl w:val="0"/>
        <w:rPr>
          <w:rFonts w:ascii="Times New Roman" w:eastAsia="Times New Roman" w:hAnsi="Times New Roman" w:cs="Times New Roman"/>
          <w:b/>
          <w:bCs/>
          <w:spacing w:val="-5"/>
          <w:kern w:val="36"/>
          <w:sz w:val="24"/>
          <w:szCs w:val="24"/>
          <w:lang w:eastAsia="es-ES"/>
        </w:rPr>
      </w:pPr>
      <w:r>
        <w:rPr>
          <w:rFonts w:ascii="Times New Roman" w:eastAsia="Times New Roman" w:hAnsi="Times New Roman" w:cs="Times New Roman"/>
          <w:b/>
          <w:bCs/>
          <w:spacing w:val="-5"/>
          <w:kern w:val="36"/>
          <w:sz w:val="24"/>
          <w:szCs w:val="24"/>
          <w:lang w:eastAsia="es-ES"/>
        </w:rPr>
        <w:t xml:space="preserve">- Informes </w:t>
      </w:r>
      <w:r w:rsidR="00D93BCE">
        <w:rPr>
          <w:rFonts w:ascii="Times New Roman" w:eastAsia="Times New Roman" w:hAnsi="Times New Roman" w:cs="Times New Roman"/>
          <w:b/>
          <w:bCs/>
          <w:spacing w:val="-5"/>
          <w:kern w:val="36"/>
          <w:sz w:val="24"/>
          <w:szCs w:val="24"/>
          <w:lang w:eastAsia="es-ES"/>
        </w:rPr>
        <w:t>del World Economic Forum - Davos 2021 y 2022</w:t>
      </w:r>
    </w:p>
    <w:p w:rsidR="00D93BCE" w:rsidRPr="00D93BCE" w:rsidRDefault="00D93BCE" w:rsidP="00D93BCE">
      <w:pPr>
        <w:spacing w:after="120" w:line="240" w:lineRule="auto"/>
        <w:jc w:val="both"/>
        <w:outlineLvl w:val="0"/>
        <w:rPr>
          <w:rFonts w:ascii="Times New Roman" w:eastAsia="Times New Roman" w:hAnsi="Times New Roman" w:cs="Times New Roman"/>
          <w:b/>
          <w:bCs/>
          <w:spacing w:val="-5"/>
          <w:kern w:val="36"/>
          <w:sz w:val="24"/>
          <w:szCs w:val="24"/>
          <w:lang w:eastAsia="es-ES"/>
        </w:rPr>
      </w:pPr>
      <w:r w:rsidRPr="00D93BCE">
        <w:rPr>
          <w:rFonts w:ascii="Times New Roman" w:hAnsi="Times New Roman" w:cs="Times New Roman"/>
          <w:b/>
          <w:sz w:val="24"/>
          <w:szCs w:val="24"/>
        </w:rPr>
        <w:t>The Global Risks Report 2021 (World Economic Forum - Enero 2021) (Nota de Prensa)</w:t>
      </w:r>
    </w:p>
    <w:p w:rsidR="00D93BCE" w:rsidRPr="00AB345E" w:rsidRDefault="00D93BCE" w:rsidP="00D93BCE">
      <w:pPr>
        <w:pStyle w:val="NormalWeb"/>
        <w:shd w:val="clear" w:color="auto" w:fill="FFFFFF"/>
        <w:spacing w:before="0" w:beforeAutospacing="0" w:after="300" w:afterAutospacing="0"/>
        <w:jc w:val="both"/>
        <w:rPr>
          <w:color w:val="FF0000"/>
          <w:u w:val="single"/>
        </w:rPr>
      </w:pPr>
      <w:r w:rsidRPr="00AB345E">
        <w:rPr>
          <w:color w:val="FF0000"/>
          <w:u w:val="single"/>
        </w:rPr>
        <w:t>El Foro Económico Mundial acaba de publicar su informe anual de riesgos, titulado </w:t>
      </w:r>
      <w:hyperlink r:id="rId6" w:history="1">
        <w:r w:rsidRPr="00AB345E">
          <w:rPr>
            <w:rStyle w:val="nfasis"/>
            <w:color w:val="FF0000"/>
            <w:u w:val="single"/>
          </w:rPr>
          <w:t>The Global Risks Report 2021</w:t>
        </w:r>
      </w:hyperlink>
      <w:r w:rsidRPr="00AB345E">
        <w:rPr>
          <w:color w:val="FF0000"/>
          <w:u w:val="single"/>
        </w:rPr>
        <w:t>. Este análisis, que alca</w:t>
      </w:r>
      <w:r>
        <w:rPr>
          <w:color w:val="FF0000"/>
          <w:u w:val="single"/>
        </w:rPr>
        <w:t>nza ya su decimosexta edición, “se centra -</w:t>
      </w:r>
      <w:r w:rsidRPr="00AB345E">
        <w:rPr>
          <w:color w:val="FF0000"/>
          <w:u w:val="single"/>
        </w:rPr>
        <w:t>como s</w:t>
      </w:r>
      <w:r>
        <w:rPr>
          <w:color w:val="FF0000"/>
          <w:u w:val="single"/>
        </w:rPr>
        <w:t>eñala en su prefacio-</w:t>
      </w:r>
      <w:r w:rsidRPr="00AB345E">
        <w:rPr>
          <w:color w:val="FF0000"/>
          <w:u w:val="single"/>
        </w:rPr>
        <w:t xml:space="preserve"> en los riesgos y las consecuencias del aumento de las desigualdades y </w:t>
      </w:r>
      <w:r>
        <w:rPr>
          <w:color w:val="FF0000"/>
          <w:u w:val="single"/>
        </w:rPr>
        <w:t>la fragmentación de la sociedad”</w:t>
      </w:r>
      <w:r w:rsidRPr="00AB345E">
        <w:rPr>
          <w:color w:val="FF0000"/>
          <w:u w:val="single"/>
        </w:rPr>
        <w:t>, cuya dinámica está marcada por las consecuencias derivadas de la pandemia de la COVID 19</w:t>
      </w:r>
      <w:r w:rsidRPr="00F2605B">
        <w:t xml:space="preserve">. </w:t>
      </w:r>
      <w:r w:rsidRPr="00AB345E">
        <w:rPr>
          <w:color w:val="FF0000"/>
          <w:u w:val="single"/>
        </w:rPr>
        <w:t>Este nuevo escenario está «poniendo a prueba las débiles redes de seguridad y las estructuras económicas más allá de su capacidad» a nivel mundial, y afrontar la resolución de este desafío va a depender de las medidas que se adopten, una vez cerrada la pandemia, para reconstruir un futuro inclusivo y accesible a</w:t>
      </w:r>
      <w:r>
        <w:rPr>
          <w:color w:val="FF0000"/>
          <w:u w:val="single"/>
        </w:rPr>
        <w:t xml:space="preserve"> nivel mundial. Por otro lado, “</w:t>
      </w:r>
      <w:r w:rsidRPr="00AB345E">
        <w:rPr>
          <w:color w:val="FF0000"/>
          <w:u w:val="single"/>
        </w:rPr>
        <w:t>la inacción ante las desigualdades económicas y la división de la sociedad puede retrasar aún más la acción contra el cambio climático, que sigue siendo una amenaz</w:t>
      </w:r>
      <w:r>
        <w:rPr>
          <w:color w:val="FF0000"/>
          <w:u w:val="single"/>
        </w:rPr>
        <w:t>a existencial para la humanidad”</w:t>
      </w:r>
      <w:r w:rsidRPr="00AB345E">
        <w:rPr>
          <w:color w:val="FF0000"/>
          <w:u w:val="single"/>
        </w:rPr>
        <w:t>.</w:t>
      </w:r>
    </w:p>
    <w:p w:rsidR="00D93BCE" w:rsidRPr="00F2605B" w:rsidRDefault="00D93BCE" w:rsidP="00D93BCE">
      <w:pPr>
        <w:pStyle w:val="NormalWeb"/>
        <w:shd w:val="clear" w:color="auto" w:fill="FFFFFF"/>
        <w:spacing w:before="0" w:beforeAutospacing="0" w:after="300" w:afterAutospacing="0"/>
        <w:jc w:val="both"/>
      </w:pPr>
      <w:r w:rsidRPr="00F2605B">
        <w:t>En este contexto geopolítico, cargado de incertidumbre como principal derivada de la pandemia, este Informe analiza los principales riesgos globales desde una doble perspectiva: su grado de probabilidad y el nivel de impacto en la sociedad. Entre los productos clave que lo conforman está el Paisaje de Riesgos Globales, un elemento gráfico que representa en una cuadrícula definida en su eje vertical por el nivel de impacto y en el eje horizontal el grado de probabilidad los resultados del análisis, basados en una encuesta a expertos a nivel mundial.</w:t>
      </w:r>
    </w:p>
    <w:p w:rsidR="00D93BCE" w:rsidRDefault="00D93BCE" w:rsidP="00D93BCE">
      <w:pPr>
        <w:pStyle w:val="NormalWeb"/>
        <w:shd w:val="clear" w:color="auto" w:fill="FFFFFF"/>
        <w:spacing w:before="0" w:beforeAutospacing="0" w:after="300" w:afterAutospacing="0"/>
        <w:jc w:val="both"/>
      </w:pPr>
      <w:r w:rsidRPr="00F2605B">
        <w:t>En este ámbito, el Informe 2021 destaca, además del riesgo de enfermedades infecciosas, el fracaso en la acción internacional contra los efectos del cambio climático.</w:t>
      </w:r>
    </w:p>
    <w:p w:rsidR="00D93BCE" w:rsidRPr="00AB345E" w:rsidRDefault="00D93BCE" w:rsidP="00D93BCE">
      <w:pPr>
        <w:pStyle w:val="NormalWeb"/>
        <w:shd w:val="clear" w:color="auto" w:fill="FFFFFF"/>
        <w:spacing w:before="0" w:beforeAutospacing="0" w:after="300" w:afterAutospacing="0"/>
        <w:jc w:val="both"/>
        <w:rPr>
          <w:color w:val="FF0000"/>
          <w:u w:val="single"/>
        </w:rPr>
      </w:pPr>
      <w:r w:rsidRPr="00AB345E">
        <w:rPr>
          <w:color w:val="FF0000"/>
          <w:u w:val="single"/>
        </w:rPr>
        <w:t>Los episodios de meteorología extrema, junto al cambio climático, ocupan desde 2018 los dos primeros puestos en la clasificación en cuanto a su grado de probabilidad, tendencia que indica una consolidación del nivel de preocupación con que se perciben los riesgos de carácter medioambiental.</w:t>
      </w:r>
    </w:p>
    <w:p w:rsidR="00D93BCE" w:rsidRPr="00F2605B" w:rsidRDefault="00D93BCE" w:rsidP="00D93BCE">
      <w:pPr>
        <w:pStyle w:val="NormalWeb"/>
        <w:shd w:val="clear" w:color="auto" w:fill="FFFFFF"/>
        <w:spacing w:before="0" w:beforeAutospacing="0" w:after="300" w:afterAutospacing="0"/>
        <w:jc w:val="both"/>
      </w:pPr>
      <w:r w:rsidRPr="00F2605B">
        <w:t>A corto plazo, la economía supone también una de las principales preocupaciones a nivel mundial. El Informe de Riesgos Globales destaca la intensificación de la desigualdad económica en 2020 a consecuenci</w:t>
      </w:r>
      <w:r>
        <w:t>a de la crisis de la pandemia. “</w:t>
      </w:r>
      <w:r w:rsidRPr="00F2605B">
        <w:t>El coste humano y económico inm</w:t>
      </w:r>
      <w:r>
        <w:t>ediato de la COVID-19 es grave -señala-</w:t>
      </w:r>
      <w:r w:rsidRPr="00F2605B">
        <w:t xml:space="preserve">, y amenaza con hacer retroceder años de progreso en la reducción de la pobreza y la desigualdad, y debilitar aún más la cohesión </w:t>
      </w:r>
      <w:r>
        <w:t>social y la cooperación mundial”</w:t>
      </w:r>
      <w:r w:rsidRPr="00F2605B">
        <w:t>.</w:t>
      </w:r>
    </w:p>
    <w:p w:rsidR="00D93BCE" w:rsidRPr="00F2605B" w:rsidRDefault="00D93BCE" w:rsidP="00D93BCE">
      <w:pPr>
        <w:pStyle w:val="NormalWeb"/>
        <w:shd w:val="clear" w:color="auto" w:fill="FFFFFF"/>
        <w:spacing w:before="0" w:beforeAutospacing="0" w:after="300" w:afterAutospacing="0"/>
        <w:jc w:val="both"/>
      </w:pPr>
      <w:r w:rsidRPr="00F2605B">
        <w:t>Otra de las tendencias que han experimentado una fuerte aceleración es la transformación a causa de la digitalización. Este proceso tecnológico promete beneficios y mejora social, pero también presenta serios riesgos y puede ser causa de aumento de la desigualdad debido al rit</w:t>
      </w:r>
      <w:r>
        <w:t>mo asimétrico del crecimiento: “</w:t>
      </w:r>
      <w:r w:rsidRPr="00F2605B">
        <w:t>Los individuos se diferencian cada vez más en su autonomía digital y las oportunidades de ganarse la vida en los mercados digitales del futuro. Esta creciente brecha digital puede debilitar aún</w:t>
      </w:r>
      <w:r>
        <w:t xml:space="preserve"> más la cohesión de la sociedad”</w:t>
      </w:r>
      <w:r w:rsidRPr="00F2605B">
        <w:t>, reconoce el Info</w:t>
      </w:r>
      <w:r w:rsidR="00DD7437">
        <w:t>rme.</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50F89E4E" wp14:editId="6CDDF45E">
            <wp:extent cx="5867400" cy="4552950"/>
            <wp:effectExtent l="0" t="0" r="0" b="0"/>
            <wp:docPr id="46" name="Imagen 46" descr="https://www.dsn.gob.es/sites/dsn/files/G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dsn.gob.es/sites/dsn/files/GR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67400" cy="4552950"/>
                    </a:xfrm>
                    <a:prstGeom prst="rect">
                      <a:avLst/>
                    </a:prstGeom>
                    <a:noFill/>
                    <a:ln>
                      <a:noFill/>
                    </a:ln>
                  </pic:spPr>
                </pic:pic>
              </a:graphicData>
            </a:graphic>
          </wp:inline>
        </w:drawing>
      </w:r>
      <w:r w:rsidRPr="00F2605B">
        <w:rPr>
          <w:rFonts w:ascii="Times New Roman" w:hAnsi="Times New Roman" w:cs="Times New Roman"/>
          <w:sz w:val="24"/>
          <w:szCs w:val="24"/>
        </w:rPr>
        <w:br/>
      </w:r>
      <w:r w:rsidRPr="00F2605B">
        <w:rPr>
          <w:rStyle w:val="nfasis"/>
          <w:rFonts w:ascii="Times New Roman" w:hAnsi="Times New Roman" w:cs="Times New Roman"/>
          <w:sz w:val="24"/>
          <w:szCs w:val="24"/>
        </w:rPr>
        <w:t>Figura1: Paisaje de Riesgos </w:t>
      </w:r>
      <w:r w:rsidRPr="00F2605B">
        <w:rPr>
          <w:rFonts w:ascii="Times New Roman" w:hAnsi="Times New Roman" w:cs="Times New Roman"/>
          <w:sz w:val="24"/>
          <w:szCs w:val="24"/>
        </w:rPr>
        <w:t>Globales</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r w:rsidRPr="00F2605B">
        <w:rPr>
          <w:rStyle w:val="nfasis"/>
          <w:rFonts w:ascii="Times New Roman" w:hAnsi="Times New Roman" w:cs="Times New Roman"/>
          <w:sz w:val="24"/>
          <w:szCs w:val="24"/>
        </w:rPr>
        <w:t>(</w:t>
      </w:r>
      <w:r>
        <w:rPr>
          <w:rStyle w:val="nfasis"/>
          <w:rFonts w:ascii="Times New Roman" w:hAnsi="Times New Roman" w:cs="Times New Roman"/>
          <w:sz w:val="24"/>
          <w:szCs w:val="24"/>
        </w:rPr>
        <w:t>Fuente: Foro Económico Mundial -</w:t>
      </w:r>
      <w:r w:rsidRPr="00F2605B">
        <w:rPr>
          <w:rStyle w:val="nfasis"/>
          <w:rFonts w:ascii="Times New Roman" w:hAnsi="Times New Roman" w:cs="Times New Roman"/>
          <w:sz w:val="24"/>
          <w:szCs w:val="24"/>
        </w:rPr>
        <w:t xml:space="preserve"> The Global Risks Report 2021)</w:t>
      </w:r>
      <w:r w:rsidRPr="00F2605B">
        <w:rPr>
          <w:rFonts w:ascii="Times New Roman" w:hAnsi="Times New Roman" w:cs="Times New Roman"/>
          <w:sz w:val="24"/>
          <w:szCs w:val="24"/>
        </w:rPr>
        <w:t> </w:t>
      </w:r>
    </w:p>
    <w:p w:rsidR="00D93BCE" w:rsidRPr="00F2605B" w:rsidRDefault="00D93BCE" w:rsidP="00D93BCE">
      <w:pPr>
        <w:shd w:val="clear" w:color="auto" w:fill="FFFFFF"/>
        <w:spacing w:line="240" w:lineRule="auto"/>
        <w:jc w:val="both"/>
        <w:rPr>
          <w:rStyle w:val="nfasis"/>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23F45F94" wp14:editId="71036EE1">
            <wp:extent cx="5829300" cy="2584450"/>
            <wp:effectExtent l="0" t="0" r="0" b="6350"/>
            <wp:docPr id="1" name="Imagen 1" descr="https://www.dsn.gob.es/sites/dsn/files/G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dsn.gob.es/sites/dsn/files/GR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29300" cy="2584450"/>
                    </a:xfrm>
                    <a:prstGeom prst="rect">
                      <a:avLst/>
                    </a:prstGeom>
                    <a:noFill/>
                    <a:ln>
                      <a:noFill/>
                    </a:ln>
                  </pic:spPr>
                </pic:pic>
              </a:graphicData>
            </a:graphic>
          </wp:inline>
        </w:drawing>
      </w:r>
      <w:r w:rsidRPr="00F2605B">
        <w:rPr>
          <w:rFonts w:ascii="Times New Roman" w:hAnsi="Times New Roman" w:cs="Times New Roman"/>
          <w:sz w:val="24"/>
          <w:szCs w:val="24"/>
        </w:rPr>
        <w:br/>
      </w:r>
      <w:r w:rsidRPr="00F2605B">
        <w:rPr>
          <w:rStyle w:val="nfasis"/>
          <w:rFonts w:ascii="Times New Roman" w:hAnsi="Times New Roman" w:cs="Times New Roman"/>
          <w:sz w:val="24"/>
          <w:szCs w:val="24"/>
        </w:rPr>
        <w:t>Figura2: Evolución de los Riesgos según su grado de probabilidad</w:t>
      </w:r>
    </w:p>
    <w:p w:rsidR="00D93BCE" w:rsidRPr="00F2605B" w:rsidRDefault="00D93BCE" w:rsidP="00D93BCE">
      <w:pPr>
        <w:shd w:val="clear" w:color="auto" w:fill="FFFFFF"/>
        <w:spacing w:line="240" w:lineRule="auto"/>
        <w:jc w:val="both"/>
        <w:rPr>
          <w:rStyle w:val="nfasis"/>
          <w:rFonts w:ascii="Times New Roman" w:hAnsi="Times New Roman" w:cs="Times New Roman"/>
          <w:sz w:val="24"/>
          <w:szCs w:val="24"/>
        </w:rPr>
      </w:pPr>
      <w:r w:rsidRPr="00F2605B">
        <w:rPr>
          <w:rStyle w:val="nfasis"/>
          <w:rFonts w:ascii="Times New Roman" w:hAnsi="Times New Roman" w:cs="Times New Roman"/>
          <w:sz w:val="24"/>
          <w:szCs w:val="24"/>
        </w:rPr>
        <w:t>(</w:t>
      </w:r>
      <w:r w:rsidR="00DD7437">
        <w:rPr>
          <w:rStyle w:val="nfasis"/>
          <w:rFonts w:ascii="Times New Roman" w:hAnsi="Times New Roman" w:cs="Times New Roman"/>
          <w:sz w:val="24"/>
          <w:szCs w:val="24"/>
        </w:rPr>
        <w:t>Fuente: Foro Económico Mundial -</w:t>
      </w:r>
      <w:r w:rsidRPr="00F2605B">
        <w:rPr>
          <w:rStyle w:val="nfasis"/>
          <w:rFonts w:ascii="Times New Roman" w:hAnsi="Times New Roman" w:cs="Times New Roman"/>
          <w:sz w:val="24"/>
          <w:szCs w:val="24"/>
        </w:rPr>
        <w:t xml:space="preserve"> The Global Risks Report 2021)</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r w:rsidRPr="00F2605B">
        <w:rPr>
          <w:rFonts w:ascii="Times New Roman" w:hAnsi="Times New Roman" w:cs="Times New Roman"/>
          <w:sz w:val="24"/>
          <w:szCs w:val="24"/>
        </w:rPr>
        <w:lastRenderedPageBreak/>
        <w:t>Por último, el Informe 2021 ofrece además una nueva sección titulada “Perspectivas sobre los Riesgos-Frontera” en alusión a aquellos fenómenos que, siendo menos conocidos, podrían tener un impacto muy alto en caso de producirse. En este ámbito, el riesgo de guerras accidentales; la explotación del interfaz hombre-máquina para la extracción ilícita de datos con propósitos comerciales o represivos; o la edición genética para la mejora humana sin tener en cuenta consideraciones éticas son tres ejemplos de este bloque analítico. Su objetivo es ampliar el foco ante nuevos factores que, si bien no se encuentran actualmente entre los riesgos de mayor preocupación, no se puede descartar la probabilidad de que sucedan y tengan serias consecuencias.</w:t>
      </w:r>
    </w:p>
    <w:p w:rsidR="00D93BCE" w:rsidRPr="00F2605B" w:rsidRDefault="00D93BCE" w:rsidP="00D93BCE">
      <w:pPr>
        <w:pStyle w:val="NormalWeb"/>
        <w:shd w:val="clear" w:color="auto" w:fill="FFFFFF"/>
        <w:spacing w:before="0" w:beforeAutospacing="0" w:after="300" w:afterAutospacing="0"/>
        <w:jc w:val="both"/>
      </w:pPr>
      <w:r w:rsidRPr="00F2605B">
        <w:t>El Foro Económico Mundial es una institución internacional que organiza la cumbre de líderes en la localidad suiza de Davos. Este año, a consecuencia de la pandemia, la cumbre se celebrará en Singapur del 13 al 16 de mayo.</w:t>
      </w:r>
    </w:p>
    <w:p w:rsidR="00D93BCE" w:rsidRPr="00F2605B" w:rsidRDefault="00D93BCE" w:rsidP="00D93BCE">
      <w:pPr>
        <w:pStyle w:val="Ttulo2"/>
        <w:spacing w:before="0" w:after="300"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Introducción</w:t>
      </w:r>
    </w:p>
    <w:p w:rsidR="00D93BCE" w:rsidRPr="00F2605B" w:rsidRDefault="00D93BCE" w:rsidP="00D93BCE">
      <w:pPr>
        <w:pStyle w:val="NormalWeb"/>
        <w:spacing w:before="0" w:beforeAutospacing="0" w:after="300" w:afterAutospacing="0"/>
        <w:jc w:val="both"/>
      </w:pPr>
      <w:r w:rsidRPr="00F2605B">
        <w:t>La pandemia de </w:t>
      </w:r>
      <w:r w:rsidRPr="00F2605B">
        <w:rPr>
          <w:rStyle w:val="Textoennegrita"/>
          <w:rFonts w:eastAsiaTheme="majorEastAsia"/>
        </w:rPr>
        <w:t>COVID-19</w:t>
      </w:r>
      <w:r w:rsidRPr="00F2605B">
        <w:t> amenaza con </w:t>
      </w:r>
      <w:r w:rsidRPr="00F2605B">
        <w:rPr>
          <w:rStyle w:val="Textoennegrita"/>
          <w:rFonts w:eastAsiaTheme="majorEastAsia"/>
        </w:rPr>
        <w:t>retrasar años de progreso en la disminución de la pobreza y de la desigualdad y con debilitar aún más la cohesión social y la cooperación mundial</w:t>
      </w:r>
      <w:r w:rsidRPr="00F2605B">
        <w:t>.</w:t>
      </w:r>
    </w:p>
    <w:p w:rsidR="00D93BCE" w:rsidRPr="00F2605B" w:rsidRDefault="00D93BCE" w:rsidP="00D93BCE">
      <w:pPr>
        <w:pStyle w:val="NormalWeb"/>
        <w:spacing w:before="0" w:beforeAutospacing="0" w:after="300" w:afterAutospacing="0"/>
        <w:jc w:val="both"/>
      </w:pPr>
      <w:r w:rsidRPr="00F2605B">
        <w:t>La pérdida de puestos de trabajo, una brecha digital cada vez mayor, la interrupción de interacciones sociales y cambios abruptos en los mercados podrían tener consecuencias nefastas y suponer oportunidades perdidas para gran parte de la población mundial.</w:t>
      </w:r>
    </w:p>
    <w:p w:rsidR="00D93BCE" w:rsidRPr="00F2605B" w:rsidRDefault="00D93BCE" w:rsidP="00D93BCE">
      <w:pPr>
        <w:pStyle w:val="NormalWeb"/>
        <w:spacing w:before="0" w:beforeAutospacing="0" w:after="300" w:afterAutospacing="0"/>
        <w:jc w:val="both"/>
      </w:pPr>
      <w:r w:rsidRPr="00F2605B">
        <w:t>Las ramificaciones de la pandemia en forma de malestar social, fragmentación política y tensiones geopolíticas, </w:t>
      </w:r>
      <w:r w:rsidRPr="00F2605B">
        <w:rPr>
          <w:rStyle w:val="Textoennegrita"/>
          <w:rFonts w:eastAsiaTheme="majorEastAsia"/>
        </w:rPr>
        <w:t>influirán en la eficacia de las respuestas a las otras amenazas clave de la próxima década</w:t>
      </w:r>
      <w:r w:rsidRPr="00F2605B">
        <w:t>: ciberataques, armas de destrucción masiva y, sobre todo, el cambio climático.</w:t>
      </w:r>
    </w:p>
    <w:p w:rsidR="00D93BCE" w:rsidRPr="00F2605B" w:rsidRDefault="00D93BCE" w:rsidP="00D93BCE">
      <w:pPr>
        <w:pStyle w:val="NormalWeb"/>
        <w:spacing w:before="0" w:beforeAutospacing="0" w:after="300" w:afterAutospacing="0"/>
        <w:jc w:val="both"/>
      </w:pPr>
      <w:r w:rsidRPr="00F2605B">
        <w:t>El Informe de riesgos globales 2021, incluye los resultados de la </w:t>
      </w:r>
      <w:r w:rsidRPr="00F2605B">
        <w:rPr>
          <w:rStyle w:val="Textoennegrita"/>
          <w:rFonts w:eastAsiaTheme="majorEastAsia"/>
        </w:rPr>
        <w:t>última Encuesta de percepción de riesgos globales (Global Risks Perception Survey-GRPS)</w:t>
      </w:r>
      <w:r w:rsidRPr="00F2605B">
        <w:t>, y un análisis sobre las crecientes divisiones sociales, económicas e industriales, sus interconexiones y sus implicaciones en la capacidad del mundo para resolver los principales riesgos globales que requieren cohesión social y cooperación global. El informe concluye con propuestas para mejorar la resiliencia, extraídas de las lecciones de la pandemia y del análisis de riesgos históricos.</w:t>
      </w:r>
    </w:p>
    <w:p w:rsidR="00D93BCE" w:rsidRPr="00F2605B" w:rsidRDefault="00D93BCE" w:rsidP="00D93BCE">
      <w:pPr>
        <w:pStyle w:val="NormalWeb"/>
        <w:spacing w:before="0" w:beforeAutospacing="0" w:after="300" w:afterAutospacing="0"/>
        <w:jc w:val="both"/>
      </w:pPr>
      <w:r w:rsidRPr="00F2605B">
        <w:t>Estos son los hallazgos clave de la encuesta y su análisis</w:t>
      </w:r>
    </w:p>
    <w:p w:rsidR="00D93BCE" w:rsidRPr="00F2605B" w:rsidRDefault="00D93BCE" w:rsidP="00D93BCE">
      <w:pPr>
        <w:pStyle w:val="Ttulo2"/>
        <w:spacing w:before="0" w:after="300"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Percepciones de riesgos globales</w:t>
      </w:r>
    </w:p>
    <w:p w:rsidR="00D93BCE" w:rsidRPr="00AB345E" w:rsidRDefault="00D93BCE" w:rsidP="00D93BCE">
      <w:pPr>
        <w:pStyle w:val="NormalWeb"/>
        <w:spacing w:before="0" w:beforeAutospacing="0" w:after="300" w:afterAutospacing="0"/>
        <w:jc w:val="both"/>
        <w:rPr>
          <w:color w:val="FF0000"/>
          <w:u w:val="single"/>
        </w:rPr>
      </w:pPr>
      <w:r w:rsidRPr="00AB345E">
        <w:rPr>
          <w:rStyle w:val="Textoennegrita"/>
          <w:rFonts w:eastAsiaTheme="majorEastAsia"/>
          <w:color w:val="FF0000"/>
          <w:u w:val="single"/>
        </w:rPr>
        <w:t>Entre los riesgos de mayor PROBABILIDAD de los próximos diez</w:t>
      </w:r>
      <w:r w:rsidRPr="00AB345E">
        <w:rPr>
          <w:color w:val="FF0000"/>
          <w:u w:val="single"/>
        </w:rPr>
        <w:t> años se encuentran </w:t>
      </w:r>
      <w:r w:rsidRPr="00AB345E">
        <w:rPr>
          <w:rStyle w:val="Textoennegrita"/>
          <w:rFonts w:eastAsiaTheme="majorEastAsia"/>
          <w:color w:val="FF0000"/>
          <w:u w:val="single"/>
        </w:rPr>
        <w:t>el clima extremo, el fracaso de la acción climática y el daño ambiental provocado por el hombre; así como la concentración de poder digital, la desigualdad digital y el fracaso de la ciberseguridad.</w:t>
      </w:r>
    </w:p>
    <w:p w:rsidR="00D93BCE" w:rsidRPr="00AB345E" w:rsidRDefault="00D93BCE" w:rsidP="00D93BCE">
      <w:pPr>
        <w:pStyle w:val="NormalWeb"/>
        <w:spacing w:before="0" w:beforeAutospacing="0" w:after="300" w:afterAutospacing="0"/>
        <w:jc w:val="both"/>
        <w:rPr>
          <w:color w:val="FF0000"/>
          <w:u w:val="single"/>
        </w:rPr>
      </w:pPr>
      <w:r w:rsidRPr="00AB345E">
        <w:rPr>
          <w:rStyle w:val="Textoennegrita"/>
          <w:rFonts w:eastAsiaTheme="majorEastAsia"/>
          <w:color w:val="FF0000"/>
          <w:u w:val="single"/>
        </w:rPr>
        <w:t>Entre los riesgos de mayor IMPACTO de la próxima década las enfermedades infecciosas</w:t>
      </w:r>
      <w:r w:rsidRPr="00AB345E">
        <w:rPr>
          <w:color w:val="FF0000"/>
          <w:u w:val="single"/>
        </w:rPr>
        <w:t> ocupan el primer lugar, seguidas por </w:t>
      </w:r>
      <w:r w:rsidRPr="00AB345E">
        <w:rPr>
          <w:rStyle w:val="Textoennegrita"/>
          <w:rFonts w:eastAsiaTheme="majorEastAsia"/>
          <w:color w:val="FF0000"/>
          <w:u w:val="single"/>
        </w:rPr>
        <w:t>el fracaso de la acción climática y otros riesgos ambientales</w:t>
      </w:r>
      <w:r w:rsidRPr="00AB345E">
        <w:rPr>
          <w:color w:val="FF0000"/>
          <w:u w:val="single"/>
        </w:rPr>
        <w:t>, así como </w:t>
      </w:r>
      <w:r w:rsidRPr="00AB345E">
        <w:rPr>
          <w:rStyle w:val="Textoennegrita"/>
          <w:rFonts w:eastAsiaTheme="majorEastAsia"/>
          <w:color w:val="FF0000"/>
          <w:u w:val="single"/>
        </w:rPr>
        <w:t xml:space="preserve">las armas de destrucción masiva, la crisis de los medios de </w:t>
      </w:r>
      <w:r w:rsidRPr="00AB345E">
        <w:rPr>
          <w:rStyle w:val="Textoennegrita"/>
          <w:rFonts w:eastAsiaTheme="majorEastAsia"/>
          <w:color w:val="FF0000"/>
          <w:u w:val="single"/>
        </w:rPr>
        <w:lastRenderedPageBreak/>
        <w:t>vida, la crisis de la deuda soberana y avería de la infraestructura de tecnologías de la Información.</w:t>
      </w:r>
    </w:p>
    <w:p w:rsidR="00D93BCE" w:rsidRPr="00AB345E" w:rsidRDefault="00D93BCE" w:rsidP="00D93BCE">
      <w:pPr>
        <w:pStyle w:val="NormalWeb"/>
        <w:spacing w:before="0" w:beforeAutospacing="0" w:after="300" w:afterAutospacing="0"/>
        <w:jc w:val="both"/>
        <w:rPr>
          <w:color w:val="FF0000"/>
          <w:u w:val="single"/>
        </w:rPr>
      </w:pPr>
      <w:r w:rsidRPr="00AB345E">
        <w:rPr>
          <w:rStyle w:val="Textoennegrita"/>
          <w:rFonts w:eastAsiaTheme="majorEastAsia"/>
          <w:color w:val="FF0000"/>
          <w:u w:val="single"/>
        </w:rPr>
        <w:t>Las amenazas MÁS INMINENTES</w:t>
      </w:r>
      <w:r w:rsidRPr="00AB345E">
        <w:rPr>
          <w:color w:val="FF0000"/>
          <w:u w:val="single"/>
        </w:rPr>
        <w:t>, es decir las más probables en los próximos dos años,</w:t>
      </w:r>
      <w:r w:rsidRPr="00AB345E">
        <w:rPr>
          <w:rStyle w:val="Textoennegrita"/>
          <w:rFonts w:eastAsiaTheme="majorEastAsia"/>
          <w:color w:val="FF0000"/>
          <w:u w:val="single"/>
        </w:rPr>
        <w:t> incluyen la crisis de empleo y de medios de vida, la desilusión generalizada de la juventud, la desigualdad digital, el estancamiento económico, los daños ambientales provocados por el hombre, la erosión de la cohesión social y los ataques terroristas.</w:t>
      </w:r>
    </w:p>
    <w:p w:rsidR="00D93BCE" w:rsidRPr="00AB345E" w:rsidRDefault="00D93BCE" w:rsidP="00D93BCE">
      <w:pPr>
        <w:pStyle w:val="NormalWeb"/>
        <w:spacing w:before="0" w:beforeAutospacing="0" w:after="300" w:afterAutospacing="0"/>
        <w:jc w:val="both"/>
        <w:rPr>
          <w:color w:val="FF0000"/>
          <w:u w:val="single"/>
        </w:rPr>
      </w:pPr>
      <w:r w:rsidRPr="00AB345E">
        <w:rPr>
          <w:color w:val="FF0000"/>
          <w:u w:val="single"/>
        </w:rPr>
        <w:t>Los </w:t>
      </w:r>
      <w:r w:rsidRPr="00AB345E">
        <w:rPr>
          <w:rStyle w:val="Textoennegrita"/>
          <w:rFonts w:eastAsiaTheme="majorEastAsia"/>
          <w:color w:val="FF0000"/>
          <w:u w:val="single"/>
        </w:rPr>
        <w:t>riesgos económicos</w:t>
      </w:r>
      <w:r w:rsidRPr="00AB345E">
        <w:rPr>
          <w:color w:val="FF0000"/>
          <w:u w:val="single"/>
        </w:rPr>
        <w:t> ocupan un lugar destacado en el </w:t>
      </w:r>
      <w:r w:rsidRPr="00AB345E">
        <w:rPr>
          <w:rStyle w:val="Textoennegrita"/>
          <w:rFonts w:eastAsiaTheme="majorEastAsia"/>
          <w:color w:val="FF0000"/>
          <w:u w:val="single"/>
        </w:rPr>
        <w:t>período de 3 a 5 años</w:t>
      </w:r>
      <w:r w:rsidRPr="00AB345E">
        <w:rPr>
          <w:color w:val="FF0000"/>
          <w:u w:val="single"/>
        </w:rPr>
        <w:t>, incluidas las burbujas de activos financieros, la inestabilidad de los precios, las crisis de los productos básicos y las crisis de la deuda. Les siguen los riesgos geopolíticos, incluidos los conflictos y las relaciones entre estados, y la geopoli</w:t>
      </w:r>
      <w:r>
        <w:rPr>
          <w:color w:val="FF0000"/>
          <w:u w:val="single"/>
        </w:rPr>
        <w:t>ti</w:t>
      </w:r>
      <w:r w:rsidRPr="00AB345E">
        <w:rPr>
          <w:color w:val="FF0000"/>
          <w:u w:val="single"/>
        </w:rPr>
        <w:t>zación de los recursos.</w:t>
      </w:r>
    </w:p>
    <w:p w:rsidR="00D93BCE" w:rsidRPr="00AB345E" w:rsidRDefault="00D93BCE" w:rsidP="00D93BCE">
      <w:pPr>
        <w:pStyle w:val="NormalWeb"/>
        <w:spacing w:before="0" w:beforeAutospacing="0" w:after="300" w:afterAutospacing="0"/>
        <w:jc w:val="both"/>
        <w:rPr>
          <w:color w:val="FF0000"/>
          <w:u w:val="single"/>
        </w:rPr>
      </w:pPr>
      <w:r w:rsidRPr="00AB345E">
        <w:rPr>
          <w:color w:val="FF0000"/>
          <w:u w:val="single"/>
        </w:rPr>
        <w:t>En un </w:t>
      </w:r>
      <w:r w:rsidRPr="00AB345E">
        <w:rPr>
          <w:rStyle w:val="Textoennegrita"/>
          <w:rFonts w:eastAsiaTheme="majorEastAsia"/>
          <w:color w:val="FF0000"/>
          <w:u w:val="single"/>
        </w:rPr>
        <w:t>horizonte de 5 a 10 años</w:t>
      </w:r>
      <w:r w:rsidRPr="00AB345E">
        <w:rPr>
          <w:color w:val="FF0000"/>
          <w:u w:val="single"/>
        </w:rPr>
        <w:t>, dominan </w:t>
      </w:r>
      <w:r w:rsidRPr="00AB345E">
        <w:rPr>
          <w:rStyle w:val="Textoennegrita"/>
          <w:rFonts w:eastAsiaTheme="majorEastAsia"/>
          <w:color w:val="FF0000"/>
          <w:u w:val="single"/>
        </w:rPr>
        <w:t>los riesgos ambientales</w:t>
      </w:r>
      <w:r w:rsidRPr="00AB345E">
        <w:rPr>
          <w:color w:val="FF0000"/>
          <w:u w:val="single"/>
        </w:rPr>
        <w:t> como la pérdida de biodiversidad, las crisis de recursos naturales y el fracaso de la acción climática. Junto con ellos están las armas de destrucción masiva, los efectos adversos de la tecnología y el colapso de Estados o Instituciones multilaterales.</w:t>
      </w:r>
    </w:p>
    <w:p w:rsidR="00D93BCE" w:rsidRPr="00F2605B" w:rsidRDefault="00D93BCE" w:rsidP="00D93BCE">
      <w:pPr>
        <w:pStyle w:val="Ttulo2"/>
        <w:spacing w:before="0" w:after="300"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Se prevé un aumento de la fragilidad económica y las divisiones sociales</w:t>
      </w:r>
    </w:p>
    <w:p w:rsidR="00D93BCE" w:rsidRPr="00F2605B" w:rsidRDefault="00D93BCE" w:rsidP="00D93BCE">
      <w:pPr>
        <w:pStyle w:val="NormalWeb"/>
        <w:spacing w:before="0" w:beforeAutospacing="0" w:after="300" w:afterAutospacing="0"/>
        <w:jc w:val="both"/>
      </w:pPr>
      <w:r w:rsidRPr="00F2605B">
        <w:t>Las disparidades existentes en la atención médica, la educación, la estabilidad financiera y la tecnología han llevado a que la crisis de COVID-19 tenga un impacto desproporcionado en ciertos grupos y países.</w:t>
      </w:r>
    </w:p>
    <w:p w:rsidR="00D93BCE" w:rsidRPr="00F2605B" w:rsidRDefault="00D93BCE" w:rsidP="00D93BCE">
      <w:pPr>
        <w:pStyle w:val="NormalWeb"/>
        <w:spacing w:before="0" w:beforeAutospacing="0" w:after="300" w:afterAutospacing="0"/>
        <w:jc w:val="both"/>
      </w:pPr>
      <w:r w:rsidRPr="00F2605B">
        <w:t>Los impactos económicos y de salud a largo plazo de COVID-19 seguirán teniendo consecuencias devastadoras. La onda expansiva económica de la pandemia aumentará inmediatamente la desigualdad, pero también puede hacerlo una recuperación desigual.</w:t>
      </w:r>
    </w:p>
    <w:p w:rsidR="00D93BCE" w:rsidRPr="00F2605B" w:rsidRDefault="00D93BCE" w:rsidP="00D93BCE">
      <w:pPr>
        <w:pStyle w:val="NormalWeb"/>
        <w:spacing w:before="0" w:beforeAutospacing="0" w:after="300" w:afterAutospacing="0"/>
        <w:jc w:val="both"/>
      </w:pPr>
      <w:r w:rsidRPr="00F2605B">
        <w:t>Casi el </w:t>
      </w:r>
      <w:r w:rsidRPr="00F2605B">
        <w:rPr>
          <w:rStyle w:val="Textoennegrita"/>
          <w:rFonts w:eastAsiaTheme="majorEastAsia"/>
        </w:rPr>
        <w:t>60% de los encuestados en la encuesta de percepción de riesgos globales (GRPS) identificaron las “enfermedades infecciosas” y las “crisis de los medios de vida” como las principales amenazas a corto plazo para el mundo</w:t>
      </w:r>
      <w:r w:rsidRPr="00F2605B">
        <w:t>. La pérdida de vidas y medios de subsistencia aumentará el riesgo de “erosión de la cohesión social”.</w:t>
      </w:r>
    </w:p>
    <w:p w:rsidR="00D93BCE" w:rsidRPr="00F2605B" w:rsidRDefault="00D93BCE" w:rsidP="00D93BCE">
      <w:pPr>
        <w:pStyle w:val="Ttulo2"/>
        <w:spacing w:before="0" w:after="300"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La creciente brecha digital y la adopción de la tecnología preocupan</w:t>
      </w:r>
    </w:p>
    <w:p w:rsidR="00D93BCE" w:rsidRPr="00AB345E" w:rsidRDefault="00D93BCE" w:rsidP="00D93BCE">
      <w:pPr>
        <w:pStyle w:val="NormalWeb"/>
        <w:spacing w:before="0" w:beforeAutospacing="0" w:after="300" w:afterAutospacing="0"/>
        <w:jc w:val="both"/>
        <w:rPr>
          <w:color w:val="FF0000"/>
          <w:u w:val="single"/>
        </w:rPr>
      </w:pPr>
      <w:r w:rsidRPr="00AB345E">
        <w:rPr>
          <w:color w:val="FF0000"/>
          <w:u w:val="single"/>
        </w:rPr>
        <w:t>COVID-19 ha acelerado la Cuarta Revolución Industrial, expandiendo la digitalización de la interacción humana, el comercio electrónico, la educación on-line y el trabajo a distancia.</w:t>
      </w:r>
    </w:p>
    <w:p w:rsidR="00D93BCE" w:rsidRPr="00AB345E" w:rsidRDefault="00D93BCE" w:rsidP="00D93BCE">
      <w:pPr>
        <w:pStyle w:val="NormalWeb"/>
        <w:spacing w:before="0" w:beforeAutospacing="0" w:after="300" w:afterAutospacing="0"/>
        <w:jc w:val="both"/>
        <w:rPr>
          <w:color w:val="FF0000"/>
          <w:u w:val="single"/>
        </w:rPr>
      </w:pPr>
      <w:r w:rsidRPr="00AB345E">
        <w:rPr>
          <w:color w:val="FF0000"/>
          <w:u w:val="single"/>
        </w:rPr>
        <w:t>Estos cambios transformarán la sociedad y auspician enormes beneficios (la capacidad de teletrabajo y el desarrollo rápido de vacunas son dos ejemplos) pero también corren el riesgo de multiplicar y/o crear desigualdades.</w:t>
      </w:r>
    </w:p>
    <w:p w:rsidR="00D93BCE" w:rsidRPr="00F2605B" w:rsidRDefault="00D93BCE" w:rsidP="00D93BCE">
      <w:pPr>
        <w:pStyle w:val="NormalWeb"/>
        <w:spacing w:before="0" w:beforeAutospacing="0" w:after="300" w:afterAutospacing="0"/>
        <w:jc w:val="both"/>
      </w:pPr>
      <w:r w:rsidRPr="00AB345E">
        <w:rPr>
          <w:color w:val="FF0000"/>
          <w:u w:val="single"/>
        </w:rPr>
        <w:t>Los encuestados calificaron la “desigualdad digital” como una amenaza crítica a corto plazo. Una brecha digital que sea cada vez mayor puede empeorar las fracturas sociales y socavar las perspectivas de una recuperación inclusiva</w:t>
      </w:r>
      <w:r w:rsidRPr="00F2605B">
        <w:t>. El progreso hacia la inclusión digital se ve amenazado por la creciente dependencia digital, la automatización acelerada, la supresión y manipulación de la información, las lagunas en la regulación tecnológica y en las habilidades y capacidades tecnológicas.</w:t>
      </w:r>
    </w:p>
    <w:p w:rsidR="00D93BCE" w:rsidRPr="00F2605B" w:rsidRDefault="00D93BCE" w:rsidP="00D93BCE">
      <w:pPr>
        <w:pStyle w:val="Ttulo2"/>
        <w:spacing w:before="0" w:after="300"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lastRenderedPageBreak/>
        <w:t>Una generación de jóvenes doblemente molesta está emergiendo en una era de oportunidades perdidas</w:t>
      </w:r>
    </w:p>
    <w:p w:rsidR="00D93BCE" w:rsidRPr="00AB345E" w:rsidRDefault="00D93BCE" w:rsidP="00D93BCE">
      <w:pPr>
        <w:pStyle w:val="NormalWeb"/>
        <w:spacing w:before="0" w:beforeAutospacing="0" w:after="300" w:afterAutospacing="0"/>
        <w:jc w:val="both"/>
        <w:rPr>
          <w:color w:val="FF0000"/>
          <w:u w:val="single"/>
        </w:rPr>
      </w:pPr>
      <w:r w:rsidRPr="00AB345E">
        <w:rPr>
          <w:color w:val="FF0000"/>
          <w:u w:val="single"/>
        </w:rPr>
        <w:t>Muchos jóvenes están ahora ingresando en el mercado laboral en una “edad de hielo” para el empleo. Adultos jóvenes en todo el mundo están experimentando su segunda gran crisis mundial en solo una década.</w:t>
      </w:r>
    </w:p>
    <w:p w:rsidR="00D93BCE" w:rsidRPr="00AB345E" w:rsidRDefault="00D93BCE" w:rsidP="00D93BCE">
      <w:pPr>
        <w:pStyle w:val="NormalWeb"/>
        <w:spacing w:before="0" w:beforeAutospacing="0" w:after="300" w:afterAutospacing="0"/>
        <w:jc w:val="both"/>
        <w:rPr>
          <w:color w:val="FF0000"/>
          <w:u w:val="single"/>
        </w:rPr>
      </w:pPr>
      <w:r w:rsidRPr="00AB345E">
        <w:rPr>
          <w:color w:val="FF0000"/>
          <w:u w:val="single"/>
        </w:rPr>
        <w:t>Ya expuestos a la degradación medio ambiental, a las consecuencias de la crisis financiera, al aumento de la desigualdad, esta generación enfrenta serios desafíos para su educación, sus perspectivas económicas y su salud mental.</w:t>
      </w:r>
    </w:p>
    <w:p w:rsidR="00D93BCE" w:rsidRPr="00AB345E" w:rsidRDefault="00D93BCE" w:rsidP="00D93BCE">
      <w:pPr>
        <w:pStyle w:val="NormalWeb"/>
        <w:spacing w:before="0" w:beforeAutospacing="0" w:after="300" w:afterAutospacing="0"/>
        <w:jc w:val="both"/>
        <w:rPr>
          <w:color w:val="FF0000"/>
          <w:u w:val="single"/>
        </w:rPr>
      </w:pPr>
      <w:r w:rsidRPr="00AB345E">
        <w:rPr>
          <w:color w:val="FF0000"/>
          <w:u w:val="single"/>
        </w:rPr>
        <w:t>Según la encuesta GRPS, </w:t>
      </w:r>
      <w:r w:rsidRPr="00AB345E">
        <w:rPr>
          <w:rStyle w:val="Textoennegrita"/>
          <w:rFonts w:eastAsiaTheme="majorEastAsia"/>
          <w:color w:val="FF0000"/>
          <w:u w:val="single"/>
        </w:rPr>
        <w:t>la comunidad mundial está ignorando en gran medid</w:t>
      </w:r>
      <w:r>
        <w:rPr>
          <w:rStyle w:val="Textoennegrita"/>
          <w:rFonts w:eastAsiaTheme="majorEastAsia"/>
          <w:color w:val="FF0000"/>
          <w:u w:val="single"/>
        </w:rPr>
        <w:t>a el riesgo de “desilusión juvenil”</w:t>
      </w:r>
      <w:r w:rsidRPr="00AB345E">
        <w:rPr>
          <w:rStyle w:val="Textoennegrita"/>
          <w:rFonts w:eastAsiaTheme="majorEastAsia"/>
          <w:color w:val="FF0000"/>
          <w:u w:val="single"/>
        </w:rPr>
        <w:t>, pero este se convertirá en una amenaza crítica para el mundo en el corto plazo.</w:t>
      </w:r>
    </w:p>
    <w:p w:rsidR="00D93BCE" w:rsidRPr="00AB345E" w:rsidRDefault="00D93BCE" w:rsidP="00D93BCE">
      <w:pPr>
        <w:pStyle w:val="NormalWeb"/>
        <w:spacing w:before="0" w:beforeAutospacing="0" w:after="300" w:afterAutospacing="0"/>
        <w:jc w:val="both"/>
        <w:rPr>
          <w:color w:val="FF0000"/>
          <w:u w:val="single"/>
        </w:rPr>
      </w:pPr>
      <w:r w:rsidRPr="00AB345E">
        <w:rPr>
          <w:rStyle w:val="Textoennegrita"/>
          <w:rFonts w:eastAsiaTheme="majorEastAsia"/>
          <w:color w:val="FF0000"/>
          <w:u w:val="single"/>
        </w:rPr>
        <w:t>Los logros de la sociedad por los que se ha luchado arduamente podrían desaparecer si la generación actual carece de caminos adecuados para las oportunidades futuras</w:t>
      </w:r>
      <w:r w:rsidRPr="00AB345E">
        <w:rPr>
          <w:color w:val="FF0000"/>
          <w:u w:val="single"/>
        </w:rPr>
        <w:t> y pierde la fe en las instituciones económicas y políticas.</w:t>
      </w:r>
    </w:p>
    <w:p w:rsidR="00D93BCE" w:rsidRPr="00F2605B" w:rsidRDefault="00D93BCE" w:rsidP="00D93BCE">
      <w:pPr>
        <w:pStyle w:val="Ttulo2"/>
        <w:spacing w:before="0" w:after="300"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El clima sigue siendo un riesgo inminente a medida que la cooperación mundial se debilita</w:t>
      </w:r>
    </w:p>
    <w:p w:rsidR="00D93BCE" w:rsidRPr="00F2605B" w:rsidRDefault="00D93BCE" w:rsidP="00D93BCE">
      <w:pPr>
        <w:pStyle w:val="NormalWeb"/>
        <w:spacing w:before="0" w:beforeAutospacing="0" w:after="300" w:afterAutospacing="0"/>
        <w:jc w:val="both"/>
      </w:pPr>
      <w:r w:rsidRPr="00AB345E">
        <w:rPr>
          <w:rStyle w:val="Textoennegrita"/>
          <w:rFonts w:eastAsiaTheme="majorEastAsia"/>
          <w:color w:val="FF0000"/>
          <w:u w:val="single"/>
        </w:rPr>
        <w:t>El cambio climático sigue siendo un riesgo catastrófico</w:t>
      </w:r>
      <w:r w:rsidRPr="00F2605B">
        <w:t>. Aunque los confinamientos y cerrojazos en todo el mundo hicieron que las emisiones globales cayeran en la primera mitad de 2020, las evidencias de la crisis financiera de 2008-2009 advierte que las emisiones podrían recuperarse.</w:t>
      </w:r>
    </w:p>
    <w:p w:rsidR="00D93BCE" w:rsidRPr="00062759" w:rsidRDefault="00D93BCE" w:rsidP="00D93BCE">
      <w:pPr>
        <w:pStyle w:val="NormalWeb"/>
        <w:spacing w:before="0" w:beforeAutospacing="0" w:after="300" w:afterAutospacing="0"/>
        <w:jc w:val="both"/>
        <w:rPr>
          <w:color w:val="FF0000"/>
          <w:u w:val="single"/>
        </w:rPr>
      </w:pPr>
      <w:r w:rsidRPr="00062759">
        <w:rPr>
          <w:rStyle w:val="Textoennegrita"/>
          <w:rFonts w:eastAsiaTheme="majorEastAsia"/>
          <w:color w:val="FF0000"/>
          <w:u w:val="single"/>
        </w:rPr>
        <w:t>Un cambio hacia economías más verdes</w:t>
      </w:r>
      <w:r w:rsidRPr="00062759">
        <w:rPr>
          <w:color w:val="FF0000"/>
          <w:u w:val="single"/>
        </w:rPr>
        <w:t> no se puede retrasar hasta que hayan desaparecidos los impactos de la pandemia. </w:t>
      </w:r>
      <w:r w:rsidRPr="00062759">
        <w:rPr>
          <w:rStyle w:val="Textoennegrita"/>
          <w:rFonts w:eastAsiaTheme="majorEastAsia"/>
          <w:color w:val="FF0000"/>
          <w:u w:val="single"/>
        </w:rPr>
        <w:t>El “fracaso de la acción climática” es el riesgo a largo plazo más impactante y el segundo más probable identificado en la encuesta GRPS.</w:t>
      </w:r>
    </w:p>
    <w:p w:rsidR="00D93BCE" w:rsidRPr="00062759" w:rsidRDefault="00D93BCE" w:rsidP="00D93BCE">
      <w:pPr>
        <w:pStyle w:val="NormalWeb"/>
        <w:spacing w:before="0" w:beforeAutospacing="0" w:after="300" w:afterAutospacing="0"/>
        <w:jc w:val="both"/>
        <w:rPr>
          <w:color w:val="FF0000"/>
          <w:u w:val="single"/>
        </w:rPr>
      </w:pPr>
      <w:r w:rsidRPr="00062759">
        <w:rPr>
          <w:color w:val="FF0000"/>
          <w:u w:val="single"/>
        </w:rPr>
        <w:t>Las respuestas a la pandemia han provocado </w:t>
      </w:r>
      <w:r w:rsidRPr="00062759">
        <w:rPr>
          <w:rStyle w:val="Textoennegrita"/>
          <w:rFonts w:eastAsiaTheme="majorEastAsia"/>
          <w:color w:val="FF0000"/>
          <w:u w:val="single"/>
        </w:rPr>
        <w:t>nuevas tensiones internas y geopolíticas que amenazan la estabilidad</w:t>
      </w:r>
      <w:r w:rsidRPr="00062759">
        <w:rPr>
          <w:color w:val="FF0000"/>
          <w:u w:val="single"/>
        </w:rPr>
        <w:t>. Es probable que la división digital y una futura “generación perdida” pongan a prueba la cohesión social dentro de las fronteras de cada país, exacerbando la fragmentación geopolítica y la fragilidad económica global.</w:t>
      </w:r>
    </w:p>
    <w:p w:rsidR="00D93BCE" w:rsidRPr="00062759" w:rsidRDefault="00D93BCE" w:rsidP="00D93BCE">
      <w:pPr>
        <w:pStyle w:val="NormalWeb"/>
        <w:spacing w:before="0" w:beforeAutospacing="0" w:after="300" w:afterAutospacing="0"/>
        <w:jc w:val="both"/>
        <w:rPr>
          <w:color w:val="FF0000"/>
          <w:u w:val="single"/>
        </w:rPr>
      </w:pPr>
      <w:r w:rsidRPr="00062759">
        <w:rPr>
          <w:color w:val="FF0000"/>
          <w:u w:val="single"/>
        </w:rPr>
        <w:t>Los encuestados de GRPS señalan una perspectiva geopolítica desafiante marcada por la “fractura de las relaciones entre Estados”, el “conflicto interestatal” y la “geopolitización de los recursos”, como amenazas críticas para el mundo en tres a cinco años.</w:t>
      </w:r>
    </w:p>
    <w:p w:rsidR="00D93BCE" w:rsidRPr="00F2605B" w:rsidRDefault="00D93BCE" w:rsidP="00D93BCE">
      <w:pPr>
        <w:pStyle w:val="Ttulo2"/>
        <w:spacing w:before="0" w:after="300"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En la economía post Covid19 puede surgir un panorama industrial polarizado</w:t>
      </w:r>
    </w:p>
    <w:p w:rsidR="00D93BCE" w:rsidRPr="00062759" w:rsidRDefault="00D93BCE" w:rsidP="00D93BCE">
      <w:pPr>
        <w:pStyle w:val="NormalWeb"/>
        <w:spacing w:before="0" w:beforeAutospacing="0" w:after="300" w:afterAutospacing="0"/>
        <w:jc w:val="both"/>
        <w:rPr>
          <w:u w:val="single"/>
        </w:rPr>
      </w:pPr>
      <w:r w:rsidRPr="00062759">
        <w:rPr>
          <w:u w:val="single"/>
        </w:rPr>
        <w:t>A medida que las economías emergen del impacto de COVID-19, las empresas se enfrentan a una reestructuración. La crisis ha dado un nuevo impulso a las tendencias previamente ya existentes como las agendas nacionales enfocadas a detener las pérdidas económicas, la transformación tecnológica y los cambios en la estructura social, incluidos los comportamientos de los consumidores, la naturaleza del trabajo y el papel de la tecnología tanto en el trabajo como en el hogar.</w:t>
      </w:r>
    </w:p>
    <w:p w:rsidR="00D93BCE" w:rsidRPr="00062759" w:rsidRDefault="00D93BCE" w:rsidP="00D93BCE">
      <w:pPr>
        <w:pStyle w:val="NormalWeb"/>
        <w:spacing w:before="0" w:beforeAutospacing="0" w:after="300" w:afterAutospacing="0"/>
        <w:jc w:val="both"/>
        <w:rPr>
          <w:u w:val="single"/>
        </w:rPr>
      </w:pPr>
      <w:r w:rsidRPr="00062759">
        <w:rPr>
          <w:u w:val="single"/>
        </w:rPr>
        <w:lastRenderedPageBreak/>
        <w:t>Los riesgos comerciales y empresariales que emanan de estas tendencias se han visto amplificados por la crisis e incluyen el estancamiento en las economías avanzadas y la pérdida de potencial en los mercados emergentes, el colapso de las pymes, la ampliación de las brechas entre las más grandes y más las pequeñas empresas, la reducción del dinamismo del mercado, y la exacerbación desigualdad, dificultando el logro del desarrollo sostenible a largo plazo.</w:t>
      </w:r>
    </w:p>
    <w:p w:rsidR="00D93BCE" w:rsidRPr="00F2605B" w:rsidRDefault="00D93BCE" w:rsidP="00D93BCE">
      <w:pPr>
        <w:pStyle w:val="NormalWeb"/>
        <w:spacing w:before="0" w:beforeAutospacing="0" w:after="300" w:afterAutospacing="0"/>
        <w:jc w:val="both"/>
      </w:pPr>
      <w:r w:rsidRPr="00F2605B">
        <w:rPr>
          <w:rStyle w:val="Textoennegrita"/>
          <w:rFonts w:eastAsiaTheme="majorEastAsia"/>
        </w:rPr>
        <w:t>Existen oportunidades para invertir en un crecimiento inteligente, limpio e inclusivo que mejorará la productividad y la entrega de agendas sostenibles.</w:t>
      </w:r>
    </w:p>
    <w:p w:rsidR="00D93BCE" w:rsidRPr="00F2605B" w:rsidRDefault="00D93BCE" w:rsidP="00D93BCE">
      <w:pPr>
        <w:pStyle w:val="Ttulo2"/>
        <w:spacing w:before="0" w:after="300"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Existen vías disponibles mejores para gestionar los riesgos y mejorar la resiliencia</w:t>
      </w:r>
    </w:p>
    <w:p w:rsidR="00D93BCE" w:rsidRPr="00F2605B" w:rsidRDefault="00D93BCE" w:rsidP="00D93BCE">
      <w:pPr>
        <w:pStyle w:val="NormalWeb"/>
        <w:spacing w:before="0" w:beforeAutospacing="0" w:after="300" w:afterAutospacing="0"/>
        <w:jc w:val="both"/>
      </w:pPr>
      <w:r w:rsidRPr="00F2605B">
        <w:t>La mayoría de los países han luchado solos por su cuenta en los aspectos de la gestión de crisis durante la pandemia mundial.</w:t>
      </w:r>
    </w:p>
    <w:p w:rsidR="00D93BCE" w:rsidRPr="00F2605B" w:rsidRDefault="00D93BCE" w:rsidP="00D93BCE">
      <w:pPr>
        <w:pStyle w:val="NormalWeb"/>
        <w:spacing w:before="0" w:beforeAutospacing="0" w:after="300" w:afterAutospacing="0"/>
        <w:jc w:val="both"/>
      </w:pPr>
      <w:r w:rsidRPr="00F2605B">
        <w:t>Esta edición del Informe de Riesgos Globales reflexiona sobre la preparación global al analizar cuatro áreas clave de la respuesta al COVID-19: la autoridad institucional, la financiación de los riesgos, la recopilación e intercambio de información, y los equipos y vacunas.</w:t>
      </w:r>
    </w:p>
    <w:p w:rsidR="00D93BCE" w:rsidRPr="00F2605B" w:rsidRDefault="00D93BCE" w:rsidP="00D93BCE">
      <w:pPr>
        <w:pStyle w:val="NormalWeb"/>
        <w:spacing w:before="0" w:beforeAutospacing="0" w:after="300" w:afterAutospacing="0"/>
        <w:jc w:val="both"/>
      </w:pPr>
      <w:r w:rsidRPr="00F2605B">
        <w:t>Luego, analiza las respuestas que se están dando a nivel nacional, y extrae aprendizajes de cinco dominios: toma de decisiones de gobierno, comunicación pública, capacidades del sistema de salud, gestión de bloqueo y asistencia financiera a los vulnerables.</w:t>
      </w:r>
    </w:p>
    <w:p w:rsidR="00D93BCE" w:rsidRPr="00062759" w:rsidRDefault="00D93BCE" w:rsidP="00D93BCE">
      <w:pPr>
        <w:pStyle w:val="NormalWeb"/>
        <w:spacing w:before="0" w:beforeAutospacing="0" w:after="300" w:afterAutospacing="0"/>
        <w:jc w:val="both"/>
        <w:rPr>
          <w:u w:val="single"/>
        </w:rPr>
      </w:pPr>
      <w:r w:rsidRPr="00062759">
        <w:rPr>
          <w:rStyle w:val="Textoennegrita"/>
          <w:rFonts w:eastAsiaTheme="majorEastAsia"/>
          <w:u w:val="single"/>
        </w:rPr>
        <w:t>Sin embargo, si los aprendizajes de esta crisis solo informan a los decisores cómo prepararse mejor para una próxima pandemia, en lugar de mejorar los procesos de gestión del riesgo, las capacidades y la cultura, el mundo volverá a planificar para la última crisis en lugar de anticipar la próxima.</w:t>
      </w:r>
    </w:p>
    <w:p w:rsidR="00D93BCE" w:rsidRPr="00062759" w:rsidRDefault="00D93BCE" w:rsidP="00D93BCE">
      <w:pPr>
        <w:pStyle w:val="NormalWeb"/>
        <w:spacing w:before="0" w:beforeAutospacing="0" w:after="300" w:afterAutospacing="0"/>
        <w:jc w:val="both"/>
        <w:rPr>
          <w:color w:val="FF0000"/>
          <w:u w:val="single"/>
        </w:rPr>
      </w:pPr>
      <w:r w:rsidRPr="00062759">
        <w:rPr>
          <w:color w:val="FF0000"/>
          <w:u w:val="single"/>
        </w:rPr>
        <w:t>La respuesta a COVID-19 ofrece cuatro oportunidades de gobernanza para fortalecer la resiliencia general de los países, las empresas y la comunidad internacional:</w:t>
      </w:r>
    </w:p>
    <w:p w:rsidR="00D93BCE" w:rsidRPr="00062759" w:rsidRDefault="00D93BCE" w:rsidP="00D93BCE">
      <w:pPr>
        <w:numPr>
          <w:ilvl w:val="0"/>
          <w:numId w:val="1"/>
        </w:numPr>
        <w:spacing w:before="100" w:beforeAutospacing="1" w:after="100" w:afterAutospacing="1" w:line="240" w:lineRule="auto"/>
        <w:ind w:left="0"/>
        <w:jc w:val="both"/>
        <w:rPr>
          <w:rFonts w:ascii="Times New Roman" w:hAnsi="Times New Roman" w:cs="Times New Roman"/>
          <w:color w:val="FF0000"/>
          <w:sz w:val="24"/>
          <w:szCs w:val="24"/>
          <w:u w:val="single"/>
        </w:rPr>
      </w:pPr>
      <w:r w:rsidRPr="00062759">
        <w:rPr>
          <w:rFonts w:ascii="Times New Roman" w:hAnsi="Times New Roman" w:cs="Times New Roman"/>
          <w:color w:val="FF0000"/>
          <w:sz w:val="24"/>
          <w:szCs w:val="24"/>
          <w:u w:val="single"/>
        </w:rPr>
        <w:t>Formular marcos analíticos que adopten una visión holística y basada en sistemas de los impactos del riesgo.</w:t>
      </w:r>
    </w:p>
    <w:p w:rsidR="00D93BCE" w:rsidRPr="00062759" w:rsidRDefault="00D93BCE" w:rsidP="00D93BCE">
      <w:pPr>
        <w:numPr>
          <w:ilvl w:val="0"/>
          <w:numId w:val="1"/>
        </w:numPr>
        <w:spacing w:before="100" w:beforeAutospacing="1" w:after="100" w:afterAutospacing="1" w:line="240" w:lineRule="auto"/>
        <w:ind w:left="0"/>
        <w:jc w:val="both"/>
        <w:rPr>
          <w:rFonts w:ascii="Times New Roman" w:hAnsi="Times New Roman" w:cs="Times New Roman"/>
          <w:color w:val="FF0000"/>
          <w:sz w:val="24"/>
          <w:szCs w:val="24"/>
          <w:u w:val="single"/>
        </w:rPr>
      </w:pPr>
      <w:r w:rsidRPr="00062759">
        <w:rPr>
          <w:rFonts w:ascii="Times New Roman" w:hAnsi="Times New Roman" w:cs="Times New Roman"/>
          <w:color w:val="FF0000"/>
          <w:sz w:val="24"/>
          <w:szCs w:val="24"/>
          <w:u w:val="single"/>
        </w:rPr>
        <w:t>Invertir en “campeones del riesgo” de alto perfil para fomentar el liderazgo nacional y la cooperación internacional.</w:t>
      </w:r>
    </w:p>
    <w:p w:rsidR="00D93BCE" w:rsidRPr="00062759" w:rsidRDefault="00D93BCE" w:rsidP="00D93BCE">
      <w:pPr>
        <w:numPr>
          <w:ilvl w:val="0"/>
          <w:numId w:val="1"/>
        </w:numPr>
        <w:spacing w:before="100" w:beforeAutospacing="1" w:after="100" w:afterAutospacing="1" w:line="240" w:lineRule="auto"/>
        <w:ind w:left="0"/>
        <w:jc w:val="both"/>
        <w:rPr>
          <w:rFonts w:ascii="Times New Roman" w:hAnsi="Times New Roman" w:cs="Times New Roman"/>
          <w:color w:val="FF0000"/>
          <w:sz w:val="24"/>
          <w:szCs w:val="24"/>
          <w:u w:val="single"/>
        </w:rPr>
      </w:pPr>
      <w:r w:rsidRPr="00062759">
        <w:rPr>
          <w:rFonts w:ascii="Times New Roman" w:hAnsi="Times New Roman" w:cs="Times New Roman"/>
          <w:color w:val="FF0000"/>
          <w:sz w:val="24"/>
          <w:szCs w:val="24"/>
          <w:u w:val="single"/>
        </w:rPr>
        <w:t>Mejorar la comunicación de riesgos y combatir la desinformación.</w:t>
      </w:r>
    </w:p>
    <w:p w:rsidR="00D93BCE" w:rsidRPr="00062759" w:rsidRDefault="00D93BCE" w:rsidP="00D93BCE">
      <w:pPr>
        <w:numPr>
          <w:ilvl w:val="0"/>
          <w:numId w:val="1"/>
        </w:numPr>
        <w:spacing w:before="100" w:beforeAutospacing="1" w:after="100" w:afterAutospacing="1" w:line="240" w:lineRule="auto"/>
        <w:ind w:left="0"/>
        <w:jc w:val="both"/>
        <w:rPr>
          <w:rFonts w:ascii="Times New Roman" w:hAnsi="Times New Roman" w:cs="Times New Roman"/>
          <w:color w:val="FF0000"/>
          <w:sz w:val="24"/>
          <w:szCs w:val="24"/>
          <w:u w:val="single"/>
        </w:rPr>
      </w:pPr>
      <w:r w:rsidRPr="00062759">
        <w:rPr>
          <w:rFonts w:ascii="Times New Roman" w:hAnsi="Times New Roman" w:cs="Times New Roman"/>
          <w:color w:val="FF0000"/>
          <w:sz w:val="24"/>
          <w:szCs w:val="24"/>
          <w:u w:val="single"/>
        </w:rPr>
        <w:t>Explorar nuevas formas de colaboración y asociación público-privada sobre preparación ante riesgos.</w:t>
      </w:r>
    </w:p>
    <w:p w:rsidR="00D93BCE" w:rsidRDefault="00D93BCE" w:rsidP="00D93BCE">
      <w:pPr>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Informe de riesgos globales 2021 (Informe Completo)</w:t>
      </w:r>
    </w:p>
    <w:p w:rsidR="00D93BCE" w:rsidRPr="00F2605B" w:rsidRDefault="00D93BCE" w:rsidP="00D93BCE">
      <w:pPr>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Resumen Ejecutivo</w:t>
      </w:r>
    </w:p>
    <w:p w:rsidR="00D93BCE" w:rsidRPr="00062759" w:rsidRDefault="00D93BCE" w:rsidP="00D93BCE">
      <w:pPr>
        <w:pStyle w:val="NormalWeb"/>
        <w:shd w:val="clear" w:color="auto" w:fill="FFFFFF"/>
        <w:spacing w:before="0" w:beforeAutospacing="0" w:after="480" w:afterAutospacing="0"/>
        <w:jc w:val="both"/>
        <w:rPr>
          <w:color w:val="FF0000"/>
          <w:u w:val="single"/>
        </w:rPr>
      </w:pPr>
      <w:r w:rsidRPr="00062759">
        <w:rPr>
          <w:color w:val="FF0000"/>
          <w:u w:val="single"/>
        </w:rPr>
        <w:t xml:space="preserve">El costo humano y económico inmediato de COVID-19 es severo. Amenaza con hacer retroceder años de progreso en la reducción de la pobreza y la desigualdad y debilitar aún más la cohesión social y la cooperación mundial. La pérdida de empleos, una brecha digital cada vez mayor, las interacciones sociales interrumpidas y los cambios abruptos en los mercados podrían tener consecuencias nefastas y la pérdida de oportunidades para gran parte </w:t>
      </w:r>
      <w:r w:rsidRPr="00062759">
        <w:rPr>
          <w:color w:val="FF0000"/>
          <w:u w:val="single"/>
        </w:rPr>
        <w:lastRenderedPageBreak/>
        <w:t>de la población mundial. Las ramificaciones, en forma de malestar social, fragmentación política y tensiones geopolíticas, darán forma a la eficacia de nuestras respuestas a las otras amenazas clave de la próxima década: ataques cibernéticos, armas de destrucción masiva y, sobre todo, el cambio climático.</w:t>
      </w:r>
    </w:p>
    <w:p w:rsidR="00D93BCE" w:rsidRDefault="00D93BCE" w:rsidP="00D93BCE">
      <w:pPr>
        <w:pStyle w:val="NormalWeb"/>
        <w:shd w:val="clear" w:color="auto" w:fill="FFFFFF"/>
        <w:spacing w:before="0" w:beforeAutospacing="0" w:after="480" w:afterAutospacing="0"/>
        <w:jc w:val="both"/>
        <w:rPr>
          <w:rStyle w:val="apple-converted-space"/>
        </w:rPr>
      </w:pPr>
      <w:r w:rsidRPr="00F2605B">
        <w:t>En el </w:t>
      </w:r>
      <w:r w:rsidRPr="00F2605B">
        <w:rPr>
          <w:i/>
          <w:iCs/>
        </w:rPr>
        <w:t>Informe de riesgos globales 2021</w:t>
      </w:r>
      <w:r w:rsidRPr="00F2605B">
        <w:t>, compartimos los resultados de la última Encuesta de percepción de riesgos globales (GRPS), seguida de un análisis de las crecientes divisiones sociales, económicas e industriales, sus interconexiones y sus implicaciones en nuestra capacidad para resolver los principales riesgos globales que r</w:t>
      </w:r>
      <w:r>
        <w:t>equieren responsabilidad social,</w:t>
      </w:r>
      <w:r w:rsidRPr="00F2605B">
        <w:t xml:space="preserve"> cohesión y cooperación global. Concluimos el informe con propuestas para mejorar la resiliencia, extraídas de las lecciones de la pandemia y del análisis histórico de riesgos. Los hallazgos clave de la encuesta y el análisis se incluyen a continuación.</w:t>
      </w:r>
      <w:r w:rsidRPr="00F2605B">
        <w:rPr>
          <w:rStyle w:val="apple-converted-space"/>
        </w:rPr>
        <w:t> </w:t>
      </w:r>
    </w:p>
    <w:p w:rsidR="00D93BCE" w:rsidRPr="00062759" w:rsidRDefault="00D93BCE" w:rsidP="00D93BCE">
      <w:pPr>
        <w:pStyle w:val="NormalWeb"/>
        <w:shd w:val="clear" w:color="auto" w:fill="FFFFFF"/>
        <w:spacing w:before="0" w:beforeAutospacing="0" w:after="480" w:afterAutospacing="0"/>
        <w:jc w:val="both"/>
      </w:pPr>
      <w:r w:rsidRPr="00062759">
        <w:rPr>
          <w:bCs/>
        </w:rPr>
        <w:t>Percepciones de riesgos globales</w:t>
      </w:r>
    </w:p>
    <w:p w:rsidR="00D93BCE" w:rsidRPr="00062759" w:rsidRDefault="00D93BCE" w:rsidP="00D93BCE">
      <w:pPr>
        <w:pStyle w:val="NormalWeb"/>
        <w:shd w:val="clear" w:color="auto" w:fill="FFFFFF"/>
        <w:spacing w:before="360" w:beforeAutospacing="0" w:after="480" w:afterAutospacing="0"/>
        <w:jc w:val="both"/>
        <w:rPr>
          <w:color w:val="FF0000"/>
          <w:u w:val="single"/>
        </w:rPr>
      </w:pPr>
      <w:r w:rsidRPr="00062759">
        <w:rPr>
          <w:color w:val="FF0000"/>
          <w:u w:val="single"/>
        </w:rPr>
        <w:t>Entre los riesgos más probables de los próximos diez años se encuentran el clima extremo, el fracaso de la acción climática y el daño ambiental provocado por el hombre; así como la concentración de poder digital, la desigualdad digital y el fracaso de la ciberseguridad. Entre los riesgos de mayor impacto de la próxima década, las enfermedades infecciosas ocupan el primer lugar, seguidas por el fracaso de la acción climática y otros riesgos ambientales; así como las armas de destrucción masiva, las crisis de los medios de vida, las crisis de la deuda y el colapso de la infraestructura de TI.</w:t>
      </w:r>
      <w:r w:rsidRPr="00062759">
        <w:rPr>
          <w:rStyle w:val="apple-converted-space"/>
          <w:color w:val="FF0000"/>
          <w:u w:val="single"/>
        </w:rPr>
        <w:t> </w:t>
      </w:r>
    </w:p>
    <w:p w:rsidR="00D93BCE" w:rsidRPr="00062759" w:rsidRDefault="00D93BCE" w:rsidP="00D93BCE">
      <w:pPr>
        <w:pStyle w:val="NormalWeb"/>
        <w:shd w:val="clear" w:color="auto" w:fill="FFFFFF"/>
        <w:spacing w:before="0" w:beforeAutospacing="0" w:after="480" w:afterAutospacing="0"/>
        <w:jc w:val="both"/>
        <w:rPr>
          <w:color w:val="FF0000"/>
          <w:u w:val="single"/>
        </w:rPr>
      </w:pPr>
      <w:r w:rsidRPr="00062759">
        <w:rPr>
          <w:color w:val="FF0000"/>
          <w:u w:val="single"/>
        </w:rPr>
        <w:t>Cuando se trata del horizonte de tiempo dentro del cual estos riesgos se convertirán en una amenaza crítica para el mundo, las amenazas más inminentes, las que son más probables en los próximos dos años, incluyen crisis de empleo y medios de subsistencia, desilusión generalizada de los jóvenes, desigualdad digital, estancamiento económico, daño ambiental causado por el hombre, erosión de la cohesión social y ataques terroristas.</w:t>
      </w:r>
      <w:r w:rsidRPr="00062759">
        <w:rPr>
          <w:rStyle w:val="apple-converted-space"/>
          <w:color w:val="FF0000"/>
          <w:u w:val="single"/>
        </w:rPr>
        <w:t> </w:t>
      </w:r>
    </w:p>
    <w:p w:rsidR="00D93BCE" w:rsidRPr="00062759" w:rsidRDefault="00D93BCE" w:rsidP="00D93BCE">
      <w:pPr>
        <w:pStyle w:val="NormalWeb"/>
        <w:shd w:val="clear" w:color="auto" w:fill="FFFFFF"/>
        <w:spacing w:before="0" w:beforeAutospacing="0" w:after="480" w:afterAutospacing="0"/>
        <w:jc w:val="both"/>
        <w:rPr>
          <w:color w:val="FF0000"/>
          <w:u w:val="single"/>
        </w:rPr>
      </w:pPr>
      <w:r w:rsidRPr="00062759">
        <w:rPr>
          <w:color w:val="FF0000"/>
          <w:u w:val="single"/>
        </w:rPr>
        <w:t>Los riesgos económicos ocupan un lugar destacado en el período de 3 a 5 años, incluidas las burbujas de activos, la inestabilidad de los precios, las crisis de las materias primas y las crisis de la deuda; seguido de los riesgos geopolíticos, incluidas las relaciones y los conflictos interestatales, y la geopolitización de los recursos. En el horizonte de 5 a 10 años, dominan los riesgos ambientales como la pérdida de biodiversidad, las crisis de recursos naturales y el fracaso de la acción climática; junto con las armas de destrucción masiva, los efectos adversos de la tecnología y el colapso de los estados o instituciones multilaterales.</w:t>
      </w:r>
      <w:r w:rsidRPr="00062759">
        <w:rPr>
          <w:rStyle w:val="apple-converted-space"/>
          <w:color w:val="FF0000"/>
          <w:u w:val="single"/>
        </w:rPr>
        <w:t> </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La fragilidad económica y las divisiones sociales aumentarán</w:t>
      </w:r>
      <w:r w:rsidRPr="00F2605B">
        <w:rPr>
          <w:rStyle w:val="apple-converted-space"/>
          <w:rFonts w:ascii="Times New Roman" w:hAnsi="Times New Roman" w:cs="Times New Roman"/>
          <w:b w:val="0"/>
          <w:bCs w:val="0"/>
          <w:color w:val="auto"/>
          <w:sz w:val="24"/>
          <w:szCs w:val="24"/>
        </w:rPr>
        <w:t> </w:t>
      </w:r>
    </w:p>
    <w:p w:rsidR="00D93BCE" w:rsidRPr="00F2605B" w:rsidRDefault="00D93BCE" w:rsidP="00D93BCE">
      <w:pPr>
        <w:pStyle w:val="NormalWeb"/>
        <w:shd w:val="clear" w:color="auto" w:fill="FFFFFF"/>
        <w:spacing w:before="360" w:beforeAutospacing="0" w:after="480" w:afterAutospacing="0"/>
        <w:jc w:val="both"/>
      </w:pPr>
      <w:r w:rsidRPr="00F2605B">
        <w:t xml:space="preserve">Las disparidades subyacentes en el cuidado de la salud, la educación, la estabilidad financiera y la tecnología han llevado a que la crisis afecte de manera desproporcionada a ciertos grupos y países. El COVID-19 no solo ha causado más de dos millones de muertes al momento de escribir este artículo, sino que los impactos económicos y de salud a largo plazo seguirán teniendo consecuencias devastadoras. La onda de choque económica de la pandemia (solo en el segundo trimestre de 2020 se perdieron horas de trabajo equivalentes a 495 millones de </w:t>
      </w:r>
      <w:r w:rsidRPr="00F2605B">
        <w:lastRenderedPageBreak/>
        <w:t>empleos) aumentará inmediatamente la desigualdad, pero también puede hacerlo una recuperación desigual. Se espera que solo 28 economías hayan crecido en 2020. Casi el 60 % de los encuestado</w:t>
      </w:r>
      <w:r>
        <w:t>s en la GRPS identificaron las “enfermedades infecciosas” y las “</w:t>
      </w:r>
      <w:r w:rsidRPr="00F2605B">
        <w:t>crisi</w:t>
      </w:r>
      <w:r>
        <w:t>s de los medios de subsistencia”</w:t>
      </w:r>
      <w:r w:rsidRPr="00F2605B">
        <w:t xml:space="preserve"> como las principales amenazas a corto plazo para el mundo. La pérdida de vidas y medios de subsistencia aumentará el riesgo de “erosión de la cohesión social”,</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Las crecientes brechas digitales y la adopción de tecnología plantean preocupaciones</w:t>
      </w:r>
    </w:p>
    <w:p w:rsidR="00D93BCE" w:rsidRPr="00062759" w:rsidRDefault="00D93BCE" w:rsidP="00D93BCE">
      <w:pPr>
        <w:pStyle w:val="NormalWeb"/>
        <w:shd w:val="clear" w:color="auto" w:fill="FFFFFF"/>
        <w:spacing w:before="360" w:beforeAutospacing="0" w:after="480" w:afterAutospacing="0"/>
        <w:jc w:val="both"/>
        <w:rPr>
          <w:u w:val="single"/>
        </w:rPr>
      </w:pPr>
      <w:r w:rsidRPr="00062759">
        <w:rPr>
          <w:u w:val="single"/>
        </w:rPr>
        <w:t>COVID-19 ha acelerado la Cuarta Revolución Industrial, expandiendo la digitalización de la interacción humana, el comercio electrónico, la educación en línea y el trabajo remoto. Estos cambios transformarán la sociedad mucho después de la pandemia y prometen enormes beneficios (la capacidad de teletrabajar y el desarrollo rápido de vacunas son dos ejemplos), pero también corren el riesgo de exacerbar y crear desigualdades. Los encuestados por GRPS calificaron la “desigualdad digital” como una amenaza crítica a corto plazo.</w:t>
      </w:r>
      <w:r w:rsidRPr="00062759">
        <w:rPr>
          <w:rStyle w:val="apple-converted-space"/>
          <w:u w:val="single"/>
        </w:rPr>
        <w:t> </w:t>
      </w:r>
    </w:p>
    <w:p w:rsidR="00D93BCE" w:rsidRPr="00062759" w:rsidRDefault="00D93BCE" w:rsidP="00D93BCE">
      <w:pPr>
        <w:pStyle w:val="NormalWeb"/>
        <w:shd w:val="clear" w:color="auto" w:fill="FFFFFF"/>
        <w:spacing w:before="360" w:beforeAutospacing="0" w:after="480" w:afterAutospacing="0"/>
        <w:jc w:val="both"/>
        <w:rPr>
          <w:color w:val="FF0000"/>
          <w:u w:val="single"/>
        </w:rPr>
      </w:pPr>
      <w:r w:rsidRPr="00062759">
        <w:rPr>
          <w:color w:val="FF0000"/>
          <w:u w:val="single"/>
        </w:rPr>
        <w:t>Una brecha digital cada vez mayor puede empeorar las fracturas sociales y socavar las perspectivas de una recuperación inclusiva. El progreso hacia la inclusión digital se ve amenazado por la creciente dependencia digital, la rápida aceleración de la automatización, la supresión y manipulación de la información, las brechas en la regulación tecnológica y las brechas en las habilidades y capacidades tecnológicas.</w:t>
      </w:r>
    </w:p>
    <w:p w:rsidR="00D93BCE" w:rsidRPr="00062759" w:rsidRDefault="00D93BCE" w:rsidP="00D93BCE">
      <w:pPr>
        <w:pStyle w:val="Ttulo2"/>
        <w:shd w:val="clear" w:color="auto" w:fill="FFFFFF"/>
        <w:spacing w:before="150" w:after="300" w:line="240" w:lineRule="auto"/>
        <w:jc w:val="both"/>
        <w:rPr>
          <w:rFonts w:ascii="Times New Roman" w:hAnsi="Times New Roman" w:cs="Times New Roman"/>
          <w:b w:val="0"/>
          <w:bCs w:val="0"/>
          <w:color w:val="FF0000"/>
          <w:sz w:val="24"/>
          <w:szCs w:val="24"/>
          <w:u w:val="single"/>
        </w:rPr>
      </w:pPr>
      <w:r w:rsidRPr="00062759">
        <w:rPr>
          <w:rFonts w:ascii="Times New Roman" w:hAnsi="Times New Roman" w:cs="Times New Roman"/>
          <w:b w:val="0"/>
          <w:bCs w:val="0"/>
          <w:color w:val="FF0000"/>
          <w:sz w:val="24"/>
          <w:szCs w:val="24"/>
          <w:u w:val="single"/>
        </w:rPr>
        <w:t>Una generación de jóvenes doblemente perturbada está emergiendo en una era de oportunidades perdidas</w:t>
      </w:r>
    </w:p>
    <w:p w:rsidR="00D93BCE" w:rsidRPr="00062759" w:rsidRDefault="00D93BCE" w:rsidP="00D93BCE">
      <w:pPr>
        <w:pStyle w:val="NormalWeb"/>
        <w:shd w:val="clear" w:color="auto" w:fill="FFFFFF"/>
        <w:spacing w:before="360" w:beforeAutospacing="0" w:after="480" w:afterAutospacing="0"/>
        <w:jc w:val="both"/>
        <w:rPr>
          <w:color w:val="FF0000"/>
          <w:u w:val="single"/>
        </w:rPr>
      </w:pPr>
      <w:r w:rsidRPr="00062759">
        <w:rPr>
          <w:color w:val="FF0000"/>
          <w:u w:val="single"/>
        </w:rPr>
        <w:t>Si bien el salto digital abrió oportunidades para algunos jóvenes, muchos ahora están ingresando a la fuerza laboral en una era de hielo laboral. Los adultos jóvenes de todo el mundo están experimentando su segunda gran crisis mundial en una década. Ya expuesta a la degradación ambiental, las consecuencias de la crisis financiera, la creciente desigualdad y la interrupción de la transformación industrial, esta generación enfrenta serios desafíos en su educación, perspectivas económicas y salud mental.</w:t>
      </w:r>
      <w:r w:rsidRPr="00062759">
        <w:rPr>
          <w:rStyle w:val="apple-converted-space"/>
          <w:color w:val="FF0000"/>
          <w:u w:val="single"/>
        </w:rPr>
        <w:t> </w:t>
      </w:r>
    </w:p>
    <w:p w:rsidR="00D93BCE" w:rsidRPr="00062759" w:rsidRDefault="00D93BCE" w:rsidP="00D93BCE">
      <w:pPr>
        <w:pStyle w:val="NormalWeb"/>
        <w:shd w:val="clear" w:color="auto" w:fill="FFFFFF"/>
        <w:spacing w:before="0" w:beforeAutospacing="0" w:after="480" w:afterAutospacing="0"/>
        <w:jc w:val="both"/>
        <w:rPr>
          <w:color w:val="FF0000"/>
          <w:u w:val="single"/>
        </w:rPr>
      </w:pPr>
      <w:r w:rsidRPr="00062759">
        <w:rPr>
          <w:color w:val="FF0000"/>
          <w:u w:val="single"/>
        </w:rPr>
        <w:t>Según GRPS, la comunidad mundial está descuidan</w:t>
      </w:r>
      <w:r>
        <w:rPr>
          <w:color w:val="FF0000"/>
          <w:u w:val="single"/>
        </w:rPr>
        <w:t>do en gran medida el riesgo de “desilusión juvenil”</w:t>
      </w:r>
      <w:r w:rsidRPr="00062759">
        <w:rPr>
          <w:color w:val="FF0000"/>
          <w:u w:val="single"/>
        </w:rPr>
        <w:t>, pero se convertirá en una amenaza crítica para el mundo a corto plazo. Las victorias sociales por las que tanto se ha luchado podrían quedar anuladas si la generación actual carece de caminos adecuados hacia oportunidades futuras y pierde la fe en las instituciones económicas y políticas actuales.</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El clima sigue siendo un riesgo inminente a medida que se debilita la cooperación mundial</w:t>
      </w:r>
      <w:r w:rsidRPr="00F2605B">
        <w:rPr>
          <w:rStyle w:val="apple-converted-space"/>
          <w:rFonts w:ascii="Times New Roman" w:hAnsi="Times New Roman" w:cs="Times New Roman"/>
          <w:b w:val="0"/>
          <w:bCs w:val="0"/>
          <w:color w:val="auto"/>
          <w:sz w:val="24"/>
          <w:szCs w:val="24"/>
        </w:rPr>
        <w:t> </w:t>
      </w:r>
    </w:p>
    <w:p w:rsidR="00D93BCE" w:rsidRPr="001709B4" w:rsidRDefault="00D93BCE" w:rsidP="00D93BCE">
      <w:pPr>
        <w:pStyle w:val="NormalWeb"/>
        <w:shd w:val="clear" w:color="auto" w:fill="FFFFFF"/>
        <w:spacing w:before="360" w:beforeAutospacing="0" w:after="480" w:afterAutospacing="0"/>
        <w:jc w:val="both"/>
        <w:rPr>
          <w:color w:val="FF0000"/>
          <w:u w:val="single"/>
        </w:rPr>
      </w:pPr>
      <w:r w:rsidRPr="001709B4">
        <w:rPr>
          <w:color w:val="FF0000"/>
          <w:u w:val="single"/>
        </w:rPr>
        <w:t xml:space="preserve">El cambio climático, al que nadie es inmune, sigue siendo un riesgo catastrófico. Aunque los bloqueos en todo el mundo provocaron una caída de las emisiones globales en la primera mitad de 2020, la evidencia de la crisis financiera de 2008-2009 advierte que las emisiones podrían recuperarse. Un cambio hacia economías más verdes no puede retrasarse hasta que </w:t>
      </w:r>
      <w:r w:rsidRPr="001709B4">
        <w:rPr>
          <w:color w:val="FF0000"/>
          <w:u w:val="single"/>
        </w:rPr>
        <w:lastRenderedPageBreak/>
        <w:t>los impactos de la pandemia disminuyan. El “fracaso de la acción climática” es el riesgo a largo plazo más impactante y el segundo más probable identificado en el GRPS.</w:t>
      </w:r>
    </w:p>
    <w:p w:rsidR="00D93BCE" w:rsidRPr="001709B4" w:rsidRDefault="00D93BCE" w:rsidP="00D93BCE">
      <w:pPr>
        <w:pStyle w:val="NormalWeb"/>
        <w:shd w:val="clear" w:color="auto" w:fill="FFFFFF"/>
        <w:spacing w:before="0" w:beforeAutospacing="0" w:after="480" w:afterAutospacing="0"/>
        <w:jc w:val="both"/>
        <w:rPr>
          <w:color w:val="FF0000"/>
          <w:u w:val="single"/>
        </w:rPr>
      </w:pPr>
      <w:r w:rsidRPr="001709B4">
        <w:rPr>
          <w:color w:val="FF0000"/>
          <w:u w:val="single"/>
        </w:rPr>
        <w:t>Las respuestas a la pandemia han provocado nuevas tensiones internas y geopolíticas que amenazan la estabilidad. Es probable que la división digital y una futura “generación perdida” pongan a prueba la cohesión social dentro de las fronteras, lo que exacerbará la fragmentación geopolítica y la fragilidad económica mundial. Con los estancamientos y los</w:t>
      </w:r>
      <w:r w:rsidRPr="001709B4">
        <w:rPr>
          <w:color w:val="FF0000"/>
        </w:rPr>
        <w:t xml:space="preserve"> </w:t>
      </w:r>
      <w:r w:rsidRPr="001709B4">
        <w:rPr>
          <w:color w:val="FF0000"/>
          <w:u w:val="single"/>
        </w:rPr>
        <w:t>puntos críticos aumentando en frecuencia, los encu</w:t>
      </w:r>
      <w:r>
        <w:rPr>
          <w:color w:val="FF0000"/>
          <w:u w:val="single"/>
        </w:rPr>
        <w:t>estados de GRPS calificaron el “colapso del estado” y el “colapso del multilateralismo”</w:t>
      </w:r>
      <w:r w:rsidRPr="001709B4">
        <w:rPr>
          <w:color w:val="FF0000"/>
          <w:u w:val="single"/>
        </w:rPr>
        <w:t xml:space="preserve"> como amenazas críticas a largo plazo.</w:t>
      </w:r>
    </w:p>
    <w:p w:rsidR="00D93BCE" w:rsidRPr="001709B4" w:rsidRDefault="00D93BCE" w:rsidP="00D93BCE">
      <w:pPr>
        <w:pStyle w:val="NormalWeb"/>
        <w:shd w:val="clear" w:color="auto" w:fill="FFFFFF"/>
        <w:spacing w:before="0" w:beforeAutospacing="0" w:after="480" w:afterAutospacing="0"/>
        <w:jc w:val="both"/>
        <w:rPr>
          <w:color w:val="FF0000"/>
          <w:u w:val="single"/>
        </w:rPr>
      </w:pPr>
      <w:r w:rsidRPr="001709B4">
        <w:rPr>
          <w:color w:val="FF0000"/>
          <w:u w:val="single"/>
        </w:rPr>
        <w:t>Las potencias medias, estados influyentes que juntos representan una mayor parte de la e</w:t>
      </w:r>
      <w:r>
        <w:rPr>
          <w:color w:val="FF0000"/>
          <w:u w:val="single"/>
        </w:rPr>
        <w:t>conomía global que los EEUU</w:t>
      </w:r>
      <w:r w:rsidRPr="001709B4">
        <w:rPr>
          <w:color w:val="FF0000"/>
          <w:u w:val="single"/>
        </w:rPr>
        <w:t xml:space="preserve"> y China combinados, a menudo defienden la cooperación multilateral en comercio, diplomacia, clima, seguridad y, más recientemente, salud global. Sin embargo, si persisten las tensiones geopolíticas, las potencias intermedias tendrán dificultades para facilitar una recuperación global, en un momento en que la coordinación internacional es esencial, y reforzar la resiliencia frente a futuras crisis. Los encuestados de GRPS señalan una perspectiva geopolítica desafiante marcada p</w:t>
      </w:r>
      <w:r>
        <w:rPr>
          <w:color w:val="FF0000"/>
          <w:u w:val="single"/>
        </w:rPr>
        <w:t>or “</w:t>
      </w:r>
      <w:r w:rsidRPr="001709B4">
        <w:rPr>
          <w:color w:val="FF0000"/>
          <w:u w:val="single"/>
        </w:rPr>
        <w:t>fractu</w:t>
      </w:r>
      <w:r>
        <w:rPr>
          <w:color w:val="FF0000"/>
          <w:u w:val="single"/>
        </w:rPr>
        <w:t>ra de relaciones interestatales”, “conflicto interestatal” y “geopolitización de recursos”</w:t>
      </w:r>
      <w:r w:rsidRPr="001709B4">
        <w:rPr>
          <w:color w:val="FF0000"/>
          <w:u w:val="single"/>
        </w:rPr>
        <w:t>, todos pronosticados como amenazas críticas para el mundo en tres a cinco años.</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Un panorama industrial polarizado puede surgir en la economía pospandémica</w:t>
      </w:r>
    </w:p>
    <w:p w:rsidR="00D93BCE" w:rsidRPr="001709B4" w:rsidRDefault="00D93BCE" w:rsidP="00D93BCE">
      <w:pPr>
        <w:pStyle w:val="NormalWeb"/>
        <w:shd w:val="clear" w:color="auto" w:fill="FFFFFF"/>
        <w:spacing w:before="360" w:beforeAutospacing="0" w:after="480" w:afterAutospacing="0"/>
        <w:jc w:val="both"/>
        <w:rPr>
          <w:color w:val="FF0000"/>
          <w:u w:val="single"/>
        </w:rPr>
      </w:pPr>
      <w:r w:rsidRPr="001709B4">
        <w:rPr>
          <w:color w:val="FF0000"/>
          <w:u w:val="single"/>
        </w:rPr>
        <w:t>A medida que las economías emergen del impacto y el estímulo de la COVID-19, las empresas se enfrentan a una sacudida. La crisis ha dado un nuevo impulso a las tendencias existentes: agendas enfocadas a nivel nacional para detener las pérdidas económicas, la transformación tecnológica y los cambios en la estructura social, incluidos los comportamientos de los consumidores, la naturaleza del trabajo y el papel de la tecnología tanto en el trabajo como en el hogar. Los riesgos comerciales que emanan de estas tendencias se han visto amplificados por la crisis e incluyen el estancamiento en las economías avanzadas y la pérdida de potencial en los mercados emergentes y en desarrollo, el colapso de las pequeñas empresas, la ampliación de las brechas entre las empresas principales y las menores y la reducción del dinamismo del mercado, y la exacerbación de desigualdad; dificultando el logro del desarrollo sostenible a largo plazo.</w:t>
      </w:r>
    </w:p>
    <w:p w:rsidR="00D93BCE" w:rsidRPr="00F2605B" w:rsidRDefault="00D93BCE" w:rsidP="00D93BCE">
      <w:pPr>
        <w:pStyle w:val="NormalWeb"/>
        <w:shd w:val="clear" w:color="auto" w:fill="FFFFFF"/>
        <w:spacing w:before="0" w:beforeAutospacing="0" w:after="480" w:afterAutospacing="0"/>
        <w:jc w:val="both"/>
      </w:pPr>
      <w:r w:rsidRPr="00F2605B">
        <w:t>Con los gobiernos aun deliberando sobre cómo pasar de la emergencia a la recuperación, y con las empresas anticipando un cambio en el panorama empresarial, existen oportunidades para invertir en un crecimiento inteligente, limpio e inclusivo que mejorará la productividad y la entrega de agendas sostenibles.</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Hay mejores vías disponibles para gestionar los riesgos y mejorar la resiliencia</w:t>
      </w:r>
    </w:p>
    <w:p w:rsidR="00D93BCE" w:rsidRPr="00F2605B" w:rsidRDefault="00D93BCE" w:rsidP="00D93BCE">
      <w:pPr>
        <w:pStyle w:val="NormalWeb"/>
        <w:shd w:val="clear" w:color="auto" w:fill="FFFFFF"/>
        <w:spacing w:before="360" w:beforeAutospacing="0" w:after="480" w:afterAutospacing="0"/>
        <w:jc w:val="both"/>
      </w:pPr>
      <w:r w:rsidRPr="00F2605B">
        <w:t>A pesar de algunos ejemplos notables de determinación, cooperación e innovación, la mayoría de los países han tenido problemas con aspectos de la gestión de crisis durante la pandemia mundial. Si bien es pronto para extraer lecciones definitivas, esta edición del </w:t>
      </w:r>
      <w:r w:rsidRPr="00F2605B">
        <w:rPr>
          <w:i/>
          <w:iCs/>
        </w:rPr>
        <w:t>Informe</w:t>
      </w:r>
      <w:r w:rsidRPr="00F2605B">
        <w:t xml:space="preserve"> de riesgos globales refleja la preparación global al analizar cuatro áreas clave de la respuesta al COVID-19: autoridad institucional, financiamiento de riesgos, recopilación e </w:t>
      </w:r>
      <w:r w:rsidRPr="00F2605B">
        <w:lastRenderedPageBreak/>
        <w:t>intercambio de información, y equipos y vacunas. Luego analiza las respuestas a nivel nacional, reconociendo los diversos puntos de partida para países individuales, y extrae lecciones de cinco dominios: toma de decisiones del gobierno, comunicación pública, capacidades del sistema de salud, gestión de cierres y asistencia financiera a los vulnerables.</w:t>
      </w:r>
    </w:p>
    <w:p w:rsidR="00D93BCE" w:rsidRPr="001709B4" w:rsidRDefault="00D93BCE" w:rsidP="00D93BCE">
      <w:pPr>
        <w:pStyle w:val="NormalWeb"/>
        <w:shd w:val="clear" w:color="auto" w:fill="FFFFFF"/>
        <w:spacing w:before="0" w:beforeAutospacing="0" w:after="480" w:afterAutospacing="0"/>
        <w:jc w:val="both"/>
        <w:rPr>
          <w:color w:val="FF0000"/>
          <w:u w:val="single"/>
        </w:rPr>
      </w:pPr>
      <w:r w:rsidRPr="001709B4">
        <w:rPr>
          <w:color w:val="FF0000"/>
          <w:u w:val="single"/>
        </w:rPr>
        <w:t>Sin embargo, si las lecciones de esta crisis solo informan a los tomadores de decisiones sobre cómo prepararse mejor para la próxima pandemia, en lugar de mejorar los procesos de riesgo, las capacidades y la cultura, el mundo volverá a planificar para la última crisis en lugar de anticipar la próxima. La respuesta al COVID-19 ofrece cuatro oportunidades de gobernanza para fortalecer la resiliencia general de los países, las empresas y la comunidad internacional: (1) formular marcos analíticos que adopten una visión holística y basada en sistemas de los impactos de los riesgos; (2) invertir en “campeones del riesgo” de alto perfil para fomentar el liderazgo nacional y la cooperación internacional; (3) mejorar la comunicación de riesgos y combatir la desinformación; y (4) explorar nuevas formas de asociación público-privada en preparación para riesgos.</w:t>
      </w:r>
    </w:p>
    <w:p w:rsidR="00D93BCE" w:rsidRPr="00F2605B" w:rsidRDefault="00D93BCE" w:rsidP="00D93BCE">
      <w:pPr>
        <w:pStyle w:val="Ttulo1"/>
        <w:spacing w:before="0" w:beforeAutospacing="0" w:after="0" w:afterAutospacing="0"/>
        <w:jc w:val="both"/>
        <w:rPr>
          <w:b w:val="0"/>
          <w:bCs w:val="0"/>
          <w:sz w:val="24"/>
          <w:szCs w:val="24"/>
        </w:rPr>
      </w:pPr>
      <w:r w:rsidRPr="00F2605B">
        <w:rPr>
          <w:b w:val="0"/>
          <w:bCs w:val="0"/>
          <w:sz w:val="24"/>
          <w:szCs w:val="24"/>
        </w:rPr>
        <w:t>Riesgos globales 2021: futuro fracturado</w:t>
      </w:r>
    </w:p>
    <w:p w:rsidR="00D93BCE" w:rsidRPr="00F2605B" w:rsidRDefault="00D93BCE" w:rsidP="00D93BCE">
      <w:pPr>
        <w:pStyle w:val="Ttulo2"/>
        <w:shd w:val="clear" w:color="auto" w:fill="FFFFFF"/>
        <w:spacing w:before="0" w:after="150" w:line="240" w:lineRule="auto"/>
        <w:ind w:right="120"/>
        <w:jc w:val="both"/>
        <w:rPr>
          <w:rFonts w:ascii="Times New Roman" w:hAnsi="Times New Roman" w:cs="Times New Roman"/>
          <w:b w:val="0"/>
          <w:bCs w:val="0"/>
          <w:color w:val="auto"/>
          <w:sz w:val="24"/>
          <w:szCs w:val="24"/>
        </w:rPr>
      </w:pPr>
    </w:p>
    <w:p w:rsidR="00D93BCE" w:rsidRPr="001709B4" w:rsidRDefault="00D93BCE" w:rsidP="00D93BCE">
      <w:pPr>
        <w:pStyle w:val="NormalWeb"/>
        <w:shd w:val="clear" w:color="auto" w:fill="FFFFFF"/>
        <w:spacing w:before="0" w:beforeAutospacing="0" w:after="480" w:afterAutospacing="0"/>
        <w:jc w:val="both"/>
        <w:rPr>
          <w:u w:val="single"/>
        </w:rPr>
      </w:pPr>
      <w:r w:rsidRPr="001709B4">
        <w:rPr>
          <w:u w:val="single"/>
        </w:rPr>
        <w:t>Los costos humanos y económicos inmediatos de la COVID-19 son graves. Amenazan con reducir años de progreso en la reducción de la pobreza y la desigualdad globales y dañar aún más la cohesión social y la cooperación global, que ya se estaban debilitando antes de que llegara el virus.</w:t>
      </w:r>
    </w:p>
    <w:p w:rsidR="00D93BCE" w:rsidRPr="001709B4" w:rsidRDefault="00D93BCE" w:rsidP="00D93BCE">
      <w:pPr>
        <w:pStyle w:val="NormalWeb"/>
        <w:shd w:val="clear" w:color="auto" w:fill="FFFFFF"/>
        <w:spacing w:before="0" w:beforeAutospacing="0" w:after="480" w:afterAutospacing="0"/>
        <w:jc w:val="both"/>
        <w:rPr>
          <w:color w:val="FF0000"/>
          <w:u w:val="single"/>
        </w:rPr>
      </w:pPr>
      <w:r w:rsidRPr="00F2605B">
        <w:t>Es probable que la pandemia genere nuevas barreras para el avance individual y colectivo, ya que el mundo enfrenta la interrupción repentina de las interacciones sociales, una brecha digital cada vez mayor, cambios abruptos en los mercados y el comportamiento del consumidor, pérdida de educación y empleos, y desafíos para la democracia y las relaciones internacionales. . </w:t>
      </w:r>
      <w:r>
        <w:rPr>
          <w:color w:val="FF0000"/>
          <w:u w:val="single"/>
        </w:rPr>
        <w:t>La “desigualdad digital”, la “desilusión de los jóvenes” y la “erosión de la cohesión social”</w:t>
      </w:r>
      <w:r w:rsidRPr="001709B4">
        <w:rPr>
          <w:color w:val="FF0000"/>
          <w:u w:val="single"/>
        </w:rPr>
        <w:t>, recientemente incluidas en la Encuesta de percepción de riesgos globales (GRPS), fueron identificadas por los encuestados como amenazas críticas a corto plazo.</w:t>
      </w:r>
    </w:p>
    <w:p w:rsidR="00D93BCE" w:rsidRPr="001709B4" w:rsidRDefault="00D93BCE" w:rsidP="00D93BCE">
      <w:pPr>
        <w:pStyle w:val="NormalWeb"/>
        <w:shd w:val="clear" w:color="auto" w:fill="FFFFFF"/>
        <w:spacing w:before="0" w:beforeAutospacing="0" w:after="480" w:afterAutospacing="0"/>
        <w:jc w:val="both"/>
        <w:rPr>
          <w:color w:val="FF0000"/>
          <w:u w:val="single"/>
        </w:rPr>
      </w:pPr>
      <w:r w:rsidRPr="00F2605B">
        <w:t xml:space="preserve">Un salto digital hacia adelante, que interrumpa la industria, la educación, los mercados laborales y el equilibrio de poder entre las naciones, corre el riesgo </w:t>
      </w:r>
      <w:r>
        <w:t>de ampliar la brecha entre los “ricos” tecnológicos y los “desposeídos”</w:t>
      </w:r>
      <w:r w:rsidRPr="00F2605B">
        <w:t>. Todas las generaciones y grupos se han visto afectados por la crisis: las poblaciones de mayor edad son las más vulnerables a la propia pandemia, y los jóvenes se enfrentan a nuevas barreras a la movilidad social, tensiones en la salud mental, perspectivas económicas inciertas y la continua degradación del planeta. </w:t>
      </w:r>
      <w:r w:rsidRPr="001709B4">
        <w:rPr>
          <w:color w:val="FF0000"/>
          <w:u w:val="single"/>
        </w:rPr>
        <w:t>El cambio climático, al que nadie es inmune, ni el mundo puede vacunarse contra él, sigue siendo catastrófi</w:t>
      </w:r>
      <w:r>
        <w:rPr>
          <w:color w:val="FF0000"/>
          <w:u w:val="single"/>
        </w:rPr>
        <w:t>co: el “fracaso de la acción climática”</w:t>
      </w:r>
      <w:r w:rsidRPr="001709B4">
        <w:rPr>
          <w:color w:val="FF0000"/>
          <w:u w:val="single"/>
        </w:rPr>
        <w:t xml:space="preserve"> es el riesgo a largo plazo más impactante y el segundo más probable identificado en el GRPS.</w:t>
      </w:r>
    </w:p>
    <w:p w:rsidR="00D93BCE" w:rsidRPr="001709B4" w:rsidRDefault="00D93BCE" w:rsidP="00D93BCE">
      <w:pPr>
        <w:pStyle w:val="NormalWeb"/>
        <w:shd w:val="clear" w:color="auto" w:fill="FFFFFF"/>
        <w:spacing w:before="0" w:beforeAutospacing="0" w:after="480" w:afterAutospacing="0"/>
        <w:jc w:val="both"/>
        <w:rPr>
          <w:color w:val="FF0000"/>
          <w:u w:val="single"/>
        </w:rPr>
      </w:pPr>
      <w:r w:rsidRPr="001709B4">
        <w:rPr>
          <w:color w:val="FF0000"/>
          <w:u w:val="single"/>
        </w:rPr>
        <w:t>Miles de millones de personas en todo el mundo corren un mayor riesgo de perder futuras oportunidades económicas y los beneficios de una comunidad global resiliente. Según GRPS, las “crisis de medios de subsistencia” serán una amenaza crítica durante los próximos dos años, y es probable que su impacto continúe a lo largo de la década.</w:t>
      </w:r>
    </w:p>
    <w:p w:rsidR="00D93BCE" w:rsidRPr="001709B4" w:rsidRDefault="00D93BCE" w:rsidP="00D93BCE">
      <w:pPr>
        <w:pStyle w:val="NormalWeb"/>
        <w:shd w:val="clear" w:color="auto" w:fill="FFFFFF"/>
        <w:spacing w:before="0" w:beforeAutospacing="0" w:after="480" w:afterAutospacing="0"/>
        <w:jc w:val="both"/>
        <w:rPr>
          <w:color w:val="FF0000"/>
          <w:u w:val="single"/>
        </w:rPr>
      </w:pPr>
      <w:r w:rsidRPr="001709B4">
        <w:rPr>
          <w:color w:val="FF0000"/>
          <w:u w:val="single"/>
        </w:rPr>
        <w:lastRenderedPageBreak/>
        <w:t>La crisis también ha desafiado la formulación de políticas nacionales y las relaciones internacionales en formas que amenazan con impactos duraderos. Las instituciones y políticas para apoyar la coordinación internacional ya estaban en declive, y las respuestas a la pandemia han provocado nuevas tensiones geopolíticas. Con nuevos estancamientos y puntos críticos a la vista, los encu</w:t>
      </w:r>
      <w:r>
        <w:rPr>
          <w:color w:val="FF0000"/>
          <w:u w:val="single"/>
        </w:rPr>
        <w:t>estados de GRPS calificaron el “colapso del estado” y el “colapso del multilateralismo”</w:t>
      </w:r>
      <w:r w:rsidRPr="001709B4">
        <w:rPr>
          <w:color w:val="FF0000"/>
          <w:u w:val="single"/>
        </w:rPr>
        <w:t xml:space="preserve"> como amenazas críticas en los próximos cinco a diez años.</w:t>
      </w:r>
    </w:p>
    <w:p w:rsidR="00D93BCE" w:rsidRPr="00F2605B" w:rsidRDefault="00D93BCE" w:rsidP="00D93BCE">
      <w:pPr>
        <w:pStyle w:val="NormalWeb"/>
        <w:shd w:val="clear" w:color="auto" w:fill="FFFFFF"/>
        <w:spacing w:before="0" w:beforeAutospacing="0" w:after="480" w:afterAutospacing="0"/>
        <w:jc w:val="both"/>
      </w:pPr>
      <w:r w:rsidRPr="00F2605B">
        <w:t>A pesar de estos desafíos, también hay espacio para construir resiliencia. En este capítulo, cerramos con una reflexión sobre cómo los gobiernos, las empresas y las sociedades pueden comenzar a tomar medidas para estar mejor preparados frente al riesgo global perpetuo (ver Cuadro 1.1).</w:t>
      </w:r>
    </w:p>
    <w:p w:rsidR="00D93BCE" w:rsidRPr="00F2605B" w:rsidRDefault="00D93BCE" w:rsidP="00D93BCE">
      <w:pPr>
        <w:pStyle w:val="Ttulo2"/>
        <w:shd w:val="clear" w:color="auto" w:fill="F4F4F4"/>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Recuadro 1.1: Preparación futura para riesgos globales</w:t>
      </w:r>
    </w:p>
    <w:p w:rsidR="00D93BCE" w:rsidRPr="00F2605B" w:rsidRDefault="00D93BCE" w:rsidP="00D93BCE">
      <w:pPr>
        <w:pStyle w:val="NormalWeb"/>
        <w:shd w:val="clear" w:color="auto" w:fill="F4F4F4"/>
        <w:spacing w:before="360" w:beforeAutospacing="0" w:after="480" w:afterAutospacing="0"/>
        <w:jc w:val="both"/>
      </w:pPr>
      <w:r w:rsidRPr="00F2605B">
        <w:t>Si bien los riesgos globales descritos en este informe son terribles, las lecciones de COVID-19 ofrecen una oportunidad para la mitigación (ver </w:t>
      </w:r>
      <w:hyperlink r:id="rId9" w:history="1">
        <w:r w:rsidRPr="001709B4">
          <w:rPr>
            <w:rStyle w:val="Hipervnculo"/>
            <w:rFonts w:eastAsiaTheme="majorEastAsia"/>
            <w:color w:val="auto"/>
          </w:rPr>
          <w:t>Retrospectiva</w:t>
        </w:r>
      </w:hyperlink>
      <w:r w:rsidRPr="001709B4">
        <w:t> </w:t>
      </w:r>
      <w:r w:rsidRPr="00F2605B">
        <w:t>). Los riesgos globales, entre ellos las pandemias, se cristalizan de manera diferente, pero son posibles las capacidades transversales y los enfoques sistémicos para fortalecer la resiliencia general de los países, las empresas y la comunidad internacional. La respuesta al COVID-19 hasta ahora ofrece al menos cuatro oportunidades de gobernanza.</w:t>
      </w:r>
    </w:p>
    <w:p w:rsidR="00D93BCE" w:rsidRDefault="00D93BCE" w:rsidP="00D93BCE">
      <w:pPr>
        <w:pStyle w:val="NormalWeb"/>
        <w:shd w:val="clear" w:color="auto" w:fill="F4F4F4"/>
        <w:spacing w:before="0" w:beforeAutospacing="0" w:after="480" w:afterAutospacing="0"/>
        <w:jc w:val="both"/>
        <w:rPr>
          <w:rStyle w:val="Textoennegrita"/>
        </w:rPr>
      </w:pPr>
      <w:r>
        <w:rPr>
          <w:rStyle w:val="Textoennegrita"/>
        </w:rPr>
        <w:t>Marcos</w:t>
      </w:r>
    </w:p>
    <w:p w:rsidR="00D93BCE" w:rsidRPr="00F2605B" w:rsidRDefault="00D93BCE" w:rsidP="00D93BCE">
      <w:pPr>
        <w:pStyle w:val="NormalWeb"/>
        <w:shd w:val="clear" w:color="auto" w:fill="F4F4F4"/>
        <w:spacing w:before="0" w:beforeAutospacing="0" w:after="480" w:afterAutospacing="0"/>
        <w:jc w:val="both"/>
      </w:pPr>
      <w:r>
        <w:rPr>
          <w:rStyle w:val="Textoennegrita"/>
          <w:i/>
        </w:rPr>
        <w:t xml:space="preserve">La </w:t>
      </w:r>
      <w:r w:rsidRPr="00F2605B">
        <w:rPr>
          <w:i/>
          <w:iCs/>
        </w:rPr>
        <w:t>formulación de marcos analíticos detallados que adopten una visión holística y basada en sistemas de los impactos de los riesgos ayudará a sacar a la luz las dependencias potenciales en el momento oportuno, las consecuencias indirectas, las vulnerabilidades y los puntos ciegos</w:t>
      </w:r>
      <w:r w:rsidRPr="00F2605B">
        <w:t>. Esto es fundamental en la mitigación de riesgos ambientales, por ejemplo, donde intervenciones como el desarrollo de variedades de cultivos resistentes al clima podrían afectar la resiliencia del sistema alimentario. Las instituciones multilaterales, los arreglos público-privados y la sociedad civil tienen un papel que desempeñar para facilitar tales perspectivas sistémicas. El análisis holístico proporciona una base para las suposiciones de las pruebas de tensión; identificar y comparar las compensaciones requeridas por diferentes propuestas de mitigación y examinar las capacidades de respuesta frente a crisis emergentes y escenarios prospectivos.</w:t>
      </w:r>
    </w:p>
    <w:p w:rsidR="00D93BCE" w:rsidRDefault="00D93BCE" w:rsidP="00D93BCE">
      <w:pPr>
        <w:pStyle w:val="NormalWeb"/>
        <w:shd w:val="clear" w:color="auto" w:fill="F4F4F4"/>
        <w:spacing w:before="0" w:beforeAutospacing="0" w:after="0" w:afterAutospacing="0"/>
        <w:jc w:val="both"/>
        <w:rPr>
          <w:rStyle w:val="Textoennegrita"/>
        </w:rPr>
      </w:pPr>
      <w:r w:rsidRPr="00F2605B">
        <w:rPr>
          <w:rStyle w:val="Textoennegrita"/>
        </w:rPr>
        <w:t>Campeones del riesgo</w:t>
      </w:r>
    </w:p>
    <w:p w:rsidR="00D93BCE" w:rsidRPr="001709B4" w:rsidRDefault="00D93BCE" w:rsidP="00D93BCE">
      <w:pPr>
        <w:pStyle w:val="NormalWeb"/>
        <w:shd w:val="clear" w:color="auto" w:fill="F4F4F4"/>
        <w:spacing w:before="0" w:beforeAutospacing="0" w:after="0" w:afterAutospacing="0"/>
        <w:jc w:val="both"/>
        <w:rPr>
          <w:color w:val="FF0000"/>
          <w:u w:val="single"/>
        </w:rPr>
      </w:pPr>
      <w:r w:rsidRPr="00F2605B">
        <w:rPr>
          <w:b/>
          <w:bCs/>
        </w:rPr>
        <w:br/>
      </w:r>
      <w:r>
        <w:rPr>
          <w:i/>
          <w:iCs/>
          <w:color w:val="FF0000"/>
          <w:u w:val="single"/>
        </w:rPr>
        <w:t>Invertir en “campeones del riesgo”</w:t>
      </w:r>
      <w:r w:rsidRPr="001709B4">
        <w:rPr>
          <w:i/>
          <w:iCs/>
          <w:color w:val="FF0000"/>
          <w:u w:val="single"/>
        </w:rPr>
        <w:t xml:space="preserve"> de alto perfil que puedan reunir a diferentes partes interesadas para estimular la innovación en el análisis de riesgos, el financiamiento y las capacidades de respuesta, y mejorar las relaciones entre los expertos científicos y los líderes políticos</w:t>
      </w:r>
      <w:r w:rsidRPr="001709B4">
        <w:rPr>
          <w:color w:val="FF0000"/>
          <w:u w:val="single"/>
        </w:rPr>
        <w:t> . La </w:t>
      </w:r>
      <w:r w:rsidRPr="001709B4">
        <w:rPr>
          <w:color w:val="FF0000"/>
          <w:u w:val="single"/>
          <w:vertAlign w:val="superscript"/>
        </w:rPr>
        <w:t>2ª</w:t>
      </w:r>
      <w:r w:rsidRPr="001709B4">
        <w:rPr>
          <w:color w:val="FF0000"/>
          <w:u w:val="single"/>
        </w:rPr>
        <w:t> edición del </w:t>
      </w:r>
      <w:r w:rsidRPr="001709B4">
        <w:rPr>
          <w:i/>
          <w:iCs/>
          <w:color w:val="FF0000"/>
          <w:u w:val="single"/>
        </w:rPr>
        <w:t>Informe de Riesgos Globales</w:t>
      </w:r>
      <w:r w:rsidRPr="001709B4">
        <w:rPr>
          <w:color w:val="FF0000"/>
          <w:u w:val="single"/>
        </w:rPr>
        <w:t> propuso el concepto de un “Oficial Nacional de Riesgos” con el mandato de aumentar la resiliencia mejorando la cultura de toma de decisiones. Los campeones del riesgo deben posicionarse antes del frenesí de la próxima crisis, sea lo que sea, sin embargo, incluso con los campeones del riesgo en su lugar, la importancia de la atención del liderazgo al riesgo en los niveles más altos de las empresas y el gobierno no disminuye de ninguna manera.</w:t>
      </w:r>
    </w:p>
    <w:p w:rsidR="00D93BCE" w:rsidRPr="001709B4" w:rsidRDefault="00D93BCE" w:rsidP="00D93BCE">
      <w:pPr>
        <w:pStyle w:val="NormalWeb"/>
        <w:shd w:val="clear" w:color="auto" w:fill="F4F4F4"/>
        <w:spacing w:before="0" w:beforeAutospacing="0" w:after="0" w:afterAutospacing="0"/>
        <w:jc w:val="both"/>
        <w:rPr>
          <w:color w:val="FF0000"/>
          <w:u w:val="single"/>
        </w:rPr>
      </w:pPr>
    </w:p>
    <w:p w:rsidR="00D93BCE" w:rsidRDefault="00D93BCE" w:rsidP="00D93BCE">
      <w:pPr>
        <w:pStyle w:val="NormalWeb"/>
        <w:shd w:val="clear" w:color="auto" w:fill="F4F4F4"/>
        <w:spacing w:before="0" w:beforeAutospacing="0" w:after="0" w:afterAutospacing="0"/>
        <w:jc w:val="both"/>
        <w:rPr>
          <w:rStyle w:val="Textoennegrita"/>
        </w:rPr>
      </w:pPr>
      <w:r w:rsidRPr="00F2605B">
        <w:rPr>
          <w:rStyle w:val="Textoennegrita"/>
        </w:rPr>
        <w:t>Comunicación</w:t>
      </w:r>
    </w:p>
    <w:p w:rsidR="00D93BCE" w:rsidRDefault="00D93BCE" w:rsidP="00D93BCE">
      <w:pPr>
        <w:pStyle w:val="NormalWeb"/>
        <w:shd w:val="clear" w:color="auto" w:fill="F4F4F4"/>
        <w:spacing w:before="0" w:beforeAutospacing="0" w:after="0" w:afterAutospacing="0"/>
        <w:jc w:val="both"/>
      </w:pPr>
      <w:r w:rsidRPr="00F2605B">
        <w:rPr>
          <w:b/>
          <w:bCs/>
        </w:rPr>
        <w:br/>
      </w:r>
      <w:r w:rsidRPr="00F2605B">
        <w:rPr>
          <w:i/>
          <w:iCs/>
        </w:rPr>
        <w:t>Mejorar la claridad y coherencia de las comunicaciones de riesgos y combatir la desinformación. </w:t>
      </w:r>
      <w:r w:rsidRPr="00F2605B">
        <w:t>La mayoría de las crisis requieren respuestas de toda la sociedad, y hay una enorme buena voluntad y energía para aprovechar, pero la confusión y la frustración pueden socavar los esfuerzos para generar confianza y alinear las responsabilidades entre el sector público, el sector privado, las comunidades y los hogares. Existe un enorme margen para mejorar la resiliencia autoorganizada a nivel comunitario y nacional. Por ejemplo, se puede hacer más para comprender y, por lo tanto, abordar los sesgos a nivel individual con respecto a la difusión de información errónea. Una mejor coordinación entre las empresas de tecnología del sector privado y el gobierno puede ayudar a alertar a los usuarios sobre información errónea. </w:t>
      </w:r>
    </w:p>
    <w:p w:rsidR="00D93BCE" w:rsidRPr="00F2605B" w:rsidRDefault="00D93BCE" w:rsidP="00D93BCE">
      <w:pPr>
        <w:pStyle w:val="NormalWeb"/>
        <w:shd w:val="clear" w:color="auto" w:fill="F4F4F4"/>
        <w:spacing w:before="0" w:beforeAutospacing="0" w:after="0" w:afterAutospacing="0"/>
        <w:jc w:val="both"/>
      </w:pPr>
    </w:p>
    <w:p w:rsidR="00D93BCE" w:rsidRDefault="00D93BCE" w:rsidP="00D93BCE">
      <w:pPr>
        <w:pStyle w:val="NormalWeb"/>
        <w:shd w:val="clear" w:color="auto" w:fill="F4F4F4"/>
        <w:spacing w:before="0" w:beforeAutospacing="0" w:after="0" w:afterAutospacing="0"/>
        <w:jc w:val="both"/>
        <w:rPr>
          <w:rStyle w:val="Textoennegrita"/>
        </w:rPr>
      </w:pPr>
      <w:r w:rsidRPr="00F2605B">
        <w:rPr>
          <w:rStyle w:val="Textoennegrita"/>
        </w:rPr>
        <w:t>Asociaciones público-privadas</w:t>
      </w:r>
    </w:p>
    <w:p w:rsidR="00D93BCE" w:rsidRPr="00F2605B" w:rsidRDefault="00D93BCE" w:rsidP="00D93BCE">
      <w:pPr>
        <w:pStyle w:val="NormalWeb"/>
        <w:shd w:val="clear" w:color="auto" w:fill="F4F4F4"/>
        <w:spacing w:before="0" w:beforeAutospacing="0" w:after="0" w:afterAutospacing="0"/>
        <w:jc w:val="both"/>
      </w:pPr>
      <w:r w:rsidRPr="00F2605B">
        <w:rPr>
          <w:b/>
          <w:bCs/>
        </w:rPr>
        <w:br/>
      </w:r>
      <w:r w:rsidRPr="00F2605B">
        <w:rPr>
          <w:i/>
          <w:iCs/>
        </w:rPr>
        <w:t>Exploración de nuevas formas de asociación público-privada en preparación para riesgos en tecnología, logística y fabricación.</w:t>
      </w:r>
      <w:r>
        <w:rPr>
          <w:i/>
          <w:iCs/>
        </w:rPr>
        <w:t xml:space="preserve"> </w:t>
      </w:r>
      <w:r w:rsidRPr="00F2605B">
        <w:t>La pandemia ha demostrado que la innovación puede desencadenarse cuando los gobiernos involucran al sector privado para responder a desafíos a gran escala, si los riesgos y las recompensas se comparten de manera justa y existe una gobernanza adecuada. El despliegue de vacunas será un caso de prueba en resiliencia: si bien planteará nuevos desafíos, las asociaciones podrían resultar efectivas para satisfacer la demanda de viales de vidrio, administrar la logística de la cadena de frío, registrar las dosis administradas e incluso contrarrestar las dudas sobre las vacunas. La crisis de COVID-19 también destacó la necesidad de una mayor coordinación en el financiamiento para mejorar la resiliencia y acelerar la recuperación, desde inversiones preventivas y presupuestos de contingencia hasta grupos de seguros con respaldo gubernamental. La lección para la gestión de crisis es que los detalles importan y deben abordarse en colaboración. </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Daño y disparidad</w:t>
      </w:r>
    </w:p>
    <w:p w:rsidR="00D93BCE" w:rsidRPr="00F2605B" w:rsidRDefault="00D93BCE" w:rsidP="00D93BCE">
      <w:pPr>
        <w:pStyle w:val="NormalWeb"/>
        <w:shd w:val="clear" w:color="auto" w:fill="FFFFFF"/>
        <w:spacing w:before="360" w:beforeAutospacing="0" w:after="480" w:afterAutospacing="0"/>
        <w:jc w:val="both"/>
      </w:pPr>
      <w:r w:rsidRPr="00F2605B">
        <w:t>Los efectos de la COVID-19, junto con algunos aspectos de la respuesta política, por necesaria que sea, han dañado a las sociedades y las economías, han ampliado las disparidades existentes dentro de las comunidades y entre las naciones, han dañado desproporcionadamente a ciertos sectores y grupos sociales y han com</w:t>
      </w:r>
      <w:r>
        <w:t>plicado el camino para el mundo,</w:t>
      </w:r>
      <w:r w:rsidRPr="00F2605B">
        <w:t xml:space="preserve"> para alcanzar los Objetivos de Desarrollo Sostenible de las Naciones Unidas para 2030.</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Onda de choque económica</w:t>
      </w:r>
    </w:p>
    <w:p w:rsidR="00D93BCE" w:rsidRPr="00F2605B" w:rsidRDefault="00D93BCE" w:rsidP="00D93BCE">
      <w:pPr>
        <w:pStyle w:val="NormalWeb"/>
        <w:shd w:val="clear" w:color="auto" w:fill="FFFFFF"/>
        <w:spacing w:before="0" w:beforeAutospacing="0" w:after="0" w:afterAutospacing="0"/>
        <w:jc w:val="both"/>
      </w:pPr>
      <w:r w:rsidRPr="00F2605B">
        <w:rPr>
          <w:b/>
          <w:bCs/>
        </w:rPr>
        <w:br/>
      </w:r>
      <w:r w:rsidRPr="001709B4">
        <w:rPr>
          <w:color w:val="FF0000"/>
          <w:u w:val="single"/>
        </w:rPr>
        <w:t>La economía global ahora se ha hundido en su crisis más profunda en tiempos de paz. Se espera que la producción mundial se haya reducido en un 4,4 % en 2020 (ver Figura 1.1). En comparación, la crisis financiera de 2008-2009 hizo que la economía mundial se contrajera un 0,1 %.</w:t>
      </w:r>
      <w:r w:rsidRPr="00F2605B">
        <w:t> Los datos del tercer trimestre de 2020 insinuaban que la recuperación estaba en marcha, pero aún está por medir el impacto del aumento de infecciones en el cuarto trimestre: muchos países registraron más casos diarios que en el segundo trimestre, cuando las economías del G20 se contraj</w:t>
      </w:r>
      <w:r>
        <w:t>eron a un ritmo acelerado, en</w:t>
      </w:r>
      <w:r w:rsidRPr="00F2605B">
        <w:t xml:space="preserve"> tasa anualizada (ver Tabla 1.1 para datos sobre las siete economías más grandes). Se espera que la contracción económica aumente la desigualdad en muchos países; pero un repunte económico desigual puede </w:t>
      </w:r>
      <w:r w:rsidRPr="00F2605B">
        <w:lastRenderedPageBreak/>
        <w:t>exacerbar las desigualdades. En el momento de redactar este informe, los mercados de capital clave habían superado los niveles previos a la pandemia, generando ganancias que beneficiarán principalmente a los accionistas adinerados.</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Figura 1.1 Proyecciones de producción mundial del FMI</w:t>
      </w:r>
    </w:p>
    <w:p w:rsidR="00D93BCE" w:rsidRPr="00F2605B" w:rsidRDefault="00D93BCE" w:rsidP="00D93BCE">
      <w:pPr>
        <w:pStyle w:val="NormalWeb"/>
        <w:shd w:val="clear" w:color="auto" w:fill="FFFFFF"/>
        <w:spacing w:before="360" w:beforeAutospacing="0" w:after="480" w:afterAutospacing="0"/>
        <w:jc w:val="both"/>
      </w:pPr>
      <w:r w:rsidRPr="00F2605B">
        <w:rPr>
          <w:noProof/>
        </w:rPr>
        <w:drawing>
          <wp:inline distT="0" distB="0" distL="0" distR="0" wp14:anchorId="7490C3B8" wp14:editId="70B16027">
            <wp:extent cx="3333750" cy="3276600"/>
            <wp:effectExtent l="0" t="0" r="0" b="0"/>
            <wp:docPr id="58" name="Imagen 58" descr="http://reports.weforum.org/global-risks-report-2021/files/2021/01/fig1.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reports.weforum.org/global-risks-report-2021/files/2021/01/fig1.1a.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3750" cy="3276600"/>
                    </a:xfrm>
                    <a:prstGeom prst="rect">
                      <a:avLst/>
                    </a:prstGeom>
                    <a:noFill/>
                    <a:ln>
                      <a:noFill/>
                    </a:ln>
                  </pic:spPr>
                </pic:pic>
              </a:graphicData>
            </a:graphic>
          </wp:inline>
        </w:drawing>
      </w:r>
    </w:p>
    <w:p w:rsidR="00D93BCE" w:rsidRPr="00DD7437" w:rsidRDefault="00D93BCE" w:rsidP="00D93BCE">
      <w:pPr>
        <w:pStyle w:val="NormalWeb"/>
        <w:shd w:val="clear" w:color="auto" w:fill="FFFFFF"/>
        <w:spacing w:before="0" w:beforeAutospacing="0" w:after="480" w:afterAutospacing="0"/>
        <w:jc w:val="both"/>
      </w:pPr>
      <w:r w:rsidRPr="00F2605B">
        <w:t>Fuente: FMI. 2019 y 2020. Perspectivas de la economía mundial y actualizaciones trimestrales</w:t>
      </w:r>
      <w:r w:rsidRPr="001D2B94">
        <w:t>. </w:t>
      </w:r>
      <w:hyperlink r:id="rId11" w:history="1">
        <w:r w:rsidRPr="00DD7437">
          <w:rPr>
            <w:rStyle w:val="Hipervnculo"/>
            <w:rFonts w:eastAsiaTheme="majorEastAsia"/>
            <w:color w:val="auto"/>
            <w:u w:val="none"/>
          </w:rPr>
          <w:t>https://www.imf.org/en/Publications/WEO</w:t>
        </w:r>
      </w:hyperlink>
    </w:p>
    <w:p w:rsidR="00D93BCE" w:rsidRPr="00F2605B" w:rsidRDefault="00D93BCE" w:rsidP="00D93BCE">
      <w:pPr>
        <w:pStyle w:val="NormalWeb"/>
        <w:shd w:val="clear" w:color="auto" w:fill="FFFFFF"/>
        <w:spacing w:before="0" w:beforeAutospacing="0" w:after="0" w:afterAutospacing="0"/>
        <w:jc w:val="both"/>
      </w:pPr>
      <w:r w:rsidRPr="00F2605B">
        <w:t>El impacto de la pandemia en los medios de vida ha sido catastrófico, especialmente en aquellos que no tienen ahorros, han perdido sus trabajos o se han enfrentado a recortes salariales. Horas de trabajo equivalentes a 495 millones de empleos se perdieron en el segundo trimestre de 2020 </w:t>
      </w:r>
      <w:r>
        <w:rPr>
          <w:b/>
          <w:bCs/>
          <w:vertAlign w:val="superscript"/>
        </w:rPr>
        <w:t>-</w:t>
      </w:r>
      <w:r w:rsidRPr="00F2605B">
        <w:t>14% de toda la fuerza laboral mundial. Al momento de redactar este informe, se esperaba que solo la mitad se hubiera recuperado para fines de año. Los jóvenes, los trabajadores no calificados, los padres que trabajan (especialmente las madres) y las minorías ya desfavorecidas se han visto especialmente afectados: el 70 % de las mujeres trabajadoras en nueve de las economías más grandes del mundo cree que la interrupción de la pandemia ralentizará sus carreras, mientras que el 51 % de los jóvenes de 112 países cree que su progreso educativo se ha retrasado. </w:t>
      </w:r>
    </w:p>
    <w:p w:rsidR="00D93BCE" w:rsidRPr="00F2605B" w:rsidRDefault="00D93BCE" w:rsidP="00D93BCE">
      <w:pPr>
        <w:pStyle w:val="supplementary"/>
        <w:shd w:val="clear" w:color="auto" w:fill="FFFFFF"/>
        <w:spacing w:before="150" w:beforeAutospacing="0" w:after="0" w:afterAutospacing="0"/>
        <w:jc w:val="both"/>
      </w:pPr>
      <w:r w:rsidRPr="00F2605B">
        <w:t> </w:t>
      </w:r>
      <w:r w:rsidRPr="00F2605B">
        <w:t> </w:t>
      </w:r>
      <w:r w:rsidRPr="00F2605B">
        <w:t> </w:t>
      </w:r>
    </w:p>
    <w:p w:rsidR="00D93BCE" w:rsidRPr="00F2605B" w:rsidRDefault="00D93BCE" w:rsidP="00D93BCE">
      <w:pPr>
        <w:pStyle w:val="NormalWeb"/>
        <w:shd w:val="clear" w:color="auto" w:fill="FFFFFF"/>
        <w:spacing w:before="0" w:beforeAutospacing="0" w:after="0" w:afterAutospacing="0"/>
        <w:jc w:val="both"/>
      </w:pPr>
      <w:r w:rsidRPr="00F2605B">
        <w:t>El impacto económico varía según las regiones. Se espera que la zona del euro y América Latina se hayan contraído más en 2020. Se espera que solo 28 economías hayan crecido en 2020, siendo China el único país del G-20 entre ellas. En los países de ingresos bajos y medianos bajos, los impactos humanitarios graves y duraderos podrían verse exacerbados por niveles más bajos de apoyo financiero y menos trabajadores humanitarios. Es probable que las malas condiciones de trabajo y la falta de protección social agraven el impacto sobre los 2 mil millones de tra</w:t>
      </w:r>
      <w:r>
        <w:t>bajadores informales del mundo.</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lastRenderedPageBreak/>
        <w:t>Cuadro 1.1 Impacto máximo de COVID-19 en indicadores macroeconómicos clave: siete economías más grandes</w:t>
      </w:r>
    </w:p>
    <w:p w:rsidR="00D93BCE" w:rsidRPr="00F2605B" w:rsidRDefault="00D93BCE" w:rsidP="00D93BCE">
      <w:pPr>
        <w:pStyle w:val="NormalWeb"/>
        <w:shd w:val="clear" w:color="auto" w:fill="FFFFFF"/>
        <w:spacing w:before="360" w:beforeAutospacing="0" w:after="480" w:afterAutospacing="0"/>
        <w:jc w:val="both"/>
      </w:pPr>
      <w:r w:rsidRPr="00F2605B">
        <w:rPr>
          <w:noProof/>
        </w:rPr>
        <w:drawing>
          <wp:inline distT="0" distB="0" distL="0" distR="0" wp14:anchorId="599D6D9A" wp14:editId="078285BD">
            <wp:extent cx="5473700" cy="3924300"/>
            <wp:effectExtent l="0" t="0" r="0" b="0"/>
            <wp:docPr id="56" name="Imagen 56" descr="http://reports.weforum.org/global-risks-report-2021/files/2021/01/Tabl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reports.weforum.org/global-risks-report-2021/files/2021/01/Table1.1-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3700" cy="3924300"/>
                    </a:xfrm>
                    <a:prstGeom prst="rect">
                      <a:avLst/>
                    </a:prstGeom>
                    <a:noFill/>
                    <a:ln>
                      <a:noFill/>
                    </a:ln>
                  </pic:spPr>
                </pic:pic>
              </a:graphicData>
            </a:graphic>
          </wp:inline>
        </w:drawing>
      </w:r>
    </w:p>
    <w:p w:rsidR="00D93BCE" w:rsidRPr="00DD7437" w:rsidRDefault="00D93BCE" w:rsidP="00D93BCE">
      <w:pPr>
        <w:pStyle w:val="NormalWeb"/>
        <w:shd w:val="clear" w:color="auto" w:fill="FFFFFF"/>
        <w:spacing w:before="0" w:beforeAutospacing="0" w:after="480" w:afterAutospacing="0"/>
        <w:jc w:val="both"/>
      </w:pPr>
      <w:r w:rsidRPr="00DD7437">
        <w:t>Fuentes: Datos de la OCDE, “Índice de confianza empresarial (BCI)”, </w:t>
      </w:r>
      <w:hyperlink r:id="rId13" w:anchor="indicator-chart" w:tgtFrame="blank" w:history="1">
        <w:r w:rsidRPr="00DD7437">
          <w:rPr>
            <w:rStyle w:val="Hipervnculo"/>
            <w:rFonts w:eastAsiaTheme="majorEastAsia"/>
            <w:color w:val="auto"/>
            <w:u w:val="none"/>
          </w:rPr>
          <w:t>https://data.oecd.org/leadind/business-confidence-index-bci.htm#indicator-chart</w:t>
        </w:r>
      </w:hyperlink>
      <w:r w:rsidRPr="00DD7437">
        <w:t> , consultado el 20 de diciembre de 2020; Ministerio de Recursos Humanos y Seguridad Social de la República Popular China, Datos trimestrales de recursos humanos y seguridad social, “Primer trimestre de 2020”, </w:t>
      </w:r>
      <w:hyperlink r:id="rId14" w:tgtFrame="blank" w:history="1">
        <w:r w:rsidRPr="00DD7437">
          <w:rPr>
            <w:rStyle w:val="Hipervnculo"/>
            <w:rFonts w:eastAsiaTheme="majorEastAsia"/>
            <w:color w:val="auto"/>
            <w:u w:val="none"/>
          </w:rPr>
          <w:t>http://www.mohrss.gov.cn/SYrlzyhshbzb/zwgk/szrs/tjsj/202004 /W020200423600503595588.pdf</w:t>
        </w:r>
      </w:hyperlink>
      <w:r w:rsidRPr="00DD7437">
        <w:t> y “First half of 2020”, </w:t>
      </w:r>
      <w:hyperlink r:id="rId15" w:tgtFrame="blank" w:history="1">
        <w:r w:rsidRPr="00DD7437">
          <w:rPr>
            <w:rStyle w:val="Hipervnculo"/>
            <w:rFonts w:eastAsiaTheme="majorEastAsia"/>
            <w:color w:val="auto"/>
            <w:u w:val="none"/>
          </w:rPr>
          <w:t>http://www.mohrss.gov.cn/SYrlzyhshbzb/zwgk/szrs/tjsj/202007/W020200724600005492242.pdf</w:t>
        </w:r>
      </w:hyperlink>
      <w:r w:rsidRPr="00DD7437">
        <w:t> , consultado el 20 de diciembre de 2020.</w:t>
      </w:r>
    </w:p>
    <w:p w:rsidR="00D93BCE" w:rsidRPr="00F2605B" w:rsidRDefault="00D93BCE" w:rsidP="00D93BCE">
      <w:pPr>
        <w:pStyle w:val="NormalWeb"/>
        <w:shd w:val="clear" w:color="auto" w:fill="FFFFFF"/>
        <w:spacing w:before="0" w:beforeAutospacing="0" w:after="480" w:afterAutospacing="0"/>
        <w:jc w:val="both"/>
      </w:pPr>
      <w:r w:rsidRPr="00F2605B">
        <w:t>Nota: Cambio en la confianza empresarial entre diciembre de 2019 y mayo de 2020, cuando el indicador registró su punto de datos más bajo para los países de la OCDE en conjunto.</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Consecuencias para la salud</w:t>
      </w:r>
    </w:p>
    <w:p w:rsidR="00D93BCE" w:rsidRDefault="00D93BCE" w:rsidP="00D93BCE">
      <w:pPr>
        <w:pStyle w:val="NormalWeb"/>
        <w:shd w:val="clear" w:color="auto" w:fill="FFFFFF"/>
        <w:spacing w:before="0" w:beforeAutospacing="0" w:after="0" w:afterAutospacing="0"/>
        <w:jc w:val="both"/>
      </w:pPr>
      <w:r w:rsidRPr="00F2605B">
        <w:rPr>
          <w:b/>
          <w:bCs/>
        </w:rPr>
        <w:br/>
      </w:r>
      <w:r w:rsidRPr="00F2605B">
        <w:t xml:space="preserve">En el momento de escribir este artículo, casi 100 millones de personas en todo el mundo habían contraído la COVID-19 y más de 2 millones habían muerto, lo que convierte al SARS-CoV-2 en uno de los virus más letales de la historia. Las infecciones globales iban en aumento, con más de 600 000 casos nuevos y </w:t>
      </w:r>
      <w:r>
        <w:t>más de 10 000 muertes cada día.</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 xml:space="preserve">Los impactos en la salud a largo plazo siguen siendo desconocidos: en Corea del Sur, una encuesta encontró que el 90% de los pacientes recuperados de COVID-19 todavía sufrían </w:t>
      </w:r>
      <w:r w:rsidRPr="00F2605B">
        <w:lastRenderedPageBreak/>
        <w:t xml:space="preserve">efectos secundarios físicos y psicológicos como ageusia (pérdida del gusto), anosmia (pérdida del olfato), atención desorden y fatiga. Los impactos colaterales en la salud (física y mental) seguirán teniendo consecuencias devastadoras en todo el mundo: en los Estados Unidos, por ejemplo, el retraso en el tratamiento de las emergencias, las enfermedades crónicas y la angustia psicológica ya han causado una tasa de mortalidad del 6 % por encima de lo </w:t>
      </w:r>
      <w:r>
        <w:t xml:space="preserve">que normalmente se esperaría. </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0" w:afterAutospacing="0"/>
        <w:jc w:val="both"/>
      </w:pPr>
      <w:r w:rsidRPr="00F2605B">
        <w:t>La pandemia ha puesto a prueba los sistemas de salud, exponiendo su falta de capacidad. Los hospitales de todo el mundo se vieron abrumados rápidamente y, en el momento de escribir este artículo, muchos estaban nuevamente en riesgo, desde varios países de Europa hasta India, </w:t>
      </w:r>
      <w:r>
        <w:t>México,</w:t>
      </w:r>
      <w:r w:rsidRPr="00F2605B">
        <w:t> Sudáfrica y los Estados Unidos. Algunos países han informado de nuevas situaciones de escasez de suministros médicos. Los profesionales de la salud han luchado contra la ansiedad, la depresión, el miedo, el aislamiento e incluso el estigma social. En países como Australia, Colombia, Ecuador, India, Reino Unido, </w:t>
      </w:r>
      <w:r>
        <w:t>y los Estados Unidos,</w:t>
      </w:r>
      <w:r w:rsidRPr="00F2605B">
        <w:t> el estrés financiero, físico y mental ha provocado que muchos planeen dejar de trabajar o abandonar la profesión.</w:t>
      </w:r>
    </w:p>
    <w:p w:rsidR="00D93BCE" w:rsidRPr="00F2605B" w:rsidRDefault="00D93BCE" w:rsidP="00D93BCE">
      <w:pPr>
        <w:pStyle w:val="supplementary"/>
        <w:shd w:val="clear" w:color="auto" w:fill="FFFFFF"/>
        <w:spacing w:before="150" w:beforeAutospacing="0" w:after="0" w:afterAutospacing="0"/>
        <w:jc w:val="both"/>
      </w:pPr>
      <w:r w:rsidRPr="00F2605B">
        <w:t> </w:t>
      </w:r>
      <w:r w:rsidRPr="00F2605B">
        <w:t> </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Disparidades subyacentes</w:t>
      </w:r>
    </w:p>
    <w:p w:rsidR="00D93BCE" w:rsidRPr="00F2605B" w:rsidRDefault="00D93BCE" w:rsidP="00D93BCE">
      <w:pPr>
        <w:pStyle w:val="NormalWeb"/>
        <w:shd w:val="clear" w:color="auto" w:fill="FFFFFF"/>
        <w:spacing w:before="0" w:beforeAutospacing="0" w:after="0" w:afterAutospacing="0"/>
        <w:jc w:val="both"/>
      </w:pPr>
      <w:r w:rsidRPr="00F2605B">
        <w:rPr>
          <w:b/>
          <w:bCs/>
        </w:rPr>
        <w:br/>
      </w:r>
      <w:r w:rsidRPr="00F2605B">
        <w:t>El daño de la COVID-19 se ha visto agravado por las desigualdades de género, raza, edad e ingresos de larga data. Los grupos desfavorecidos entraron en la crisis con menor resiliencia como resultado de las disparidades en el bienestar; estabilidad y seguridad financiera; y el acceso a la atención médica, la educación y la tecnología. Ediciones anteriores del </w:t>
      </w:r>
      <w:r w:rsidRPr="00F2605B">
        <w:rPr>
          <w:i/>
          <w:iCs/>
        </w:rPr>
        <w:t>Informe Global de Riesgos </w:t>
      </w:r>
      <w:r w:rsidRPr="00F2605B">
        <w:t>han destacado que la desigualdad de ingresos, a pesar de disminuir a escala mundial, había alcanzado máximos históricos en muchos países (ver, por ejemplo, el capítulo Los fundamentos del desgaste en la edición 2020 del informe). </w:t>
      </w:r>
    </w:p>
    <w:p w:rsidR="00D93BCE"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0" w:afterAutospacing="0"/>
        <w:jc w:val="both"/>
      </w:pPr>
      <w:r w:rsidRPr="00F2605B">
        <w:t>Los sistemas de salud en todo el mundo ya estaban bajo presión por las crecientes presiones y las amenazas emergentes para la salud pública, una tendencia preocupante analizada en profundidad en el capítulo Falso positivo del </w:t>
      </w:r>
      <w:r w:rsidRPr="00F2605B">
        <w:rPr>
          <w:i/>
          <w:iCs/>
        </w:rPr>
        <w:t>Informe de riesgos globales del año pasado. </w:t>
      </w:r>
      <w:r w:rsidRPr="00F2605B">
        <w:t>La mitad de la población mundial carece de acceso a los servicios de salud esenciales, y las deficiencias en la salud pública empujan a 100 millones de personas a la pobreza extrema cada año. Esto ha amplificado el impacto de la pandemia en el bienestar físico de las personas en hogares de bajos ingresos, mujeres, y ancianos.</w:t>
      </w:r>
    </w:p>
    <w:p w:rsidR="00D93BCE" w:rsidRDefault="00D93BCE" w:rsidP="00D93BCE">
      <w:pPr>
        <w:pStyle w:val="NormalWeb"/>
        <w:shd w:val="clear" w:color="auto" w:fill="FFFFFF"/>
        <w:spacing w:before="0" w:beforeAutospacing="0" w:after="0" w:afterAutospacing="0"/>
        <w:jc w:val="both"/>
        <w:rPr>
          <w:rFonts w:eastAsiaTheme="minorHAnsi"/>
          <w:lang w:eastAsia="en-US"/>
        </w:rPr>
      </w:pPr>
    </w:p>
    <w:p w:rsidR="00D93BCE" w:rsidRPr="00F2605B" w:rsidRDefault="00D93BCE" w:rsidP="00D93BCE">
      <w:pPr>
        <w:pStyle w:val="NormalWeb"/>
        <w:shd w:val="clear" w:color="auto" w:fill="FFFFFF"/>
        <w:spacing w:before="0" w:beforeAutospacing="0" w:after="0" w:afterAutospacing="0"/>
        <w:jc w:val="both"/>
      </w:pPr>
      <w:r w:rsidRPr="00F2605B">
        <w:t>El sesenta por ciento de los adultos carecían de conocimiento</w:t>
      </w:r>
      <w:r>
        <w:t>s y habilidades digitales básica</w:t>
      </w:r>
      <w:r w:rsidRPr="00F2605B">
        <w:t>s cuando los lugares de trabajo y las escuelas de todo el mundo cerraron repentinamente para frenar la propagación de COVID-19, lo que obligó a un rápido salto a las operaciones en línea. Muchos estudiantes carecían de acceso a una computadora para el trabajo escolar: los porcentajes de estudiantes afectados oscilaron entre el 25 % en China, el 45 % en México y el 65 % en Indonesia. Las brechas digitales ya eran preocupantes antes de la pandemia: en 2018, al informar que la mitad de la población mundial estaba conectada a Internet, la Unión Internacional de Telecomunicaciones llamó a “redoblar nuestros esfuerzos colectivos para no dejar a nadie fuera de línea”. </w:t>
      </w:r>
    </w:p>
    <w:p w:rsidR="00D93BCE" w:rsidRPr="00923A5E" w:rsidRDefault="00D93BCE" w:rsidP="00D93BCE">
      <w:pPr>
        <w:pStyle w:val="Ttulo2"/>
        <w:shd w:val="clear" w:color="auto" w:fill="FFFFFF"/>
        <w:spacing w:before="150" w:after="300" w:line="240" w:lineRule="auto"/>
        <w:jc w:val="both"/>
        <w:rPr>
          <w:rFonts w:ascii="Times New Roman" w:hAnsi="Times New Roman" w:cs="Times New Roman"/>
          <w:bCs w:val="0"/>
          <w:color w:val="auto"/>
          <w:sz w:val="24"/>
          <w:szCs w:val="24"/>
        </w:rPr>
      </w:pPr>
      <w:r w:rsidRPr="00923A5E">
        <w:rPr>
          <w:rFonts w:ascii="Times New Roman" w:hAnsi="Times New Roman" w:cs="Times New Roman"/>
          <w:bCs w:val="0"/>
          <w:color w:val="auto"/>
          <w:sz w:val="24"/>
          <w:szCs w:val="24"/>
        </w:rPr>
        <w:lastRenderedPageBreak/>
        <w:t>Poco queda por perder</w:t>
      </w:r>
    </w:p>
    <w:p w:rsidR="00D93BCE" w:rsidRPr="00923A5E"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923A5E">
        <w:rPr>
          <w:rFonts w:ascii="Times New Roman" w:hAnsi="Times New Roman" w:cs="Times New Roman"/>
          <w:b w:val="0"/>
          <w:color w:val="auto"/>
          <w:sz w:val="24"/>
          <w:szCs w:val="24"/>
        </w:rPr>
        <w:t>El desarrollo de múltiples vacunas puede presagiar el comienzo de la recuperación de la crisis del COVID-19, pero las fisuras estructurales que la crisis exacerbó, desde el bienestar individual hasta la resiliencia social y la estabilidad global, amenazan con hacer que esa recuperación s</w:t>
      </w:r>
      <w:r>
        <w:rPr>
          <w:rFonts w:ascii="Times New Roman" w:hAnsi="Times New Roman" w:cs="Times New Roman"/>
          <w:b w:val="0"/>
          <w:color w:val="auto"/>
          <w:sz w:val="24"/>
          <w:szCs w:val="24"/>
        </w:rPr>
        <w:t>ea profundamente desigual. Las “crisis de medios de vida”, la “desigualdad digital”, la “desilusión juvenil” y la “erosión de la cohesión social”</w:t>
      </w:r>
      <w:r w:rsidRPr="00923A5E">
        <w:rPr>
          <w:rFonts w:ascii="Times New Roman" w:hAnsi="Times New Roman" w:cs="Times New Roman"/>
          <w:b w:val="0"/>
          <w:color w:val="auto"/>
          <w:sz w:val="24"/>
          <w:szCs w:val="24"/>
        </w:rPr>
        <w:t xml:space="preserve"> aparecen en la GRPS como amenazas globales críticas para los próximos dos años.</w:t>
      </w:r>
    </w:p>
    <w:p w:rsidR="00D93BCE" w:rsidRDefault="00D93BCE" w:rsidP="00D93BCE">
      <w:pPr>
        <w:pStyle w:val="NormalWeb"/>
        <w:shd w:val="clear" w:color="auto" w:fill="FFFFFF"/>
        <w:spacing w:before="0" w:beforeAutospacing="0" w:after="480" w:afterAutospacing="0"/>
        <w:jc w:val="both"/>
        <w:rPr>
          <w:rStyle w:val="Textoennegrita"/>
        </w:rPr>
      </w:pPr>
      <w:r w:rsidRPr="00F2605B">
        <w:rPr>
          <w:rStyle w:val="Textoennegrita"/>
        </w:rPr>
        <w:t xml:space="preserve">Caminos más estrechos </w:t>
      </w:r>
    </w:p>
    <w:p w:rsidR="00D93BCE" w:rsidRPr="00923A5E" w:rsidRDefault="00D93BCE" w:rsidP="00D93BCE">
      <w:pPr>
        <w:pStyle w:val="NormalWeb"/>
        <w:shd w:val="clear" w:color="auto" w:fill="FFFFFF"/>
        <w:spacing w:before="0" w:beforeAutospacing="0" w:after="480" w:afterAutospacing="0"/>
        <w:jc w:val="both"/>
        <w:rPr>
          <w:b/>
          <w:bCs/>
        </w:rPr>
      </w:pPr>
      <w:r w:rsidRPr="00923A5E">
        <w:rPr>
          <w:rStyle w:val="Textoennegrita"/>
        </w:rPr>
        <w:t>Tanto</w:t>
      </w:r>
      <w:r>
        <w:rPr>
          <w:rStyle w:val="Textoennegrita"/>
        </w:rPr>
        <w:t xml:space="preserve"> </w:t>
      </w:r>
      <w:r w:rsidRPr="00F2605B">
        <w:t>en las economías desarrolladas como en desarrollo, el número de personas sin acceso a servicios de salud, educación o herramientas digitales asequibles y de calidad corre el riesgo de aumentar. Miles de millones de personas se enfrentan a caminos cada vez más estrechos hacia el bienestar futuro.</w:t>
      </w:r>
    </w:p>
    <w:p w:rsidR="00D93BCE" w:rsidRPr="00D93BCE" w:rsidRDefault="00D93BCE" w:rsidP="00D93BCE">
      <w:pPr>
        <w:pStyle w:val="NormalWeb"/>
        <w:shd w:val="clear" w:color="auto" w:fill="FFFFFF"/>
        <w:spacing w:before="0" w:beforeAutospacing="0" w:after="0" w:afterAutospacing="0"/>
        <w:jc w:val="both"/>
      </w:pPr>
      <w:r w:rsidRPr="00D93BCE">
        <w:t>En el corto plazo, la distribución equitativa y efectiva de vacunas está en riesgo debido a las tendencias proteccionistas y las tensiones geopolíticas, del mismo modo que estas tendencias y tensiones pusieron en riesgo los suministros médicos esenciales cuando comenzó la pandemia (ver </w:t>
      </w:r>
      <w:hyperlink r:id="rId16" w:history="1">
        <w:r w:rsidRPr="00D93BCE">
          <w:rPr>
            <w:rStyle w:val="Hipervnculo"/>
            <w:rFonts w:eastAsiaTheme="majorEastAsia"/>
            <w:color w:val="auto"/>
            <w:u w:val="none"/>
          </w:rPr>
          <w:t>Retrospectiva</w:t>
        </w:r>
      </w:hyperlink>
      <w:r w:rsidRPr="00D93BCE">
        <w:t>). A más largo plazo, persistirá la falta de equidad en el acceso a la atención médica de calidad como resultado de la presión continua sobre los sistemas de atención médica a nivel mundial. La capacidad sanitaria en algunos países europeos ya se ha visto afectada por las prolongadas medidas de austeridad. En el África subsahariana, el 20 % de las personas mayores de 60 años, el grupo de edad de mayor riesgo, se encuentran al menos a tres horas del centro de salud más cercano. Dichos obstáculos han complicado la respuesta a la pandemia. Mirando hacia el futuro, no cerrar las brechas de salud pública exacerbará las vulnerabilidades existentes y correrá el riesgo de sufrir más daños humanitarios y económicos.</w:t>
      </w:r>
    </w:p>
    <w:p w:rsidR="00D93BCE" w:rsidRPr="00D93BCE" w:rsidRDefault="00D93BCE" w:rsidP="00D93BCE">
      <w:pPr>
        <w:pStyle w:val="NormalWeb"/>
        <w:shd w:val="clear" w:color="auto" w:fill="FFFFFF"/>
        <w:spacing w:before="0" w:beforeAutospacing="0" w:after="0" w:afterAutospacing="0"/>
        <w:jc w:val="both"/>
      </w:pPr>
    </w:p>
    <w:p w:rsidR="00D93BCE" w:rsidRPr="00D93BCE" w:rsidRDefault="00D93BCE" w:rsidP="00D93BCE">
      <w:pPr>
        <w:pStyle w:val="NormalWeb"/>
        <w:shd w:val="clear" w:color="auto" w:fill="FFFFFF"/>
        <w:spacing w:before="0" w:beforeAutospacing="0" w:after="0" w:afterAutospacing="0"/>
        <w:jc w:val="both"/>
      </w:pPr>
      <w:r w:rsidRPr="00D93BCE">
        <w:t>Las barreras a la educación y la tecnología, canales probados desde hace mucho tiempo para el avance económico, se han vuelto más altas; especialmente para los jóvenes (ver </w:t>
      </w:r>
      <w:hyperlink r:id="rId17" w:history="1">
        <w:r w:rsidRPr="00D93BCE">
          <w:rPr>
            <w:rStyle w:val="Hipervnculo"/>
            <w:rFonts w:eastAsiaTheme="majorEastAsia"/>
            <w:color w:val="auto"/>
            <w:u w:val="none"/>
          </w:rPr>
          <w:t>Capítulo 3, Pandemias</w:t>
        </w:r>
      </w:hyperlink>
      <w:r w:rsidRPr="00D93BCE">
        <w:t>). Los sistemas educativos de todo el mundo están preparados para experimentar una transformación estructural desafiante respaldada por la adopción generalizada del aprendizaje en línea. Este cambio puede reducir potencialmente los costos y expandir el acceso, pero los estudiantes y trabajadores que carecen de las herramientas digitales, el acceso en línea y el conocimiento para participar corren el riesgo de ser excluidos (consulte el </w:t>
      </w:r>
      <w:hyperlink r:id="rId18" w:history="1">
        <w:r w:rsidRPr="00D93BCE">
          <w:rPr>
            <w:rStyle w:val="Hipervnculo"/>
            <w:rFonts w:eastAsiaTheme="majorEastAsia"/>
            <w:color w:val="auto"/>
            <w:u w:val="none"/>
          </w:rPr>
          <w:t>Capítulo 2, Error 404</w:t>
        </w:r>
      </w:hyperlink>
      <w:r w:rsidRPr="00D93BCE">
        <w:t>). La “desigualdad digital”, clasificada como la quinta amenaza a corto plazo más preocupante para el mundo, está aumentando dentro de los países y entre ellos. La creciente brecha entre los que tienen y los que no tienen tecnología, en medio de presiones sobre las finanzas públicas y privadas que podrían limitar inversiones críticas en educación digital, impedirá la movilidad económica individual.</w:t>
      </w:r>
    </w:p>
    <w:p w:rsidR="00D93BCE" w:rsidRPr="00D93BCE"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D93BCE">
        <w:t>La movilidad física, otro canal para el avance económico, también está en riesgo. A nivel nacional, el salto digital hacia adelante puede permitir que las empresas reduzcan costos reubicándolas lejos de los centros de las ciudades, pero los trabajadores en industrias prácticas o sin los medios o la flexibilidad para mudarse a nuevos centros de producción podrían quedarse varados. A nivel internacional, las restricciones de movimiento impuestas durante la pandemia pueden tardar en aliviarse dadas las tensiones geopolíticas, lo que pone</w:t>
      </w:r>
      <w:r w:rsidRPr="00F2605B">
        <w:t xml:space="preserve"> </w:t>
      </w:r>
      <w:r w:rsidRPr="00F2605B">
        <w:lastRenderedPageBreak/>
        <w:t>en peligro las oportunidades para los 250 millones de trabajadores migrantes del mundo y sus dependientes. Se espera que las remesas globales</w:t>
      </w:r>
      <w:r>
        <w:t xml:space="preserve"> disminuyan en más del 14% para 2021.</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480" w:afterAutospacing="0"/>
        <w:jc w:val="both"/>
        <w:rPr>
          <w:rStyle w:val="Textoennegrita"/>
        </w:rPr>
      </w:pPr>
      <w:r w:rsidRPr="00F2605B">
        <w:rPr>
          <w:rStyle w:val="Textoennegrita"/>
        </w:rPr>
        <w:t>Fragmentación social</w:t>
      </w:r>
    </w:p>
    <w:p w:rsidR="00D93BCE" w:rsidRPr="00F2605B" w:rsidRDefault="00D93BCE" w:rsidP="00D93BCE">
      <w:pPr>
        <w:pStyle w:val="NormalWeb"/>
        <w:shd w:val="clear" w:color="auto" w:fill="FFFFFF"/>
        <w:spacing w:before="0" w:beforeAutospacing="0" w:after="480" w:afterAutospacing="0"/>
        <w:jc w:val="both"/>
      </w:pPr>
      <w:r w:rsidRPr="00F2605B">
        <w:t>Dado que las brechas de salud pública, la desigualdad digital, las disparidades educativas y el desempleo, riesgos que resultan de una combinación compleja de desigualdades existentes y el impacto de la pandemia, afectan más a los grupos vulnerables, pueden debilitar aún más la cohesión s</w:t>
      </w:r>
      <w:r>
        <w:t>ocial. Como era de esperar, la “erosión de la cohesión social” y las “</w:t>
      </w:r>
      <w:r w:rsidRPr="00F2605B">
        <w:t>crisi</w:t>
      </w:r>
      <w:r>
        <w:t>s de los medios de subsistencia”</w:t>
      </w:r>
      <w:r w:rsidRPr="00F2605B">
        <w:t xml:space="preserve"> se encuentran entre los riesgos a largo plaz</w:t>
      </w:r>
      <w:r>
        <w:t xml:space="preserve">o de mayor probabilidad y mayor </w:t>
      </w:r>
      <w:r w:rsidRPr="00F2605B">
        <w:t>impacto en la GRPS (consulte la </w:t>
      </w:r>
      <w:r>
        <w:t xml:space="preserve"> </w:t>
      </w:r>
      <w:hyperlink r:id="rId19" w:history="1">
        <w:r w:rsidRPr="00D93BCE">
          <w:rPr>
            <w:rStyle w:val="Hipervnculo"/>
            <w:rFonts w:eastAsiaTheme="majorEastAsia"/>
            <w:color w:val="auto"/>
            <w:u w:val="none"/>
          </w:rPr>
          <w:t>Figura II, Panorama de riesgos globales</w:t>
        </w:r>
      </w:hyperlink>
      <w:r w:rsidRPr="00F2605B">
        <w:t>). </w:t>
      </w:r>
      <w:r>
        <w:t xml:space="preserve"> </w:t>
      </w:r>
      <w:r w:rsidRPr="00F2605B">
        <w:t>Demasiadas personas tienen poco que perder.</w:t>
      </w:r>
    </w:p>
    <w:p w:rsidR="00D93BCE" w:rsidRPr="000B6872" w:rsidRDefault="00D93BCE" w:rsidP="00D93BCE">
      <w:pPr>
        <w:pStyle w:val="NormalWeb"/>
        <w:shd w:val="clear" w:color="auto" w:fill="FFFFFF"/>
        <w:spacing w:before="0" w:beforeAutospacing="0" w:after="0" w:afterAutospacing="0"/>
        <w:jc w:val="both"/>
        <w:rPr>
          <w:color w:val="FF0000"/>
          <w:u w:val="single"/>
        </w:rPr>
      </w:pPr>
      <w:r w:rsidRPr="000B6872">
        <w:rPr>
          <w:color w:val="FF0000"/>
          <w:u w:val="single"/>
        </w:rPr>
        <w:t>Ahora se espera que la recesión mundial empuje a 150 millones de personas más a la pobreza extrema, aumentando el total al 9,4 % de la población mundial; se esperaba que cayera al 8 % para finales de 2021, la agenda de desarrollo aumentará la vulnerabilidad a futuros impactos y amenazará con la erosión o el colapso de los estados: más de la mitad de los encuestados en la GRPS creen que el “colapso del estado” es una amenaza crítica a largo plazo (ver </w:t>
      </w:r>
      <w:hyperlink r:id="rId20" w:history="1">
        <w:r w:rsidRPr="000B6872">
          <w:rPr>
            <w:rStyle w:val="Hipervnculo"/>
            <w:rFonts w:eastAsiaTheme="majorEastAsia"/>
            <w:color w:val="FF0000"/>
          </w:rPr>
          <w:t>Figura I, Global Risks Horizon</w:t>
        </w:r>
      </w:hyperlink>
      <w:r w:rsidRPr="000B6872">
        <w:rPr>
          <w:color w:val="FF0000"/>
          <w:u w:val="single"/>
        </w:rPr>
        <w:t>).</w:t>
      </w:r>
    </w:p>
    <w:p w:rsidR="00D93BCE" w:rsidRPr="00F2605B" w:rsidRDefault="00D93BCE" w:rsidP="00D93BCE">
      <w:pPr>
        <w:pStyle w:val="NormalWeb"/>
        <w:shd w:val="clear" w:color="auto" w:fill="FFFFFF"/>
        <w:spacing w:before="0" w:beforeAutospacing="0" w:after="0" w:afterAutospacing="0"/>
        <w:jc w:val="both"/>
      </w:pPr>
    </w:p>
    <w:p w:rsidR="00D93BCE" w:rsidRPr="000B6872" w:rsidRDefault="00D93BCE" w:rsidP="00D93BCE">
      <w:pPr>
        <w:pStyle w:val="NormalWeb"/>
        <w:shd w:val="clear" w:color="auto" w:fill="FFFFFF"/>
        <w:spacing w:before="0" w:beforeAutospacing="0" w:after="480" w:afterAutospacing="0"/>
        <w:jc w:val="both"/>
        <w:rPr>
          <w:color w:val="FF0000"/>
          <w:u w:val="single"/>
        </w:rPr>
      </w:pPr>
      <w:r w:rsidRPr="000B6872">
        <w:rPr>
          <w:color w:val="FF0000"/>
          <w:u w:val="single"/>
        </w:rPr>
        <w:t>El aumento de los niveles de deuda pública y privada puede reducir el margen para un mayor estímulo, que fue una herramienta poderosa en las economías avanzadas, lo que requiere compensaciones entre inversiones en una protección social más sólida, la actualización y mejora de las habilidades de los trabajadores desfavorecidos, preparando a los jóvenes para un mercado laboral drásticamente cambiado, y transformación económica hacia una energía e infraestructura más ecológicas (consulte el </w:t>
      </w:r>
      <w:hyperlink r:id="rId21" w:history="1">
        <w:r w:rsidRPr="000B6872">
          <w:rPr>
            <w:rStyle w:val="Hipervnculo"/>
            <w:rFonts w:eastAsiaTheme="majorEastAsia"/>
            <w:color w:val="FF0000"/>
          </w:rPr>
          <w:t>Capítulo 5, Mercados imperfectos</w:t>
        </w:r>
      </w:hyperlink>
      <w:r w:rsidRPr="000B6872">
        <w:rPr>
          <w:color w:val="FF0000"/>
          <w:u w:val="single"/>
        </w:rPr>
        <w:t> ). Los encuestados de GRPS creen que la mala gestión de estas compensa</w:t>
      </w:r>
      <w:r>
        <w:rPr>
          <w:color w:val="FF0000"/>
          <w:u w:val="single"/>
        </w:rPr>
        <w:t>ciones agravará los riesgos de “crisis de deuda”, “colapso de la seguridad social”, “desigualdad digital” y “desilusión juvenil”</w:t>
      </w:r>
      <w:r w:rsidRPr="000B6872">
        <w:rPr>
          <w:color w:val="FF0000"/>
          <w:u w:val="single"/>
        </w:rPr>
        <w:t>; desencadenando “crisis de medios de subsistencia” a nivel mundial (ver </w:t>
      </w:r>
      <w:hyperlink r:id="rId22" w:history="1">
        <w:r w:rsidRPr="000B6872">
          <w:rPr>
            <w:rStyle w:val="Hipervnculo"/>
            <w:rFonts w:eastAsiaTheme="majorEastAsia"/>
            <w:color w:val="FF0000"/>
          </w:rPr>
          <w:t>Figura III, Red de Riesgo Global</w:t>
        </w:r>
      </w:hyperlink>
      <w:r w:rsidRPr="000B6872">
        <w:rPr>
          <w:color w:val="FF0000"/>
          <w:u w:val="single"/>
        </w:rPr>
        <w:t> ).</w:t>
      </w:r>
    </w:p>
    <w:p w:rsidR="00D93BCE" w:rsidRPr="00F2605B" w:rsidRDefault="00D93BCE" w:rsidP="00D93BCE">
      <w:pPr>
        <w:pStyle w:val="NormalWeb"/>
        <w:shd w:val="clear" w:color="auto" w:fill="FFFFFF"/>
        <w:spacing w:before="0" w:beforeAutospacing="0" w:after="0" w:afterAutospacing="0"/>
        <w:jc w:val="both"/>
      </w:pPr>
      <w:r w:rsidRPr="00F2605B">
        <w:t>Los países desarrollados y en desarrollo con finanzas públicas débiles enfrentan un camino más difícil hacia la recuperación: según el Fondo Monetario Internacional (FMI), siete países de bajos ingresos están agobiados por la deuda, con otros 28 en alto riesgo. Incluso cuando el estímulo fiscal ha sido sustancial (ver Figura 1.2), no está claro si conducirá a una recuperación más equitativa.</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lastRenderedPageBreak/>
        <w:t>Figura 1.2: Respuesta fiscal al COVID-19 y crecimiento esperado en 2020</w:t>
      </w:r>
    </w:p>
    <w:p w:rsidR="00D93BCE" w:rsidRPr="00F2605B" w:rsidRDefault="00D93BCE" w:rsidP="00D93BCE">
      <w:pPr>
        <w:pStyle w:val="NormalWeb"/>
        <w:shd w:val="clear" w:color="auto" w:fill="FFFFFF"/>
        <w:spacing w:before="360" w:beforeAutospacing="0" w:after="480" w:afterAutospacing="0"/>
        <w:jc w:val="both"/>
      </w:pPr>
      <w:r w:rsidRPr="00F2605B">
        <w:rPr>
          <w:noProof/>
        </w:rPr>
        <w:drawing>
          <wp:inline distT="0" distB="0" distL="0" distR="0" wp14:anchorId="5BEC9F50" wp14:editId="1FA8B22E">
            <wp:extent cx="5467350" cy="5213350"/>
            <wp:effectExtent l="0" t="0" r="0" b="6350"/>
            <wp:docPr id="52" name="Imagen 52" descr="http://reports.weforum.org/global-risks-report-2021/files/2021/01/FIG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reports.weforum.org/global-risks-report-2021/files/2021/01/FIG1.2.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67350" cy="5213350"/>
                    </a:xfrm>
                    <a:prstGeom prst="rect">
                      <a:avLst/>
                    </a:prstGeom>
                    <a:noFill/>
                    <a:ln>
                      <a:noFill/>
                    </a:ln>
                  </pic:spPr>
                </pic:pic>
              </a:graphicData>
            </a:graphic>
          </wp:inline>
        </w:drawing>
      </w:r>
    </w:p>
    <w:p w:rsidR="00D93BCE" w:rsidRPr="00DD7437" w:rsidRDefault="00D93BCE" w:rsidP="00D93BCE">
      <w:pPr>
        <w:pStyle w:val="NormalWeb"/>
        <w:shd w:val="clear" w:color="auto" w:fill="FFFFFF"/>
        <w:spacing w:before="0" w:beforeAutospacing="0" w:after="480" w:afterAutospacing="0"/>
        <w:jc w:val="both"/>
      </w:pPr>
      <w:r w:rsidRPr="00DD7437">
        <w:t>Fuente: Datos de la respuesta fiscal del FMI, Policy Tracker, “Policy Responses to COVID-19”, </w:t>
      </w:r>
      <w:hyperlink r:id="rId24" w:anchor=":~:text=In%202020%2C%20the%20authorities%20envisage,15%20percent%20directed%20to%20health.&amp;text=As%20about%2090%20percent%20of,the%20program%20is%20near%20universal" w:history="1">
        <w:r w:rsidRPr="00DD7437">
          <w:rPr>
            <w:rStyle w:val="Hipervnculo"/>
            <w:rFonts w:eastAsiaTheme="majorEastAsia"/>
            <w:color w:val="auto"/>
            <w:u w:val="none"/>
          </w:rPr>
          <w:t>https://www.imf.org/en/Topics/imf-and-covid19/Policy-Responses-to-COVID- 19#:~:text=En%202020%2C%20las%20autoridades%20prevén,15%20porcentaje%20dirigido%20a%20salud.&amp;text=Como%20sobre%2090%20porcentaje%20de,el%20programa%20es%20casi%20universal</w:t>
        </w:r>
      </w:hyperlink>
      <w:r w:rsidRPr="00DD7437">
        <w:t> , consultado el 12 de enero de 2021; datos de crecimiento anual esperado del FMI, 2020, Perspectivas de la economía mundial, octubre de 2020: un ascenso largo y difícil. Octubre de 2020, </w:t>
      </w:r>
      <w:hyperlink r:id="rId25" w:history="1">
        <w:r w:rsidRPr="00DD7437">
          <w:rPr>
            <w:rStyle w:val="Hipervnculo"/>
            <w:rFonts w:eastAsiaTheme="majorEastAsia"/>
            <w:color w:val="auto"/>
            <w:u w:val="none"/>
          </w:rPr>
          <w:t>https://www.imf.org/en/Publications/WEO/Issues/2020/09/30/world-economic-outlook-october-2020</w:t>
        </w:r>
      </w:hyperlink>
      <w:r w:rsidRPr="00DD7437">
        <w:t> .</w:t>
      </w:r>
    </w:p>
    <w:p w:rsidR="00D93BCE" w:rsidRPr="00F2605B" w:rsidRDefault="00D93BCE" w:rsidP="00D93BCE">
      <w:pPr>
        <w:pStyle w:val="NormalWeb"/>
        <w:shd w:val="clear" w:color="auto" w:fill="FFFFFF"/>
        <w:spacing w:before="0" w:beforeAutospacing="0" w:after="480" w:afterAutospacing="0"/>
        <w:jc w:val="both"/>
      </w:pPr>
      <w:r w:rsidRPr="00F2605B">
        <w:t>Nota: Los datos son al 12 de enero de 2021. Esta cifra considera medidas de estímulo fiscal directas e indirectas en economías seleccionadas para las cuales el FMI informa datos como porcentaje del PIB. Estos incluyen transferencias de efectivo, créditos y préstamos, facilidades de endeudamiento, financiación de la asistencia sanitaria y ayudas al desempleo, entre otros.</w:t>
      </w:r>
    </w:p>
    <w:p w:rsidR="00D93BCE" w:rsidRPr="00F2605B" w:rsidRDefault="00D93BCE" w:rsidP="00D93BCE">
      <w:pPr>
        <w:pStyle w:val="NormalWeb"/>
        <w:shd w:val="clear" w:color="auto" w:fill="FFFFFF"/>
        <w:spacing w:before="0" w:beforeAutospacing="0" w:after="0" w:afterAutospacing="0"/>
        <w:jc w:val="both"/>
      </w:pPr>
      <w:r w:rsidRPr="00F2605B">
        <w:lastRenderedPageBreak/>
        <w:t>La división había ido en aumento antes de la pandemia en muchos países, como se analizó en el capítulo Aspectos fundamentales del desgaste del </w:t>
      </w:r>
      <w:r w:rsidRPr="00F2605B">
        <w:rPr>
          <w:i/>
          <w:iCs/>
        </w:rPr>
        <w:t>Informe de riesgos globales del año pasado </w:t>
      </w:r>
      <w:r>
        <w:t>-</w:t>
      </w:r>
      <w:r w:rsidRPr="00F2605B">
        <w:t>con percepciones crecientes de que los sistemas económicos y políticos están amañados y no son representativos. Si bien las medidas de distanciamiento social interrumpieron temporalmente las protestas populares en 2020, se han reanudado en países que van desde Bielorrusia hasta Francia, Alemania, Rusia, Sudán y Estados Unidos. </w:t>
      </w:r>
    </w:p>
    <w:p w:rsidR="00D93BCE" w:rsidRDefault="00D93BCE" w:rsidP="00D93BCE">
      <w:pPr>
        <w:pStyle w:val="NormalWeb"/>
        <w:shd w:val="clear" w:color="auto" w:fill="FFFFFF"/>
        <w:spacing w:before="0" w:beforeAutospacing="0" w:after="0" w:afterAutospacing="0"/>
        <w:jc w:val="both"/>
      </w:pPr>
    </w:p>
    <w:p w:rsidR="00D93BCE" w:rsidRPr="000B6872" w:rsidRDefault="00D93BCE" w:rsidP="00D93BCE">
      <w:pPr>
        <w:pStyle w:val="NormalWeb"/>
        <w:shd w:val="clear" w:color="auto" w:fill="FFFFFF"/>
        <w:spacing w:before="0" w:beforeAutospacing="0" w:after="0" w:afterAutospacing="0"/>
        <w:jc w:val="both"/>
        <w:rPr>
          <w:color w:val="FF0000"/>
          <w:u w:val="single"/>
        </w:rPr>
      </w:pPr>
      <w:r w:rsidRPr="000B6872">
        <w:rPr>
          <w:color w:val="FF0000"/>
          <w:u w:val="single"/>
        </w:rPr>
        <w:t>Los problemas sistémicos que provocaron protestas en 2020 incluyen la corrupción, la desigualdad racial y la brutalidad policial. En algunos países, las percepciones de que las respuestas al COVID-19 fueron inadecuadas o demasiado estrictas han agravado el descontento público. Los jóvenes han expresado cada vez más su descontento por las injusticias climáticas, económicas, políticas y sociales que creen que han sido causadas por las generaciones mayores (consulte el </w:t>
      </w:r>
      <w:hyperlink r:id="rId26" w:history="1">
        <w:r w:rsidRPr="000B6872">
          <w:rPr>
            <w:rStyle w:val="Hipervnculo"/>
            <w:rFonts w:eastAsiaTheme="majorEastAsia"/>
            <w:color w:val="FF0000"/>
          </w:rPr>
          <w:t>Capítulo 3, Pandemias</w:t>
        </w:r>
      </w:hyperlink>
      <w:r w:rsidRPr="000B6872">
        <w:rPr>
          <w:color w:val="FF0000"/>
          <w:u w:val="single"/>
        </w:rPr>
        <w:t>). La pérdida de pluralidad, la erosión de la representación diversa en posiciones de poder, las dificultades financieras y las fricciones intergeneracionales, que seguirán empeorando si no se abordan las profundas desigualdades, corren el riesgo de exacerbar la división social y debilitar gravemente la resiliencia de las comunidades.</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480" w:afterAutospacing="0"/>
        <w:jc w:val="both"/>
        <w:rPr>
          <w:rStyle w:val="Textoennegrita"/>
        </w:rPr>
      </w:pPr>
      <w:r w:rsidRPr="00F2605B">
        <w:rPr>
          <w:rStyle w:val="Textoennegrita"/>
        </w:rPr>
        <w:t>El aumento de la inestabilidad</w:t>
      </w:r>
    </w:p>
    <w:p w:rsidR="00D93BCE" w:rsidRPr="000B6872" w:rsidRDefault="00D93BCE" w:rsidP="00D93BCE">
      <w:pPr>
        <w:pStyle w:val="NormalWeb"/>
        <w:shd w:val="clear" w:color="auto" w:fill="FFFFFF"/>
        <w:spacing w:before="0" w:beforeAutospacing="0" w:after="480" w:afterAutospacing="0"/>
        <w:jc w:val="both"/>
        <w:rPr>
          <w:b/>
          <w:bCs/>
          <w:color w:val="FF0000"/>
          <w:u w:val="single"/>
        </w:rPr>
      </w:pPr>
      <w:r w:rsidRPr="000B6872">
        <w:rPr>
          <w:color w:val="FF0000"/>
          <w:u w:val="single"/>
        </w:rPr>
        <w:t>Los desafíos políticos internos, la creciente fragmentación en muchas sociedades y las tensiones geopolíticas dejaron al mundo lamentablemente mal preparado para una crisis de la magnitud de COVID-19 y amplificaron sus impactos (ver </w:t>
      </w:r>
      <w:hyperlink r:id="rId27" w:history="1">
        <w:r w:rsidRPr="000B6872">
          <w:rPr>
            <w:rStyle w:val="Hipervnculo"/>
            <w:rFonts w:eastAsiaTheme="majorEastAsia"/>
            <w:color w:val="FF0000"/>
          </w:rPr>
          <w:t>Retrospectiva</w:t>
        </w:r>
      </w:hyperlink>
      <w:r w:rsidRPr="000B6872">
        <w:rPr>
          <w:color w:val="FF0000"/>
          <w:u w:val="single"/>
        </w:rPr>
        <w:t>). Los puntos críticos que probablemente obstaculicen la estabilidad nacional e internacional deteriorarían la capacidad multilateral para responder a futuros shocks globales.</w:t>
      </w:r>
    </w:p>
    <w:p w:rsidR="00D93BCE" w:rsidRPr="000B6872" w:rsidRDefault="00D93BCE" w:rsidP="00D93BCE">
      <w:pPr>
        <w:pStyle w:val="NormalWeb"/>
        <w:shd w:val="clear" w:color="auto" w:fill="FFFFFF"/>
        <w:spacing w:before="0" w:beforeAutospacing="0" w:after="480" w:afterAutospacing="0"/>
        <w:jc w:val="both"/>
        <w:rPr>
          <w:color w:val="FF0000"/>
          <w:u w:val="single"/>
        </w:rPr>
      </w:pPr>
      <w:r w:rsidRPr="000B6872">
        <w:rPr>
          <w:color w:val="FF0000"/>
          <w:u w:val="single"/>
        </w:rPr>
        <w:t>Una mayor polarización generada por el resultado de las elecciones estadounidenses puede crear obstáculos internos para la nueva administración, dificultando los compromisos de cooperación financiera, política, técnica e internacional en temas globales como el cambio climático, la gobernanza digital, el libre comercio y la seguridad internacional. La formalización del Brexit, el creciente euroescepticismo y el daño de las oleadas posteriores de COVID-19 pueden debilitar el apoyo entre los miembros de la UE a una recuperación verde coordinada y amenazar la consolidación de la Unión Europea como una tercera potencia equilibradora.</w:t>
      </w:r>
    </w:p>
    <w:p w:rsidR="00D93BCE" w:rsidRDefault="00D93BCE" w:rsidP="00D93BCE">
      <w:pPr>
        <w:pStyle w:val="NormalWeb"/>
        <w:shd w:val="clear" w:color="auto" w:fill="FFFFFF"/>
        <w:spacing w:before="0" w:beforeAutospacing="0" w:after="0" w:afterAutospacing="0"/>
        <w:jc w:val="both"/>
      </w:pPr>
      <w:r w:rsidRPr="00F2605B">
        <w:t>El aumento de las tensiones entre China e India, con el primero ampliando sus intereses económicos regionales a través de la Asociación Económica Integral Regional (RCEP) recientemente firmada, podría debilitar el comercio y el crecimiento regional y mundial. En África, el empeoramiento de las tendencias de empleo e inversión amenaza los beneficios anticipados del retrasado Acuerdo de Libre Comercio Continental Africano (AfCFTA), que podría catalizar disturbios civiles y agravar las crisis humanitarias. </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480" w:afterAutospacing="0"/>
        <w:jc w:val="both"/>
      </w:pPr>
      <w:r w:rsidRPr="00F2605B">
        <w:t>Es probable que se formen alianzas regionales a partir de la conveniencia económica y el estrechamiento de las relaciones con las superpotencias, pero la relación cambiante entre ellas está creando incertidumbre para otras naciones en torno a las reglas y normas internacionales, desde la seguridad cibernética y la tecnología 5G hasta la acción climática, los recursos naturales y el comercio (consulte el </w:t>
      </w:r>
      <w:hyperlink r:id="rId28" w:history="1">
        <w:r w:rsidRPr="00D93BCE">
          <w:rPr>
            <w:rStyle w:val="Hipervnculo"/>
            <w:rFonts w:eastAsiaTheme="majorEastAsia"/>
            <w:color w:val="auto"/>
            <w:u w:val="none"/>
          </w:rPr>
          <w:t>Capítulo 4, Ciénaga de Poder Medio</w:t>
        </w:r>
      </w:hyperlink>
      <w:r w:rsidRPr="00F2605B">
        <w:t xml:space="preserve">). La salud pública se está convirtiendo en una nueva frontera para la rivalidad geopolítica. Es probable que la </w:t>
      </w:r>
      <w:r w:rsidRPr="00F2605B">
        <w:lastRenderedPageBreak/>
        <w:t>diplomacia de vacunas y los conflictos por otros suministros críticos creen más tensiones y requieran negociaciones complejas, lo que impide la coordinación internacional y la eficacia del sistema multilateral para abordar las preocupaciones globales (ver </w:t>
      </w:r>
      <w:hyperlink r:id="rId29" w:history="1">
        <w:r w:rsidRPr="00D93BCE">
          <w:rPr>
            <w:rStyle w:val="Hipervnculo"/>
            <w:rFonts w:eastAsiaTheme="majorEastAsia"/>
            <w:color w:val="auto"/>
            <w:u w:val="none"/>
          </w:rPr>
          <w:t>Retrospectiva</w:t>
        </w:r>
      </w:hyperlink>
      <w:r w:rsidRPr="00F2605B">
        <w:t>).</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No hay vacuna para la degradación ambiental</w:t>
      </w:r>
    </w:p>
    <w:p w:rsidR="00D93BCE" w:rsidRPr="000B6872" w:rsidRDefault="00D93BCE" w:rsidP="00D93BCE">
      <w:pPr>
        <w:pStyle w:val="NormalWeb"/>
        <w:shd w:val="clear" w:color="auto" w:fill="FFFFFF"/>
        <w:spacing w:before="360" w:beforeAutospacing="0" w:after="480" w:afterAutospacing="0"/>
        <w:jc w:val="both"/>
        <w:rPr>
          <w:color w:val="FF0000"/>
          <w:u w:val="single"/>
        </w:rPr>
      </w:pPr>
      <w:r w:rsidRPr="000B6872">
        <w:rPr>
          <w:color w:val="FF0000"/>
          <w:u w:val="single"/>
        </w:rPr>
        <w:t>Sin cohesión social y plataformas internacionales estables, las futuras crisis transfronterizas tendrán mayores impactos. La GRPS llama la atención sobre los puntos ciegos en las respuestas colectivas a</w:t>
      </w:r>
      <w:r>
        <w:rPr>
          <w:color w:val="FF0000"/>
          <w:u w:val="single"/>
        </w:rPr>
        <w:t xml:space="preserve"> una variedad de riesgos, como “crisis de deuda”, “deterioro de la salud mental”, “falla de gobernanza tecnológica” y “</w:t>
      </w:r>
      <w:r w:rsidRPr="000B6872">
        <w:rPr>
          <w:color w:val="FF0000"/>
          <w:u w:val="single"/>
        </w:rPr>
        <w:t>des</w:t>
      </w:r>
      <w:r>
        <w:rPr>
          <w:color w:val="FF0000"/>
          <w:u w:val="single"/>
        </w:rPr>
        <w:t>ilusión juvenil”</w:t>
      </w:r>
      <w:r w:rsidRPr="000B6872">
        <w:rPr>
          <w:color w:val="FF0000"/>
          <w:u w:val="single"/>
        </w:rPr>
        <w:t xml:space="preserve"> (consulte </w:t>
      </w:r>
      <w:hyperlink r:id="rId30" w:history="1">
        <w:r w:rsidRPr="000B6872">
          <w:rPr>
            <w:rStyle w:val="Hipervnculo"/>
            <w:rFonts w:eastAsiaTheme="majorEastAsia"/>
            <w:color w:val="FF0000"/>
          </w:rPr>
          <w:t>el Apéndice B, Figura B.1 Riesgo global). Respuesta</w:t>
        </w:r>
      </w:hyperlink>
      <w:r w:rsidRPr="000B6872">
        <w:rPr>
          <w:color w:val="FF0000"/>
          <w:u w:val="single"/>
        </w:rPr>
        <w:t>), pero los principales entre estos puntos ciegos son el “fracaso de la acción climática” y la “pérdida de biodiversidad”.</w:t>
      </w:r>
    </w:p>
    <w:p w:rsidR="00D93BCE" w:rsidRPr="000B6872" w:rsidRDefault="00D93BCE" w:rsidP="00D93BCE">
      <w:pPr>
        <w:pStyle w:val="NormalWeb"/>
        <w:shd w:val="clear" w:color="auto" w:fill="FFFFFF"/>
        <w:spacing w:before="0" w:beforeAutospacing="0" w:after="0" w:afterAutospacing="0"/>
        <w:jc w:val="both"/>
        <w:rPr>
          <w:color w:val="FF0000"/>
          <w:u w:val="single"/>
        </w:rPr>
      </w:pPr>
      <w:r w:rsidRPr="000B6872">
        <w:rPr>
          <w:i/>
          <w:iCs/>
          <w:color w:val="FF0000"/>
          <w:u w:val="single"/>
        </w:rPr>
        <w:t>El año pasado, por primera vez en 15 años de GRPS, los cinco riesgos a largo plazo más probables fueron ambientales, analizados en los capítulos del Informe de riesgos globales</w:t>
      </w:r>
      <w:r w:rsidRPr="000B6872">
        <w:rPr>
          <w:color w:val="FF0000"/>
          <w:u w:val="single"/>
        </w:rPr>
        <w:t> del año pasado Queda una década y Salvemos al ajolote. </w:t>
      </w:r>
      <w:r w:rsidRPr="000B6872">
        <w:rPr>
          <w:i/>
          <w:iCs/>
          <w:color w:val="FF0000"/>
          <w:u w:val="single"/>
        </w:rPr>
        <w:t>La Perspectiva de riesgos de COVID-19</w:t>
      </w:r>
      <w:r w:rsidRPr="000B6872">
        <w:rPr>
          <w:color w:val="FF0000"/>
          <w:u w:val="single"/>
        </w:rPr>
        <w:t> del Foro Económico Mundial, publicada en mayo de 2020, analizó cómo la crisis podría detener el progreso en la acción climática. Este año, los encuestados de GRPS clasificaron los riesgos ambientales como cuatro de los cinco pri</w:t>
      </w:r>
      <w:r>
        <w:rPr>
          <w:color w:val="FF0000"/>
          <w:u w:val="single"/>
        </w:rPr>
        <w:t>ncipales por probabilidad: las “enfermedades infecciosas”</w:t>
      </w:r>
      <w:r w:rsidRPr="000B6872">
        <w:rPr>
          <w:color w:val="FF0000"/>
          <w:u w:val="single"/>
        </w:rPr>
        <w:t xml:space="preserve"> ocupan el cuarto lugar.</w:t>
      </w:r>
    </w:p>
    <w:p w:rsidR="00D93BCE" w:rsidRPr="000B6872" w:rsidRDefault="00D93BCE" w:rsidP="00D93BCE">
      <w:pPr>
        <w:pStyle w:val="NormalWeb"/>
        <w:shd w:val="clear" w:color="auto" w:fill="FFFFFF"/>
        <w:spacing w:before="0" w:beforeAutospacing="0" w:after="0" w:afterAutospacing="0"/>
        <w:jc w:val="both"/>
        <w:rPr>
          <w:color w:val="FF0000"/>
          <w:u w:val="single"/>
        </w:rPr>
      </w:pP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Figura 1.3: Emisiones globales y objetivos de calentamiento</w:t>
      </w:r>
    </w:p>
    <w:p w:rsidR="00D93BCE" w:rsidRPr="00F2605B" w:rsidRDefault="00D93BCE" w:rsidP="00D93BCE">
      <w:pPr>
        <w:pStyle w:val="NormalWeb"/>
        <w:shd w:val="clear" w:color="auto" w:fill="FFFFFF"/>
        <w:spacing w:before="360" w:beforeAutospacing="0" w:after="480" w:afterAutospacing="0"/>
        <w:jc w:val="both"/>
      </w:pPr>
      <w:r w:rsidRPr="00F2605B">
        <w:rPr>
          <w:noProof/>
        </w:rPr>
        <w:drawing>
          <wp:inline distT="0" distB="0" distL="0" distR="0" wp14:anchorId="53D0D8ED" wp14:editId="0E1ECFA5">
            <wp:extent cx="5715000" cy="3079750"/>
            <wp:effectExtent l="0" t="0" r="0" b="6350"/>
            <wp:docPr id="50" name="Imagen 50" descr="http://reports.weforum.org/global-risks-report-2021/files/2021/01/fig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eports.weforum.org/global-risks-report-2021/files/2021/01/fig1.3-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15000" cy="3079750"/>
                    </a:xfrm>
                    <a:prstGeom prst="rect">
                      <a:avLst/>
                    </a:prstGeom>
                    <a:noFill/>
                    <a:ln>
                      <a:noFill/>
                    </a:ln>
                  </pic:spPr>
                </pic:pic>
              </a:graphicData>
            </a:graphic>
          </wp:inline>
        </w:drawing>
      </w:r>
    </w:p>
    <w:p w:rsidR="00D93BCE" w:rsidRPr="00D93BCE" w:rsidRDefault="00D93BCE" w:rsidP="00D93BCE">
      <w:pPr>
        <w:pStyle w:val="NormalWeb"/>
        <w:shd w:val="clear" w:color="auto" w:fill="FFFFFF"/>
        <w:spacing w:before="0" w:beforeAutospacing="0" w:after="480" w:afterAutospacing="0"/>
        <w:jc w:val="both"/>
        <w:rPr>
          <w:rStyle w:val="Hipervnculo"/>
          <w:rFonts w:eastAsiaTheme="majorEastAsia"/>
          <w:color w:val="auto"/>
          <w:u w:val="none"/>
        </w:rPr>
      </w:pPr>
      <w:r w:rsidRPr="000A03A0">
        <w:t>Fuente: PBL (Agencia de Evaluación Ambiental de los Países Bajos). 2019. Climate and Energy Outlook 2019. 11 de enero de 2019. </w:t>
      </w:r>
      <w:hyperlink r:id="rId32" w:history="1">
        <w:r w:rsidRPr="00D93BCE">
          <w:rPr>
            <w:rStyle w:val="Hipervnculo"/>
            <w:rFonts w:eastAsiaTheme="majorEastAsia"/>
            <w:color w:val="auto"/>
            <w:u w:val="none"/>
          </w:rPr>
          <w:t>https://www.pbl.nl/en/publicaties/klimaat-en-energieverkenning-2019</w:t>
        </w:r>
      </w:hyperlink>
      <w:r w:rsidRPr="00D93BCE">
        <w:t> </w:t>
      </w:r>
      <w:r w:rsidRPr="000A03A0">
        <w:t xml:space="preserve">; UNCTAD. 2020. “Las consecuencias económicas de COVID-19 sobrevivirán por mucho tiempo a la crisis de salud, advierte un informe”. 19 de noviembre de </w:t>
      </w:r>
      <w:r w:rsidRPr="000A03A0">
        <w:lastRenderedPageBreak/>
        <w:t>2020. </w:t>
      </w:r>
      <w:hyperlink r:id="rId33" w:history="1">
        <w:r w:rsidRPr="00D93BCE">
          <w:rPr>
            <w:rStyle w:val="Hipervnculo"/>
            <w:rFonts w:eastAsiaTheme="majorEastAsia"/>
            <w:color w:val="auto"/>
            <w:u w:val="none"/>
          </w:rPr>
          <w:t>https://unctad.org/news/covid-19s-economic-fallout-will-long-outlive-health-crisis-report-warns</w:t>
        </w:r>
      </w:hyperlink>
    </w:p>
    <w:p w:rsidR="00D93BCE" w:rsidRPr="000A03A0" w:rsidRDefault="00D93BCE" w:rsidP="00D93BCE">
      <w:pPr>
        <w:pStyle w:val="NormalWeb"/>
        <w:shd w:val="clear" w:color="auto" w:fill="FFFFFF"/>
        <w:spacing w:before="0" w:beforeAutospacing="0" w:after="480" w:afterAutospacing="0"/>
        <w:jc w:val="both"/>
      </w:pPr>
      <w:r w:rsidRPr="000B6872">
        <w:rPr>
          <w:color w:val="FF0000"/>
          <w:u w:val="single"/>
        </w:rPr>
        <w:t>Las emisiones globales de CO </w:t>
      </w:r>
      <w:r w:rsidRPr="000B6872">
        <w:rPr>
          <w:color w:val="FF0000"/>
          <w:u w:val="single"/>
          <w:vertAlign w:val="subscript"/>
        </w:rPr>
        <w:t>2</w:t>
      </w:r>
      <w:r w:rsidRPr="000B6872">
        <w:rPr>
          <w:color w:val="FF0000"/>
          <w:u w:val="single"/>
        </w:rPr>
        <w:t> cayeron un 9 % en la primera mitad de 2020, cuando el COVID-19 obligó a la mayoría de las economías a cerrar durante semanas. Se requiere una disminución similar cada año durante la próxima década para mantener el progreso hacia la limitación del calentamiento global a 1,5 °C (ver Figura 1.3) y evitar los peores efectos del cambio climático. Sin embargo, las emisiones se recuperaron después de la crisis financiera de 2008-2009. Se necesitan esfuerzos colectivos para evitar que se repita a medida que las economías emergen de la pandemia. El crecimiento y las emisiones deben desvincularse y los riesgos de transición deben gestionarse en una evolución urgente hacia una economía baja en carbono. En la actualidad, solo cuatro de las economías más grandes del mundo han ensamblado paquetes de recuperación que producirán un beneficio ambiental neto. </w:t>
      </w:r>
    </w:p>
    <w:p w:rsidR="00D93BCE"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0" w:afterAutospacing="0"/>
        <w:jc w:val="both"/>
      </w:pPr>
      <w:r w:rsidRPr="00F2605B">
        <w:t xml:space="preserve">La retrasada Conferencia de las Naciones Unidas sobre el Cambio Climático COP26 en noviembre será un momento crucial para que los mayores emisores del mundo se comprometan con objetivos nacionales más agresivos y acuerden reglas para el comercio de carbono, específicamente el </w:t>
      </w:r>
      <w:r>
        <w:t>Artículo 6 del Acuerdo de París</w:t>
      </w:r>
      <w:r w:rsidRPr="00F2605B">
        <w:t>, que pueden acelerar las</w:t>
      </w:r>
      <w:r>
        <w:t xml:space="preserve"> inversiones en la transición, </w:t>
      </w:r>
      <w:r w:rsidRPr="00F2605B">
        <w:t>hacia una economía global baja en carbono. La COP15 de la Conferencia de Biodiversidad de las Naciones Unidas y la COP15 de la Convención de las Naciones Unidas para Combatir la Desertificación también deben generar ambiciones para la protección de especies y la gestión sostenible de la tierra. La falta de acción conduciría inevitablemente a impactos físicos catastróficos y daños económicos severos que requerirían respuestas políticas costosas.</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Una recuperación sinérgica</w:t>
      </w:r>
    </w:p>
    <w:p w:rsidR="00D93BCE" w:rsidRPr="00F2605B" w:rsidRDefault="00D93BCE" w:rsidP="00D93BCE">
      <w:pPr>
        <w:pStyle w:val="NormalWeb"/>
        <w:shd w:val="clear" w:color="auto" w:fill="FFFFFF"/>
        <w:spacing w:before="360" w:beforeAutospacing="0" w:after="480" w:afterAutospacing="0"/>
        <w:jc w:val="both"/>
      </w:pPr>
      <w:r w:rsidRPr="00F2605B">
        <w:t>La velocidad y la escala de las respuestas políticas a la pandemia han demostrado lo que es posible (ver Cuadro 1.1): los ciudadanos ahora conocen el poder que los líderes políticos pueden ejercer cuando están convencidos de que el desafío lo exige. Muchos ciudadanos que sienten que no tienen nada que perder exigirán respuestas igualmente rápidas a preocupaciones profundamente sentidas. Para algunos, el cambio climático requiere una acción inmediata; otros darán prioridad a los trabajos para garantizar que los más vulnerables tengan alimentos, vivienda e ingresos; sin embargo, otros exigirán un mayor esfuerzo para aprovechar y gobernar la tecnología.</w:t>
      </w:r>
    </w:p>
    <w:p w:rsidR="00D93BCE" w:rsidRPr="00F2605B" w:rsidRDefault="00D93BCE" w:rsidP="00D93BCE">
      <w:pPr>
        <w:pStyle w:val="NormalWeb"/>
        <w:shd w:val="clear" w:color="auto" w:fill="FFFFFF"/>
        <w:spacing w:before="0" w:beforeAutospacing="0" w:after="480" w:afterAutospacing="0"/>
        <w:jc w:val="both"/>
      </w:pPr>
      <w:r w:rsidRPr="00F2605B">
        <w:t>Al igual que con COVID-19, es probable que los impactos del cambio climático se desarrollen de manera desproporcionada en todos los países, exacerbados por las desigualdades existentes desde hace mucho tiempo. Solo hay una pequeña ventana para corregir estas disparidades. No se puede retrasar un cambio hacia una producción y un consumo más ecológicos hasta que se reactiven las economías. Los gobiernos, individualmente y en coordinación, deben catalizar una transformación que combine la inversión en una recuperación económica verde e inclusiva, con medidas a corto plazo para cerrar las brechas en salud, educación, perspectivas de empleo y redes de seguridad social. Se puede evitar un futuro fracturado cerrando estas brechas y brindando oportunidades para todos.</w:t>
      </w:r>
    </w:p>
    <w:p w:rsidR="00D93BCE" w:rsidRDefault="00D93BCE" w:rsidP="00D93BCE">
      <w:pPr>
        <w:pStyle w:val="Ttulo1"/>
        <w:spacing w:before="0" w:beforeAutospacing="0" w:after="0" w:afterAutospacing="0"/>
        <w:jc w:val="both"/>
        <w:rPr>
          <w:bCs w:val="0"/>
          <w:sz w:val="24"/>
          <w:szCs w:val="24"/>
        </w:rPr>
      </w:pPr>
      <w:r w:rsidRPr="00923A5E">
        <w:rPr>
          <w:bCs w:val="0"/>
          <w:sz w:val="24"/>
          <w:szCs w:val="24"/>
        </w:rPr>
        <w:lastRenderedPageBreak/>
        <w:t>Error 404: Barreras a la inclusión digital</w:t>
      </w:r>
    </w:p>
    <w:p w:rsidR="00D93BCE" w:rsidRPr="00923A5E" w:rsidRDefault="00D93BCE" w:rsidP="00D93BCE">
      <w:pPr>
        <w:pStyle w:val="Ttulo1"/>
        <w:spacing w:before="0" w:beforeAutospacing="0" w:after="0" w:afterAutospacing="0"/>
        <w:jc w:val="both"/>
        <w:rPr>
          <w:bCs w:val="0"/>
          <w:sz w:val="24"/>
          <w:szCs w:val="24"/>
        </w:rPr>
      </w:pPr>
    </w:p>
    <w:p w:rsidR="00D93BCE" w:rsidRDefault="00D93BCE" w:rsidP="00D93BCE">
      <w:pPr>
        <w:pStyle w:val="NormalWeb"/>
        <w:shd w:val="clear" w:color="auto" w:fill="FFFFFF"/>
        <w:spacing w:before="0" w:beforeAutospacing="0" w:after="0" w:afterAutospacing="0"/>
        <w:jc w:val="both"/>
      </w:pPr>
      <w:r w:rsidRPr="00F2605B">
        <w:t>COVID-19 ha acelerado y ampliado la Cuarta Revolución Industrial con la rápida expansión del comercio electrónico, la educación en línea, la salud digital y el trabajo remoto. Estos cambios continuarán transformando drásticamente las interacciones humanas y los medios de subsistencia mucho después de que la pandemia haya quedado atrás. Este cambio puede brindar enormes beneficios a las sociedades: la respuesta al COVID-19 está llena de ejemplos, desde la capacidad de teletrabajar hasta el rápido desarrollo de una vacuna. Sin embargo, estos desarrollos también corren el riesgo de exacerbar y crear desigualdades. Los encuestados en la Encuesta de Percepción de Riesgos Globales (GRPS, por sus siglas en inglés) calificaron la “desigualdad digital” como una amenaza crítica para el mundo durante los próximos dos años y como el séptimo riesgo a largo plazo más probable.</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0" w:afterAutospacing="0"/>
        <w:jc w:val="both"/>
      </w:pPr>
      <w:r w:rsidRPr="00F2605B">
        <w:t>Las personas difieren cada vez más en su autonomía digital y oportunidades para ganarse la vida en los mercados digitales del mañana. Esta brecha digital cada vez mayor puede debilitar aún más la cohesión social, que ya se está desgastando en muchos países, y socavar las perspectivas de una recuperación inclusiva. El progreso hacia la inclusión digital se ve amenazado por la creciente dependencia y automatización digital, la supresión y manipulación de la información y las brechas en la regulación y las capacidades.</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D</w:t>
      </w:r>
      <w:r w:rsidRPr="00F2605B">
        <w:rPr>
          <w:rFonts w:ascii="Times New Roman" w:hAnsi="Times New Roman" w:cs="Times New Roman"/>
          <w:b w:val="0"/>
          <w:bCs w:val="0"/>
          <w:color w:val="auto"/>
          <w:sz w:val="24"/>
          <w:szCs w:val="24"/>
        </w:rPr>
        <w:t>ivisión digital</w:t>
      </w:r>
    </w:p>
    <w:p w:rsidR="00D93BCE" w:rsidRDefault="00D93BCE" w:rsidP="00D93BCE">
      <w:pPr>
        <w:pStyle w:val="NormalWeb"/>
        <w:shd w:val="clear" w:color="auto" w:fill="FFFFFF"/>
        <w:spacing w:before="360" w:beforeAutospacing="0" w:after="480" w:afterAutospacing="0"/>
        <w:jc w:val="both"/>
      </w:pPr>
      <w:r w:rsidRPr="00F2605B">
        <w:t>La división digital se presenta de muchas formas, desde sesgos automatizados que pueden manipularse hasta brechas en la accesibilidad y la capacidad.</w:t>
      </w:r>
    </w:p>
    <w:p w:rsidR="006C4E68" w:rsidRDefault="00D93BCE" w:rsidP="006C4E68">
      <w:pPr>
        <w:pStyle w:val="NormalWeb"/>
        <w:shd w:val="clear" w:color="auto" w:fill="FFFFFF"/>
        <w:spacing w:before="360" w:beforeAutospacing="0" w:after="480" w:afterAutospacing="0"/>
        <w:jc w:val="both"/>
        <w:rPr>
          <w:rStyle w:val="Textoennegrita"/>
          <w:b w:val="0"/>
          <w:bCs w:val="0"/>
        </w:rPr>
      </w:pPr>
      <w:r w:rsidRPr="00F2605B">
        <w:rPr>
          <w:rStyle w:val="Textoennegrita"/>
        </w:rPr>
        <w:t>Automatización del sesgo y la manipulación</w:t>
      </w:r>
    </w:p>
    <w:p w:rsidR="00D93BCE" w:rsidRDefault="00D93BCE" w:rsidP="006C4E68">
      <w:pPr>
        <w:pStyle w:val="NormalWeb"/>
        <w:shd w:val="clear" w:color="auto" w:fill="FFFFFF"/>
        <w:spacing w:before="360" w:beforeAutospacing="0" w:after="480" w:afterAutospacing="0"/>
        <w:jc w:val="both"/>
      </w:pPr>
      <w:r w:rsidRPr="00F2605B">
        <w:t>Las decisiones históricamente tomadas por humanos (diagnosticar problemas de salud, elegir inversiones, evaluar el logro educativo y resolver disputas legales) se toman cada vez más mediante algoritmos sofisticados que aplican el aprendizaje automático a grandes conjuntos de datos. En el sistema de justicia</w:t>
      </w:r>
      <w:r>
        <w:t xml:space="preserve"> penal de EEUU</w:t>
      </w:r>
      <w:r w:rsidRPr="00F2605B">
        <w:t>, por ejemplo, se utilizan algoritmos para predecir el riesgo de reincidencia. En el sector privado, más empresas recurren a la gestión algorítmica para realizar un seguimiento de la productividad de los empleados. La automatización de estas decisiones profundiza los sesgos cuando dependen de algoritmos de caja negra desarrollados utilizando conjuntos de datos históricos sesgados. </w:t>
      </w:r>
    </w:p>
    <w:p w:rsidR="00D93BCE" w:rsidRDefault="00D93BCE" w:rsidP="00D93BCE">
      <w:pPr>
        <w:pStyle w:val="NormalWeb"/>
        <w:shd w:val="clear" w:color="auto" w:fill="FFFFFF"/>
        <w:spacing w:before="0" w:beforeAutospacing="0" w:after="0" w:afterAutospacing="0"/>
        <w:jc w:val="both"/>
      </w:pPr>
      <w:r w:rsidRPr="00F2605B">
        <w:t>Los riesgos de la automatización del sesgo se ven exacerbados por la cantidad de datos que se generan ahora, que se prevé que cas</w:t>
      </w:r>
      <w:r>
        <w:t xml:space="preserve">i se cuadruplicarán para 2025. El </w:t>
      </w:r>
      <w:r w:rsidRPr="00F2605B">
        <w:t>gran volumen de datos reduce el costo y la facilidad de usar algoritmos con fines maliciosos o manipuladores. Los individuos y los grupos no estatales tienen acceso a algoritmos que pueden difundir contenido peligroso con una eficiencia, velocidad y alcance sin precedentes. Los actores malintencionados también son cada vez más capaces de lanzar campañas de desinformación a escala nacional y mundial, y debido a que las personas y los grupos pequeños son difíciles de rastrear y enjuiciar, es más difícil para las autoridades detener la difusión de información errónea. El número de países que experimentan campañas organizadas de manipulación de las redes sociales ha aumentado en un 150 % en los últimos dos años. </w:t>
      </w:r>
    </w:p>
    <w:p w:rsidR="006C4E68" w:rsidRDefault="006C4E68" w:rsidP="00D93BCE">
      <w:pPr>
        <w:pStyle w:val="NormalWeb"/>
        <w:shd w:val="clear" w:color="auto" w:fill="FFFFFF"/>
        <w:spacing w:before="0" w:beforeAutospacing="0" w:after="0" w:afterAutospacing="0"/>
        <w:jc w:val="both"/>
        <w:rPr>
          <w:rStyle w:val="Textoennegrita"/>
        </w:rPr>
      </w:pPr>
    </w:p>
    <w:p w:rsidR="006C4E68" w:rsidRDefault="006C4E68" w:rsidP="00D93BCE">
      <w:pPr>
        <w:pStyle w:val="NormalWeb"/>
        <w:shd w:val="clear" w:color="auto" w:fill="FFFFFF"/>
        <w:spacing w:before="0" w:beforeAutospacing="0" w:after="0" w:afterAutospacing="0"/>
        <w:jc w:val="both"/>
        <w:rPr>
          <w:rStyle w:val="Textoennegrita"/>
        </w:rPr>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lastRenderedPageBreak/>
        <w:t>Accesibilidad y brechas regulatorias</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Figura 2.1: Usuarios de Internet, Países Seleccionados</w:t>
      </w:r>
    </w:p>
    <w:p w:rsidR="00D93BCE" w:rsidRPr="00F2605B" w:rsidRDefault="00D93BCE" w:rsidP="00D93BCE">
      <w:pPr>
        <w:pStyle w:val="NormalWeb"/>
        <w:shd w:val="clear" w:color="auto" w:fill="FFFFFF"/>
        <w:spacing w:before="360" w:beforeAutospacing="0" w:after="480" w:afterAutospacing="0"/>
        <w:jc w:val="both"/>
      </w:pPr>
      <w:r w:rsidRPr="00F2605B">
        <w:rPr>
          <w:noProof/>
        </w:rPr>
        <w:drawing>
          <wp:inline distT="0" distB="0" distL="0" distR="0" wp14:anchorId="22621A8D" wp14:editId="28A164AC">
            <wp:extent cx="5537200" cy="4038600"/>
            <wp:effectExtent l="0" t="0" r="6350" b="0"/>
            <wp:docPr id="66" name="Imagen 66" descr="http://reports.weforum.org/global-risks-report-2021/files/2021/01/FIG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reports.weforum.org/global-risks-report-2021/files/2021/01/FIG2.1-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37200" cy="4038600"/>
                    </a:xfrm>
                    <a:prstGeom prst="rect">
                      <a:avLst/>
                    </a:prstGeom>
                    <a:noFill/>
                    <a:ln>
                      <a:noFill/>
                    </a:ln>
                  </pic:spPr>
                </pic:pic>
              </a:graphicData>
            </a:graphic>
          </wp:inline>
        </w:drawing>
      </w:r>
    </w:p>
    <w:p w:rsidR="00D93BCE" w:rsidRDefault="00D93BCE" w:rsidP="00D93BCE">
      <w:pPr>
        <w:pStyle w:val="NormalWeb"/>
        <w:shd w:val="clear" w:color="auto" w:fill="FFFFFF"/>
        <w:spacing w:before="0" w:beforeAutospacing="0" w:after="480" w:afterAutospacing="0"/>
        <w:jc w:val="both"/>
      </w:pPr>
      <w:r w:rsidRPr="000A03A0">
        <w:t>Fuente: Datos abiertos del Banco Mundial. “Individuos que usan Internet (% de la población)”. </w:t>
      </w:r>
      <w:hyperlink r:id="rId35" w:history="1">
        <w:r w:rsidRPr="00DE6AA4">
          <w:rPr>
            <w:rStyle w:val="Hipervnculo"/>
            <w:rFonts w:eastAsiaTheme="majorEastAsia"/>
            <w:color w:val="auto"/>
            <w:u w:val="none"/>
          </w:rPr>
          <w:t>https://data.worldbank.org/indicator/IT.NET.USER.ZS?most_recent_value_desc=true</w:t>
        </w:r>
      </w:hyperlink>
      <w:r w:rsidRPr="00DE6AA4">
        <w:t> </w:t>
      </w:r>
      <w:r w:rsidRPr="000A03A0">
        <w:t>, consultado el 15 de diciembre de 2020.</w:t>
      </w:r>
    </w:p>
    <w:p w:rsidR="00D93BCE" w:rsidRPr="00F2605B" w:rsidRDefault="00D93BCE" w:rsidP="00D93BCE">
      <w:pPr>
        <w:pStyle w:val="NormalWeb"/>
        <w:shd w:val="clear" w:color="auto" w:fill="FFFFFF"/>
        <w:spacing w:before="0" w:beforeAutospacing="0" w:after="0" w:afterAutospacing="0"/>
        <w:jc w:val="both"/>
      </w:pPr>
      <w:r w:rsidRPr="00F2605B">
        <w:t>Las “brechas digitales”, la capacidad diferencial para acceder a datos y tecnologías digitales, se están ampliando entre y dentro de los países. El uso de Internet varía desde más del 87 % de la población en países de altos ingresos hasta menos del 17 % en países de bajos ingresos (consulte la Figura 2.1). Dentro de los países, el acceso a los recursos digitales está estratificado por nivel socioeconómico, incluso en países de altos ingresos. En el Reino Unido, los hogares vulnerables se han visto obligados a elegir entre el sustento y la conectividad durante la pandemia. </w:t>
      </w:r>
    </w:p>
    <w:p w:rsidR="00D93BCE"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0" w:afterAutospacing="0"/>
        <w:jc w:val="both"/>
      </w:pPr>
      <w:r w:rsidRPr="00F2605B">
        <w:t>Las fisuras en la igualdad digital se ven exacerbadas por incentivos políticos y geopolíticos. Algunos gobiernos cierran el acceso a Internet para controlar el flujo de información y el discurso público dentro y fuera de sus fronteras, o específicamente para excluir plataformas con sede en el extranjero. Las Naciones Unidas han pedido a “todos los gobiernos que pongan fin de inmediato a todos y cada uno de los cierres generales de Internet y telecomunicaciones”. Aun así, el 23 % de los países prohíbe o censura las noticias, lo que limita el acceso de sus ciudadanos a recursos digitales críticos.</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p>
    <w:p w:rsidR="00D93BCE" w:rsidRPr="00F2605B" w:rsidRDefault="00D93BCE" w:rsidP="00D93BCE">
      <w:pPr>
        <w:pStyle w:val="NormalWeb"/>
        <w:shd w:val="clear" w:color="auto" w:fill="FFFFFF"/>
        <w:spacing w:before="0" w:beforeAutospacing="0" w:after="0" w:afterAutospacing="0"/>
        <w:jc w:val="both"/>
      </w:pPr>
      <w:r w:rsidRPr="00F2605B">
        <w:lastRenderedPageBreak/>
        <w:t>En países donde las intervenciones severas no son una amenaza, la inacción del gobierno ha creado riesgos para los ciudadanos. Si bien casi cuatro quintas partes de los países han implementado regulaciones sobre comercio electrónico y protección de datos, respuestas gubernamentales siguen siendo superadas por la velocidad de la digitalización. Los gobiernos deben reducir la brecha regulatoria ampliada por los nuevos recursos digitales y la creciente influencia de la tecnología sobre las interacciones humanas, o arriesgarse a que los bienes públicos digitales se concentren en actores privados.</w:t>
      </w:r>
    </w:p>
    <w:p w:rsidR="00D93BCE"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Capacidades a la zaga de la digitalización</w:t>
      </w:r>
    </w:p>
    <w:p w:rsidR="00D93BCE" w:rsidRDefault="00D93BCE" w:rsidP="00D93BCE">
      <w:pPr>
        <w:pStyle w:val="NormalWeb"/>
        <w:shd w:val="clear" w:color="auto" w:fill="FFFFFF"/>
        <w:spacing w:before="0" w:beforeAutospacing="0" w:after="0" w:afterAutospacing="0"/>
        <w:jc w:val="both"/>
      </w:pPr>
      <w:r w:rsidRPr="00F2605B">
        <w:rPr>
          <w:b/>
          <w:bCs/>
        </w:rPr>
        <w:br/>
      </w:r>
      <w:r w:rsidRPr="00F2605B">
        <w:t>La automatización ya estaba remodelando los mercados laborales, pero la pandemia provocó una crisis económica y un salto digital que redujo los presupuestos y los plazos necesarios para mejorar y volver a capacitar a los trabajadores. </w:t>
      </w:r>
      <w:r w:rsidRPr="00F2605B">
        <w:rPr>
          <w:i/>
          <w:iCs/>
        </w:rPr>
        <w:t>El informe Future of Jobs del</w:t>
      </w:r>
      <w:r w:rsidRPr="00F2605B">
        <w:t> Foro Económico Mundial estima que la automatización puede desplazar 85 millones de puestos de trabajo en solo cinco años.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 xml:space="preserve">Tanto en las economías desarrolladas como en las emergentes, se espera que el cambio rápido al trabajo remoto genere ganancias de productividad a largo plazo, pero corre el riesgo de crear nuevas brechas entre los trabajadores del conocimiento y aquellos en sectores prácticos que no pueden trabajar de forma remota y pueden carecer de las habilidades digitales. y herramientas para encontrar otro empleo en áreas como manufactura, comercio minorista y algunos campos de la atención médica. La rápida digitalización de las interacciones humanas y el lugar de trabajo también ha ampliado el conjunto de habilidades digitales esenciales, incluida la comunicación, la seguridad cibernética y </w:t>
      </w:r>
      <w:r>
        <w:t>el procesamiento de información</w:t>
      </w:r>
      <w:r w:rsidRPr="00F2605B">
        <w:t>, más allá de lo que anteriormente se consideraba un conocimiento de Internet.</w:t>
      </w:r>
    </w:p>
    <w:p w:rsidR="00D93BCE" w:rsidRPr="00F2605B" w:rsidRDefault="00D93BCE" w:rsidP="00D93BCE">
      <w:pPr>
        <w:pStyle w:val="NormalWeb"/>
        <w:shd w:val="clear" w:color="auto" w:fill="FFFFFF"/>
        <w:spacing w:before="0" w:beforeAutospacing="0" w:after="0" w:afterAutospacing="0"/>
        <w:jc w:val="both"/>
      </w:pPr>
    </w:p>
    <w:p w:rsidR="00D93BCE" w:rsidRPr="00DE6AA4" w:rsidRDefault="00D93BCE" w:rsidP="00D93BCE">
      <w:pPr>
        <w:pStyle w:val="NormalWeb"/>
        <w:shd w:val="clear" w:color="auto" w:fill="FFFFFF"/>
        <w:spacing w:before="0" w:beforeAutospacing="0" w:after="0" w:afterAutospacing="0"/>
        <w:jc w:val="both"/>
      </w:pPr>
      <w:r w:rsidRPr="00DE6AA4">
        <w:t>Tal expansión requiere una inversión significativa en la mejora y actualización de las habilidades. Sin embargo, el gasto público y la capacidad de formulación de políticas para reducir la brecha de habilidades digitales serán limitados después de la COVID-19, especialmente en los países de ingresos bajos y medianos (consulte </w:t>
      </w:r>
      <w:hyperlink r:id="rId36" w:history="1">
        <w:r w:rsidRPr="00DE6AA4">
          <w:rPr>
            <w:rStyle w:val="Hipervnculo"/>
            <w:rFonts w:eastAsiaTheme="majorEastAsia"/>
            <w:color w:val="auto"/>
            <w:u w:val="none"/>
          </w:rPr>
          <w:t>el Capítulo 1, Riesgos globales 2021</w:t>
        </w:r>
      </w:hyperlink>
      <w:r w:rsidRPr="00DE6AA4">
        <w:t> ). Los empleadores que se enfrentan a la pérdida de ingresos o al riesgo de quiebra (consulte el </w:t>
      </w:r>
      <w:hyperlink r:id="rId37" w:history="1">
        <w:r w:rsidRPr="00DE6AA4">
          <w:rPr>
            <w:rStyle w:val="Hipervnculo"/>
            <w:rFonts w:eastAsiaTheme="majorEastAsia"/>
            <w:color w:val="auto"/>
            <w:u w:val="none"/>
          </w:rPr>
          <w:t>Capítulo 5, Mercados imperfectos</w:t>
        </w:r>
      </w:hyperlink>
      <w:r w:rsidRPr="00DE6AA4">
        <w:t> ) también pueden tener una capacidad limitada para ofrecer apoyo financiero a los empleados. Trabajadores vulnerables, especialmente en el sector informal, donde el 60% de la fuerza laboral mundial encuentra empleo, y donde los medios de subsistencia se vieron gravemente afectados por la crisis de COVID-19 -probablemente necesitarán priorizar mantener su trabajo actual o encontrar rápidamente un nuevo empleo en lugar de dedicar tiempo y dinero a la capacitación.</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Sociedades desconectadas</w:t>
      </w:r>
    </w:p>
    <w:p w:rsidR="00D93BCE" w:rsidRPr="00F2605B" w:rsidRDefault="00D93BCE" w:rsidP="00D93BCE">
      <w:pPr>
        <w:pStyle w:val="NormalWeb"/>
        <w:shd w:val="clear" w:color="auto" w:fill="FFFFFF"/>
        <w:spacing w:before="360" w:beforeAutospacing="0" w:after="480" w:afterAutospacing="0"/>
        <w:jc w:val="both"/>
      </w:pPr>
      <w:r w:rsidRPr="00F2605B">
        <w:t>Las sociedades están cada vez más desconectadas. Las poblaciones se encuentran cada vez más polarizadas y bombardeadas con información errónea, y la brecha cada vez mayor en la capacidad digital corre el riesgo de que surja una subclase digital. Una reacción regulatoria para combatir este resultado corre el riesgo de descon</w:t>
      </w:r>
      <w:r>
        <w:t>ectar aún más a las sociedades.</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Polarización y desinformación</w:t>
      </w:r>
    </w:p>
    <w:p w:rsidR="00D93BCE" w:rsidRPr="00F2605B" w:rsidRDefault="00D93BCE" w:rsidP="00D93BCE">
      <w:pPr>
        <w:pStyle w:val="NormalWeb"/>
        <w:shd w:val="clear" w:color="auto" w:fill="FFFFFF"/>
        <w:spacing w:before="0" w:beforeAutospacing="0" w:after="0" w:afterAutospacing="0"/>
        <w:jc w:val="both"/>
      </w:pPr>
      <w:r w:rsidRPr="00F2605B">
        <w:rPr>
          <w:b/>
          <w:bCs/>
        </w:rPr>
        <w:br/>
      </w:r>
      <w:r w:rsidRPr="00F2605B">
        <w:t xml:space="preserve">Una confianza generalizada en algoritmos complejos que exacerban las desigualdades puede </w:t>
      </w:r>
      <w:r w:rsidRPr="00F2605B">
        <w:lastRenderedPageBreak/>
        <w:t>dañar el bienestar individual y amplificar las fracturas sociales. Las evaluaciones automatizadas de sentencias penales pueden empeorar los resultados para los grupos vulnerables. Dentro de las organizaciones impulsadas por inteligencia artificial (IA), los "techos máximos de código" (que dictan oportunidades en función de una función de optimización comercial) pueden limitar las oportunidades de carrera para los trabajadores administrados por algoritmos. </w:t>
      </w:r>
      <w:r>
        <w:t>Y en salud -</w:t>
      </w:r>
      <w:r w:rsidRPr="00F2605B">
        <w:t>como se analizó en profundidad en ediciones anteriores del </w:t>
      </w:r>
      <w:r w:rsidRPr="00F2605B">
        <w:rPr>
          <w:i/>
          <w:iCs/>
        </w:rPr>
        <w:t>Informe Global de Riesgos</w:t>
      </w:r>
      <w:r w:rsidRPr="00F2605B">
        <w:t> (ver, por ejemplo, el Capítulo 6, Falso Positivo, en la </w:t>
      </w:r>
      <w:r>
        <w:t xml:space="preserve">15ª </w:t>
      </w:r>
      <w:r w:rsidRPr="00F2605B">
        <w:t>edición de dicho informe) </w:t>
      </w:r>
      <w:r>
        <w:t>-</w:t>
      </w:r>
      <w:r w:rsidRPr="00F2605B">
        <w:t>las bases de datos sesgadas podrían llevar a la IA a diagnosticar o tratar mal a los pacientes. Si no se detecta o no se aborda, la discriminación algorítmica y la división social resultante podrían empeorar exponencialmente a medida que las capacidades informáticas más sólidas aumentan la velocidad y el alcance de los algoritmos. </w:t>
      </w:r>
    </w:p>
    <w:p w:rsidR="00D93BCE" w:rsidRDefault="00D93BCE" w:rsidP="00D93BCE">
      <w:pPr>
        <w:pStyle w:val="NormalWeb"/>
        <w:shd w:val="clear" w:color="auto" w:fill="FFFFFF"/>
        <w:spacing w:before="0" w:beforeAutospacing="0" w:after="0" w:afterAutospacing="0"/>
        <w:jc w:val="both"/>
      </w:pPr>
    </w:p>
    <w:p w:rsidR="00D93BCE" w:rsidRPr="00DE6AA4" w:rsidRDefault="00D93BCE" w:rsidP="00D93BCE">
      <w:pPr>
        <w:pStyle w:val="NormalWeb"/>
        <w:shd w:val="clear" w:color="auto" w:fill="FFFFFF"/>
        <w:spacing w:before="0" w:beforeAutospacing="0" w:after="0" w:afterAutospacing="0"/>
        <w:jc w:val="both"/>
      </w:pPr>
      <w:r w:rsidRPr="00F2605B">
        <w:t>Las falsedades generalizadas y las teorías de conspiración obstaculizan el debate cívico y el consenso sobre cuestiones políticas, de salud públi</w:t>
      </w:r>
      <w:r w:rsidR="00297184">
        <w:t>ca y ambientales críticas. Las “infodemias”</w:t>
      </w:r>
      <w:r w:rsidRPr="00F2605B">
        <w:t xml:space="preserve"> que rodean al COVID-19, por ejemplo, han impedido los esfuerzos para detener el daño físico de la enfermedad: la información falsa de que ingerir alcohol altamente concentrado mata al SARS-CoV-2 causó más de 700 muertes y casi 6000 hospitalizaciones en Irán. La desinformación podría poner en peligro una recuperación mundial que depende de la vacunación generalizada. Como comentó un diplomático europeo, “la desinformación continuará. La vacunación parece ser el próximo campo de batalla”. En términos más generales, las campañas de desinformación y desinformación pueden erosionar la confianza de la comunidad en la ciencia, amenazar la gobernabilidad y desgarrar el tejido social. Según GRPS, la “reacción violenta contra la ciencia” aumentará los riesgos de “fracaso de la acción climática” y “enfermedades infecciosas” durante la próxima década (</w:t>
      </w:r>
      <w:r w:rsidRPr="00DE6AA4">
        <w:t>consulte la </w:t>
      </w:r>
      <w:hyperlink r:id="rId38" w:history="1">
        <w:r w:rsidRPr="00DE6AA4">
          <w:rPr>
            <w:rStyle w:val="Hipervnculo"/>
            <w:rFonts w:eastAsiaTheme="majorEastAsia"/>
            <w:color w:val="auto"/>
            <w:u w:val="none"/>
          </w:rPr>
          <w:t>Figura III, Red de riesgos globales</w:t>
        </w:r>
      </w:hyperlink>
      <w:r w:rsidRPr="00DE6AA4">
        <w:t>).</w:t>
      </w:r>
    </w:p>
    <w:p w:rsidR="00D93BCE" w:rsidRPr="00DE6AA4"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La desinformación amenaza cada vez más las libertades civiles y la democracia. Las políticas de “posverdad” </w:t>
      </w:r>
      <w:r>
        <w:t>-</w:t>
      </w:r>
      <w:r w:rsidRPr="00F2605B">
        <w:t>desde campañas de manipulación deliberada hasta la difusión sin paliativos de teorías de</w:t>
      </w:r>
      <w:r>
        <w:t xml:space="preserve"> conspiración y noticias falsas-</w:t>
      </w:r>
      <w:r w:rsidRPr="00F2605B">
        <w:t xml:space="preserve"> están “amplificando el discurso de odio; aumentar el riesgo de conflicto, violencia y violaciones de los derechos humanos; y amenazando las perspectivas a largo plazo para el avance de la democracia”, como ha advertido la Organización Mundial de la Salud. Sin embargo, los intentos directos del gobierno por combatir la desinformación pueden exacerbar el problema. Las restricciones de Internet, por ejemplo, corren el riesgo de excluir a sociedades enteras de la economía global de la información, mientras que un control más invasivo podría infringir las libertades civiles.</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 xml:space="preserve">Subclase digital de trabajadores </w:t>
      </w:r>
    </w:p>
    <w:p w:rsidR="00D93BCE" w:rsidRDefault="00D93BCE" w:rsidP="00D93BCE">
      <w:pPr>
        <w:pStyle w:val="NormalWeb"/>
        <w:shd w:val="clear" w:color="auto" w:fill="FFFFFF"/>
        <w:spacing w:before="0" w:beforeAutospacing="0" w:after="0" w:afterAutospacing="0"/>
        <w:jc w:val="both"/>
        <w:rPr>
          <w:rStyle w:val="Textoennegrita"/>
        </w:rPr>
      </w:pPr>
    </w:p>
    <w:p w:rsidR="00D93BCE" w:rsidRDefault="00D93BCE" w:rsidP="00D93BCE">
      <w:pPr>
        <w:pStyle w:val="NormalWeb"/>
        <w:shd w:val="clear" w:color="auto" w:fill="FFFFFF"/>
        <w:spacing w:before="0" w:beforeAutospacing="0" w:after="0" w:afterAutospacing="0"/>
        <w:jc w:val="both"/>
        <w:rPr>
          <w:color w:val="FF0000"/>
          <w:u w:val="single"/>
        </w:rPr>
      </w:pPr>
      <w:r w:rsidRPr="00CE39A7">
        <w:rPr>
          <w:rStyle w:val="Textoennegrita"/>
          <w:color w:val="FF0000"/>
          <w:u w:val="single"/>
        </w:rPr>
        <w:t xml:space="preserve">La </w:t>
      </w:r>
      <w:r w:rsidRPr="00CE39A7">
        <w:rPr>
          <w:color w:val="FF0000"/>
          <w:u w:val="single"/>
        </w:rPr>
        <w:t>ampliación de las brechas en la alfabetización digital corre el riesgo de crear una subclase digital. Los trabajadores excluidos de los recursos digitales perderán las oportunidades educativas y de empleo creadas constantemente por la economía digital global: el </w:t>
      </w:r>
      <w:r w:rsidRPr="00CE39A7">
        <w:rPr>
          <w:i/>
          <w:iCs/>
          <w:color w:val="FF0000"/>
          <w:u w:val="single"/>
        </w:rPr>
        <w:t>Informe sobre el Futuro de los Empleos del</w:t>
      </w:r>
      <w:r w:rsidRPr="00CE39A7">
        <w:rPr>
          <w:color w:val="FF0000"/>
          <w:u w:val="single"/>
        </w:rPr>
        <w:t> Foro Económico Mundial estima que, para 2025, pueden surgir 97 millones de nuevos empleos de la división del trabajo entre humanos y máquinas. La exclusión digital de miles de millones de trabajadores en todo el mundo aumenta el riesgo de “crisis de medios de subsistencia” y es probable que exacerbe la “erosión de la cohesión social”, dos de los riesgos de mayor probabilidad y mayor impacto de los próximos 10 años, según el GRPS (consulte la </w:t>
      </w:r>
      <w:hyperlink r:id="rId39" w:history="1">
        <w:r w:rsidRPr="00CE39A7">
          <w:rPr>
            <w:rStyle w:val="Hipervnculo"/>
            <w:rFonts w:eastAsiaTheme="majorEastAsia"/>
            <w:color w:val="FF0000"/>
          </w:rPr>
          <w:t>Figura II, Panorama Global de Riesgos</w:t>
        </w:r>
      </w:hyperlink>
      <w:r w:rsidRPr="00CE39A7">
        <w:rPr>
          <w:color w:val="FF0000"/>
          <w:u w:val="single"/>
        </w:rPr>
        <w:t>).</w:t>
      </w:r>
    </w:p>
    <w:p w:rsidR="00D93BCE" w:rsidRDefault="00D93BCE" w:rsidP="00D93BCE">
      <w:pPr>
        <w:pStyle w:val="NormalWeb"/>
        <w:shd w:val="clear" w:color="auto" w:fill="FFFFFF"/>
        <w:spacing w:before="0" w:beforeAutospacing="0" w:after="0" w:afterAutospacing="0"/>
        <w:jc w:val="both"/>
        <w:rPr>
          <w:color w:val="FF0000"/>
          <w:u w:val="single"/>
        </w:rPr>
      </w:pPr>
    </w:p>
    <w:p w:rsidR="00D93BCE" w:rsidRDefault="00D93BCE" w:rsidP="00D93BCE">
      <w:pPr>
        <w:pStyle w:val="NormalWeb"/>
        <w:shd w:val="clear" w:color="auto" w:fill="FFFFFF"/>
        <w:spacing w:before="0" w:beforeAutospacing="0" w:after="0" w:afterAutospacing="0"/>
        <w:jc w:val="both"/>
        <w:rPr>
          <w:color w:val="FF0000"/>
          <w:u w:val="single"/>
        </w:rPr>
      </w:pPr>
    </w:p>
    <w:p w:rsidR="00D93BCE" w:rsidRDefault="00D93BCE" w:rsidP="00D93BCE">
      <w:pPr>
        <w:pStyle w:val="NormalWeb"/>
        <w:shd w:val="clear" w:color="auto" w:fill="FFFFFF"/>
        <w:spacing w:before="0" w:beforeAutospacing="0" w:after="480" w:afterAutospacing="0"/>
        <w:jc w:val="both"/>
        <w:rPr>
          <w:rStyle w:val="Textoennegrita"/>
        </w:rPr>
      </w:pPr>
      <w:r w:rsidRPr="00F2605B">
        <w:rPr>
          <w:rStyle w:val="Textoennegrita"/>
        </w:rPr>
        <w:lastRenderedPageBreak/>
        <w:t>Desafíos de la gobernanza y la privación de derechos de los usuarios</w:t>
      </w:r>
    </w:p>
    <w:p w:rsidR="00D93BCE" w:rsidRPr="00CE39A7" w:rsidRDefault="00D93BCE" w:rsidP="00D93BCE">
      <w:pPr>
        <w:pStyle w:val="NormalWeb"/>
        <w:shd w:val="clear" w:color="auto" w:fill="FFFFFF"/>
        <w:spacing w:before="0" w:beforeAutospacing="0" w:after="480" w:afterAutospacing="0"/>
        <w:jc w:val="both"/>
        <w:rPr>
          <w:b/>
          <w:bCs/>
        </w:rPr>
      </w:pPr>
      <w:r w:rsidRPr="00F2605B">
        <w:t>En un momento en que un número creciente de actividades humanas se están volviendo digitales, las personas y las instituciones enfrentan un mayor riesgo de perder su autonomía digital.</w:t>
      </w:r>
    </w:p>
    <w:p w:rsidR="00D93BCE" w:rsidRPr="008E0064" w:rsidRDefault="00D93BCE" w:rsidP="00D93BCE">
      <w:pPr>
        <w:pStyle w:val="NormalWeb"/>
        <w:shd w:val="clear" w:color="auto" w:fill="FFFFFF"/>
        <w:spacing w:before="0" w:beforeAutospacing="0" w:after="0" w:afterAutospacing="0"/>
        <w:jc w:val="both"/>
        <w:rPr>
          <w:u w:val="single"/>
        </w:rPr>
      </w:pPr>
      <w:r w:rsidRPr="008E0064">
        <w:rPr>
          <w:u w:val="single"/>
        </w:rPr>
        <w:t>El poder se está concentrando cada vez más en mercados como el comercio minorista en línea, los pagos en línea y los servicios de comunicación (consulte el </w:t>
      </w:r>
      <w:hyperlink r:id="rId40" w:history="1">
        <w:r w:rsidRPr="008E0064">
          <w:rPr>
            <w:rStyle w:val="Hipervnculo"/>
            <w:rFonts w:eastAsiaTheme="majorEastAsia"/>
            <w:color w:val="auto"/>
          </w:rPr>
          <w:t>Capítulo 5, Mercados imperfectos</w:t>
        </w:r>
      </w:hyperlink>
      <w:r w:rsidRPr="008E0064">
        <w:rPr>
          <w:u w:val="single"/>
        </w:rPr>
        <w:t>). La “concentración de poder digital”, el sexto riesgo a largo plazo más probable según los encuestados de GRPS, podría confinar el discurso político y social a un número limitado de plataformas que tienen la capacidad de filtrar información y reducir aún más la agencia ya limitada de individuos y organizaciones, sobre cómo se utilizan sus datos. </w:t>
      </w:r>
    </w:p>
    <w:p w:rsidR="00D93BCE" w:rsidRPr="008E0064" w:rsidRDefault="00D93BCE" w:rsidP="00D93BCE">
      <w:pPr>
        <w:pStyle w:val="NormalWeb"/>
        <w:shd w:val="clear" w:color="auto" w:fill="FFFFFF"/>
        <w:spacing w:before="0" w:beforeAutospacing="0" w:after="0" w:afterAutospacing="0"/>
        <w:jc w:val="both"/>
        <w:rPr>
          <w:u w:val="single"/>
        </w:rPr>
      </w:pPr>
    </w:p>
    <w:p w:rsidR="00D93BCE" w:rsidRPr="008E0064" w:rsidRDefault="00D93BCE" w:rsidP="00D93BCE">
      <w:pPr>
        <w:pStyle w:val="NormalWeb"/>
        <w:shd w:val="clear" w:color="auto" w:fill="FFFFFF"/>
        <w:spacing w:before="0" w:beforeAutospacing="0" w:after="0" w:afterAutospacing="0"/>
        <w:jc w:val="both"/>
        <w:rPr>
          <w:u w:val="single"/>
        </w:rPr>
      </w:pPr>
      <w:r w:rsidRPr="008E0064">
        <w:rPr>
          <w:u w:val="single"/>
        </w:rPr>
        <w:t>Los presupuestos ajustados limitarán las opciones de los consumidores a la hora de elegir los servicios y proveedores digitales que mejor se adapten a sus nuevas necesidades. La falta de competencia entre los proveedores al ofrecer políticas de privacidad de datos más estrictas podría impedir que los usuarios obtengan un mayor control sobre cómo se recopilan, utilizan y monetizan sus datos. Los usuarios y consumidores también podrían perder el poder de negociar o revocar el uso y almacenamiento de los datos que ya han compartido, voluntariamente o no. A medida que las identidades sociales se vuelven más definidas por las identidades en línea, los usuarios estarán cada vez más en riesgo de exposición a la manipulación política dirigida, la invasión de la privacidad, el delito cibernético, la pérdida financiera y el daño psicológico o físico.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480" w:afterAutospacing="0"/>
        <w:jc w:val="both"/>
        <w:rPr>
          <w:rStyle w:val="Textoennegrita"/>
        </w:rPr>
      </w:pPr>
      <w:r w:rsidRPr="00F2605B">
        <w:rPr>
          <w:rStyle w:val="Textoennegrita"/>
        </w:rPr>
        <w:t xml:space="preserve">Tecnología regulatoria </w:t>
      </w:r>
    </w:p>
    <w:p w:rsidR="00D93BCE" w:rsidRPr="00923A5E" w:rsidRDefault="00D93BCE" w:rsidP="00D93BCE">
      <w:pPr>
        <w:pStyle w:val="NormalWeb"/>
        <w:shd w:val="clear" w:color="auto" w:fill="FFFFFF"/>
        <w:spacing w:before="0" w:beforeAutospacing="0" w:after="480" w:afterAutospacing="0"/>
        <w:jc w:val="both"/>
        <w:rPr>
          <w:b/>
          <w:bCs/>
        </w:rPr>
      </w:pPr>
      <w:r w:rsidRPr="00923A5E">
        <w:rPr>
          <w:rStyle w:val="Textoennegrita"/>
        </w:rPr>
        <w:t>Los</w:t>
      </w:r>
      <w:r>
        <w:rPr>
          <w:rStyle w:val="Textoennegrita"/>
        </w:rPr>
        <w:t xml:space="preserve"> </w:t>
      </w:r>
      <w:r w:rsidRPr="00F2605B">
        <w:t>gobiernos de todo el mundo están aumentando la protección de los consumidores y aumentando las presiones regulatorias sobre los mercados digitales en respuesta a los impactos sociales potencialmente nocivos de la dependencia y la influencia digital.</w:t>
      </w:r>
    </w:p>
    <w:p w:rsidR="00D93BCE" w:rsidRDefault="00D93BCE" w:rsidP="00D93BCE">
      <w:pPr>
        <w:pStyle w:val="NormalWeb"/>
        <w:shd w:val="clear" w:color="auto" w:fill="FFFFFF"/>
        <w:spacing w:before="0" w:beforeAutospacing="0" w:after="0" w:afterAutospacing="0"/>
        <w:jc w:val="both"/>
      </w:pPr>
      <w:r w:rsidRPr="00F2605B">
        <w:t>La Unión Europea señaló, en su proyecto de Ley de Mercados Digitales, que tomaría medidas drásticas contra los comportamientos anticompetitivos. En los Estados Unidos, un informe del Congreso sobre el riesgo de monopolización en los mercados digitales también presagia crecientes presiones sobre las empresas tecnológicas. Mientras tanto, las regulaciones se están endureciendo en torno a la responsabilidad de los proveedores por actividades ilegales en sus plataformas, como la difusión de información errónea y contenido malicioso. Una “reacción tecnológica” podría enfrentar a las principales empresas tecnológicas con grandes multas (hasta el 10 % de los ingresos globales en Europa), además de un mayor control gubernamental y la posibilidad de dividirlas.</w:t>
      </w:r>
    </w:p>
    <w:p w:rsidR="00D93BCE" w:rsidRPr="00F2605B" w:rsidRDefault="00D93BCE" w:rsidP="00D93BCE">
      <w:pPr>
        <w:pStyle w:val="NormalWeb"/>
        <w:shd w:val="clear" w:color="auto" w:fill="FFFFFF"/>
        <w:spacing w:before="0" w:beforeAutospacing="0" w:after="0" w:afterAutospacing="0"/>
        <w:jc w:val="both"/>
      </w:pPr>
    </w:p>
    <w:p w:rsidR="00D93BCE" w:rsidRPr="008E0064" w:rsidRDefault="00D93BCE" w:rsidP="00D93BCE">
      <w:pPr>
        <w:pStyle w:val="NormalWeb"/>
        <w:shd w:val="clear" w:color="auto" w:fill="FFFFFF"/>
        <w:spacing w:before="0" w:beforeAutospacing="0" w:after="480" w:afterAutospacing="0"/>
        <w:jc w:val="both"/>
        <w:rPr>
          <w:u w:val="single"/>
        </w:rPr>
      </w:pPr>
      <w:r w:rsidRPr="008E0064">
        <w:rPr>
          <w:u w:val="single"/>
        </w:rPr>
        <w:t>Una intervención gubernamental más fuerte en los mercados digitales puede empoderar a los consumidores y usuarios fomentando una mayor competencia y regulando las prácticas anticompetitivas, pero la fragmentación de las principales plataformas también puede reducir los servicios en general. Sin los beneficios de la plataforma, es posible que las empresas más pequeñas no puedan llegar a mercados menos rentables, lo que ampliaría la desigualdad digital. En contextos más autoritarios, sigue existiendo una clara amenaza de que los gobiernos intentarán apoderarse de las principales plataformas y proveedores de servicios,</w:t>
      </w:r>
      <w:r w:rsidRPr="00F2605B">
        <w:t xml:space="preserve"> </w:t>
      </w:r>
      <w:r w:rsidRPr="008E0064">
        <w:rPr>
          <w:u w:val="single"/>
        </w:rPr>
        <w:lastRenderedPageBreak/>
        <w:t>consolidando así su poder para restringir el acceso a Internet, censurar la información y cortar las comunicaciones. Los caminos hacia futuras ganancias económicas y sociales bajo estas condiciones se verían gravemente en peligro.</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Actualizaciones requeridas</w:t>
      </w:r>
    </w:p>
    <w:p w:rsidR="00D93BCE" w:rsidRPr="008E0064" w:rsidRDefault="00D93BCE" w:rsidP="00D93BCE">
      <w:pPr>
        <w:pStyle w:val="NormalWeb"/>
        <w:shd w:val="clear" w:color="auto" w:fill="FFFFFF"/>
        <w:spacing w:before="0" w:beforeAutospacing="0" w:after="0" w:afterAutospacing="0"/>
        <w:jc w:val="both"/>
        <w:rPr>
          <w:u w:val="single"/>
        </w:rPr>
      </w:pPr>
      <w:r w:rsidRPr="00F2605B">
        <w:rPr>
          <w:b/>
          <w:bCs/>
        </w:rPr>
        <w:br/>
      </w:r>
      <w:r w:rsidRPr="008E0064">
        <w:rPr>
          <w:u w:val="single"/>
        </w:rPr>
        <w:t>El contexto, la equidad y la gobernanza (no los algoritmos, la IA o las máquinas por defecto) que sustentan el salto digital determinarán si el uso y la adopción de nuevas tecnologías promueven el bienestar individual y social</w:t>
      </w:r>
      <w:r>
        <w:rPr>
          <w:u w:val="single"/>
        </w:rPr>
        <w:t xml:space="preserve"> o amplían la brecha entre los “ricos”</w:t>
      </w:r>
      <w:r w:rsidRPr="008E0064">
        <w:rPr>
          <w:u w:val="single"/>
        </w:rPr>
        <w:t xml:space="preserve"> tecnológicos y “desposeídos”. Ya se ha descubierto que la "inteligencia colaborativa" produce ganancias de productividad duraderas tanto para los humanos como para la tecnología, mientras que la automatización con el fin de reducir la fuerza laboral solo produce mejoras temporales. Garantizar una transición digital fluida y mitigar los riesgos para la cohesión social de las brechas digitales requerirá gestionar la innovación sin sofocarla; por ejemplo, insistir en la seguridad y la privacidad desde el diseño en el desarrollo de nuevas tecnologías y servicios digitales. Los estudios de impacto podrían mejorar la comprensión de las implicaciones de las nuevas tecnologías para las sociedades y los derechos humanos. Dichos enfoques requerirían desarrollar capacidades en el sector público para evaluar los beneficios y riesgos de una digitalización acelerada de las interacciones sociales; y mejorar la regulación de las tecnologías digitales que salvaguardan los datos de los usuarios, dan derecho a la precisión de la información en línea y premian la innovación.</w:t>
      </w:r>
    </w:p>
    <w:p w:rsidR="00D93BCE" w:rsidRPr="008E0064" w:rsidRDefault="00D93BCE" w:rsidP="00D93BCE">
      <w:pPr>
        <w:pStyle w:val="NormalWeb"/>
        <w:shd w:val="clear" w:color="auto" w:fill="FFFFFF"/>
        <w:spacing w:before="0" w:beforeAutospacing="0" w:after="0" w:afterAutospacing="0"/>
        <w:jc w:val="both"/>
        <w:rPr>
          <w:u w:val="single"/>
        </w:rPr>
      </w:pPr>
    </w:p>
    <w:p w:rsidR="00D93BCE" w:rsidRDefault="00D93BCE" w:rsidP="00D93BCE">
      <w:pPr>
        <w:pStyle w:val="NormalWeb"/>
        <w:shd w:val="clear" w:color="auto" w:fill="FFFFFF"/>
        <w:spacing w:before="0" w:beforeAutospacing="0" w:after="0" w:afterAutospacing="0"/>
        <w:jc w:val="both"/>
      </w:pPr>
      <w:r w:rsidRPr="00F2605B">
        <w:t>La educación básica y el aprendizaje permanente pueden aumentar la alfabetización digital y desempeñar un papel fundamental en el cierre de las brechas digitales. Aumentar el acceso a los contenidos digitales no es suficiente. A medida que evolucionan la IA, el aprendizaje automático y la biotecnología, los nuevos usuarios deben pensar críticamente sobre el suministro y el consumo de contenido digital. </w:t>
      </w:r>
      <w:r w:rsidRPr="00F2605B">
        <w:rPr>
          <w:i/>
          <w:iCs/>
        </w:rPr>
        <w:t>El Informe sobre el futuro de los empleos del</w:t>
      </w:r>
      <w:r w:rsidRPr="00F2605B">
        <w:t xml:space="preserve"> Foro Económico Mundial muestra que, ya, el salto digital ha impulsado el apetito de los trabajadores por el aprendizaje y la capacitación en línea sobre habilidades digitales como el análisis de datos, la informática y la tecnología de la información. Los empleadores también aceptaron el desafío: durante el segundo trimestre de 2020, la oferta de oportunidades de aprendizaje en línea por parte de los empleadores se quintuplicó. Existen oportunidades similares en el aprovechamiento de los servicios digitales para superar las desigualdades existentes y emergentes en la accesibilidad, la asequibilidad y la calidad de la salud </w:t>
      </w:r>
      <w:r w:rsidRPr="00DE6AA4">
        <w:t>(consulte </w:t>
      </w:r>
      <w:hyperlink r:id="rId41" w:history="1">
        <w:r w:rsidRPr="00DE6AA4">
          <w:rPr>
            <w:rStyle w:val="Hipervnculo"/>
            <w:rFonts w:eastAsiaTheme="majorEastAsia"/>
            <w:color w:val="auto"/>
            <w:u w:val="none"/>
          </w:rPr>
          <w:t>el Capítulo 1, Riesgos globales 2021</w:t>
        </w:r>
      </w:hyperlink>
      <w:r w:rsidRPr="00DE6AA4">
        <w:t>). A lo largo de la pandemia, la telemedicina en</w:t>
      </w:r>
      <w:r w:rsidRPr="00F2605B">
        <w:t xml:space="preserve"> muchos países ha permitido que los pacientes continúen su tratamiento minimizando el riesgo de transmisión de COVID-19.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Las herramientas digitales beneficiarán tanto a los trabajadores como a los empleadores: dos tercios de los empleadores esperan ver un retorno de su inversión en la mejora y actualización de las habilidades dentro de un año, mientras que la atención médica mejorada reduce los riesgos comerciales como la seguridad,</w:t>
      </w:r>
      <w:r>
        <w:t xml:space="preserve"> la continuidad y la reputación</w:t>
      </w:r>
      <w:r w:rsidRPr="00F2605B">
        <w:t xml:space="preserve">, pero también lo hará más tecnología inclusiva. Más empresas están trabajando con la sociedad civil en el diseño y la gobernanza de la tecnología y los servicios digitales. Al integrar a los grupos marginados y vulnerables en el desarrollo tecnológico, incluidos los de diferentes etnias y géneros, las empresas están reduciendo los sesgos y promoviendo el acceso a las tecnologías emergentes. El caso comercial de tales colaboraciones es que ayudan a que la tecnología esté más centrada en el usuario y sea más fácil de adoptar. Las aplicaciones de seguimiento de contactos de COVID-19 ya han demostrado cómo los enfoques de código abierto y los </w:t>
      </w:r>
      <w:r w:rsidRPr="00F2605B">
        <w:lastRenderedPageBreak/>
        <w:t>mecanismos de monitoreo pueden funcionar incluso con código propietario, lo que ayuda a que las tecnologías sean más inclusivas y representativas.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Ttulo1"/>
        <w:spacing w:before="0" w:beforeAutospacing="0" w:after="0" w:afterAutospacing="0"/>
        <w:jc w:val="both"/>
        <w:rPr>
          <w:b w:val="0"/>
          <w:bCs w:val="0"/>
          <w:sz w:val="24"/>
          <w:szCs w:val="24"/>
        </w:rPr>
      </w:pPr>
      <w:r w:rsidRPr="00F2605B">
        <w:rPr>
          <w:b w:val="0"/>
          <w:bCs w:val="0"/>
          <w:sz w:val="24"/>
          <w:szCs w:val="24"/>
        </w:rPr>
        <w:t>Pandemias: jóvenes en una era de oportunidades perdidas</w:t>
      </w:r>
    </w:p>
    <w:p w:rsidR="00D93BCE" w:rsidRPr="00F2605B" w:rsidRDefault="00D93BCE" w:rsidP="00D93BCE">
      <w:pPr>
        <w:pStyle w:val="Ttulo1"/>
        <w:spacing w:before="0" w:beforeAutospacing="0" w:after="0" w:afterAutospacing="0"/>
        <w:jc w:val="both"/>
        <w:rPr>
          <w:b w:val="0"/>
          <w:bCs w:val="0"/>
          <w:sz w:val="24"/>
          <w:szCs w:val="24"/>
        </w:rPr>
      </w:pPr>
    </w:p>
    <w:p w:rsidR="00D93BCE" w:rsidRPr="008E0064" w:rsidRDefault="00D93BCE" w:rsidP="00D93BCE">
      <w:pPr>
        <w:pStyle w:val="NormalWeb"/>
        <w:shd w:val="clear" w:color="auto" w:fill="FFFFFF"/>
        <w:spacing w:before="0" w:beforeAutospacing="0" w:after="0" w:afterAutospacing="0"/>
        <w:jc w:val="both"/>
        <w:rPr>
          <w:color w:val="FF0000"/>
          <w:u w:val="single"/>
        </w:rPr>
      </w:pPr>
      <w:r w:rsidRPr="008E0064">
        <w:rPr>
          <w:color w:val="FF0000"/>
          <w:u w:val="single"/>
        </w:rPr>
        <w:t>Los adultos jóvenes (de 15 a 24 años) de todo el mundo están experimentando su segunda gran crisis mundial en una década: entraron en la juventud en medio de la crisis financiera, y ahora están saliendo al comienzo de una pandemia que no se había visto en generaciones. Se enfrentarán a serios desafíos en su educación, perspectivas económicas y salud mental.</w:t>
      </w:r>
    </w:p>
    <w:p w:rsidR="00D93BCE" w:rsidRPr="008E0064" w:rsidRDefault="00D93BCE" w:rsidP="00D93BCE">
      <w:pPr>
        <w:pStyle w:val="NormalWeb"/>
        <w:shd w:val="clear" w:color="auto" w:fill="FFFFFF"/>
        <w:spacing w:before="0" w:beforeAutospacing="0" w:after="0" w:afterAutospacing="0"/>
        <w:jc w:val="both"/>
        <w:rPr>
          <w:color w:val="FF0000"/>
          <w:u w:val="single"/>
        </w:rPr>
      </w:pPr>
    </w:p>
    <w:p w:rsidR="00D93BCE" w:rsidRPr="008E0064" w:rsidRDefault="00D93BCE" w:rsidP="00D93BCE">
      <w:pPr>
        <w:pStyle w:val="NormalWeb"/>
        <w:shd w:val="clear" w:color="auto" w:fill="FFFFFF"/>
        <w:spacing w:before="0" w:beforeAutospacing="0" w:after="480" w:afterAutospacing="0"/>
        <w:jc w:val="both"/>
        <w:rPr>
          <w:color w:val="FF0000"/>
          <w:u w:val="single"/>
        </w:rPr>
      </w:pPr>
      <w:r w:rsidRPr="008E0064">
        <w:rPr>
          <w:color w:val="FF0000"/>
          <w:u w:val="single"/>
        </w:rPr>
        <w:t>La perspectiva para esta generación ya se había visto disminuida por la degradación ambiental, el aumento de la desigualdad (de muchos tipos: de género, intergeneracional, económica y étnica), diversos grados de violencia y la perturbación social de la transformación industrial posibilitada por la tecnología. Si bien el salto digital hacia adelante (consulte el </w:t>
      </w:r>
      <w:hyperlink r:id="rId42" w:history="1">
        <w:r w:rsidRPr="008E0064">
          <w:rPr>
            <w:rStyle w:val="Hipervnculo"/>
            <w:rFonts w:eastAsiaTheme="majorEastAsia"/>
            <w:color w:val="FF0000"/>
          </w:rPr>
          <w:t>Capítulo 2, Error 404</w:t>
        </w:r>
      </w:hyperlink>
      <w:r w:rsidRPr="008E0064">
        <w:rPr>
          <w:color w:val="FF0000"/>
          <w:u w:val="single"/>
        </w:rPr>
        <w:t>) abrió oportunidades para algunos jóvenes, muchos ahora están ingresando a la fuerza laboral en una era de hielo laboral.</w:t>
      </w:r>
    </w:p>
    <w:p w:rsidR="00D93BCE" w:rsidRDefault="00D93BCE" w:rsidP="00D93BCE">
      <w:pPr>
        <w:pStyle w:val="NormalWeb"/>
        <w:shd w:val="clear" w:color="auto" w:fill="FFFFFF"/>
        <w:spacing w:before="0" w:beforeAutospacing="0" w:after="0" w:afterAutospacing="0"/>
        <w:jc w:val="both"/>
        <w:rPr>
          <w:color w:val="FF0000"/>
          <w:u w:val="single"/>
        </w:rPr>
      </w:pPr>
      <w:r w:rsidRPr="008E0064">
        <w:rPr>
          <w:i/>
          <w:iCs/>
          <w:color w:val="FF0000"/>
          <w:u w:val="single"/>
        </w:rPr>
        <w:t>En mayo de 2020, la Perspectiva de riesgos de COVID-19</w:t>
      </w:r>
      <w:r w:rsidRPr="008E0064">
        <w:rPr>
          <w:color w:val="FF0000"/>
          <w:u w:val="single"/>
        </w:rPr>
        <w:t> del Foro Económ</w:t>
      </w:r>
      <w:r>
        <w:rPr>
          <w:color w:val="FF0000"/>
          <w:u w:val="single"/>
        </w:rPr>
        <w:t>ico Mundial advirtió sobre una “próxima generación perdida”</w:t>
      </w:r>
      <w:r w:rsidRPr="008E0064">
        <w:rPr>
          <w:color w:val="FF0000"/>
          <w:u w:val="single"/>
        </w:rPr>
        <w:t>. De acuerdo con la Encuesta de Percepción de Riesgos Globales (GRPS), la “desilusión de los jóvenes” es uno de los principales riesgos desatendidos que se convertirá en una amenaza crítica para el mundo en los próximos dos años (ver </w:t>
      </w:r>
      <w:hyperlink r:id="rId43" w:history="1">
        <w:r w:rsidRPr="008E0064">
          <w:rPr>
            <w:rStyle w:val="Hipervnculo"/>
            <w:rFonts w:eastAsiaTheme="majorEastAsia"/>
            <w:color w:val="FF0000"/>
          </w:rPr>
          <w:t>Figura II, Panorama de Riesgos Globales</w:t>
        </w:r>
      </w:hyperlink>
      <w:r w:rsidRPr="008E0064">
        <w:rPr>
          <w:color w:val="FF0000"/>
          <w:u w:val="single"/>
        </w:rPr>
        <w:t>). Para los encuestados más jóvenes del GRPS, los Global Shapers del Foro Económico Mundial, la “desilusión juvenil” también es un punto ciego principal (ver Cuadro 3.1). Las victorias sociales por las que tanto se ha luchado podrían quedar anuladas si la generación actual carece de caminos adecuados hacia oportunidades educativas y laborales.</w:t>
      </w:r>
    </w:p>
    <w:p w:rsidR="00D93BCE" w:rsidRPr="008E0064" w:rsidRDefault="00D93BCE" w:rsidP="00D93BCE">
      <w:pPr>
        <w:pStyle w:val="NormalWeb"/>
        <w:shd w:val="clear" w:color="auto" w:fill="FFFFFF"/>
        <w:spacing w:before="0" w:beforeAutospacing="0" w:after="0" w:afterAutospacing="0"/>
        <w:jc w:val="both"/>
        <w:rPr>
          <w:color w:val="FF0000"/>
          <w:u w:val="single"/>
        </w:rPr>
      </w:pPr>
    </w:p>
    <w:p w:rsidR="00D93BCE" w:rsidRPr="00F2605B" w:rsidRDefault="00D93BCE" w:rsidP="00D93BCE">
      <w:pPr>
        <w:pStyle w:val="Ttulo2"/>
        <w:shd w:val="clear" w:color="auto" w:fill="F4F4F4"/>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Recuadro 3.1: Panorama de riesgos 2021: la perspectiva de los Global Shapers</w:t>
      </w:r>
    </w:p>
    <w:p w:rsidR="00D93BCE" w:rsidRPr="00F2605B" w:rsidRDefault="00D93BCE" w:rsidP="00D93BCE">
      <w:pPr>
        <w:pStyle w:val="NormalWeb"/>
        <w:shd w:val="clear" w:color="auto" w:fill="F4F4F4"/>
        <w:spacing w:before="360" w:beforeAutospacing="0" w:after="480" w:afterAutospacing="0"/>
        <w:jc w:val="both"/>
      </w:pPr>
      <w:r w:rsidRPr="00F2605B">
        <w:t>La Comunidad Global Shapers es la red del Foro Económico Mundial de jóvenes que impulsan el diálogo, la acción y el cambio. Sus respuestas a la GRPS muestran una mayor aversión a los riesgos que la muestra de múltiples partes interesadas (ver Figura 3.1). Sin embargo, existen algunas similitudes: los Global Shapers también califican los riesgos relacionados con el clima como los riesgos a largo plazo más probables y de mayor impacto y la “desilusión juvenil” como un punto ciego global principal.</w:t>
      </w:r>
    </w:p>
    <w:p w:rsidR="00D93BCE" w:rsidRPr="00F2605B" w:rsidRDefault="00D93BCE" w:rsidP="00D93BCE">
      <w:pPr>
        <w:pStyle w:val="NormalWeb"/>
        <w:shd w:val="clear" w:color="auto" w:fill="F4F4F4"/>
        <w:spacing w:before="0" w:beforeAutospacing="0" w:after="480" w:afterAutospacing="0"/>
        <w:jc w:val="both"/>
      </w:pPr>
      <w:r w:rsidRPr="00F2605B">
        <w:t>Las percepciones de los Moldeadores sobre amenazas críticas para el mundo muestran un patrón revelador. Ven los riesgos personales como amenazas inmediatas, los riesgos macro a mediano plazo y los riesgos geopolíticos fundamentales a largo plazo.</w:t>
      </w:r>
    </w:p>
    <w:p w:rsidR="00D93BCE" w:rsidRPr="00F2605B" w:rsidRDefault="00D93BCE" w:rsidP="00D93BCE">
      <w:pPr>
        <w:pStyle w:val="NormalWeb"/>
        <w:shd w:val="clear" w:color="auto" w:fill="F4F4F4"/>
        <w:spacing w:before="0" w:beforeAutospacing="0" w:after="480" w:afterAutospacing="0"/>
        <w:jc w:val="both"/>
      </w:pPr>
      <w:r w:rsidRPr="00F2605B">
        <w:rPr>
          <w:rStyle w:val="Textoennegrita"/>
        </w:rPr>
        <w:t>Principales riesgos por horizonte</w:t>
      </w:r>
    </w:p>
    <w:p w:rsidR="00D93BCE" w:rsidRPr="008E0064" w:rsidRDefault="00D93BCE" w:rsidP="00D93BCE">
      <w:pPr>
        <w:numPr>
          <w:ilvl w:val="0"/>
          <w:numId w:val="2"/>
        </w:numPr>
        <w:shd w:val="clear" w:color="auto" w:fill="F4F4F4"/>
        <w:spacing w:after="240" w:line="240" w:lineRule="auto"/>
        <w:ind w:left="300"/>
        <w:jc w:val="both"/>
        <w:rPr>
          <w:rFonts w:ascii="Times New Roman" w:hAnsi="Times New Roman" w:cs="Times New Roman"/>
          <w:color w:val="FF0000"/>
          <w:sz w:val="24"/>
          <w:szCs w:val="24"/>
          <w:u w:val="single"/>
        </w:rPr>
      </w:pPr>
      <w:r w:rsidRPr="008E0064">
        <w:rPr>
          <w:rFonts w:ascii="Times New Roman" w:hAnsi="Times New Roman" w:cs="Times New Roman"/>
          <w:color w:val="FF0000"/>
          <w:sz w:val="24"/>
          <w:szCs w:val="24"/>
          <w:u w:val="single"/>
        </w:rPr>
        <w:t>Corto plazo (0-2 años): “deterioro de la salud mental”, “crisis de subsistencia” y “enfermedades infecciosas”</w:t>
      </w:r>
    </w:p>
    <w:p w:rsidR="00D93BCE" w:rsidRPr="008E0064" w:rsidRDefault="00D93BCE" w:rsidP="00D93BCE">
      <w:pPr>
        <w:numPr>
          <w:ilvl w:val="0"/>
          <w:numId w:val="2"/>
        </w:numPr>
        <w:shd w:val="clear" w:color="auto" w:fill="F4F4F4"/>
        <w:spacing w:after="240" w:line="240" w:lineRule="auto"/>
        <w:ind w:left="300"/>
        <w:jc w:val="both"/>
        <w:rPr>
          <w:rFonts w:ascii="Times New Roman" w:hAnsi="Times New Roman" w:cs="Times New Roman"/>
          <w:color w:val="FF0000"/>
          <w:sz w:val="24"/>
          <w:szCs w:val="24"/>
          <w:u w:val="single"/>
        </w:rPr>
      </w:pPr>
      <w:r w:rsidRPr="008E0064">
        <w:rPr>
          <w:rFonts w:ascii="Times New Roman" w:hAnsi="Times New Roman" w:cs="Times New Roman"/>
          <w:color w:val="FF0000"/>
          <w:sz w:val="24"/>
          <w:szCs w:val="24"/>
          <w:u w:val="single"/>
        </w:rPr>
        <w:lastRenderedPageBreak/>
        <w:t>Mediano plazo (3 a 5 años): “ruptura de la infraestructura de TI”, “geopolitización de recursos”, “inestabilidad de precios” y “explosión de la burbuja de activos”</w:t>
      </w:r>
    </w:p>
    <w:p w:rsidR="00D93BCE" w:rsidRPr="008E0064" w:rsidRDefault="00D93BCE" w:rsidP="00D93BCE">
      <w:pPr>
        <w:numPr>
          <w:ilvl w:val="0"/>
          <w:numId w:val="2"/>
        </w:numPr>
        <w:shd w:val="clear" w:color="auto" w:fill="F4F4F4"/>
        <w:spacing w:after="240" w:line="240" w:lineRule="auto"/>
        <w:ind w:left="300"/>
        <w:jc w:val="both"/>
        <w:rPr>
          <w:rFonts w:ascii="Times New Roman" w:hAnsi="Times New Roman" w:cs="Times New Roman"/>
          <w:color w:val="FF0000"/>
          <w:sz w:val="24"/>
          <w:szCs w:val="24"/>
          <w:u w:val="single"/>
        </w:rPr>
      </w:pPr>
      <w:r w:rsidRPr="008E0064">
        <w:rPr>
          <w:rFonts w:ascii="Times New Roman" w:hAnsi="Times New Roman" w:cs="Times New Roman"/>
          <w:color w:val="FF0000"/>
          <w:sz w:val="24"/>
          <w:szCs w:val="24"/>
          <w:u w:val="single"/>
        </w:rPr>
        <w:t>Largo plazo (5-10 años): “armas de destrucción masiva”, “colapso del multilateralismo” y “colapso del Estado”</w:t>
      </w:r>
    </w:p>
    <w:p w:rsidR="00D93BCE" w:rsidRPr="00F2605B" w:rsidRDefault="00D93BCE" w:rsidP="00D93BCE">
      <w:pPr>
        <w:pStyle w:val="NormalWeb"/>
        <w:shd w:val="clear" w:color="auto" w:fill="F4F4F4"/>
        <w:spacing w:before="0" w:beforeAutospacing="0" w:after="480" w:afterAutospacing="0"/>
        <w:jc w:val="both"/>
      </w:pPr>
      <w:r w:rsidRPr="00F2605B">
        <w:rPr>
          <w:rStyle w:val="Textoennegrita"/>
        </w:rPr>
        <w:t>Puntos ciegos superiores</w:t>
      </w:r>
    </w:p>
    <w:p w:rsidR="00D93BCE" w:rsidRPr="008E0064" w:rsidRDefault="00D93BCE" w:rsidP="00D93BCE">
      <w:pPr>
        <w:numPr>
          <w:ilvl w:val="0"/>
          <w:numId w:val="3"/>
        </w:numPr>
        <w:shd w:val="clear" w:color="auto" w:fill="F4F4F4"/>
        <w:spacing w:after="240" w:line="240" w:lineRule="auto"/>
        <w:ind w:left="300"/>
        <w:jc w:val="both"/>
        <w:rPr>
          <w:rFonts w:ascii="Times New Roman" w:hAnsi="Times New Roman" w:cs="Times New Roman"/>
          <w:color w:val="FF0000"/>
          <w:sz w:val="24"/>
          <w:szCs w:val="24"/>
          <w:u w:val="single"/>
        </w:rPr>
      </w:pPr>
      <w:r w:rsidRPr="008E0064">
        <w:rPr>
          <w:rFonts w:ascii="Times New Roman" w:hAnsi="Times New Roman" w:cs="Times New Roman"/>
          <w:color w:val="FF0000"/>
          <w:sz w:val="24"/>
          <w:szCs w:val="24"/>
          <w:u w:val="single"/>
        </w:rPr>
        <w:t>“Fracaso de la acción climática”, “deterioro de la salud mental” y “desilusión juvenil”</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Una generación marcada</w:t>
      </w:r>
    </w:p>
    <w:p w:rsidR="00D93BCE" w:rsidRPr="008E0064" w:rsidRDefault="00D93BCE" w:rsidP="00D93BCE">
      <w:pPr>
        <w:pStyle w:val="NormalWeb"/>
        <w:shd w:val="clear" w:color="auto" w:fill="FFFFFF"/>
        <w:spacing w:before="360" w:beforeAutospacing="0" w:after="480" w:afterAutospacing="0"/>
        <w:jc w:val="both"/>
        <w:rPr>
          <w:color w:val="FF0000"/>
          <w:u w:val="single"/>
        </w:rPr>
      </w:pPr>
      <w:r w:rsidRPr="008E0064">
        <w:rPr>
          <w:color w:val="FF0000"/>
          <w:u w:val="single"/>
        </w:rPr>
        <w:t>Los jóvenes de hoy ya tienen las cicatrices de una crisis financiera de una década, un sistema educativo obsoleto y una crisis climática arraigada, así como la violencia en muchos lugares.</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Disparidades crecientes</w:t>
      </w:r>
    </w:p>
    <w:p w:rsidR="00D93BCE" w:rsidRDefault="00D93BCE" w:rsidP="00D93BCE">
      <w:pPr>
        <w:pStyle w:val="NormalWeb"/>
        <w:shd w:val="clear" w:color="auto" w:fill="FFFFFF"/>
        <w:spacing w:before="0" w:beforeAutospacing="0" w:after="0" w:afterAutospacing="0"/>
        <w:jc w:val="both"/>
      </w:pPr>
      <w:r w:rsidRPr="00F2605B">
        <w:rPr>
          <w:b/>
          <w:bCs/>
        </w:rPr>
        <w:br/>
      </w:r>
      <w:r w:rsidRPr="008E0064">
        <w:rPr>
          <w:u w:val="single"/>
        </w:rPr>
        <w:t>Las políticas fiscales globales posteriores a la Gran Recesión llevaron a ganancias de prosperidad desiguales entre sociedades y generaciones</w:t>
      </w:r>
      <w:r w:rsidRPr="00F2605B">
        <w:t>. Los paquetes de estímulo financiero a gran escala fueron insuficientes para que las generaciones más jóvenes recuperaran el equilibrio, y las medidas de austeridad obstaculizaron la inversión en educación, estrechando un importante canal de movilidad. Como resultado, muchos jóvenes se han quedado en trabajos de servicios precarios que son vulnerables a grandes conmociones. Antes de COVID, los niños y jóvenes representaban dos tercios de los pobres del mundo. COVID-19 ha empeorado severamente esta situación. Si bien se espera que la proporción de jóvenes aumente en África, donde la edad promedio actualmente es de solo 19,7 años, Oceanía, Europa y el sudeste asiático verán disminuciones en sus pob</w:t>
      </w:r>
      <w:r>
        <w:t>laciones de jóvenes para 2050,</w:t>
      </w:r>
      <w:r w:rsidRPr="00F2605B">
        <w:t> que se suma a los desafí</w:t>
      </w:r>
      <w:r>
        <w:t xml:space="preserve">os demográficos del desempleo, </w:t>
      </w:r>
      <w:r w:rsidRPr="00F2605B">
        <w:t>y el e</w:t>
      </w:r>
      <w:r>
        <w:t>nvejecimiento en esas regiones.</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8E0064">
        <w:rPr>
          <w:u w:val="single"/>
        </w:rPr>
        <w:t>Las desigualdades regionales persisten más allá de la economía fundamental; estas disparidades son visibles en el acceso a la educación, los sistemas de salud, la seguridad social y la protección contra la violencia y los conflictos.</w:t>
      </w:r>
      <w:r w:rsidRPr="00F2605B">
        <w:t> Antes de la pandemia, casi el 44% de las niñas y el 34% de los niños de los estratos más pobres de la sociedad no completaron la escuela primaria. En los últimos años, las ganancias en las tasas de retención de jóvenes se han desacelerado. La salud también se ha deteriorado para los jóvenes: las enfermedades no transmisibles, que conllevan riesgos para la salud a largo plazo durante la edad adulta y la vejez, aumentaron marcadamente entre los adolescentes, y más jóvenes enfrentan los efectos de sistemas de salud sobrecargados en sus países.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8E0064">
        <w:rPr>
          <w:u w:val="single"/>
        </w:rPr>
        <w:t>La violencia agrava estos desafíos estructurales</w:t>
      </w:r>
      <w:r w:rsidRPr="00F2605B">
        <w:t>. Los conflictos de una década obstaculizaron las perspectivas de los jóvenes en Asia Central, América Latina, Oriente Medio y África Occidental y Central. Como resultado, un número récord de niños y jóvenes se encuentran ahora entre los refugiados del mundo. En las economías avanzadas, los jóvenes se ven asediados por amenazas de violencia armada, terrorismo doméstico y fricciones sociales profundas que podrían convertirse en más violencia.</w:t>
      </w:r>
    </w:p>
    <w:p w:rsidR="00D93BCE" w:rsidRPr="00F2605B" w:rsidRDefault="00D93BCE" w:rsidP="00D93BCE">
      <w:pPr>
        <w:pStyle w:val="NormalWeb"/>
        <w:shd w:val="clear" w:color="auto" w:fill="FFFFFF"/>
        <w:spacing w:before="0" w:beforeAutospacing="0" w:after="0" w:afterAutospacing="0"/>
        <w:jc w:val="both"/>
      </w:pPr>
    </w:p>
    <w:p w:rsidR="00D93BCE" w:rsidRPr="008E0064" w:rsidRDefault="00D93BCE" w:rsidP="00D93BCE">
      <w:pPr>
        <w:pStyle w:val="NormalWeb"/>
        <w:shd w:val="clear" w:color="auto" w:fill="FFFFFF"/>
        <w:spacing w:before="0" w:beforeAutospacing="0" w:after="480" w:afterAutospacing="0"/>
        <w:jc w:val="both"/>
        <w:rPr>
          <w:color w:val="FF0000"/>
          <w:u w:val="single"/>
        </w:rPr>
      </w:pPr>
      <w:r w:rsidRPr="008E0064">
        <w:rPr>
          <w:color w:val="FF0000"/>
          <w:u w:val="single"/>
        </w:rPr>
        <w:t xml:space="preserve">La privación de derechos de los jóvenes se ha visto amplificada por la decepción por la lenta recuperación económica de la crisis financiera de 2008-2009, la frustración por las élites </w:t>
      </w:r>
      <w:r w:rsidRPr="008E0064">
        <w:rPr>
          <w:color w:val="FF0000"/>
          <w:u w:val="single"/>
        </w:rPr>
        <w:lastRenderedPageBreak/>
        <w:t>aparentemente corruptas e ineficaces y las fallas socioeconómicas que han expuesto injusticias profundamente arraigadas. Este descontento ha sido evidenciado por el creciente número de movimientos dirigidos por jóvenes que han estallado en la última década, entre ellos la Primavera Árabe, las huelgas climáticas globales y los movimientos de derechos civiles que buscan una mayor igualdad social y racial.</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Sistemas educativos frágiles</w:t>
      </w:r>
    </w:p>
    <w:p w:rsidR="00D93BCE" w:rsidRDefault="00D93BCE" w:rsidP="00D93BCE">
      <w:pPr>
        <w:pStyle w:val="NormalWeb"/>
        <w:shd w:val="clear" w:color="auto" w:fill="FFFFFF"/>
        <w:spacing w:before="0" w:beforeAutospacing="0" w:after="0" w:afterAutospacing="0"/>
        <w:jc w:val="both"/>
      </w:pPr>
      <w:r w:rsidRPr="00F2605B">
        <w:rPr>
          <w:b/>
          <w:bCs/>
        </w:rPr>
        <w:br/>
      </w:r>
      <w:r w:rsidRPr="00F2605B">
        <w:t>El año 2020 vio desafíos sin precedentes para el sistema educativo mundial. Durante la primera ola de confinamientos por la pandemia, el 80 % de los estudiantes en todo el mundo no asistía a la escuela, ya que la enseñanza tradicional en el aula quedó silenciada. A pesar de la adaptación mundial para la enseñanza remota a través de la televisión, la radio e Internet, hubo marcadas diferencias regionales en la capacidad; al menos el 30% de la población estudiantil mundial carecía de la tecnología para participar en el aprendizaje digital y de transmisión. Si bien las medidas de adaptación permitieron que las escuelas reabrieran eventualmente, quedaron muchos desafíos durante las oleadas posteriores de COVID-19 debido a las respuestas gubernamentales ineficaces o lentas.</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El cierre de escuelas agravó las desigualdades de los jóvenes entre las sociedades y dentro de ellas porque las mujeres jóvenes y las de estatus socioeconómico desfavorecido fueron las más afectadas. Los estudiantes en hogares de altos ingresos se beneficiaron potencialmente de arreglos de aprendizaje más específicos e individualizados, pero los jóvenes con pocos recursos lucharon por participar en oportunidades educativas en ausencia de conectividad digital, apoyo de adultos o espacio adecuado para estudiar en el hogar. Para otros, los cierres de fronteras comp</w:t>
      </w:r>
      <w:r>
        <w:t>licaron la movilidad educativa.</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La educación en el hogar y el trabajo en el hogar aumentaron el estrés en el hogar y la incidencia de la violencia contra los adultos jóvenes. En áreas donde la escuela brinda acceso a alimentos y un espacio seguro, el cierre de escuelas pone a los estudiantes en mayor riesgo de trabajo infantil, reclutamiento por parte del crimen organizado, </w:t>
      </w:r>
      <w:r>
        <w:t>trata de personas, </w:t>
      </w:r>
      <w:r w:rsidRPr="00F2605B">
        <w:t>y violencia armada. En la región del Sahel en África, donde las escuelas ya estaban bajo amenaza de violencia, COVID-19 obligó a cerrar escuelas seguras, lo que provocó un aumento de las violaciones físicas contra los niños y el reclutamiento para los combates.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El cierre de escuelas ha tenido consecuencias devastadoras para las mujeres jóvenes. La violencia de género ha aumentado a niv</w:t>
      </w:r>
      <w:r>
        <w:t>el mundial durante la pandemia,</w:t>
      </w:r>
      <w:r w:rsidRPr="00F2605B">
        <w:t> y las violaciones aumentaron tanto en países avanzados como en desarrollo. Se espera que aumenten los embarazos adolescentes, desde América Latina hasta Asia oriental y África </w:t>
      </w:r>
      <w:r>
        <w:t> -</w:t>
      </w:r>
      <w:r w:rsidRPr="00F2605B">
        <w:t>crisis de salud anteriores sugieren que algunas de estas niñas podrían verse impedidas de regresar a la escuela. A nivel mundial, el COVID-19 y su “pandemia en la sombra” en niñas y mujeres jóvenes corren el riesgo de revertir 25 años de logros globales en la educación de las niñas, exponiendo a las niñas a una mayor probabilidad de matrimonio entre menores de edad.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Conmoción en el empleo</w:t>
      </w:r>
    </w:p>
    <w:p w:rsidR="00D93BCE" w:rsidRDefault="00D93BCE" w:rsidP="00D93BCE">
      <w:pPr>
        <w:pStyle w:val="NormalWeb"/>
        <w:shd w:val="clear" w:color="auto" w:fill="FFFFFF"/>
        <w:spacing w:before="0" w:beforeAutospacing="0" w:after="0" w:afterAutospacing="0"/>
        <w:jc w:val="both"/>
      </w:pPr>
      <w:r w:rsidRPr="00F2605B">
        <w:rPr>
          <w:b/>
          <w:bCs/>
        </w:rPr>
        <w:br/>
      </w:r>
      <w:r w:rsidRPr="000361B3">
        <w:rPr>
          <w:color w:val="FF0000"/>
          <w:u w:val="single"/>
        </w:rPr>
        <w:t xml:space="preserve">Aunque muchas economías se recuperaron de la crisis financiera de 2008-2009, las más afectadas por la Gran Recesión nunca lo hicieron por completo. Como resultado, el desempleo juvenil ha aumentado a nivel mundial desde 2008. Las políticas nacionales aún no </w:t>
      </w:r>
      <w:r w:rsidRPr="000361B3">
        <w:rPr>
          <w:color w:val="FF0000"/>
          <w:u w:val="single"/>
        </w:rPr>
        <w:lastRenderedPageBreak/>
        <w:t>logran levantar a los jóvenes en muchos casos</w:t>
      </w:r>
      <w:r w:rsidRPr="00F2605B">
        <w:t>. Las transformaciones estructurales débiles han fracasado en gran medida a la hora de reducir el desempleo juvenil sistémico y obstinadamente elevado, especialmente en Oriente Medio y África del Norte. </w:t>
      </w:r>
    </w:p>
    <w:p w:rsidR="00D93BCE" w:rsidRDefault="00D93BCE" w:rsidP="00D93BCE">
      <w:pPr>
        <w:pStyle w:val="NormalWeb"/>
        <w:shd w:val="clear" w:color="auto" w:fill="FFFFFF"/>
        <w:spacing w:before="0" w:beforeAutospacing="0" w:after="0" w:afterAutospacing="0"/>
        <w:jc w:val="both"/>
      </w:pPr>
    </w:p>
    <w:p w:rsidR="00D93BCE" w:rsidRPr="000A03A0"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Cuadro 3.1: Estimaciones globales del empleo juvenil en los sectore</w:t>
      </w:r>
      <w:r>
        <w:rPr>
          <w:rFonts w:ascii="Times New Roman" w:hAnsi="Times New Roman" w:cs="Times New Roman"/>
          <w:b w:val="0"/>
          <w:bCs w:val="0"/>
          <w:color w:val="auto"/>
          <w:sz w:val="24"/>
          <w:szCs w:val="24"/>
        </w:rPr>
        <w:t>s más afectados por el COVID-19</w:t>
      </w:r>
    </w:p>
    <w:p w:rsidR="00D93BCE"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rPr>
          <w:noProof/>
        </w:rPr>
        <w:drawing>
          <wp:inline distT="0" distB="0" distL="0" distR="0" wp14:anchorId="29447CCA" wp14:editId="437408AE">
            <wp:extent cx="5645150" cy="5588000"/>
            <wp:effectExtent l="0" t="0" r="0" b="0"/>
            <wp:docPr id="112" name="Imagen 112" descr="http://reports.weforum.org/global-risks-report-2021/files/2021/0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reports.weforum.org/global-risks-report-2021/files/2021/01/3.1-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45150" cy="5588000"/>
                    </a:xfrm>
                    <a:prstGeom prst="rect">
                      <a:avLst/>
                    </a:prstGeom>
                    <a:noFill/>
                    <a:ln>
                      <a:noFill/>
                    </a:ln>
                  </pic:spPr>
                </pic:pic>
              </a:graphicData>
            </a:graphic>
          </wp:inline>
        </w:drawing>
      </w:r>
    </w:p>
    <w:p w:rsidR="00D93BCE" w:rsidRDefault="00D93BCE" w:rsidP="00D93BCE">
      <w:pPr>
        <w:pStyle w:val="NormalWeb"/>
        <w:shd w:val="clear" w:color="auto" w:fill="FFFFFF"/>
        <w:spacing w:before="0" w:beforeAutospacing="0" w:after="0" w:afterAutospacing="0"/>
        <w:jc w:val="both"/>
      </w:pPr>
    </w:p>
    <w:p w:rsidR="00D93BCE" w:rsidRPr="00DE6AA4" w:rsidRDefault="00D93BCE" w:rsidP="00D93BCE">
      <w:pPr>
        <w:pStyle w:val="NormalWeb"/>
        <w:shd w:val="clear" w:color="auto" w:fill="FFFFFF"/>
        <w:spacing w:before="0" w:beforeAutospacing="0" w:after="480" w:afterAutospacing="0"/>
        <w:jc w:val="both"/>
      </w:pPr>
      <w:r w:rsidRPr="000A03A0">
        <w:t xml:space="preserve">Fuente: OIT. 2020. ILO Monitor: COVID-19 y el mundo del trabajo. Cuarta edición. 27 de mayo de 2020. Organización Internacional del </w:t>
      </w:r>
      <w:r w:rsidRPr="00DE6AA4">
        <w:t>Trabajo. pags. 2. </w:t>
      </w:r>
      <w:hyperlink r:id="rId45" w:history="1">
        <w:r w:rsidRPr="00DE6AA4">
          <w:rPr>
            <w:rStyle w:val="Hipervnculo"/>
            <w:rFonts w:eastAsiaTheme="majorEastAsia"/>
            <w:color w:val="auto"/>
            <w:u w:val="none"/>
          </w:rPr>
          <w:t>https://www.ilo.org/wcmsp5/groups/public/—dgreports/—dcomm/documents/briefingnote/wcms_745963.pdf</w:t>
        </w:r>
      </w:hyperlink>
    </w:p>
    <w:p w:rsidR="00D93BCE" w:rsidRPr="00F2605B" w:rsidRDefault="00D93BCE" w:rsidP="00D93BCE">
      <w:pPr>
        <w:pStyle w:val="NormalWeb"/>
        <w:shd w:val="clear" w:color="auto" w:fill="FFFFFF"/>
        <w:spacing w:before="0" w:beforeAutospacing="0" w:after="480" w:afterAutospacing="0"/>
        <w:jc w:val="both"/>
      </w:pPr>
      <w:r w:rsidRPr="00F2605B">
        <w:t xml:space="preserve">Nota: Las calificaciones de impacto se basan en la evaluación de la OIT de datos financieros y en tiempo real (consulte la segunda edición de ILO Monitor, publicada el 7 de abril de </w:t>
      </w:r>
      <w:r w:rsidRPr="00F2605B">
        <w:lastRenderedPageBreak/>
        <w:t>2020), los datos de referencia de ILOSTAT sobre la distribución sectorial del empleo (ISIC Rev. 4) y la OIT Microdatos Armonizados.</w:t>
      </w:r>
    </w:p>
    <w:p w:rsidR="00D93BCE" w:rsidRPr="000361B3" w:rsidRDefault="00D93BCE" w:rsidP="00D93BCE">
      <w:pPr>
        <w:pStyle w:val="NormalWeb"/>
        <w:shd w:val="clear" w:color="auto" w:fill="FFFFFF"/>
        <w:spacing w:before="0" w:beforeAutospacing="0" w:after="0" w:afterAutospacing="0"/>
        <w:jc w:val="both"/>
        <w:rPr>
          <w:color w:val="FF0000"/>
          <w:u w:val="single"/>
        </w:rPr>
      </w:pPr>
      <w:r w:rsidRPr="000361B3">
        <w:rPr>
          <w:color w:val="FF0000"/>
          <w:u w:val="single"/>
        </w:rPr>
        <w:t>El aumento de los esquemas de trabajo no consolidados que se originan en la economía de “gig”, las pasantías no remuneradas o mal pagadas y el alto número continuo de jóvenes en el mercado informal han alentado a los trabajadores jóvenes a saltar entre trabajos de corto plazo mal pagados. Al mismo tiempo, las distorsiones del mercado laboral redujeron las oportunidades de empleo para los adultos jóvenes: un déficit de oportunidades de empleo para jóvenes altamente educados en algunos sectores y una “crisis de habilidades” en otros.  Las respuestas políticas a la COVID-19 exacerbaron aún más la marginación de los trabajadores jóvenes</w:t>
      </w:r>
      <w:r w:rsidRPr="00F2605B">
        <w:t>. </w:t>
      </w:r>
      <w:r w:rsidRPr="000361B3">
        <w:rPr>
          <w:color w:val="FF0000"/>
          <w:u w:val="single"/>
        </w:rPr>
        <w:t>La economía global se desplomó en el segundo trimestre de 2020 (consulte </w:t>
      </w:r>
      <w:hyperlink r:id="rId46" w:history="1">
        <w:r w:rsidRPr="000361B3">
          <w:rPr>
            <w:rStyle w:val="Hipervnculo"/>
            <w:rFonts w:eastAsiaTheme="majorEastAsia"/>
            <w:color w:val="FF0000"/>
          </w:rPr>
          <w:t>el Capítulo 1, Riesgos globales 2021</w:t>
        </w:r>
      </w:hyperlink>
      <w:r w:rsidRPr="000361B3">
        <w:rPr>
          <w:color w:val="FF0000"/>
          <w:u w:val="single"/>
        </w:rPr>
        <w:t>), lo que afectó de manera desproporcionada los ingresos de los adultos jóvenes. En muchas economías, fueron los primeros en perder sus trabajos debido a los cierres. Muchos adultos jóvenes trabajan en los sectores más afectados por la pandemia (ver Tabla 3.1), como la industria de servicios y la manufactura, a menudo con contratos temporales o de tiempo parcial con protección laboral limitada. El sector informal, donde están empleados casi el 80% de los trabajadores jóvenes del mundo, se vio particularmente afectado. En total, es probable que aumente el número de jóvenes que no tienen empleo, ni educación ni formación (NINI), que ya era del 21 % a principios de 2020, el próximo año. </w:t>
      </w:r>
    </w:p>
    <w:p w:rsidR="00D93BCE" w:rsidRPr="000361B3" w:rsidRDefault="00D93BCE" w:rsidP="00D93BCE">
      <w:pPr>
        <w:pStyle w:val="NormalWeb"/>
        <w:shd w:val="clear" w:color="auto" w:fill="FFFFFF"/>
        <w:spacing w:before="0" w:beforeAutospacing="0" w:after="0" w:afterAutospacing="0"/>
        <w:jc w:val="both"/>
        <w:rPr>
          <w:color w:val="FF0000"/>
          <w:u w:val="single"/>
        </w:rPr>
      </w:pPr>
    </w:p>
    <w:p w:rsidR="00D93BCE" w:rsidRPr="000361B3" w:rsidRDefault="00D93BCE" w:rsidP="00D93BCE">
      <w:pPr>
        <w:pStyle w:val="NormalWeb"/>
        <w:shd w:val="clear" w:color="auto" w:fill="FFFFFF"/>
        <w:spacing w:before="0" w:beforeAutospacing="0" w:after="0" w:afterAutospacing="0"/>
        <w:jc w:val="both"/>
        <w:rPr>
          <w:color w:val="FF0000"/>
          <w:u w:val="single"/>
        </w:rPr>
      </w:pPr>
      <w:r w:rsidRPr="000361B3">
        <w:rPr>
          <w:color w:val="FF0000"/>
          <w:u w:val="single"/>
        </w:rPr>
        <w:t>Las perspectivas de empleo de los adultos jóvenes estaban siendo desafiadas por la automatización, así como por la disrupción de la Cuarta Revolución Industrial, antes de que las oportunidades educativas interrumpidas y la pérdida de empleo los retrasaran aún más. El desempleo juvenil puede aumentar en todas las regiones, dado que se espera que una mayor reestructuración sectorial y cambios en los hábitos de consumo (ver </w:t>
      </w:r>
      <w:hyperlink r:id="rId47" w:history="1">
        <w:r w:rsidRPr="000361B3">
          <w:rPr>
            <w:rStyle w:val="Hipervnculo"/>
            <w:rFonts w:eastAsiaTheme="majorEastAsia"/>
            <w:color w:val="FF0000"/>
          </w:rPr>
          <w:t>Capítulo 5, Mercados imperfectos</w:t>
        </w:r>
      </w:hyperlink>
      <w:r w:rsidRPr="000361B3">
        <w:rPr>
          <w:color w:val="FF0000"/>
          <w:u w:val="single"/>
        </w:rPr>
        <w:t>) desencadenen despidos masivos. También se prevé que disminuyan los empleos de salarios bajos, que podrían proporcionar una red de seguridad para los trabajadores jóvenes que comienzan sus carreras. </w:t>
      </w:r>
    </w:p>
    <w:p w:rsidR="00D93BCE" w:rsidRPr="000361B3" w:rsidRDefault="00D93BCE" w:rsidP="00D93BCE">
      <w:pPr>
        <w:pStyle w:val="NormalWeb"/>
        <w:shd w:val="clear" w:color="auto" w:fill="FFFFFF"/>
        <w:spacing w:before="360" w:beforeAutospacing="0" w:after="480" w:afterAutospacing="0"/>
        <w:jc w:val="both"/>
        <w:rPr>
          <w:color w:val="FF0000"/>
          <w:u w:val="single"/>
        </w:rPr>
      </w:pPr>
      <w:r w:rsidRPr="000361B3">
        <w:rPr>
          <w:color w:val="FF0000"/>
          <w:u w:val="single"/>
        </w:rPr>
        <w:t>Las “pandemias” corren el riesgo de convertirse en la doble generación perdida del siglo XXI. La falta de oportunidades para la futura participación económica, social y política podría tener consecuencias globales duraderas.</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 xml:space="preserve">Un camino más estrecho para los jóvenes </w:t>
      </w:r>
    </w:p>
    <w:p w:rsidR="00D93BCE" w:rsidRDefault="00D93BCE" w:rsidP="00D93BCE">
      <w:pPr>
        <w:pStyle w:val="NormalWeb"/>
        <w:shd w:val="clear" w:color="auto" w:fill="FFFFFF"/>
        <w:spacing w:before="0" w:beforeAutospacing="0" w:after="0" w:afterAutospacing="0"/>
        <w:jc w:val="both"/>
        <w:rPr>
          <w:rStyle w:val="Textoennegrita"/>
        </w:rPr>
      </w:pPr>
    </w:p>
    <w:p w:rsidR="00D93BCE" w:rsidRPr="000361B3" w:rsidRDefault="00D93BCE" w:rsidP="00D93BCE">
      <w:pPr>
        <w:pStyle w:val="NormalWeb"/>
        <w:shd w:val="clear" w:color="auto" w:fill="FFFFFF"/>
        <w:spacing w:before="0" w:beforeAutospacing="0" w:after="0" w:afterAutospacing="0"/>
        <w:jc w:val="both"/>
        <w:rPr>
          <w:color w:val="FF0000"/>
          <w:u w:val="single"/>
        </w:rPr>
      </w:pPr>
      <w:r w:rsidRPr="000361B3">
        <w:rPr>
          <w:rStyle w:val="Textoennegrita"/>
          <w:color w:val="FF0000"/>
          <w:u w:val="single"/>
        </w:rPr>
        <w:t>Los</w:t>
      </w:r>
      <w:r w:rsidRPr="000361B3">
        <w:rPr>
          <w:b/>
          <w:bCs/>
          <w:color w:val="FF0000"/>
          <w:u w:val="single"/>
        </w:rPr>
        <w:t xml:space="preserve"> </w:t>
      </w:r>
      <w:r w:rsidRPr="000361B3">
        <w:rPr>
          <w:color w:val="FF0000"/>
          <w:u w:val="single"/>
        </w:rPr>
        <w:t>confinamientos pueden causar una pérdida de educación de al menos un semestre, lo que, al igual que el ausentismo, podría afectar el desempeño académico futuro, aumentar las tasas de deserción e inducir comportamientos de salud más riesgosos. Esto podría dificultar que los estudiantes de los niveles secundario y terciario adquieran las habilidades necesarias para continuar con la educación o la formación profesional, o incluso para conseguir puestos de trabajo de nivel inicial. Y dicha educación o capacitación adicional es aún más importante para los “empleos del futuro”. Los jóvenes de hogares de bajos ingresos corren el riesgo de perderse la educación por completo si se les envía a trabajar en lugar de volver a la escuela.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 xml:space="preserve">Las mujeres jóvenes corren el riesgo de quedarse fuera de la escuela para realizar tareas domésticas o agrícolas, no poder terminar su educación secundaria o no poder regresar al trabajo después de salir durante la pandemia por responsabilidades de cuidado; los hombres </w:t>
      </w:r>
      <w:r w:rsidRPr="00F2605B">
        <w:lastRenderedPageBreak/>
        <w:t>jóvenes podrían enfrentar una mayor presión financiera en sociedades donde son el único contribuyente financiero del hogar. Cabe esperar un aumento de las desigualdades educativas, socioeconómicas y de género.</w:t>
      </w:r>
    </w:p>
    <w:p w:rsidR="00D93BCE" w:rsidRPr="00F2605B" w:rsidRDefault="00D93BCE" w:rsidP="00D93BCE">
      <w:pPr>
        <w:pStyle w:val="NormalWeb"/>
        <w:shd w:val="clear" w:color="auto" w:fill="FFFFFF"/>
        <w:spacing w:before="0" w:beforeAutospacing="0" w:after="0" w:afterAutospacing="0"/>
        <w:jc w:val="both"/>
      </w:pPr>
    </w:p>
    <w:p w:rsidR="00D93BCE" w:rsidRPr="000361B3" w:rsidRDefault="00D93BCE" w:rsidP="00D93BCE">
      <w:pPr>
        <w:pStyle w:val="NormalWeb"/>
        <w:shd w:val="clear" w:color="auto" w:fill="FFFFFF"/>
        <w:spacing w:before="0" w:beforeAutospacing="0" w:after="0" w:afterAutospacing="0"/>
        <w:jc w:val="both"/>
        <w:rPr>
          <w:color w:val="FF0000"/>
          <w:u w:val="single"/>
        </w:rPr>
      </w:pPr>
      <w:r w:rsidRPr="000361B3">
        <w:rPr>
          <w:color w:val="FF0000"/>
          <w:u w:val="single"/>
        </w:rPr>
        <w:t>La crisis financiera de 2008-2009 ha demostrado la persistencia del desempleo juvenil: los adultos jóvenes han luchado continuamente para integrarse y alinear sus habilidades con un mercado laboral sombrío. Esta lucha puede dejar marcas duraderas en sus medios de subsistencia. A medida que el mundo comienza a recuperarse del COVID-19, es probable que los adultos jóvenes enfrenten tales desafíos nuevamente, esta vez amplificados por el avance digital del mundo (consulte el </w:t>
      </w:r>
      <w:hyperlink r:id="rId48" w:history="1">
        <w:r w:rsidRPr="000361B3">
          <w:rPr>
            <w:rStyle w:val="Hipervnculo"/>
            <w:rFonts w:eastAsiaTheme="majorEastAsia"/>
            <w:color w:val="FF0000"/>
          </w:rPr>
          <w:t>Capítulo 2, Error 404</w:t>
        </w:r>
      </w:hyperlink>
      <w:r w:rsidRPr="000361B3">
        <w:rPr>
          <w:color w:val="FF0000"/>
          <w:u w:val="single"/>
        </w:rPr>
        <w:t>). Los trabajos de nivel de entrada hoy en día requieren más habilidades que hace una década, y, al mismo tiempo, hay menos disponibles debido a la automatización. </w:t>
      </w:r>
    </w:p>
    <w:p w:rsidR="00D93BCE" w:rsidRPr="00F2605B" w:rsidRDefault="00D93BCE" w:rsidP="00D93BCE">
      <w:pPr>
        <w:pStyle w:val="NormalWeb"/>
        <w:shd w:val="clear" w:color="auto" w:fill="FFFFFF"/>
        <w:spacing w:before="0" w:beforeAutospacing="0" w:after="0" w:afterAutospacing="0"/>
        <w:jc w:val="both"/>
      </w:pPr>
    </w:p>
    <w:p w:rsidR="00D93BCE" w:rsidRPr="000361B3" w:rsidRDefault="00D93BCE" w:rsidP="00D93BCE">
      <w:pPr>
        <w:pStyle w:val="NormalWeb"/>
        <w:shd w:val="clear" w:color="auto" w:fill="FFFFFF"/>
        <w:spacing w:before="0" w:beforeAutospacing="0" w:after="0" w:afterAutospacing="0"/>
        <w:jc w:val="both"/>
        <w:rPr>
          <w:color w:val="FF0000"/>
          <w:u w:val="single"/>
        </w:rPr>
      </w:pPr>
      <w:r w:rsidRPr="000361B3">
        <w:rPr>
          <w:color w:val="FF0000"/>
          <w:u w:val="single"/>
        </w:rPr>
        <w:t>Las consecuencias de los mercados que cambian rápidamente (consulte el </w:t>
      </w:r>
      <w:hyperlink r:id="rId49" w:history="1">
        <w:r w:rsidRPr="000361B3">
          <w:rPr>
            <w:rStyle w:val="Hipervnculo"/>
            <w:rFonts w:eastAsiaTheme="majorEastAsia"/>
            <w:color w:val="FF0000"/>
          </w:rPr>
          <w:t>Capítulo 5, Mercados imperfectos</w:t>
        </w:r>
      </w:hyperlink>
      <w:r w:rsidRPr="000361B3">
        <w:rPr>
          <w:color w:val="FF0000"/>
          <w:u w:val="single"/>
        </w:rPr>
        <w:t>) hacen que los jóvenes sean más vulnerables a contratos inestables, inestabilidad profesional y perspectivas de promoción limitadas. Esto puede conducir a un mayor riesgo de que se pierdan los beneficios de la seguridad social, la protección laboral y las oportunidades de recapacitación. Más importante aún, una perspectiva de empleo atrofiada complica la capacidad de los jóvenes para consolidar el capital económico y la movilidad social. Se espera que los jóvenes estudiantes enfrenten mayores cargas de deuda a medida que los préstamos estudiantiles continúan alcanzando niveles récord, y los graduados que ingresan a la fuerza laboral en una crisis económica tienen más probabilidades de ganar menos que sus pares. Para los trabajadores jóvenes, un mes de estar desempleado entre los 18 y los 20 años puede causar una pérdida permanente de ingresos del 2 % en el futuro. En las economías donde predomina el trabajo informal, principalmente debido a la alta proporción de profesiones agrícolas y de la industria de servicios, la falta de protección social aumenta el riesgo de que los jóvenes caigan rápidamente en la pobreza. La desnutrición y el empeoramiento de la salud son efectos inmediatos de tal deslizamiento, pero las consecuencias de que los jóvenes entren en la pobreza también repercutirían en cascada en sus hijos. </w:t>
      </w:r>
    </w:p>
    <w:p w:rsidR="00D93BCE" w:rsidRPr="000361B3" w:rsidRDefault="00D93BCE" w:rsidP="00D93BCE">
      <w:pPr>
        <w:pStyle w:val="supplementary"/>
        <w:shd w:val="clear" w:color="auto" w:fill="FFFFFF"/>
        <w:spacing w:before="150" w:beforeAutospacing="0" w:after="0" w:afterAutospacing="0"/>
        <w:jc w:val="both"/>
        <w:rPr>
          <w:color w:val="FF0000"/>
          <w:u w:val="single"/>
        </w:rPr>
      </w:pPr>
      <w:r w:rsidRPr="000361B3">
        <w:rPr>
          <w:color w:val="FF0000"/>
          <w:u w:val="single"/>
        </w:rPr>
        <w:t> </w:t>
      </w:r>
      <w:r w:rsidRPr="000361B3">
        <w:rPr>
          <w:color w:val="FF0000"/>
          <w:u w:val="single"/>
        </w:rPr>
        <w:t> </w:t>
      </w:r>
      <w:r w:rsidRPr="000361B3">
        <w:rPr>
          <w:color w:val="FF0000"/>
          <w:u w:val="single"/>
        </w:rPr>
        <w:t> </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Miedo, ira y reacciones violentas</w:t>
      </w:r>
    </w:p>
    <w:p w:rsidR="00D93BCE" w:rsidRPr="000361B3" w:rsidRDefault="00D93BCE" w:rsidP="00D93BCE">
      <w:pPr>
        <w:pStyle w:val="NormalWeb"/>
        <w:shd w:val="clear" w:color="auto" w:fill="FFFFFF"/>
        <w:spacing w:before="0" w:beforeAutospacing="0" w:after="0" w:afterAutospacing="0"/>
        <w:jc w:val="both"/>
        <w:rPr>
          <w:color w:val="FF0000"/>
          <w:u w:val="single"/>
        </w:rPr>
      </w:pPr>
      <w:r w:rsidRPr="00F2605B">
        <w:rPr>
          <w:b/>
          <w:bCs/>
        </w:rPr>
        <w:br/>
      </w:r>
      <w:r w:rsidRPr="000361B3">
        <w:rPr>
          <w:color w:val="FF0000"/>
          <w:u w:val="single"/>
        </w:rPr>
        <w:t>Los jóvenes se han vuelto cada vez más vocales en la última década, en las calles y en el ciberespacio. Su preocupación y proactividad con temas clave como las dificultades económicas, la persistente desigualdad intergeneracional, el fracaso en la gobernabilidad y la corrupción desenfrenada es inspiradora; pero también han expresado enfado, desilusión y pesimismo. La multitud de protestas juveniles encarna un creciente sentimiento de traición por parte de la generación en el poder por la acción insuficiente sobre la justicia social y climática, el cambio político y la corrupción. COVID-19 ha agregado una nueva criticidad a la desilusión de los jóvenes con su perspectiva económica nefasta, oportunidades educativas perdidas y desaprobación de la respuesta de emergencia del gobierno. Estas confrontaciones y las posibles interrupciones asociadas podrían volverse constantes si no se abordan las causas subyacentes.</w:t>
      </w:r>
    </w:p>
    <w:p w:rsidR="00D93BCE" w:rsidRPr="000361B3" w:rsidRDefault="00D93BCE" w:rsidP="00D93BCE">
      <w:pPr>
        <w:pStyle w:val="NormalWeb"/>
        <w:shd w:val="clear" w:color="auto" w:fill="FFFFFF"/>
        <w:spacing w:before="0" w:beforeAutospacing="0" w:after="0" w:afterAutospacing="0"/>
        <w:jc w:val="both"/>
        <w:rPr>
          <w:color w:val="FF0000"/>
          <w:u w:val="single"/>
        </w:rPr>
      </w:pPr>
    </w:p>
    <w:p w:rsidR="00D93BCE" w:rsidRPr="000361B3" w:rsidRDefault="00D93BCE" w:rsidP="00D93BCE">
      <w:pPr>
        <w:pStyle w:val="NormalWeb"/>
        <w:shd w:val="clear" w:color="auto" w:fill="FFFFFF"/>
        <w:spacing w:before="0" w:beforeAutospacing="0" w:after="0" w:afterAutospacing="0"/>
        <w:jc w:val="both"/>
        <w:rPr>
          <w:color w:val="FF0000"/>
          <w:u w:val="single"/>
        </w:rPr>
      </w:pPr>
      <w:r w:rsidRPr="000361B3">
        <w:rPr>
          <w:color w:val="FF0000"/>
          <w:u w:val="single"/>
        </w:rPr>
        <w:t xml:space="preserve">Es probable que las limitadas perspectivas económicas y educativas exacerben las frustraciones de los jóvenes. Las tendencias combinadas de menor movilidad intergeneracional y desigualdades socioeconómicas cada vez mayores, exacerbadas por la crisis de la COVID-19, han deteriorado notablemente la salud mental de los jóvenes. La soledad y la ansiedad entre los jóvenes de las economías desarrolladas ya se habían descrito </w:t>
      </w:r>
      <w:r w:rsidRPr="000361B3">
        <w:rPr>
          <w:color w:val="FF0000"/>
          <w:u w:val="single"/>
        </w:rPr>
        <w:lastRenderedPageBreak/>
        <w:t>como una “epidemia”, pero desde el comienzo de la pandemia del coronavirus, la salud mental se ha deteriorado para el 80 % de los niños y jóvenes de todo el mundo. </w:t>
      </w:r>
    </w:p>
    <w:p w:rsidR="00D93BCE" w:rsidRPr="00F2605B" w:rsidRDefault="00D93BCE" w:rsidP="00D93BCE">
      <w:pPr>
        <w:pStyle w:val="NormalWeb"/>
        <w:shd w:val="clear" w:color="auto" w:fill="FFFFFF"/>
        <w:spacing w:before="0" w:beforeAutospacing="0" w:after="0" w:afterAutospacing="0"/>
        <w:jc w:val="both"/>
      </w:pPr>
    </w:p>
    <w:p w:rsidR="00D93BCE" w:rsidRPr="00C768A5" w:rsidRDefault="00D93BCE" w:rsidP="00D93BCE">
      <w:pPr>
        <w:pStyle w:val="NormalWeb"/>
        <w:shd w:val="clear" w:color="auto" w:fill="FFFFFF"/>
        <w:spacing w:before="0" w:beforeAutospacing="0" w:after="0" w:afterAutospacing="0"/>
        <w:jc w:val="both"/>
        <w:rPr>
          <w:color w:val="FF0000"/>
          <w:u w:val="single"/>
        </w:rPr>
      </w:pPr>
      <w:r w:rsidRPr="00C768A5">
        <w:rPr>
          <w:color w:val="FF0000"/>
          <w:u w:val="single"/>
        </w:rPr>
        <w:t>Tal descontento corre el riesgo de ser explotado por actores reaccionarios. El crimen organizado, los grupos extremistas, y los reclutadores para los conflictos armados podrían aprovecharse de una cohorte de jóvenes más vulnerable con oportunidades laborales reducidas en los países en desarrollo. El encierro prolongado, la soledad y el estrés por la pérdida del trabajo, lo que resulta en tasas más altas de depresión, ansiedad, y trastorno de estrés postraumático (TEPT), podría hacer que los jóvenes sean más susceptibles a ideas atractivas pero divisivas en las economías desarrolladas. Los movimientos juveniles más radicales podrían conducir a mayores tensiones intergeneracionales y profundizar la fragmentación social a lo largo de nuevas fallas. La “erosión de la cohesión social” agravada por la “desilusión de los jóvenes” -amenazas críticas a corto plazo para el mundo en el GRPS- desafiaría a las frágiles instituciones nacionales o incluso desestabilizaría los sistemas políticos y económicos por completo.</w:t>
      </w:r>
    </w:p>
    <w:p w:rsidR="00D93BCE" w:rsidRPr="00F2605B" w:rsidRDefault="00D93BCE" w:rsidP="00D93BCE">
      <w:pPr>
        <w:pStyle w:val="NormalWeb"/>
        <w:shd w:val="clear" w:color="auto" w:fill="FFFFFF"/>
        <w:spacing w:before="0" w:beforeAutospacing="0" w:after="0" w:afterAutospacing="0"/>
        <w:jc w:val="both"/>
      </w:pPr>
    </w:p>
    <w:p w:rsidR="00D93BCE" w:rsidRPr="00DE6AA4" w:rsidRDefault="00D93BCE" w:rsidP="00D93BCE">
      <w:pPr>
        <w:pStyle w:val="NormalWeb"/>
        <w:shd w:val="clear" w:color="auto" w:fill="FFFFFF"/>
        <w:spacing w:before="0" w:beforeAutospacing="0" w:after="0" w:afterAutospacing="0"/>
        <w:jc w:val="both"/>
      </w:pPr>
      <w:r w:rsidRPr="00F2605B">
        <w:t>Al mismo tiempo, las terribles perspectivas de movilidad económica y social probablemente obligarán a más trabajadores jóvenes a migrar al extranjero en busca de mejores oportunidades, lo que se sumará a los 31 millones de jóvenes migrantes actuales en todo el mundo. Esto induciría la</w:t>
      </w:r>
      <w:r>
        <w:t xml:space="preserve"> verdadera fuga de cerebros del siglo</w:t>
      </w:r>
      <w:r w:rsidRPr="00F2605B">
        <w:t> XXI. Sin embargo, los trabajadores migrantes jóvenes podrían ver disminuidas tales oportunidades si las políticas migratorias más estrictas implementadas durante la pandemia tardan en relajarse o volverse permanentes en los países receptores (</w:t>
      </w:r>
      <w:r w:rsidRPr="00DE6AA4">
        <w:t>ver </w:t>
      </w:r>
      <w:hyperlink r:id="rId50" w:history="1">
        <w:r w:rsidRPr="00DE6AA4">
          <w:rPr>
            <w:rStyle w:val="Hipervnculo"/>
            <w:rFonts w:eastAsiaTheme="majorEastAsia"/>
            <w:color w:val="auto"/>
            <w:u w:val="none"/>
          </w:rPr>
          <w:t>Capítulo 4, Middle Power Morass</w:t>
        </w:r>
      </w:hyperlink>
      <w:r w:rsidRPr="00DE6AA4">
        <w:t>).</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P</w:t>
      </w:r>
      <w:r w:rsidRPr="00F2605B">
        <w:rPr>
          <w:rFonts w:ascii="Times New Roman" w:hAnsi="Times New Roman" w:cs="Times New Roman"/>
          <w:b w:val="0"/>
          <w:bCs w:val="0"/>
          <w:color w:val="auto"/>
          <w:sz w:val="24"/>
          <w:szCs w:val="24"/>
        </w:rPr>
        <w:t>asando el bastón</w:t>
      </w:r>
    </w:p>
    <w:p w:rsidR="00D93BCE" w:rsidRPr="00C768A5" w:rsidRDefault="00D93BCE" w:rsidP="00D93BCE">
      <w:pPr>
        <w:pStyle w:val="NormalWeb"/>
        <w:shd w:val="clear" w:color="auto" w:fill="FFFFFF"/>
        <w:spacing w:before="360" w:beforeAutospacing="0" w:after="480" w:afterAutospacing="0"/>
        <w:jc w:val="both"/>
        <w:rPr>
          <w:color w:val="FF0000"/>
          <w:u w:val="single"/>
        </w:rPr>
      </w:pPr>
      <w:r w:rsidRPr="00C768A5">
        <w:rPr>
          <w:color w:val="FF0000"/>
          <w:u w:val="single"/>
        </w:rPr>
        <w:t>La pandemia ha expuesto la vulnerabilidad de los jóvenes a las crisis económicas y sociales generalizadas. Los sistemas políticos y económicos deberán adaptarse a nivel mundial para abordar directamente las necesidades de los jóvenes y minimizar el riesgo de una generación perdida. La inversión en la mejora de los sectores de la educación y en la mejora y actualización de las habilidades, asegurando esquemas de protección social adecuados, cerrando la brecha de género y abordando las cicatrices de la salud mental deben estar en el centro del proceso de recuperación.</w:t>
      </w:r>
    </w:p>
    <w:p w:rsidR="00D93BCE" w:rsidRPr="00F2605B" w:rsidRDefault="00D93BCE" w:rsidP="00D93BCE">
      <w:pPr>
        <w:pStyle w:val="NormalWeb"/>
        <w:shd w:val="clear" w:color="auto" w:fill="FFFFFF"/>
        <w:spacing w:before="0" w:beforeAutospacing="0" w:after="480" w:afterAutospacing="0"/>
        <w:jc w:val="both"/>
      </w:pPr>
      <w:r w:rsidRPr="00F2605B">
        <w:t>Las nuevas formas de aprendizaje tienen el potencial de ser más inclusivas, adaptables</w:t>
      </w:r>
      <w:r>
        <w:t>,</w:t>
      </w:r>
      <w:r w:rsidRPr="00F2605B">
        <w:t xml:space="preserve"> e integrales, lo que permite a</w:t>
      </w:r>
      <w:r>
        <w:t xml:space="preserve"> los estudiantes desarrollar </w:t>
      </w:r>
      <w:r w:rsidRPr="00F2605B">
        <w:t>habilidades del siglo</w:t>
      </w:r>
      <w:r>
        <w:t xml:space="preserve"> XXI</w:t>
      </w:r>
      <w:r w:rsidRPr="00F2605B">
        <w:t xml:space="preserve"> como la creatividad, la innovación y habilidades interpersonales avanzadas. Sin embargo, es más crítico que nunca que el sector público y el privado inviertan juntos para garantizar la conectividad para todos los jóvenes. Dada la naturaleza cambiante del mercado laboral, también se necesita más inversión en capacitación vocacional y en el trabajo. La inversión en tecnología educativa debe ir acompañada de adaptaciones de la infraestructura educativa física para que las escuelas puedan continuar ofreciendo servicios presenciales mientras aprovechan el potencial de la Cuarta Revolución Industrial. Para tener éxito, las escuelas deben mantener su papel fundamental en la prestación de servicios de nutrición y salud física y psicológica, y en actuar como refugio seguro para los niños y adolescentes en riesgo.</w:t>
      </w:r>
    </w:p>
    <w:p w:rsidR="00D93BCE" w:rsidRDefault="00D93BCE" w:rsidP="00D93BCE">
      <w:pPr>
        <w:pStyle w:val="NormalWeb"/>
        <w:shd w:val="clear" w:color="auto" w:fill="FFFFFF"/>
        <w:spacing w:before="0" w:beforeAutospacing="0" w:after="480" w:afterAutospacing="0"/>
        <w:jc w:val="both"/>
      </w:pPr>
      <w:r w:rsidRPr="00F2605B">
        <w:t xml:space="preserve">La crisis actual también ha revelado y exacerbado las desigualdades de género en la educación y el trabajo. Reconocer esta brecha es el primer paso para cerrarla. Las escuelas y los empleadores deben adoptar medidas para cerrar la brecha de género, como adoptar un </w:t>
      </w:r>
      <w:r w:rsidRPr="00F2605B">
        <w:lastRenderedPageBreak/>
        <w:t>trabajo flexible y remoto, garantizar que las mujeres jóvenes puedan regresar a la escuela o al lugar de trabajo después de largas ausencias para cuidar e implementar programas de apoyo para víctimas de violencia de género.</w:t>
      </w:r>
    </w:p>
    <w:p w:rsidR="00D93BCE" w:rsidRPr="000A03A0"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Figura 3.1: Panorama de riesgos 2021: la pe</w:t>
      </w:r>
      <w:r>
        <w:rPr>
          <w:rFonts w:ascii="Times New Roman" w:hAnsi="Times New Roman" w:cs="Times New Roman"/>
          <w:b w:val="0"/>
          <w:bCs w:val="0"/>
          <w:color w:val="auto"/>
          <w:sz w:val="24"/>
          <w:szCs w:val="24"/>
        </w:rPr>
        <w:t>rspectiva de los Global Shapers</w:t>
      </w:r>
    </w:p>
    <w:p w:rsidR="00D93BCE" w:rsidRPr="00F2605B" w:rsidRDefault="00D93BCE" w:rsidP="00D93BCE">
      <w:pPr>
        <w:pStyle w:val="NormalWeb"/>
        <w:shd w:val="clear" w:color="auto" w:fill="FFFFFF"/>
        <w:spacing w:before="0" w:beforeAutospacing="0" w:after="480" w:afterAutospacing="0"/>
        <w:jc w:val="both"/>
      </w:pPr>
      <w:r w:rsidRPr="00F2605B">
        <w:rPr>
          <w:noProof/>
        </w:rPr>
        <w:drawing>
          <wp:inline distT="0" distB="0" distL="0" distR="0" wp14:anchorId="24E4D9D3" wp14:editId="7A853523">
            <wp:extent cx="5727700" cy="7404100"/>
            <wp:effectExtent l="0" t="0" r="6350" b="6350"/>
            <wp:docPr id="113" name="Imagen 113" descr="http://reports.weforum.org/global-risks-report-2021/files/2021/01/FIG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reports.weforum.org/global-risks-report-2021/files/2021/01/FIG3.1-1.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1510" cy="7409026"/>
                    </a:xfrm>
                    <a:prstGeom prst="rect">
                      <a:avLst/>
                    </a:prstGeom>
                    <a:noFill/>
                    <a:ln>
                      <a:noFill/>
                    </a:ln>
                  </pic:spPr>
                </pic:pic>
              </a:graphicData>
            </a:graphic>
          </wp:inline>
        </w:drawing>
      </w:r>
    </w:p>
    <w:p w:rsidR="00D93BCE" w:rsidRDefault="00D93BCE" w:rsidP="00D93BCE">
      <w:pPr>
        <w:pStyle w:val="NormalWeb"/>
        <w:shd w:val="clear" w:color="auto" w:fill="FFFFFF"/>
        <w:spacing w:before="0" w:beforeAutospacing="0" w:after="0" w:afterAutospacing="0"/>
        <w:jc w:val="both"/>
      </w:pPr>
      <w:r w:rsidRPr="00F2605B">
        <w:lastRenderedPageBreak/>
        <w:t>Las situaciones de salud mental y física de los jóvenes deben abordarse desde el comienzo de la recuperación económica y social para minimizar los efectos a largo plazo aún desconocidos de la pandemia y sus consecuencias. El salto digital y las herramientas digitales emergentes pueden aumentar la accesibilidad de los jóvenes a las medidas de apoyo y reducir la estigmatización de los problemas de salud mental que se originan en estos tiempos caóticos e inciertos. </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480" w:afterAutospacing="0"/>
        <w:jc w:val="both"/>
      </w:pPr>
      <w:r w:rsidRPr="00F2605B">
        <w:t>Más allá de estas inversiones a corto plazo, se necesita hacer más a largo plazo. Los jóvenes exigen sociedades más igualitarias, equitativas y sostenibles, pero continúan enfrentando barreras innecesarias y caminos bloqueados. Se deben fortalecer los canales para que los jóvenes puedan hacer oír su voz en todos los niveles de gobierno, en los directorios de las empresas y en las organizaciones multilaterales, lo que a su vez fomentará una transferencia intergeneracional de experiencia, conocimientos y habilidades; servir como constructor de puentes contra las fricciones sociales; y disminuir las frustraciones de los jóvenes. Se debe garantizar que los jóvenes tengan voz en la recuperación mundial. Si no se garantiza a los jóvenes un asiento en la mesa, se corre el riesgo de que sistemas sociales y económicos enteros sean rechazados por esta generación.</w:t>
      </w:r>
    </w:p>
    <w:p w:rsidR="00D93BCE" w:rsidRPr="00F2605B" w:rsidRDefault="00D93BCE" w:rsidP="00D93BCE">
      <w:pPr>
        <w:pStyle w:val="NormalWeb"/>
        <w:shd w:val="clear" w:color="auto" w:fill="FFFFFF"/>
        <w:spacing w:before="0" w:beforeAutospacing="0" w:after="480" w:afterAutospacing="0"/>
        <w:jc w:val="both"/>
      </w:pPr>
      <w:r w:rsidRPr="00F2605B">
        <w:t>Aquellos en el poder deben dirigir un esfuerzo global para abrir caminos para que los jóvenes adquieran las herramientas, habilidades y derechos necesarios para un mundo pospandémico más sostenible.</w:t>
      </w:r>
    </w:p>
    <w:p w:rsidR="00D93BCE" w:rsidRPr="00F2605B" w:rsidRDefault="00D93BCE" w:rsidP="00D93BCE">
      <w:pPr>
        <w:pStyle w:val="Ttulo1"/>
        <w:spacing w:before="0" w:beforeAutospacing="0" w:after="0" w:afterAutospacing="0"/>
        <w:jc w:val="both"/>
        <w:rPr>
          <w:b w:val="0"/>
          <w:bCs w:val="0"/>
          <w:sz w:val="24"/>
          <w:szCs w:val="24"/>
        </w:rPr>
      </w:pPr>
      <w:r w:rsidRPr="00F2605B">
        <w:rPr>
          <w:b w:val="0"/>
          <w:bCs w:val="0"/>
          <w:sz w:val="24"/>
          <w:szCs w:val="24"/>
        </w:rPr>
        <w:t>La ciénaga del poder medio: Navegando por las brechas globales</w:t>
      </w:r>
    </w:p>
    <w:p w:rsidR="00D93BCE" w:rsidRDefault="00D93BCE" w:rsidP="00D93BCE">
      <w:pPr>
        <w:pStyle w:val="NormalWeb"/>
        <w:shd w:val="clear" w:color="auto" w:fill="FFFFFF"/>
        <w:spacing w:before="0" w:beforeAutospacing="0" w:after="0" w:afterAutospacing="0"/>
        <w:jc w:val="both"/>
      </w:pPr>
    </w:p>
    <w:p w:rsidR="00D93BCE" w:rsidRPr="00C768A5" w:rsidRDefault="00D93BCE" w:rsidP="00D93BCE">
      <w:pPr>
        <w:pStyle w:val="NormalWeb"/>
        <w:shd w:val="clear" w:color="auto" w:fill="FFFFFF"/>
        <w:spacing w:before="0" w:beforeAutospacing="0" w:after="0" w:afterAutospacing="0"/>
        <w:jc w:val="both"/>
        <w:rPr>
          <w:u w:val="single"/>
        </w:rPr>
      </w:pPr>
      <w:r w:rsidRPr="00C768A5">
        <w:rPr>
          <w:u w:val="single"/>
        </w:rPr>
        <w:t>Las potencias intermedias, estados que carecen del estatus de superpotencia pero que aún desempeñan papeles influyentes en las relaciones internacionales, tienen el potencial de forjar un equilibrio de poder más estable, sostenible y cooperativo, individualmente o en alguna constelación colectiva. Si bien cada gobierno tiene intereses y estructuras de gobierno individuales, así como oponentes y aliados que impulsan su comportamiento en el escenario internacional, las potencias intermedias suelen ser las campeonas de la cooperación multilateral en áreas de comercio, diplomacia, seguridad y, más recientemente, salud global. Compuesto por economías avanzadas y emergentes, este conjunto de naciones representa una proporción mucho mayor del PIB mundial que Estados Unidos y China juntos. </w:t>
      </w:r>
    </w:p>
    <w:p w:rsidR="00D93BCE" w:rsidRPr="00C768A5" w:rsidRDefault="00D93BCE" w:rsidP="00D93BCE">
      <w:pPr>
        <w:pStyle w:val="NormalWeb"/>
        <w:shd w:val="clear" w:color="auto" w:fill="FFFFFF"/>
        <w:spacing w:before="0" w:beforeAutospacing="0" w:after="0" w:afterAutospacing="0"/>
        <w:jc w:val="both"/>
        <w:rPr>
          <w:u w:val="single"/>
        </w:rPr>
      </w:pPr>
    </w:p>
    <w:p w:rsidR="00D93BCE" w:rsidRPr="00C768A5" w:rsidRDefault="00D93BCE" w:rsidP="00D93BCE">
      <w:pPr>
        <w:pStyle w:val="NormalWeb"/>
        <w:shd w:val="clear" w:color="auto" w:fill="FFFFFF"/>
        <w:spacing w:before="0" w:beforeAutospacing="0" w:after="0" w:afterAutospacing="0"/>
        <w:jc w:val="both"/>
        <w:rPr>
          <w:color w:val="FF0000"/>
          <w:u w:val="single"/>
        </w:rPr>
      </w:pPr>
      <w:r w:rsidRPr="00C768A5">
        <w:rPr>
          <w:u w:val="single"/>
        </w:rPr>
        <w:t>Sin embargo, si persisten las tendencias actuales, las potencias intermedias tendrán dificultades para reforzar la resiliencia frente a las crisis en un momento en que la coordinación global es más necesaria. </w:t>
      </w:r>
      <w:r w:rsidRPr="00C768A5">
        <w:rPr>
          <w:color w:val="FF0000"/>
          <w:u w:val="single"/>
        </w:rPr>
        <w:t>Los encuestados de  la Encuesta de Percepción de Riesgos Globales (GRPS, por sus siglas en inglés) reflejan esta perspectiva</w:t>
      </w:r>
      <w:r>
        <w:rPr>
          <w:color w:val="FF0000"/>
          <w:u w:val="single"/>
        </w:rPr>
        <w:t xml:space="preserve"> ominosa: se pronostica que la “</w:t>
      </w:r>
      <w:r w:rsidRPr="00C768A5">
        <w:rPr>
          <w:color w:val="FF0000"/>
          <w:u w:val="single"/>
        </w:rPr>
        <w:t>fractura d</w:t>
      </w:r>
      <w:r>
        <w:rPr>
          <w:color w:val="FF0000"/>
          <w:u w:val="single"/>
        </w:rPr>
        <w:t>e las relaciones interestatales”, el “conflicto interestatal” y la “geopolitización de los recursos”</w:t>
      </w:r>
      <w:r w:rsidRPr="00C768A5">
        <w:rPr>
          <w:color w:val="FF0000"/>
          <w:u w:val="single"/>
        </w:rPr>
        <w:t xml:space="preserve"> se convertirán en amenazas críticas para el mundo a mediano plazo (consulte la </w:t>
      </w:r>
      <w:hyperlink r:id="rId52" w:history="1">
        <w:r>
          <w:rPr>
            <w:rStyle w:val="Hipervnculo"/>
            <w:rFonts w:eastAsiaTheme="majorEastAsia"/>
            <w:color w:val="FF0000"/>
          </w:rPr>
          <w:t xml:space="preserve">Figura I, Riesgos globales, </w:t>
        </w:r>
        <w:r w:rsidRPr="00C768A5">
          <w:rPr>
            <w:rStyle w:val="Hipervnculo"/>
            <w:rFonts w:eastAsiaTheme="majorEastAsia"/>
            <w:color w:val="FF0000"/>
          </w:rPr>
          <w:t>horizonte</w:t>
        </w:r>
      </w:hyperlink>
      <w:r w:rsidRPr="00C768A5">
        <w:rPr>
          <w:color w:val="FF0000"/>
          <w:u w:val="single"/>
        </w:rPr>
        <w:t>). En un ciclo de retroalimentación destructivo, sin la influencia del poder intermedio, la fragmentación geopolítica y la fragilidad económica aumentarán aún más, la interrupción será más probable y el progreso en los objetivos compartidos se retrasará.</w:t>
      </w:r>
      <w:r w:rsidRPr="00C768A5">
        <w:rPr>
          <w:rStyle w:val="apple-converted-space"/>
          <w:color w:val="FF0000"/>
          <w:u w:val="single"/>
        </w:rPr>
        <w:t> </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lastRenderedPageBreak/>
        <w:t>Rasgado en las costuras</w:t>
      </w:r>
      <w:r w:rsidRPr="00F2605B">
        <w:rPr>
          <w:rStyle w:val="apple-converted-space"/>
          <w:rFonts w:ascii="Times New Roman" w:hAnsi="Times New Roman" w:cs="Times New Roman"/>
          <w:b w:val="0"/>
          <w:bCs w:val="0"/>
          <w:color w:val="auto"/>
          <w:sz w:val="24"/>
          <w:szCs w:val="24"/>
        </w:rPr>
        <w:t> </w:t>
      </w:r>
    </w:p>
    <w:p w:rsidR="00D93BCE" w:rsidRPr="00C768A5" w:rsidRDefault="00D93BCE" w:rsidP="00D93BCE">
      <w:pPr>
        <w:pStyle w:val="NormalWeb"/>
        <w:shd w:val="clear" w:color="auto" w:fill="FFFFFF"/>
        <w:spacing w:before="0" w:beforeAutospacing="0" w:after="0" w:afterAutospacing="0"/>
        <w:jc w:val="both"/>
        <w:rPr>
          <w:color w:val="FF0000"/>
          <w:u w:val="single"/>
        </w:rPr>
      </w:pPr>
      <w:r w:rsidRPr="00C768A5">
        <w:rPr>
          <w:color w:val="FF0000"/>
          <w:u w:val="single"/>
        </w:rPr>
        <w:t>La crisis de la COVID-19 ha puesto de manifiesto los nodos débiles y los lazos tenues que atraviesan el sistema internacional. Las tendencias clave apuntan a un mayor debilitamiento del multilateralismo respaldado por normas comunes. La competencia intensificada entre Estados Unidos y China, el uso más agresivo de herramientas subversivas de influencia geopolítica y el creciente nacionalismo están impulsando el cambio de un orden global basado en reglas a uno basado en el poder. Si bien estas dinámicas afectan a todos los estados, su impacto dañino en las potencias intermedias es particularmente dañino debido al papel que estos países pueden jugar, y a menudo lo hacen, para reforzar la cooperación global frente a los desafíos compartidos.</w:t>
      </w:r>
    </w:p>
    <w:p w:rsidR="00D93BCE" w:rsidRPr="00C768A5" w:rsidRDefault="00D93BCE" w:rsidP="00D93BCE">
      <w:pPr>
        <w:pStyle w:val="NormalWeb"/>
        <w:shd w:val="clear" w:color="auto" w:fill="FFFFFF"/>
        <w:spacing w:before="0" w:beforeAutospacing="0" w:after="0" w:afterAutospacing="0"/>
        <w:jc w:val="both"/>
        <w:rPr>
          <w:color w:val="FF0000"/>
          <w:u w:val="single"/>
        </w:rPr>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Osificando la bipolaridad económica y digital</w:t>
      </w:r>
    </w:p>
    <w:p w:rsidR="00D93BCE" w:rsidRPr="00C768A5" w:rsidRDefault="00D93BCE" w:rsidP="00D93BCE">
      <w:pPr>
        <w:pStyle w:val="NormalWeb"/>
        <w:shd w:val="clear" w:color="auto" w:fill="FFFFFF"/>
        <w:spacing w:before="0" w:beforeAutospacing="0" w:after="0" w:afterAutospacing="0"/>
        <w:jc w:val="both"/>
        <w:rPr>
          <w:color w:val="FF0000"/>
          <w:u w:val="single"/>
        </w:rPr>
      </w:pPr>
      <w:r w:rsidRPr="00F2605B">
        <w:rPr>
          <w:b/>
          <w:bCs/>
        </w:rPr>
        <w:br/>
      </w:r>
      <w:r w:rsidRPr="00C768A5">
        <w:rPr>
          <w:color w:val="FF0000"/>
          <w:u w:val="single"/>
        </w:rPr>
        <w:t>COVID-19 ha afianzado el poder estatal e intensificado la rivalidad entre Estados Unidos y China. La nueva administración de los EEUU puede intentar identificar áreas de cooperación con China, como el cambio climático y la lucha contra la pandemia, pero a más largo plazo, es probable que la “influencia colectiva” contra China por parte de los EEUU y sus aliados más cercanos profundice la competencia.  China ha fortalecido sus intereses económicos en la región de Asia-Pacífico, formalizando recientemente la Asociación Económica Integral Regional con 15 naciones de Asia-Pacífico. Estados Unidos y China también buscan la superioridad en el ámbito digital restringiendo los flujos y plataformas de tecnología, reestructurando las cadenas de suministro y favoreciendo la inversión nacional. Es probable que cada potencia continúe expandiendo sus zonas de influencia y, en muchos casos, esto sucederá fuera de los foros internacionales tradicionales. </w:t>
      </w:r>
    </w:p>
    <w:p w:rsidR="00D93BCE" w:rsidRPr="00C768A5" w:rsidRDefault="00D93BCE" w:rsidP="00D93BCE">
      <w:pPr>
        <w:pStyle w:val="NormalWeb"/>
        <w:shd w:val="clear" w:color="auto" w:fill="FFFFFF"/>
        <w:spacing w:before="0" w:beforeAutospacing="0" w:after="0" w:afterAutospacing="0"/>
        <w:jc w:val="both"/>
        <w:rPr>
          <w:color w:val="FF0000"/>
          <w:u w:val="single"/>
        </w:rPr>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Influencias subversivas</w:t>
      </w:r>
    </w:p>
    <w:p w:rsidR="00D93BCE" w:rsidRPr="00C768A5" w:rsidRDefault="00D93BCE" w:rsidP="00D93BCE">
      <w:pPr>
        <w:pStyle w:val="NormalWeb"/>
        <w:shd w:val="clear" w:color="auto" w:fill="FFFFFF"/>
        <w:spacing w:before="0" w:beforeAutospacing="0" w:after="0" w:afterAutospacing="0"/>
        <w:jc w:val="both"/>
        <w:rPr>
          <w:color w:val="FF0000"/>
          <w:u w:val="single"/>
        </w:rPr>
      </w:pPr>
      <w:r w:rsidRPr="00F2605B">
        <w:rPr>
          <w:b/>
          <w:bCs/>
        </w:rPr>
        <w:br/>
      </w:r>
      <w:r w:rsidRPr="00C768A5">
        <w:rPr>
          <w:color w:val="FF0000"/>
          <w:u w:val="single"/>
        </w:rPr>
        <w:t>La desinformación, los ciberataques, los ataques dirigidos y el acaparamiento de recursos van en aumento. La pandemia ha demostrado cómo los gobiernos pueden utilizar las teorías de la conspiración como armas geopolíticas al hacer acusaciones sobre otros estados. Es probable que la próxima década vea una difusión más frecuente e impactante de desinformación sobre temas de importancia geopolítica como elecciones, crisis humanitarias, salud pública, seguridad y cuestiones culturales (consulte el </w:t>
      </w:r>
      <w:hyperlink r:id="rId53" w:history="1">
        <w:r w:rsidRPr="00C768A5">
          <w:rPr>
            <w:rStyle w:val="Hipervnculo"/>
            <w:rFonts w:eastAsiaTheme="majorEastAsia"/>
            <w:color w:val="FF0000"/>
          </w:rPr>
          <w:t>Capítulo 2, Error 404</w:t>
        </w:r>
      </w:hyperlink>
      <w:r w:rsidRPr="00C768A5">
        <w:rPr>
          <w:color w:val="FF0000"/>
          <w:u w:val="single"/>
        </w:rPr>
        <w:t>). Los actores estatales y no estatales por igual probablemente participarán en ataques cibernéticos más peligrosos, y estos ataques se volverán más sofisticados. Los ataques dirigidos, a través de drones u otras tecnologías, se volverán más omnipresentes. Un planeta que se calienta creará nuevas realidades geográficas, como rutas de navegación en el Ártico, lo que podría avivar la competencia por los recursos. Estas preocupaciones seguirán creando un entorno empresarial y de comercio mundial difícil, lo que se sumará al riesgo de un crecimiento económico mundial anémico.</w:t>
      </w:r>
    </w:p>
    <w:p w:rsidR="00D93BCE" w:rsidRPr="00C768A5" w:rsidRDefault="00D93BCE" w:rsidP="00D93BCE">
      <w:pPr>
        <w:pStyle w:val="NormalWeb"/>
        <w:shd w:val="clear" w:color="auto" w:fill="FFFFFF"/>
        <w:spacing w:before="0" w:beforeAutospacing="0" w:after="0" w:afterAutospacing="0"/>
        <w:jc w:val="both"/>
        <w:rPr>
          <w:color w:val="FF0000"/>
          <w:u w:val="single"/>
        </w:rPr>
      </w:pPr>
    </w:p>
    <w:p w:rsidR="00D93BCE" w:rsidRPr="00C768A5" w:rsidRDefault="00D93BCE" w:rsidP="00D93BCE">
      <w:pPr>
        <w:pStyle w:val="NormalWeb"/>
        <w:shd w:val="clear" w:color="auto" w:fill="FFFFFF"/>
        <w:spacing w:before="0" w:beforeAutospacing="0" w:after="0" w:afterAutospacing="0"/>
        <w:jc w:val="both"/>
        <w:rPr>
          <w:color w:val="FF0000"/>
          <w:u w:val="single"/>
        </w:rPr>
      </w:pPr>
      <w:r w:rsidRPr="00C768A5">
        <w:rPr>
          <w:color w:val="FF0000"/>
          <w:u w:val="single"/>
        </w:rPr>
        <w:t>Aunque todos los países deben defenderse de estos juegos de poder, las potencias intermedias son atacadas de forma más agresiva que los estados más pequeños (ver Figura 4.1), pero muchas carecen de los recursos defensivos de las superpotencias. Con capacidades tecnológicas y militares rezagadas, las potencias intermedias deberán asignar una mayor proporción de sus presupuestos nacionales a la defensa o desarrollar alianzas más fuertes para mantener un nivel mínimo de protección contra ataques.</w:t>
      </w:r>
      <w:r w:rsidRPr="00C768A5">
        <w:rPr>
          <w:rStyle w:val="apple-converted-space"/>
          <w:color w:val="FF0000"/>
          <w:u w:val="single"/>
        </w:rPr>
        <w:t> </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lastRenderedPageBreak/>
        <w:t>Figura 4.1: Ataques cibernéticos significativos 2006-2020 (Número total)</w:t>
      </w:r>
    </w:p>
    <w:p w:rsidR="00D93BCE" w:rsidRPr="00F2605B" w:rsidRDefault="00D93BCE" w:rsidP="00D93BCE">
      <w:pPr>
        <w:pStyle w:val="NormalWeb"/>
        <w:shd w:val="clear" w:color="auto" w:fill="FFFFFF"/>
        <w:spacing w:before="360" w:beforeAutospacing="0" w:after="480" w:afterAutospacing="0"/>
        <w:jc w:val="both"/>
      </w:pPr>
      <w:r w:rsidRPr="00F2605B">
        <w:rPr>
          <w:noProof/>
        </w:rPr>
        <w:drawing>
          <wp:inline distT="0" distB="0" distL="0" distR="0" wp14:anchorId="2511FCE9" wp14:editId="3E2043E5">
            <wp:extent cx="5715000" cy="4921250"/>
            <wp:effectExtent l="0" t="0" r="0" b="0"/>
            <wp:docPr id="82" name="Imagen 82" descr="http://reports.weforum.org/global-risks-report-2021/files/2021/01/FIG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reports.weforum.org/global-risks-report-2021/files/2021/01/FIG4.1-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15000" cy="4921250"/>
                    </a:xfrm>
                    <a:prstGeom prst="rect">
                      <a:avLst/>
                    </a:prstGeom>
                    <a:noFill/>
                    <a:ln>
                      <a:noFill/>
                    </a:ln>
                  </pic:spPr>
                </pic:pic>
              </a:graphicData>
            </a:graphic>
          </wp:inline>
        </w:drawing>
      </w:r>
    </w:p>
    <w:p w:rsidR="00D93BCE" w:rsidRPr="00DE6AA4" w:rsidRDefault="00D93BCE" w:rsidP="00D93BCE">
      <w:pPr>
        <w:pStyle w:val="NormalWeb"/>
        <w:shd w:val="clear" w:color="auto" w:fill="FFFFFF"/>
        <w:spacing w:before="0" w:beforeAutospacing="0" w:after="480" w:afterAutospacing="0"/>
        <w:jc w:val="both"/>
      </w:pPr>
      <w:r w:rsidRPr="00DE6AA4">
        <w:t>Fuente: Software Specops. “Los países que experimentan los ataques cibernéticos más “significativos””. 9 de julio de 2020. </w:t>
      </w:r>
      <w:hyperlink r:id="rId55" w:tgtFrame="_blank" w:history="1">
        <w:r w:rsidRPr="00DE6AA4">
          <w:rPr>
            <w:rStyle w:val="Hipervnculo"/>
            <w:rFonts w:eastAsiaTheme="majorEastAsia"/>
            <w:color w:val="auto"/>
            <w:u w:val="none"/>
          </w:rPr>
          <w:t>https://specopssoft.com/blog/countries-experiencing-significant-cyber-attacks/</w:t>
        </w:r>
      </w:hyperlink>
      <w:r w:rsidRPr="00DE6AA4">
        <w:t> , utilizando datos del Centro de Estudios Estratégicos e Internacionales (CSIS), </w:t>
      </w:r>
      <w:hyperlink r:id="rId56" w:history="1">
        <w:r w:rsidRPr="00DE6AA4">
          <w:rPr>
            <w:rStyle w:val="Hipervnculo"/>
            <w:rFonts w:eastAsiaTheme="majorEastAsia"/>
            <w:color w:val="auto"/>
            <w:u w:val="none"/>
          </w:rPr>
          <w:t>https://csis-website-prod.s3 .amazonaws.com/s3fs-public/201106_Significant_Cyber_Events_List.pdf</w:t>
        </w:r>
      </w:hyperlink>
    </w:p>
    <w:p w:rsidR="00D93BCE" w:rsidRDefault="00D93BCE" w:rsidP="00D93BCE">
      <w:pPr>
        <w:pStyle w:val="NormalWeb"/>
        <w:shd w:val="clear" w:color="auto" w:fill="FFFFFF"/>
        <w:spacing w:before="0" w:beforeAutospacing="0" w:after="480" w:afterAutospacing="0"/>
        <w:jc w:val="both"/>
        <w:rPr>
          <w:rStyle w:val="Textoennegrita"/>
        </w:rPr>
      </w:pPr>
      <w:r w:rsidRPr="00F2605B">
        <w:rPr>
          <w:rStyle w:val="Textoennegrita"/>
        </w:rPr>
        <w:t>Nacionalismo creciente </w:t>
      </w:r>
    </w:p>
    <w:p w:rsidR="00D93BCE" w:rsidRPr="00C768A5" w:rsidRDefault="00D93BCE" w:rsidP="00D93BCE">
      <w:pPr>
        <w:pStyle w:val="NormalWeb"/>
        <w:shd w:val="clear" w:color="auto" w:fill="FFFFFF"/>
        <w:spacing w:before="0" w:beforeAutospacing="0" w:after="480" w:afterAutospacing="0"/>
        <w:jc w:val="both"/>
        <w:rPr>
          <w:b/>
          <w:bCs/>
          <w:color w:val="FF0000"/>
          <w:u w:val="single"/>
        </w:rPr>
      </w:pPr>
      <w:r w:rsidRPr="00C768A5">
        <w:rPr>
          <w:color w:val="FF0000"/>
          <w:u w:val="single"/>
        </w:rPr>
        <w:t>La recesión económica está acelerando un mayor giro hacia adentro para muchos gobiernos que buscan mantener la frágil estabilidad política y social interna. Los encu</w:t>
      </w:r>
      <w:r>
        <w:rPr>
          <w:color w:val="FF0000"/>
          <w:u w:val="single"/>
        </w:rPr>
        <w:t>estados de GPRS clasifican las “</w:t>
      </w:r>
      <w:r w:rsidRPr="00C768A5">
        <w:rPr>
          <w:color w:val="FF0000"/>
          <w:u w:val="single"/>
        </w:rPr>
        <w:t>crisi</w:t>
      </w:r>
      <w:r>
        <w:rPr>
          <w:color w:val="FF0000"/>
          <w:u w:val="single"/>
        </w:rPr>
        <w:t>s de los medios de subsistencia”</w:t>
      </w:r>
      <w:r w:rsidRPr="00C768A5">
        <w:rPr>
          <w:color w:val="FF0000"/>
          <w:u w:val="single"/>
        </w:rPr>
        <w:t xml:space="preserve"> y </w:t>
      </w:r>
      <w:r>
        <w:rPr>
          <w:color w:val="FF0000"/>
          <w:u w:val="single"/>
        </w:rPr>
        <w:t>el “estancamiento prolongado”</w:t>
      </w:r>
      <w:r w:rsidRPr="00C768A5">
        <w:rPr>
          <w:color w:val="FF0000"/>
          <w:u w:val="single"/>
        </w:rPr>
        <w:t xml:space="preserve"> como los principales riesgos a corto plazo, y las preocupaciones económicas figuran en cuatro de los cinco principales riesgos a mediano plazo (consulte </w:t>
      </w:r>
      <w:hyperlink r:id="rId57" w:history="1">
        <w:r w:rsidRPr="00C768A5">
          <w:rPr>
            <w:rStyle w:val="Hipervnculo"/>
            <w:rFonts w:eastAsiaTheme="majorEastAsia"/>
            <w:color w:val="FF0000"/>
          </w:rPr>
          <w:t>la Figura I: Horizonte de riesgos globales</w:t>
        </w:r>
      </w:hyperlink>
      <w:r w:rsidRPr="00C768A5">
        <w:rPr>
          <w:color w:val="FF0000"/>
          <w:u w:val="single"/>
        </w:rPr>
        <w:t>). Estas presiones económicas y la profundización concomitante del nacionalismo podrían dar como resultado que los gobiernos de potencia media no estén dispuestos o no puedan contribuir a la mitigación del riesgo global.</w:t>
      </w:r>
      <w:r w:rsidRPr="00C768A5">
        <w:rPr>
          <w:rStyle w:val="apple-converted-space"/>
          <w:color w:val="FF0000"/>
          <w:u w:val="single"/>
        </w:rPr>
        <w:t> </w:t>
      </w:r>
    </w:p>
    <w:p w:rsidR="00D93BCE" w:rsidRPr="00C768A5" w:rsidRDefault="00D93BCE" w:rsidP="00D93BCE">
      <w:pPr>
        <w:pStyle w:val="NormalWeb"/>
        <w:shd w:val="clear" w:color="auto" w:fill="FFFFFF"/>
        <w:spacing w:before="0" w:beforeAutospacing="0" w:after="0" w:afterAutospacing="0"/>
        <w:jc w:val="both"/>
        <w:rPr>
          <w:color w:val="FF0000"/>
          <w:u w:val="single"/>
        </w:rPr>
      </w:pPr>
      <w:r w:rsidRPr="00C768A5">
        <w:rPr>
          <w:color w:val="FF0000"/>
          <w:u w:val="single"/>
        </w:rPr>
        <w:lastRenderedPageBreak/>
        <w:t>En muchos países, independientemente del enfoque de gobernanza, los impulsos nacionalistas han sido paralelos a la centralización del poder inducida por la pandemia. Las decisiones políticas tomadas en 2020 pueden persistir más allá de la pandemia, permitiendo que algunos gobiernos usen medidas represivas para controlar poblaciones inquietas y permitiendo que los líderes con tendencias autocráticas persigan agendas más amplias y a más largo plazo. Los “emprendedores políticos” podrían buscar aprovechar el creciente nacionalismo para alejar a los gobiernos de la globalización y la cooperación. Es posible que las restricciones a la migración que se impusieron durante la pandemia no se eliminen rápidamente. </w:t>
      </w:r>
    </w:p>
    <w:p w:rsidR="00D93BCE" w:rsidRPr="00F2605B" w:rsidRDefault="00D93BCE" w:rsidP="00D93BCE">
      <w:pPr>
        <w:pStyle w:val="NormalWeb"/>
        <w:shd w:val="clear" w:color="auto" w:fill="FFFFFF"/>
        <w:spacing w:before="0" w:beforeAutospacing="0" w:after="0" w:afterAutospacing="0"/>
        <w:jc w:val="both"/>
      </w:pPr>
    </w:p>
    <w:p w:rsidR="00D93BCE" w:rsidRPr="002A127A" w:rsidRDefault="00D93BCE" w:rsidP="00D93BCE">
      <w:pPr>
        <w:pStyle w:val="NormalWeb"/>
        <w:shd w:val="clear" w:color="auto" w:fill="FFFFFF"/>
        <w:spacing w:before="0" w:beforeAutospacing="0" w:after="480" w:afterAutospacing="0"/>
        <w:jc w:val="both"/>
      </w:pPr>
      <w:r w:rsidRPr="002A127A">
        <w:rPr>
          <w:bCs/>
        </w:rPr>
        <w:t>Influencia reprimida y orden mundial debilitado</w:t>
      </w:r>
    </w:p>
    <w:p w:rsidR="00D93BCE" w:rsidRPr="00C768A5" w:rsidRDefault="00D93BCE" w:rsidP="00D93BCE">
      <w:pPr>
        <w:pStyle w:val="NormalWeb"/>
        <w:shd w:val="clear" w:color="auto" w:fill="FFFFFF"/>
        <w:spacing w:before="360" w:beforeAutospacing="0" w:after="480" w:afterAutospacing="0"/>
        <w:jc w:val="both"/>
        <w:rPr>
          <w:u w:val="single"/>
        </w:rPr>
      </w:pPr>
      <w:r w:rsidRPr="00C768A5">
        <w:rPr>
          <w:u w:val="single"/>
        </w:rPr>
        <w:t>Los impulsores descritos anteriormente, si bien son universales, reforzarán los desafíos específicos para la influencia de la potencia media. En las economías avanzadas de potencia media, las crecientes brechas tecnológicas y de defensa están obstaculizando el potencial de liderazgo en cuestiones transnacionales críticas. Los grandes mercados emergentes están igualmente paralizados, con los estragos de COVID-19 aumentando aún más la vulnerabilidad a la influencia de las superpotencias. Los riesgos que enfrentan estos países podrían traducirse en más conflictos globales y un sistema más débil para mediar en ellos.</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Atrapados en el medio</w:t>
      </w:r>
    </w:p>
    <w:p w:rsidR="00D93BCE" w:rsidRPr="00EB3415" w:rsidRDefault="00D93BCE" w:rsidP="00D93BCE">
      <w:pPr>
        <w:pStyle w:val="NormalWeb"/>
        <w:shd w:val="clear" w:color="auto" w:fill="FFFFFF"/>
        <w:spacing w:before="0" w:beforeAutospacing="0" w:after="0" w:afterAutospacing="0"/>
        <w:jc w:val="both"/>
        <w:rPr>
          <w:color w:val="FF0000"/>
          <w:u w:val="single"/>
        </w:rPr>
      </w:pPr>
      <w:r w:rsidRPr="00F2605B">
        <w:rPr>
          <w:b/>
          <w:bCs/>
        </w:rPr>
        <w:br/>
      </w:r>
      <w:r w:rsidRPr="00EB3415">
        <w:rPr>
          <w:color w:val="FF0000"/>
          <w:u w:val="single"/>
        </w:rPr>
        <w:t>Las potencias intermedias están en una posición única para ofrecer caminos alternativos para el mundo en materia de comercio, seguridad y tecnología. Sin embargo, las crecientes brechas de capacidad pueden obligar a elegir entre dos bloques rivales en lugar de permitir que las potencias intermedias desarrollen una red diversa de acuerdos mutuamente beneficiosos. Por ejemplo, la Unión Europea (UE) (que representa casi un tercio del comercio mundial de mercancías) o la India (que se prevé que se convierta en el país más poblado del mundo en 2027) podrían proporcionar un contrapeso en el orden geopolítico en evolución en áreas como la fabricación y el comercio, pero tendrán dificultades para destacarse en los ámbitos digital y de defensa. </w:t>
      </w:r>
    </w:p>
    <w:p w:rsidR="00D93BCE" w:rsidRPr="00EB3415" w:rsidRDefault="00D93BCE" w:rsidP="00D93BCE">
      <w:pPr>
        <w:pStyle w:val="NormalWeb"/>
        <w:shd w:val="clear" w:color="auto" w:fill="FFFFFF"/>
        <w:spacing w:before="0" w:beforeAutospacing="0" w:after="0" w:afterAutospacing="0"/>
        <w:jc w:val="both"/>
        <w:rPr>
          <w:color w:val="FF0000"/>
          <w:u w:val="single"/>
        </w:rPr>
      </w:pPr>
    </w:p>
    <w:p w:rsidR="00D93BCE" w:rsidRDefault="00D93BCE" w:rsidP="00D93BCE">
      <w:pPr>
        <w:pStyle w:val="NormalWeb"/>
        <w:shd w:val="clear" w:color="auto" w:fill="FFFFFF"/>
        <w:spacing w:before="0" w:beforeAutospacing="0" w:after="0" w:afterAutospacing="0"/>
        <w:jc w:val="both"/>
      </w:pPr>
      <w:r w:rsidRPr="00EB3415">
        <w:rPr>
          <w:color w:val="FF0000"/>
          <w:u w:val="single"/>
        </w:rPr>
        <w:t>La creciente competencia entre Estados Unidos y China también puede obstaculizar otras potencias regionales que, de lo contrario, podrían desear seguir una estrategia de equilibrio.</w:t>
      </w:r>
      <w:r w:rsidRPr="00EB3415">
        <w:rPr>
          <w:color w:val="FF0000"/>
        </w:rPr>
        <w:t> </w:t>
      </w:r>
      <w:r w:rsidRPr="00F2605B">
        <w:t>Los gobiernos de Medio Oriente podrían verse empujados a un tira y afloja, con renovados esfuerzos de la diplomacia estadounidense yuxtapuestos contra el aumento de las iniciativas económicas chinas en la región. En América Latina y África, los lazos económicos cada vez más profundos de China podrían competir con las históricas alianzas basadas en la seguridad y las conexiones culturales con los Estados Unidos. </w:t>
      </w:r>
    </w:p>
    <w:p w:rsidR="00D93BCE" w:rsidRPr="00F2605B" w:rsidRDefault="00D93BCE" w:rsidP="00D93BCE">
      <w:pPr>
        <w:pStyle w:val="NormalWeb"/>
        <w:shd w:val="clear" w:color="auto" w:fill="FFFFFF"/>
        <w:spacing w:before="0" w:beforeAutospacing="0" w:after="0" w:afterAutospacing="0"/>
        <w:jc w:val="both"/>
      </w:pPr>
    </w:p>
    <w:p w:rsidR="00D93BCE" w:rsidRPr="00EB3415" w:rsidRDefault="00D93BCE" w:rsidP="00D93BCE">
      <w:pPr>
        <w:pStyle w:val="NormalWeb"/>
        <w:shd w:val="clear" w:color="auto" w:fill="FFFFFF"/>
        <w:spacing w:before="0" w:beforeAutospacing="0" w:after="0" w:afterAutospacing="0"/>
        <w:jc w:val="both"/>
        <w:rPr>
          <w:color w:val="FF0000"/>
          <w:u w:val="single"/>
        </w:rPr>
      </w:pPr>
      <w:r w:rsidRPr="00EB3415">
        <w:rPr>
          <w:color w:val="FF0000"/>
          <w:u w:val="single"/>
        </w:rPr>
        <w:t xml:space="preserve">Obligados a elegir un bando, los gobiernos pueden enfrentarse a consecuencias económicas o diplomáticas, ya que se desarrollan disputas de representación por el control de los recursos económicos o geográficos. La profundización de las fallas geopolíticas y la falta de alternativas viables de potencia media dificultan que los países cultiven un tejido conectivo con un conjunto diverso de países socios basados ​​en valores mutuos y maximizando la eficiencia. En cambio, las redes se volverán densas en algunas direcciones e inexistentes en otras. La crisis de la COVID-19 ha amplificado esta dinámica, ya que las interacciones digitales representan una “gran pérdida de eficiencia para la diplomacia” en comparación con las discusiones cara a cara. Con el debilitamiento de algunas alianzas, las relaciones </w:t>
      </w:r>
      <w:r w:rsidRPr="00EB3415">
        <w:rPr>
          <w:color w:val="FF0000"/>
          <w:u w:val="single"/>
        </w:rPr>
        <w:lastRenderedPageBreak/>
        <w:t>diplomáticas se volverán más inestables en los puntos donde las placas tectónicas de las superpotencias se encuentran o se retiran.</w:t>
      </w:r>
    </w:p>
    <w:p w:rsidR="00D93BCE" w:rsidRPr="00EB3415" w:rsidRDefault="00D93BCE" w:rsidP="00D93BCE">
      <w:pPr>
        <w:shd w:val="clear" w:color="auto" w:fill="FFFFFF"/>
        <w:spacing w:line="240" w:lineRule="auto"/>
        <w:jc w:val="both"/>
        <w:rPr>
          <w:rFonts w:ascii="Times New Roman" w:hAnsi="Times New Roman" w:cs="Times New Roman"/>
          <w:color w:val="FF0000"/>
          <w:sz w:val="24"/>
          <w:szCs w:val="24"/>
          <w:u w:val="single"/>
        </w:rPr>
      </w:pPr>
    </w:p>
    <w:p w:rsidR="00D93BCE" w:rsidRPr="00EB3415" w:rsidRDefault="00D93BCE" w:rsidP="00D93BCE">
      <w:pPr>
        <w:pStyle w:val="NormalWeb"/>
        <w:shd w:val="clear" w:color="auto" w:fill="FFFFFF"/>
        <w:spacing w:before="0" w:beforeAutospacing="0" w:after="0" w:afterAutospacing="0"/>
        <w:jc w:val="both"/>
        <w:rPr>
          <w:color w:val="FF0000"/>
          <w:u w:val="single"/>
        </w:rPr>
      </w:pPr>
      <w:r w:rsidRPr="00EB3415">
        <w:rPr>
          <w:color w:val="FF0000"/>
          <w:u w:val="single"/>
        </w:rPr>
        <w:t>Al mismo tiempo, sin los árbitros de las superpotencias o la aplicación de las potencias medias, es posible que las normas globales ya no rijan el comportamiento del Estado. Por lo tanto, algunos gobiernos verán la consolidación de bloques rivales como una oportunidad para adoptar una postura regional que tendrá efectos desestabilizadores. En todas las sociedades, la discordia interna y las crisis económicas aumentarán el riesgo de autocracia, con la correspondiente censura, vigilancia, restricción de movimiento y abrogación de derechos. </w:t>
      </w:r>
    </w:p>
    <w:p w:rsidR="00D93BCE" w:rsidRPr="00F2605B" w:rsidRDefault="00D93BCE" w:rsidP="00D93BCE">
      <w:pPr>
        <w:pStyle w:val="NormalWeb"/>
        <w:shd w:val="clear" w:color="auto" w:fill="FFFFFF"/>
        <w:spacing w:before="0" w:beforeAutospacing="0" w:after="0" w:afterAutospacing="0"/>
        <w:jc w:val="both"/>
      </w:pPr>
    </w:p>
    <w:p w:rsidR="00D93BCE" w:rsidRPr="00EB3415" w:rsidRDefault="00D93BCE" w:rsidP="00D93BCE">
      <w:pPr>
        <w:pStyle w:val="NormalWeb"/>
        <w:shd w:val="clear" w:color="auto" w:fill="FFFFFF"/>
        <w:spacing w:before="0" w:beforeAutospacing="0" w:after="0" w:afterAutospacing="0"/>
        <w:jc w:val="both"/>
        <w:rPr>
          <w:rStyle w:val="apple-converted-space"/>
          <w:color w:val="FF0000"/>
          <w:u w:val="single"/>
        </w:rPr>
      </w:pPr>
      <w:r w:rsidRPr="00F2605B">
        <w:t>Las crisis económicas también amplificarán los desafíos para las potencias medias mientras navegan por la competencia geopolítica. Los países de la ASEAN, por ejemplo, habían ofrecido una nueva base de fabricación potencial a medida que Estados Unidos y China se desvinculan, pero la pandemia ha dejado a estos países sin dinero para invertir en la infraestructura y la capacidad productiva necesarias. Las consecuencias económicas están empujando a muchos países al sobreendeudamiento (consulte </w:t>
      </w:r>
      <w:hyperlink r:id="rId58" w:history="1">
        <w:r w:rsidRPr="00DE6AA4">
          <w:rPr>
            <w:rStyle w:val="Hipervnculo"/>
            <w:rFonts w:eastAsiaTheme="majorEastAsia"/>
            <w:color w:val="auto"/>
            <w:u w:val="none"/>
          </w:rPr>
          <w:t>el Capítulo 1, Riesgos globales 2021</w:t>
        </w:r>
      </w:hyperlink>
      <w:r w:rsidRPr="00DE6AA4">
        <w:t>).</w:t>
      </w:r>
      <w:r w:rsidRPr="00F2605B">
        <w:t> </w:t>
      </w:r>
      <w:r w:rsidRPr="00EB3415">
        <w:rPr>
          <w:color w:val="FF0000"/>
          <w:u w:val="single"/>
        </w:rPr>
        <w:t>Si bien los países del G20 están apoyando la reestructuración de la deuda de las naciones más pobres, economías más grandes también pueden estar en riesgo de incumplimiento a largo plazo; esto los dejaría aún más varados -e incapaces de ejercer el liderazgo- en el escenario global.</w:t>
      </w:r>
      <w:r w:rsidRPr="00EB3415">
        <w:rPr>
          <w:rStyle w:val="apple-converted-space"/>
          <w:color w:val="FF0000"/>
          <w:u w:val="single"/>
        </w:rPr>
        <w:t>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 xml:space="preserve">Colapso multilateral </w:t>
      </w:r>
    </w:p>
    <w:p w:rsidR="00D93BCE" w:rsidRDefault="00D93BCE" w:rsidP="00D93BCE">
      <w:pPr>
        <w:pStyle w:val="NormalWeb"/>
        <w:shd w:val="clear" w:color="auto" w:fill="FFFFFF"/>
        <w:spacing w:before="0" w:beforeAutospacing="0" w:after="0" w:afterAutospacing="0"/>
        <w:jc w:val="both"/>
        <w:rPr>
          <w:rStyle w:val="Textoennegrita"/>
        </w:rPr>
      </w:pPr>
    </w:p>
    <w:p w:rsidR="00D93BCE" w:rsidRPr="00EB3415" w:rsidRDefault="00D93BCE" w:rsidP="00D93BCE">
      <w:pPr>
        <w:pStyle w:val="NormalWeb"/>
        <w:shd w:val="clear" w:color="auto" w:fill="FFFFFF"/>
        <w:spacing w:before="0" w:beforeAutospacing="0" w:after="0" w:afterAutospacing="0"/>
        <w:jc w:val="both"/>
        <w:rPr>
          <w:color w:val="FF0000"/>
          <w:u w:val="single"/>
        </w:rPr>
      </w:pPr>
      <w:r w:rsidRPr="00EB3415">
        <w:rPr>
          <w:rStyle w:val="Textoennegrita"/>
          <w:color w:val="FF0000"/>
          <w:u w:val="single"/>
        </w:rPr>
        <w:t>Las</w:t>
      </w:r>
      <w:r w:rsidRPr="00EB3415">
        <w:rPr>
          <w:b/>
          <w:bCs/>
          <w:color w:val="FF0000"/>
          <w:u w:val="single"/>
        </w:rPr>
        <w:t xml:space="preserve"> </w:t>
      </w:r>
      <w:r w:rsidRPr="00EB3415">
        <w:rPr>
          <w:color w:val="FF0000"/>
          <w:u w:val="single"/>
        </w:rPr>
        <w:t>debilidades de las potencias intermedias se verán reforzadas en instituciones debilitadas, lo que puede traducirse en más incertidumbre y retraso en el progreso de los desafíos globales compartidos, como el cambio climático, la salud, la reducción de la pobreza y la gobernanza tecnológica. En ausencia de instituciones reguladoras sólidas, el Ártico y el espacio representan nuevos ámbitos de conflicto potencial, ya que tanto las superpotencias como las potencias intermedias compiten para extraer recursos y asegurar una ventaja estratégica. </w:t>
      </w:r>
    </w:p>
    <w:p w:rsidR="00D93BCE" w:rsidRPr="00F2605B" w:rsidRDefault="00D93BCE" w:rsidP="00D93BCE">
      <w:pPr>
        <w:pStyle w:val="NormalWeb"/>
        <w:shd w:val="clear" w:color="auto" w:fill="FFFFFF"/>
        <w:spacing w:before="0" w:beforeAutospacing="0" w:after="0" w:afterAutospacing="0"/>
        <w:jc w:val="both"/>
      </w:pPr>
    </w:p>
    <w:p w:rsidR="00D93BCE" w:rsidRPr="00EB3415" w:rsidRDefault="00D93BCE" w:rsidP="00D93BCE">
      <w:pPr>
        <w:pStyle w:val="NormalWeb"/>
        <w:shd w:val="clear" w:color="auto" w:fill="FFFFFF"/>
        <w:spacing w:before="0" w:beforeAutospacing="0" w:after="0" w:afterAutospacing="0"/>
        <w:jc w:val="both"/>
        <w:rPr>
          <w:color w:val="FF0000"/>
          <w:u w:val="single"/>
        </w:rPr>
      </w:pPr>
      <w:r w:rsidRPr="00EB3415">
        <w:rPr>
          <w:color w:val="FF0000"/>
          <w:u w:val="single"/>
        </w:rPr>
        <w:t>Si las superpotencias mundiales continúan acumulando poder económico, militar y tecnológico en un campo de juego de suma cero, algunas potencias intermedias podrían quedarse cada vez más rezagadas. Sin cooperación o acceso a innovaciones importantes, las potencias intermedias tendrán dificultades para definir soluciones a los problemas del mundo. A largo plazo, los encuestados de GRPS pronosticaron “armas de destrucción masiva” y “colapso estatal” como las dos principales amenazas críticas: en ausencia de instituciones fuertes o reglas claras, los enfrentamientos, como los de Nagorno-Karabaj o el Valle de Galwan, puede estallar más frecuentemente en conflictos interestatales en toda regla, lo que es particularmente preocupante en lo que respecta a las tensiones no resueltas entre las potencias nucleares. Estos conflictos pueden conducir al colapso del estado, con potencias medias debilitadas menos dispuestas o menos capaces de intervenir para encontrar una solución pacífica.</w:t>
      </w:r>
      <w:r w:rsidRPr="00EB3415">
        <w:rPr>
          <w:rStyle w:val="apple-converted-space"/>
          <w:color w:val="FF0000"/>
          <w:u w:val="single"/>
        </w:rPr>
        <w:t> </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De alianzas a asociaciones</w:t>
      </w:r>
    </w:p>
    <w:p w:rsidR="00D93BCE" w:rsidRPr="00EB3415" w:rsidRDefault="00D93BCE" w:rsidP="00D93BCE">
      <w:pPr>
        <w:pStyle w:val="NormalWeb"/>
        <w:shd w:val="clear" w:color="auto" w:fill="FFFFFF"/>
        <w:spacing w:before="360" w:beforeAutospacing="0" w:after="480" w:afterAutospacing="0"/>
        <w:jc w:val="both"/>
        <w:rPr>
          <w:color w:val="FF0000"/>
          <w:u w:val="single"/>
        </w:rPr>
      </w:pPr>
      <w:r w:rsidRPr="00EB3415">
        <w:rPr>
          <w:color w:val="FF0000"/>
          <w:u w:val="single"/>
        </w:rPr>
        <w:t xml:space="preserve">Ningún país individual, independientemente del enfoque de gobernanza, estará perfectamente equipado para abordar los crecientes riesgos sociales, económicos y ambientales que enfrenta el mundo. En este contexto geopolítico, es fundamental que las potencias intermedias puedan ejercer el liderazgo para reforzar la resiliencia global. Si bien muchas instituciones de la </w:t>
      </w:r>
      <w:r w:rsidRPr="00EB3415">
        <w:rPr>
          <w:color w:val="FF0000"/>
          <w:u w:val="single"/>
        </w:rPr>
        <w:lastRenderedPageBreak/>
        <w:t>arquitectura posterior a la Segunda Guerra Mundial se han debilitado en las últimas dos décadas, quedan vacíos en el espacio internacional para que los líderes los llenen con colaboraciones innovadoras. Al mismo tiempo, las potencias intermedias representan la primera y mejor esperanza para reformar y reposicionar instituciones internacionales en declive.</w:t>
      </w:r>
    </w:p>
    <w:p w:rsidR="00D93BCE" w:rsidRDefault="00D93BCE" w:rsidP="00D93BCE">
      <w:pPr>
        <w:pStyle w:val="NormalWeb"/>
        <w:shd w:val="clear" w:color="auto" w:fill="FFFFFF"/>
        <w:spacing w:before="0" w:beforeAutospacing="0" w:after="0" w:afterAutospacing="0"/>
        <w:jc w:val="both"/>
      </w:pPr>
      <w:r w:rsidRPr="00EB3415">
        <w:rPr>
          <w:color w:val="FF0000"/>
          <w:u w:val="single"/>
        </w:rPr>
        <w:t>Los acuerdos plurilaterales basados ​​en problemas ofrecen una oportunidad. Donde los desafíos transnacionales carecen de estructuras de gobernanza global exitosas, como la regulación del ciberespacio y los flujos de información digital, las potencias intermedias podrían liderar asociaciones inclusivas para recuperar la confianza donde ha disminuido</w:t>
      </w:r>
      <w:r w:rsidRPr="00F2605B">
        <w:t>. Los arreglos ad hoc e informales en torno a objetivos compartidos, como las vacunas contra el COVID-19, las asociaciones de seguridad digital y cibernética, y la mitigación y adaptación al cambio climático, pueden contribuir a la resiliencia entre los estados al aumentar las interacciones entre los miembros de las redes. Tales arreglos ya están surgiendo: por ejemplo, la Alianza para el Multilateralismo de Francia y Alemania aborda temas como la desinformación, la información errónea y la igualdad de género. El Consejo Ártico es un foro de cooperación que potencialmente podría asumir más funciones regulatorias a medida que las crisis climáticas afectan cada vez más a la región. Más recientemente, el Acelerador de Acceso a Herramientas COVID-19 (ACT-Accelerator), un esfuerzo de colaboración global diseñado para acelerar el desarrollo, la producción y el acceso equitativo a pruebas, tratamientos y vacunas, ha sido llamado el “mayor esfuerzo multilateral desde el cambio</w:t>
      </w:r>
      <w:r>
        <w:t xml:space="preserve"> climático de París”.</w:t>
      </w:r>
    </w:p>
    <w:p w:rsidR="00D93BCE" w:rsidRPr="00F2605B" w:rsidRDefault="00D93BCE" w:rsidP="00D93BCE">
      <w:pPr>
        <w:pStyle w:val="NormalWeb"/>
        <w:shd w:val="clear" w:color="auto" w:fill="FFFFFF"/>
        <w:spacing w:before="0" w:beforeAutospacing="0" w:after="0" w:afterAutospacing="0"/>
        <w:jc w:val="both"/>
      </w:pPr>
    </w:p>
    <w:p w:rsidR="00D93BCE" w:rsidRPr="00EB3415" w:rsidRDefault="00D93BCE" w:rsidP="00D93BCE">
      <w:pPr>
        <w:pStyle w:val="NormalWeb"/>
        <w:shd w:val="clear" w:color="auto" w:fill="FFFFFF"/>
        <w:spacing w:before="0" w:beforeAutospacing="0" w:after="0" w:afterAutospacing="0"/>
        <w:jc w:val="both"/>
        <w:rPr>
          <w:rStyle w:val="Hipervnculo"/>
          <w:rFonts w:eastAsiaTheme="majorEastAsia"/>
          <w:b/>
          <w:bCs/>
          <w:color w:val="FF0000"/>
          <w:vertAlign w:val="superscript"/>
        </w:rPr>
      </w:pPr>
      <w:r w:rsidRPr="00EB3415">
        <w:rPr>
          <w:color w:val="FF0000"/>
          <w:u w:val="single"/>
        </w:rPr>
        <w:t>Tal “diplomacia temática” también podría contribuir a la reforma de las instituciones existentes. Lo que el Secretario General de la ONU, António Guterres, ha llamado “un superávit de desafíos multilaterales y un déficit de soluciones multilaterales” podría, de hecho, ser una oportunidad para reformar la arquitectura internacional al reenfocar las prioridades en crisis a largo plazo, asegurando el uso productivo de los tiempo y recursos, y prevenir daños colaterales. Las potencias intermedias tienen un papel único que desempeñar: defender la inclusión, aumentar la previsibilidad de la financiación, canalizar recursos hacia iniciativas multilaterales e insistir en el cumplimiento de las normas internacionales que se burlan cada vez más proporcionarán un apoyo fundamental a un sistema debilitado. </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0" w:afterAutospacing="0"/>
        <w:jc w:val="both"/>
      </w:pPr>
      <w:r w:rsidRPr="00F2605B">
        <w:t>Las oportunidades también se encuentran en colaboraciones innovadoras entre actores estatales y no estatales. Por ejemplo, las alianzas que involucran al sector privado y la academia lograron el proceso de desarrollo de vacunas más rápido hasta la fecha. Canadá, Alemania, Italia, Suecia y el Reino Unido se han comprometido a aportar casi mil millones de dólares a un mecanismo de financiación que ayudará a 92 países de ingresos bajos y medianos a acceder a una vacuna. Y muchos gobiernos de potencia media se están asociando con entidades subnacionales e inversionistas en iniciativas para abordar el cambio climático. Los planes de inversión verde podrían ofrecer una resiliencia beneficiosa para todos para que los actores públicos y privados se adapten y mitiguen los impactos del cambio climático, que sigue siendo la mayor amenaza que enfrenta el mundo en las próximas décadas.</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p>
    <w:p w:rsidR="00D93BCE" w:rsidRDefault="00D93BCE" w:rsidP="00D93BCE">
      <w:pPr>
        <w:pStyle w:val="Ttulo1"/>
        <w:spacing w:before="0" w:beforeAutospacing="0" w:after="0" w:afterAutospacing="0"/>
        <w:jc w:val="both"/>
        <w:rPr>
          <w:b w:val="0"/>
          <w:bCs w:val="0"/>
          <w:sz w:val="24"/>
          <w:szCs w:val="24"/>
        </w:rPr>
      </w:pPr>
      <w:r w:rsidRPr="00F2605B">
        <w:rPr>
          <w:b w:val="0"/>
          <w:bCs w:val="0"/>
          <w:sz w:val="24"/>
          <w:szCs w:val="24"/>
        </w:rPr>
        <w:t>Mercados imperfectos: una sacudida industrial desordenada</w:t>
      </w:r>
    </w:p>
    <w:p w:rsidR="00D93BCE" w:rsidRPr="00F2605B" w:rsidRDefault="00D93BCE" w:rsidP="00D93BCE">
      <w:pPr>
        <w:pStyle w:val="Ttulo1"/>
        <w:spacing w:before="0" w:beforeAutospacing="0" w:after="0" w:afterAutospacing="0"/>
        <w:jc w:val="both"/>
        <w:rPr>
          <w:b w:val="0"/>
          <w:bCs w:val="0"/>
          <w:sz w:val="24"/>
          <w:szCs w:val="24"/>
        </w:rPr>
      </w:pPr>
    </w:p>
    <w:p w:rsidR="00D93BCE" w:rsidRPr="00EB3415" w:rsidRDefault="00D93BCE" w:rsidP="00D93BCE">
      <w:pPr>
        <w:pStyle w:val="NormalWeb"/>
        <w:shd w:val="clear" w:color="auto" w:fill="FFFFFF"/>
        <w:spacing w:before="0" w:beforeAutospacing="0" w:after="480" w:afterAutospacing="0"/>
        <w:jc w:val="both"/>
        <w:rPr>
          <w:color w:val="FF0000"/>
          <w:u w:val="single"/>
        </w:rPr>
      </w:pPr>
      <w:r w:rsidRPr="00EB3415">
        <w:rPr>
          <w:color w:val="FF0000"/>
          <w:u w:val="single"/>
        </w:rPr>
        <w:t xml:space="preserve">Tras la conmoción y el estímulo gubernamental de la COVID-19, una sacudida volátil amenaza el panorama empresarial mundial. El proteccionismo, la transformación tecnológica </w:t>
      </w:r>
      <w:r w:rsidRPr="00EB3415">
        <w:rPr>
          <w:color w:val="FF0000"/>
          <w:u w:val="single"/>
        </w:rPr>
        <w:lastRenderedPageBreak/>
        <w:t>y el malestar social, entre otras tendencias, han perturbado la actividad económica durante algunos años, pero la pandemia les ha dado un nuevo impulso.</w:t>
      </w:r>
    </w:p>
    <w:p w:rsidR="00D93BCE" w:rsidRPr="00641451" w:rsidRDefault="00D93BCE" w:rsidP="00D93BCE">
      <w:pPr>
        <w:pStyle w:val="NormalWeb"/>
        <w:shd w:val="clear" w:color="auto" w:fill="FFFFFF"/>
        <w:spacing w:before="0" w:beforeAutospacing="0" w:after="480" w:afterAutospacing="0"/>
        <w:jc w:val="both"/>
        <w:rPr>
          <w:color w:val="FF0000"/>
          <w:u w:val="single"/>
        </w:rPr>
      </w:pPr>
      <w:r w:rsidRPr="00641451">
        <w:rPr>
          <w:color w:val="FF0000"/>
          <w:u w:val="single"/>
        </w:rPr>
        <w:t>Mientras buscan ignorar los efectos de la pandemia, los ecosistemas empresariales de muchos países se enfrentan a los riesgos de un letargo esclerótico, regresivo o una destrucción creativa acelerada. El liderazgo indeciso o equivocado tiene el potencial de exacerbar estas tendencias, provocando ondas en la economía global y asegurando resultados catastróficos. De hecho, una reorganización desordenada precipitaría el estancamiento económico en las economías avanzadas y la pérdida de potencial en los mercados emergentes y en desarrollo, una mayor bifurcación entre empresas grandes y pequeñas y el colapso de millones de pequeñas empresas, y más desigualdad y desgaste de los imperativos de desarrollo so</w:t>
      </w:r>
      <w:r>
        <w:rPr>
          <w:color w:val="FF0000"/>
          <w:u w:val="single"/>
        </w:rPr>
        <w:t xml:space="preserve">stenible global a largo plazo. </w:t>
      </w:r>
    </w:p>
    <w:p w:rsidR="00D93BCE" w:rsidRPr="00641451" w:rsidRDefault="00D93BCE" w:rsidP="00D93BCE">
      <w:pPr>
        <w:pStyle w:val="NormalWeb"/>
        <w:shd w:val="clear" w:color="auto" w:fill="FFFFFF"/>
        <w:spacing w:before="0" w:beforeAutospacing="0" w:after="480" w:afterAutospacing="0"/>
        <w:jc w:val="both"/>
        <w:rPr>
          <w:color w:val="FF0000"/>
          <w:u w:val="single"/>
        </w:rPr>
      </w:pPr>
      <w:r w:rsidRPr="00641451">
        <w:rPr>
          <w:color w:val="FF0000"/>
          <w:u w:val="single"/>
        </w:rPr>
        <w:t>Con los gobiernos aun deliberando cuál es la mejor manera de alejarse de la situación de emergencia actual que han creado debajo de gran parte de la economía y la fuerza laboral del mundo, y con las empresas que anticipan un panorama empresarial muy cambiado en el futuro, evitar estos posibles resultados es fundamental para mantener el la sostenibilidad a largo plazo y la resiliencia de las empresas.</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Un trilema disruptivo</w:t>
      </w:r>
    </w:p>
    <w:p w:rsidR="00D93BCE" w:rsidRPr="00641451" w:rsidRDefault="00D93BCE" w:rsidP="00D93BCE">
      <w:pPr>
        <w:pStyle w:val="NormalWeb"/>
        <w:shd w:val="clear" w:color="auto" w:fill="FFFFFF"/>
        <w:spacing w:before="360" w:beforeAutospacing="0" w:after="480" w:afterAutospacing="0"/>
        <w:jc w:val="both"/>
        <w:rPr>
          <w:color w:val="FF0000"/>
          <w:u w:val="single"/>
        </w:rPr>
      </w:pPr>
      <w:r w:rsidRPr="00641451">
        <w:rPr>
          <w:color w:val="FF0000"/>
          <w:u w:val="single"/>
        </w:rPr>
        <w:t>Es probable que surjan nuevos desafíos para hacer negocios a partir de tres fuentes clave: agendas nacionales, tecnología que se está desenfrenando y un mayor escrutinio público.</w:t>
      </w:r>
    </w:p>
    <w:p w:rsidR="00D93BCE" w:rsidRDefault="00D93BCE" w:rsidP="00D93BCE">
      <w:pPr>
        <w:pStyle w:val="NormalWeb"/>
        <w:shd w:val="clear" w:color="auto" w:fill="FFFFFF"/>
        <w:spacing w:before="0" w:beforeAutospacing="0" w:after="480" w:afterAutospacing="0"/>
        <w:jc w:val="both"/>
        <w:rPr>
          <w:rStyle w:val="apple-converted-space"/>
          <w:b/>
          <w:bCs/>
        </w:rPr>
      </w:pPr>
      <w:r w:rsidRPr="00F2605B">
        <w:rPr>
          <w:rStyle w:val="Textoennegrita"/>
        </w:rPr>
        <w:t>Agendas enfocadas a nivel nacional</w:t>
      </w:r>
      <w:r w:rsidRPr="00F2605B">
        <w:rPr>
          <w:rStyle w:val="apple-converted-space"/>
          <w:b/>
          <w:bCs/>
        </w:rPr>
        <w:t> </w:t>
      </w:r>
    </w:p>
    <w:p w:rsidR="00D93BCE" w:rsidRPr="00641451" w:rsidRDefault="00D93BCE" w:rsidP="00D93BCE">
      <w:pPr>
        <w:pStyle w:val="NormalWeb"/>
        <w:shd w:val="clear" w:color="auto" w:fill="FFFFFF"/>
        <w:spacing w:before="0" w:beforeAutospacing="0" w:after="480" w:afterAutospacing="0"/>
        <w:jc w:val="both"/>
        <w:rPr>
          <w:color w:val="FF0000"/>
          <w:u w:val="single"/>
        </w:rPr>
      </w:pPr>
      <w:r w:rsidRPr="00641451">
        <w:rPr>
          <w:color w:val="FF0000"/>
          <w:u w:val="single"/>
        </w:rPr>
        <w:t>La pandemia ha fortalecido el mandato de los estados para salvaguardar el bienestar económico nacional</w:t>
      </w:r>
      <w:r w:rsidRPr="00F2605B">
        <w:t>. Tanto la supervivencia como la recuperación son fundamentales, y aumenta la presión para garantizar ambos aspectos en un mundo posterior a la pandemia y, al mismo tiempo, vigilar de cerca la seguridad nacional. </w:t>
      </w:r>
      <w:r w:rsidRPr="00641451">
        <w:rPr>
          <w:color w:val="FF0000"/>
          <w:u w:val="single"/>
        </w:rPr>
        <w:t>La forma en que los gobiernos manejen el desafío de contener las pérdidas derivadas de COVID-19 mientras priorizan los paquetes de estímulo orientados al futuro determinará los riesgos que enfrentan las empresas individuales.</w:t>
      </w:r>
    </w:p>
    <w:p w:rsidR="00D93BCE" w:rsidRPr="00F2605B" w:rsidRDefault="00D93BCE" w:rsidP="00D93BCE">
      <w:pPr>
        <w:pStyle w:val="NormalWeb"/>
        <w:shd w:val="clear" w:color="auto" w:fill="FFFFFF"/>
        <w:spacing w:before="0" w:beforeAutospacing="0" w:after="0" w:afterAutospacing="0"/>
        <w:jc w:val="both"/>
      </w:pPr>
      <w:r w:rsidRPr="00F2605B">
        <w:t>Las micro, pequeñas y medianas empresas (MIPYMES) han sido las más afectadas por el COVID-19. Suelen ser colectivamente los mayores empleadores de un país: en China, por ejemplo, generan alrededor del 80 % del empleo. Se estima que el 18% de las empresas en China quebraron entre febrero y mayo. En Estados Unidos, el 20% de las empresas con menos de 500 empleados cerraron definitivamente entre marzo y agosto. Muchos de los que sobrevivieron a los cierres iniciales siguen dependiendo del apoyo estatal, como resultado de las continuas restricciones y la disminución de la confianza del consumidor.</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p>
    <w:p w:rsidR="00D93BCE" w:rsidRPr="00F2605B" w:rsidRDefault="00D93BCE" w:rsidP="00D93BCE">
      <w:pPr>
        <w:pStyle w:val="NormalWeb"/>
        <w:shd w:val="clear" w:color="auto" w:fill="FFFFFF"/>
        <w:spacing w:before="0" w:beforeAutospacing="0" w:after="0" w:afterAutospacing="0"/>
        <w:jc w:val="both"/>
      </w:pPr>
      <w:r w:rsidRPr="00F2605B">
        <w:t xml:space="preserve">Las empresas propiedad de minorías y mujeres también se han visto afectadas de manera desproporcionada, porque muchas se encuentran en los sectores de servicios de alimentos, comercio minorista y alojamiento. Las empresas propiedad de mujeres se han visto más </w:t>
      </w:r>
      <w:r w:rsidRPr="00F2605B">
        <w:lastRenderedPageBreak/>
        <w:t>afectadas independientemente de la geografía o el tipo de mercado (ver Figura 5.1). Las mujeres y las minorías ya estaban subrepresentadas en el espíritu empresarial, y el retiro mal planificado del apoyo estatal corre el riesgo de retrasar los esfuerzos para construir economías locales más inclusivas. </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Figura 5.1: Brecha de género en las tasas de cierre de empresas</w:t>
      </w:r>
    </w:p>
    <w:p w:rsidR="00D93BCE" w:rsidRPr="00F2605B" w:rsidRDefault="00D93BCE" w:rsidP="00D93BCE">
      <w:pPr>
        <w:pStyle w:val="NormalWeb"/>
        <w:shd w:val="clear" w:color="auto" w:fill="FFFFFF"/>
        <w:spacing w:before="360" w:beforeAutospacing="0" w:after="480" w:afterAutospacing="0"/>
        <w:jc w:val="both"/>
      </w:pPr>
      <w:r w:rsidRPr="00F2605B">
        <w:rPr>
          <w:noProof/>
        </w:rPr>
        <w:drawing>
          <wp:inline distT="0" distB="0" distL="0" distR="0" wp14:anchorId="199433F7" wp14:editId="659A5788">
            <wp:extent cx="5727700" cy="3429000"/>
            <wp:effectExtent l="0" t="0" r="6350" b="0"/>
            <wp:docPr id="90" name="Imagen 90" descr="http://reports.weforum.org/global-risks-report-2021/files/2021/01/FIG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reports.weforum.org/global-risks-report-2021/files/2021/01/FIG5.1-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7700" cy="3429000"/>
                    </a:xfrm>
                    <a:prstGeom prst="rect">
                      <a:avLst/>
                    </a:prstGeom>
                    <a:noFill/>
                    <a:ln>
                      <a:noFill/>
                    </a:ln>
                  </pic:spPr>
                </pic:pic>
              </a:graphicData>
            </a:graphic>
          </wp:inline>
        </w:drawing>
      </w:r>
    </w:p>
    <w:p w:rsidR="00D93BCE" w:rsidRPr="00DE6AA4" w:rsidRDefault="00D93BCE" w:rsidP="00D93BCE">
      <w:pPr>
        <w:pStyle w:val="NormalWeb"/>
        <w:shd w:val="clear" w:color="auto" w:fill="FFFFFF"/>
        <w:spacing w:before="0" w:beforeAutospacing="0" w:after="480" w:afterAutospacing="0"/>
        <w:jc w:val="both"/>
      </w:pPr>
      <w:r w:rsidRPr="00DE6AA4">
        <w:t xml:space="preserve">Fuente: Goldstein, M., </w:t>
      </w:r>
      <w:r w:rsidR="001715FB" w:rsidRPr="00DE6AA4">
        <w:t>González</w:t>
      </w:r>
      <w:r w:rsidRPr="00DE6AA4">
        <w:t xml:space="preserve"> </w:t>
      </w:r>
      <w:r w:rsidR="001715FB" w:rsidRPr="00DE6AA4">
        <w:t>Martínez</w:t>
      </w:r>
      <w:r w:rsidRPr="00DE6AA4">
        <w:t xml:space="preserve">, P., Papineni, S. and Wimpey, J. 2020. </w:t>
      </w:r>
      <w:r w:rsidRPr="00DE6AA4">
        <w:rPr>
          <w:lang w:val="en-US"/>
        </w:rPr>
        <w:t>“The Global State of Small Business during COVID-19: Gender Inequalities”. </w:t>
      </w:r>
      <w:r w:rsidRPr="00DE6AA4">
        <w:t>Blogs del Banco Mundial. 8 de septiembre de 2020. </w:t>
      </w:r>
      <w:hyperlink r:id="rId60" w:history="1">
        <w:r w:rsidRPr="00DE6AA4">
          <w:rPr>
            <w:rStyle w:val="Hipervnculo"/>
            <w:rFonts w:eastAsiaTheme="majorEastAsia"/>
            <w:color w:val="auto"/>
            <w:u w:val="none"/>
          </w:rPr>
          <w:t>https://blogs.worldbank.org/developmenttalk/global-state-small-business-uring-covid-19-gender-inequalities</w:t>
        </w:r>
      </w:hyperlink>
    </w:p>
    <w:p w:rsidR="00D93BCE" w:rsidRPr="00641451" w:rsidRDefault="00D93BCE" w:rsidP="00D93BCE">
      <w:pPr>
        <w:pStyle w:val="NormalWeb"/>
        <w:shd w:val="clear" w:color="auto" w:fill="FFFFFF"/>
        <w:spacing w:before="0" w:beforeAutospacing="0" w:after="0" w:afterAutospacing="0"/>
        <w:jc w:val="both"/>
        <w:rPr>
          <w:color w:val="FF0000"/>
          <w:u w:val="single"/>
        </w:rPr>
      </w:pPr>
      <w:r w:rsidRPr="00641451">
        <w:rPr>
          <w:u w:val="single"/>
        </w:rPr>
        <w:t>En aquellos países que están comenzando a salir de la emergencia inmediata, los gobiernos están experimentando una tensión entre comprometer un apoyo fiscal inmediato para las empresas vulnerables y los medios de vida que sustentan y, al mismo tiempo, abordar las deficiencias estructurales anteriores a la COVID, mantener la estabilidad financiera y la presión sobre las reservas. y moneda, y asegurar el crecimiento a largo plazo para permitir una recuperación económica sostenible</w:t>
      </w:r>
      <w:r w:rsidRPr="00F2605B">
        <w:t>. Se debe alentar a las MIPYME a realizar inversiones estratégicas para su operación futura eficiente, como brindar apoyo para encontrar mercados alternativos y subvenciones condicionales, acceder a apoyo para capacitación y redistribución, y para digitalización y programas específicos para nuevas empresas. Sin este empujón, las empresas podrían sufrir una futura parálisis o colapsar debido a las obligaciones de la deuda. Los informes ya predicen incumplimientos en una proporción significativa de préstamos públicos y privados en Brasil, India, y el Reino Unido</w:t>
      </w:r>
      <w:r w:rsidRPr="00863790">
        <w:t>. </w:t>
      </w:r>
      <w:r w:rsidRPr="00641451">
        <w:rPr>
          <w:color w:val="FF0000"/>
          <w:u w:val="single"/>
        </w:rPr>
        <w:t>Los encuestados de  la Encuesta Global de Percepción de Riesgos (GRPS, por sus siglas en inglés) se hacen e</w:t>
      </w:r>
      <w:r>
        <w:rPr>
          <w:color w:val="FF0000"/>
          <w:u w:val="single"/>
        </w:rPr>
        <w:t>co de estas preocupaciones: el “</w:t>
      </w:r>
      <w:r w:rsidRPr="00641451">
        <w:rPr>
          <w:color w:val="FF0000"/>
          <w:u w:val="single"/>
        </w:rPr>
        <w:t>est</w:t>
      </w:r>
      <w:r>
        <w:rPr>
          <w:color w:val="FF0000"/>
          <w:u w:val="single"/>
        </w:rPr>
        <w:t>allido de la burbuja de activos” y las “crisis de la deuda”</w:t>
      </w:r>
      <w:r w:rsidRPr="00641451">
        <w:rPr>
          <w:color w:val="FF0000"/>
          <w:u w:val="single"/>
        </w:rPr>
        <w:t xml:space="preserve"> aparecen como amenazas críticas a mediano plazo.</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lastRenderedPageBreak/>
        <w:t>Del mismo modo, si bien un contexto de bajo interés y alto estímulo está permitiendo que muchas empresas capeen la pandemia mundial, cuando se encuentran en la fase de recuperac</w:t>
      </w:r>
      <w:r>
        <w:t>ión, mantener grandes empresas “zombies”</w:t>
      </w:r>
      <w:r w:rsidRPr="00F2605B">
        <w:t xml:space="preserve"> que no rinden corre el riesgo de privar a otras empresas de talento y capital potencial y arrastra a largo plazo. -productividad económica a plazo. La gestión de la creciente deuda pública, particularmente en las economías avanzadas, depende de estas frágiles ganancias de productividad.</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480" w:afterAutospacing="0"/>
        <w:jc w:val="both"/>
      </w:pPr>
      <w:r w:rsidRPr="00F2605B">
        <w:t>Si no se logra el crecimiento, un retorno a la austeridad puede parecer atractivo para los gobiernos. Pero esto limitaría el progreso en agendas de desarrollo cruciales, como la inversión en la transición a cero emisiones netas de carbono y la resiliencia al clima y las amenazas digitales, así como la reconstrucción de los sistemas de seguridad social que quedaron al descubierto por el COVID-19.</w:t>
      </w:r>
    </w:p>
    <w:p w:rsidR="00D93BCE" w:rsidRDefault="00D93BCE" w:rsidP="00D93BCE">
      <w:pPr>
        <w:pStyle w:val="NormalWeb"/>
        <w:shd w:val="clear" w:color="auto" w:fill="FFFFFF"/>
        <w:spacing w:before="0" w:beforeAutospacing="0" w:after="0" w:afterAutospacing="0"/>
        <w:jc w:val="both"/>
      </w:pPr>
      <w:r w:rsidRPr="00F2605B">
        <w:t xml:space="preserve">Alternativamente, </w:t>
      </w:r>
      <w:r>
        <w:t>contra un telón de fondo de más dirigista</w:t>
      </w:r>
    </w:p>
    <w:p w:rsidR="00D93BCE" w:rsidRDefault="00D93BCE" w:rsidP="00D93BCE">
      <w:pPr>
        <w:pStyle w:val="NormalWeb"/>
        <w:shd w:val="clear" w:color="auto" w:fill="FFFFFF"/>
        <w:spacing w:before="0" w:beforeAutospacing="0" w:after="0" w:afterAutospacing="0"/>
        <w:jc w:val="both"/>
        <w:rPr>
          <w:i/>
          <w:iCs/>
        </w:rPr>
      </w:pPr>
    </w:p>
    <w:p w:rsidR="00D93BCE" w:rsidRDefault="00D93BCE" w:rsidP="00D93BCE">
      <w:pPr>
        <w:pStyle w:val="NormalWeb"/>
        <w:shd w:val="clear" w:color="auto" w:fill="FFFFFF"/>
        <w:spacing w:before="0" w:beforeAutospacing="0" w:after="0" w:afterAutospacing="0"/>
        <w:jc w:val="both"/>
      </w:pPr>
      <w:r w:rsidRPr="00F2605B">
        <w:t>En la formulación de políticas durante la pandemia, algunos líderes políticos pueden animarse a elegir ganadores, para decidir qué empresas sobrevivirán y cuáles no, por razones políticas en lugar de permitir una economía futura más sostenible. Apoyar a las empresas de bajo rendimiento deja a las cuentas nacionales y a los ciudadanos con pocas oportunidades de recuperar cualquier beneficio del rescate de la empresa privada, especialmente en el contexto de regímenes fiscales corporativos globalmente inconsistentes. Bajo tales circunstancias, las lecciones de la crisis financiera de 2008-2009 sugieren que las grandes empresas que se benefician de este bienestar corporativo mientras siguen recompensando a los ejecutivos y accionistas probablemente sufrirán una reacción política y social posterior a la crisis, y también tendrán que enfrentar futuras respuestas regulatorias.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Por otra parte, el entorno empresarial global puede volverse más costoso e incierto como resultado de las tendencias proteccionistas amplificadas, ya que algunos estados se repliegan cada vez más en un intento por fortalecer la autosuficiencia y proteger los empleos nacionales (consulte el </w:t>
      </w:r>
      <w:hyperlink r:id="rId61" w:history="1">
        <w:r w:rsidRPr="008E5798">
          <w:rPr>
            <w:rStyle w:val="Hipervnculo"/>
            <w:rFonts w:eastAsiaTheme="majorEastAsia"/>
            <w:color w:val="auto"/>
            <w:u w:val="none"/>
          </w:rPr>
          <w:t>Capítulo 4, Middle Power Morass</w:t>
        </w:r>
      </w:hyperlink>
      <w:r w:rsidRPr="00641451">
        <w:t>)</w:t>
      </w:r>
      <w:r w:rsidRPr="00F2605B">
        <w:t>. En algunas economías, las empresas que operan en industrias críticas para la resiliencia nacional pueden enfrentar propuestas de expropiación, nacionalización o una mayor participación del gobierno; en otros sectores, las empresas pueden verse alentadas o coaccionadas a cadenas de suministro en tierra y recuperar puestos de trabajo. Las empresas más pequeñas pueden sufrir una ola de reestructuración y posibles quiebras a medida que se enfrentan a mayores costos operativos y de inversión para realinear las cadenas de suministro en un momento en que ya están experimentando márgenes de ganancias más bajos y reservas agotadas debido a la reciente recesión económica.</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Las limitaciones de la fuerza laboral también han surgido como un problema pertinente en muchos países. Las políticas migratorias más restrictivas y las dificultades económicas generales de una combinación de las consecuencias de COVID-19 que encajan con un proteccionismo cada vez más profundo están dificultando que las empresas atraigan y retengan talento extranjero. </w:t>
      </w:r>
    </w:p>
    <w:p w:rsidR="00D93BCE" w:rsidRPr="00F2605B" w:rsidRDefault="00D93BCE" w:rsidP="00D93BCE">
      <w:pPr>
        <w:pStyle w:val="NormalWeb"/>
        <w:shd w:val="clear" w:color="auto" w:fill="FFFFFF"/>
        <w:spacing w:before="0" w:beforeAutospacing="0" w:after="0" w:afterAutospacing="0"/>
        <w:jc w:val="both"/>
      </w:pPr>
    </w:p>
    <w:p w:rsidR="00D93BCE" w:rsidRPr="00641451" w:rsidRDefault="00D93BCE" w:rsidP="00D93BCE">
      <w:pPr>
        <w:pStyle w:val="NormalWeb"/>
        <w:shd w:val="clear" w:color="auto" w:fill="FFFFFF"/>
        <w:spacing w:before="0" w:beforeAutospacing="0" w:after="0" w:afterAutospacing="0"/>
        <w:jc w:val="both"/>
        <w:rPr>
          <w:color w:val="FF0000"/>
          <w:u w:val="single"/>
        </w:rPr>
      </w:pPr>
      <w:r w:rsidRPr="00641451">
        <w:rPr>
          <w:color w:val="FF0000"/>
          <w:u w:val="single"/>
        </w:rPr>
        <w:t xml:space="preserve">Inevitablemente, a medida que se intensifican la agenda de seguridad nacional y las tensiones geopolíticas, algunas empresas globales también enfrentan mayores desafíos para acceder a los mercados extranjeros. Las prohibiciones de aplicaciones de comunicación y una nueva ola de sanciones emitidas por las dos economías más grandes, Estados Unidos y China, subrayan </w:t>
      </w:r>
      <w:r w:rsidRPr="00641451">
        <w:rPr>
          <w:color w:val="FF0000"/>
          <w:u w:val="single"/>
        </w:rPr>
        <w:lastRenderedPageBreak/>
        <w:t>las consecuencias del proteccionismo. A medida que se profundizan las preocupaciones geopolíticas con respecto a la privacidad de los datos, la carrera 5G y la actividad de fusiones y adquisiciones (M&amp;A) poco regulada, las grandes empresas deberán lidiar con la interferencia política continua con respecto a la propiedad, las preocupaciones éticas, las estrategias de inversión y los derechos de propiedad intelectual.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2A127A">
        <w:rPr>
          <w:rStyle w:val="Textoennegrita"/>
        </w:rPr>
        <w:t>Los</w:t>
      </w:r>
      <w:r>
        <w:rPr>
          <w:b/>
          <w:bCs/>
        </w:rPr>
        <w:t xml:space="preserve"> </w:t>
      </w:r>
      <w:r w:rsidRPr="00F2605B">
        <w:t>bloqueos de COVID-19 desenfrenados con la tecnología han acelerado la hibridación digital-física habilitada por la Cuarta Revolución Industrial (consulte el </w:t>
      </w:r>
      <w:hyperlink r:id="rId62" w:history="1">
        <w:r w:rsidRPr="00DE6AA4">
          <w:rPr>
            <w:rStyle w:val="Hipervnculo"/>
            <w:rFonts w:eastAsiaTheme="majorEastAsia"/>
            <w:color w:val="auto"/>
            <w:u w:val="none"/>
          </w:rPr>
          <w:t>Capítulo 2, Error 404</w:t>
        </w:r>
      </w:hyperlink>
      <w:r w:rsidRPr="00DE6AA4">
        <w:t>)</w:t>
      </w:r>
      <w:r w:rsidRPr="00F2605B">
        <w:t>. Casi de la noche a la mañana, las empresas de todo el mundo se han enfrentado a la necesidad de fortalecer su presencia digital para sobrevivir y adaptarse, incluso en industrias fuertemente reguladas. Años de planes de transformación digital se han implementado en semanas.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Para los gigantes tecnológicos, esta ha sido una gran oportunidad. La demanda creció rápidamente por servicios que van desde el comercio electrónico y las tecnologías de trabajo remoto hasta los juegos y la transmisión en línea. A principios de enero de 2021, las cinco compañías tecnológicas más grandes del mundo representaban el 23 % del S&amp;P 500 por capitalización de mercado, un aumento</w:t>
      </w:r>
      <w:r>
        <w:t xml:space="preserve"> del 4,6 % desde fines de enero de 2020.</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A medida que otros sectores luchan, es probable que los grandes actores tecnológicos salgan de la pandemia con flujos de ingresos más fuertes y diversos y un mayor poder de inversión. Es probable que las barreras de entrada en el mercado digital aumenten a un ritmo aún más rápido: incluso antes de la pandemia, la cantidad de poder de cómputo para un sistema de inteligencia artificial líder se duplicaba ca</w:t>
      </w:r>
      <w:r>
        <w:t>da dos meses, un aumento de 300.</w:t>
      </w:r>
      <w:r w:rsidRPr="00F2605B">
        <w:t>000 veces desde 2012. Implicaciones también flujo a empresas más pequeñas en forma de costos más altos y control de datos críticos e infraestructura digital </w:t>
      </w:r>
      <w:r>
        <w:t>-</w:t>
      </w:r>
      <w:r w:rsidRPr="00F2605B">
        <w:t>e incluso a la estabilidad financiera para los mercados emergentes y en desarrollo. La recuperación también dará un nuevo impulso a la adquisición de start-ups por parte de las grandes empresas tecnológicas, así como su expansión a otros sectores </w:t>
      </w:r>
      <w:r>
        <w:rPr>
          <w:b/>
          <w:bCs/>
          <w:vertAlign w:val="superscript"/>
        </w:rPr>
        <w:t xml:space="preserve"> </w:t>
      </w:r>
      <w:r>
        <w:t>-</w:t>
      </w:r>
      <w:r w:rsidRPr="00F2605B">
        <w:t>como retail, salud, transporte y logística.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rPr>
          <w:color w:val="FF0000"/>
          <w:u w:val="single"/>
        </w:rPr>
      </w:pPr>
      <w:r w:rsidRPr="000202EC">
        <w:rPr>
          <w:color w:val="FF0000"/>
          <w:u w:val="single"/>
        </w:rPr>
        <w:t>Todavía no está claro si los gobiernos y la sociedad tolerarán el dominio creciente de un pequeño número de grandes jugadores, con ingresos superiores a los de la mayoría de los países, que pueden evitar los desafíos legales y expandir su influencia en las industrias y agendas gubernamentales. De hecho, en el mediano plazo, los encuestados en el GRPS clasifican el “fracaso de la gobernanza tecnológica” como uno de los principales riesgos críticos. Los formuladores de políticas ahora también tienen más incentivos para aumentar el escrutinio, con crecientes preocupaciones sobre cuestiones antimonopolio, daños digitales, desinformación e implicaciones de propiedad extranjera para la seguridad nacional y la privacidad de los datos. Podrían optar por una regulación más estricta, o incluso intentar dividir estas empresas, en un intento por mejorar la supervisión y fortalecer la competencia, con el objetivo de beneficiar la innovación y los consumidores. Los cismas geopolíticos podrían generar diferentes campos de juego en diferentes partes del mundo (ver </w:t>
      </w:r>
      <w:hyperlink r:id="rId63" w:history="1">
        <w:r w:rsidRPr="000202EC">
          <w:rPr>
            <w:rStyle w:val="Hipervnculo"/>
            <w:rFonts w:eastAsiaTheme="majorEastAsia"/>
            <w:color w:val="FF0000"/>
          </w:rPr>
          <w:t>Capítulo 4, Pantano del poder medio</w:t>
        </w:r>
      </w:hyperlink>
      <w:r w:rsidRPr="000202EC">
        <w:rPr>
          <w:color w:val="FF0000"/>
          <w:u w:val="single"/>
        </w:rPr>
        <w:t>). Es posible que las empresas deban prepararse para el pánico en los mercados financieros y la alteración del alcance de las ventas, así como para identificar proveedores de servicios alternativos, si existen, en la interrupción a corto plazo que sigue a la intervención del gobierno</w:t>
      </w:r>
      <w:r w:rsidRPr="008E5798">
        <w:rPr>
          <w:color w:val="FF0000"/>
        </w:rPr>
        <w:t>. </w:t>
      </w:r>
    </w:p>
    <w:p w:rsidR="00D93BCE" w:rsidRDefault="00D93BCE" w:rsidP="00D93BCE">
      <w:pPr>
        <w:pStyle w:val="NormalWeb"/>
        <w:shd w:val="clear" w:color="auto" w:fill="FFFFFF"/>
        <w:spacing w:before="0" w:beforeAutospacing="0" w:after="0" w:afterAutospacing="0"/>
        <w:jc w:val="both"/>
        <w:rPr>
          <w:color w:val="FF0000"/>
          <w:u w:val="single"/>
        </w:rPr>
      </w:pPr>
    </w:p>
    <w:p w:rsidR="00D93BCE" w:rsidRPr="000202EC" w:rsidRDefault="00D93BCE" w:rsidP="00D93BCE">
      <w:pPr>
        <w:pStyle w:val="NormalWeb"/>
        <w:shd w:val="clear" w:color="auto" w:fill="FFFFFF"/>
        <w:spacing w:before="0" w:beforeAutospacing="0" w:after="0" w:afterAutospacing="0"/>
        <w:jc w:val="both"/>
        <w:rPr>
          <w:color w:val="FF0000"/>
          <w:u w:val="single"/>
        </w:rPr>
      </w:pP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lastRenderedPageBreak/>
        <w:t>Mayor escrutinio público</w:t>
      </w:r>
    </w:p>
    <w:p w:rsidR="00D93BCE" w:rsidRPr="000202EC" w:rsidRDefault="00D93BCE" w:rsidP="00D93BCE">
      <w:pPr>
        <w:pStyle w:val="NormalWeb"/>
        <w:shd w:val="clear" w:color="auto" w:fill="FFFFFF"/>
        <w:spacing w:before="0" w:beforeAutospacing="0" w:after="0" w:afterAutospacing="0"/>
        <w:jc w:val="both"/>
        <w:rPr>
          <w:color w:val="FF0000"/>
          <w:u w:val="single"/>
        </w:rPr>
      </w:pPr>
      <w:r w:rsidRPr="00F2605B">
        <w:rPr>
          <w:b/>
          <w:bCs/>
        </w:rPr>
        <w:br/>
      </w:r>
      <w:r w:rsidRPr="000202EC">
        <w:rPr>
          <w:color w:val="FF0000"/>
          <w:u w:val="single"/>
        </w:rPr>
        <w:t>COVID-19 ha puesto al descubierto las desigualdades sistémicas en las economías de todos los niveles de riqueza. Los consumidores y los empleados ahora están examinando los valores corporativos más intensamente. Las sociedades se han vuelto más escépticas sobre la relación entre empresas y gobiernos, especialmente en cuanto a la probidad de la contratación y la subcontratación. Aunque los desafíos inmediatos del empleo dominan la atención pública, las empresas deben anticipar y responder a estos riesgos sociales de abajo hacia arriba.</w:t>
      </w:r>
    </w:p>
    <w:p w:rsidR="00D93BCE" w:rsidRPr="000202EC" w:rsidRDefault="00D93BCE" w:rsidP="00D93BCE">
      <w:pPr>
        <w:pStyle w:val="NormalWeb"/>
        <w:shd w:val="clear" w:color="auto" w:fill="FFFFFF"/>
        <w:spacing w:before="0" w:beforeAutospacing="0" w:after="0" w:afterAutospacing="0"/>
        <w:jc w:val="both"/>
        <w:rPr>
          <w:color w:val="FF0000"/>
          <w:u w:val="single"/>
        </w:rPr>
      </w:pPr>
    </w:p>
    <w:p w:rsidR="00D93BCE" w:rsidRPr="000202EC" w:rsidRDefault="00D93BCE" w:rsidP="00D93BCE">
      <w:pPr>
        <w:pStyle w:val="NormalWeb"/>
        <w:shd w:val="clear" w:color="auto" w:fill="FFFFFF"/>
        <w:spacing w:before="0" w:beforeAutospacing="0" w:after="0" w:afterAutospacing="0"/>
        <w:jc w:val="both"/>
        <w:rPr>
          <w:color w:val="FF0000"/>
          <w:u w:val="single"/>
        </w:rPr>
      </w:pPr>
      <w:r w:rsidRPr="000202EC">
        <w:rPr>
          <w:color w:val="FF0000"/>
          <w:u w:val="single"/>
        </w:rPr>
        <w:t>Que el negocio tiene un impacto positivo en la sociedad en general es una creencia cuestionada por un número cada vez mayor de personas. En una encuesta, solo un tercio de los encuestados creía que las empresas hacen un buen trabajo al asociarse con organizaciones no gubernamentales (ONG) o el gobierno. Aunque los desafíos laborales inmediatos pueden desviar temporalmente la atención pública de las prácticas comerciales poco éticas, es probable que el soborno y la corrupción continúen preocupando a los ciudadanos en muchas economías. Las economías avanzadas están viendo más litigios contra empresas en temas que incluyen el riesgo climático. Muchos países han visto importantes protestas populares contra las corporaciones</w:t>
      </w:r>
      <w:r w:rsidRPr="008E5798">
        <w:rPr>
          <w:color w:val="FF0000"/>
        </w:rPr>
        <w:t>. </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p>
    <w:p w:rsidR="00D93BCE" w:rsidRDefault="00D93BCE" w:rsidP="00D93BCE">
      <w:pPr>
        <w:pStyle w:val="NormalWeb"/>
        <w:shd w:val="clear" w:color="auto" w:fill="FFFFFF"/>
        <w:spacing w:before="0" w:beforeAutospacing="0" w:after="0" w:afterAutospacing="0"/>
        <w:jc w:val="both"/>
        <w:rPr>
          <w:color w:val="FF0000"/>
          <w:u w:val="single"/>
        </w:rPr>
      </w:pPr>
      <w:r w:rsidRPr="000202EC">
        <w:rPr>
          <w:color w:val="FF0000"/>
          <w:u w:val="single"/>
        </w:rPr>
        <w:t>Más allá de su impacto en el empleo, la COVID-19 ha puesto de manifiesto cómo los tejidos sociales se han visto ampliamente debilitados por las desigualdades estructurales. Los activistas están destacando negocios que se perciben como explotadores durante la pandemia, por ejemplo, volver a contratar a trabajadores que fueron esenciales durante los cierres como trabajadores temporales con beneficios mínimos o sin cobertura de seguro médico. En los próximos años, es probable que la atención se centre en las empresas que han automatizado rápidamente los procesos y las operaciones a expensas de sus trabajadores. Reconociendo las diferencias sectoriales, las empresas también tendrán que considerar las implicaciones de las nuevas prácticas en el lugar de trabajo para mantener las relaciones con los clientes, menos opciones en algunas partes de la empresa y los impactos desiguales en el personal junior versus senior.</w:t>
      </w:r>
    </w:p>
    <w:p w:rsidR="00D93BCE" w:rsidRPr="000202EC" w:rsidRDefault="00D93BCE" w:rsidP="00D93BCE">
      <w:pPr>
        <w:pStyle w:val="NormalWeb"/>
        <w:shd w:val="clear" w:color="auto" w:fill="FFFFFF"/>
        <w:spacing w:before="0" w:beforeAutospacing="0" w:after="0" w:afterAutospacing="0"/>
        <w:jc w:val="both"/>
        <w:rPr>
          <w:color w:val="FF0000"/>
          <w:u w:val="single"/>
        </w:rPr>
      </w:pP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Una recuperación creativa</w:t>
      </w:r>
    </w:p>
    <w:p w:rsidR="00D93BCE" w:rsidRPr="00F2605B" w:rsidRDefault="00D93BCE" w:rsidP="00D93BCE">
      <w:pPr>
        <w:pStyle w:val="NormalWeb"/>
        <w:shd w:val="clear" w:color="auto" w:fill="FFFFFF"/>
        <w:spacing w:before="360" w:beforeAutospacing="0" w:after="480" w:afterAutospacing="0"/>
        <w:jc w:val="both"/>
      </w:pPr>
      <w:r w:rsidRPr="00F2605B">
        <w:t>Las empresas que juzgan mal sus acciones e inversiones frente a estos cambios, y que no logran apreciar la escala del replanteamiento requerido, enfrentan incertidumbres en medio de las conmociones. Pero aquellos que emergen de la crisis de COVID-19 con su resiliencia probada pueden aprovechar una gran oportunidad para acelerar el progreso hacia una mejor normalidad.</w:t>
      </w:r>
    </w:p>
    <w:p w:rsidR="00D93BCE" w:rsidRDefault="00D93BCE" w:rsidP="00D93BCE">
      <w:pPr>
        <w:pStyle w:val="NormalWeb"/>
        <w:shd w:val="clear" w:color="auto" w:fill="FFFFFF"/>
        <w:spacing w:before="0" w:beforeAutospacing="0" w:after="0" w:afterAutospacing="0"/>
        <w:jc w:val="both"/>
      </w:pPr>
      <w:r w:rsidRPr="00F2605B">
        <w:t xml:space="preserve">Los terribles impactos económicos de la COVID-19, combinados con tasas de interés históricamente bajas y los costos sociales de la austeridad, han impulsado a los gobiernos a realizar intervenciones económicas sin precedentes. A medida que cambian el énfasis de la estabilidad económica al objetivo de reconstruir mejor, hay margen para catalizar una recuperación inclusiva y ecológica que brinde amplios beneficios sociales, cumpliendo los imperativos del Acuerdo de París y la Agenda 2030 para el Desarrollo Sostenible. Si bien esta forma de recuperación puede requerir que la próxima ola de apoyo fiscal sea más condicional que el apoyo que se ha visto hasta la fecha, también corresponde a las empresas de todos los </w:t>
      </w:r>
      <w:r w:rsidRPr="00F2605B">
        <w:lastRenderedPageBreak/>
        <w:t>sectores y de todos los tamaños garantizar que la sostenibilidad sea un pilar central de su recuperación. y nuevo posicionamiento.</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En este contexto, se pueden forjar nuevas asociaciones. Bajo los marcos de gobernanza correctos, especialmente en el ámbito de la privacidad de datos, la gran tecnología puede trabajar con los gobiernos para fortalecer la resiliencia, mejorar la eficiencia y brindar nuevos servicios específicos, como productos financieros accesibles para grupos desfavorecidos (consulte </w:t>
      </w:r>
      <w:hyperlink r:id="rId64" w:history="1">
        <w:r w:rsidRPr="00DE6AA4">
          <w:rPr>
            <w:rStyle w:val="Hipervnculo"/>
            <w:rFonts w:eastAsiaTheme="majorEastAsia"/>
            <w:color w:val="auto"/>
            <w:u w:val="none"/>
          </w:rPr>
          <w:t>el Capítulo 1, Riesgos globales 2021</w:t>
        </w:r>
      </w:hyperlink>
      <w:r w:rsidRPr="00F2605B">
        <w:t>). Los servicios basados ​​en tecnología pueden ayudar a crear nuevos ecosistemas comerciales y aumentar las oportunidades, cerrando las brechas digitales. Las grandes empresas pueden ayudar a las más pequeñas en su cadena de valor a establecer objetivos de sostenibilidad, formular estándares y medir el progreso. </w:t>
      </w:r>
    </w:p>
    <w:p w:rsidR="00D93BCE" w:rsidRPr="00F2605B" w:rsidRDefault="00D93BCE" w:rsidP="00D93BCE">
      <w:pPr>
        <w:pStyle w:val="NormalWeb"/>
        <w:shd w:val="clear" w:color="auto" w:fill="FFFFFF"/>
        <w:spacing w:before="0" w:beforeAutospacing="0" w:after="0" w:afterAutospacing="0"/>
        <w:jc w:val="both"/>
      </w:pPr>
    </w:p>
    <w:p w:rsidR="00D93BCE" w:rsidRPr="000202EC" w:rsidRDefault="00D93BCE" w:rsidP="00D93BCE">
      <w:pPr>
        <w:pStyle w:val="NormalWeb"/>
        <w:shd w:val="clear" w:color="auto" w:fill="FFFFFF"/>
        <w:spacing w:before="0" w:beforeAutospacing="0" w:after="0" w:afterAutospacing="0"/>
        <w:jc w:val="both"/>
        <w:rPr>
          <w:rStyle w:val="apple-converted-space"/>
          <w:color w:val="FF0000"/>
          <w:u w:val="single"/>
        </w:rPr>
      </w:pPr>
      <w:r w:rsidRPr="000202EC">
        <w:rPr>
          <w:color w:val="FF0000"/>
          <w:u w:val="single"/>
        </w:rPr>
        <w:t>La transformación de las empresas y las industrias requiere fuerzas de trabajo ágiles y distribuidas, opciones de trabajo híbridas y una actualización y mejora integral de las habilidades de los empleados. Las empresas deberán repensar su espacio físico y diseño organizacional a medida que hacen la transición de los empleados a nuevos roles y navegan por las oportunidades de la automatización y la digitalización, sin reforzar las desigualdades sistémicas puestas al descubierto por COVID-19.</w:t>
      </w:r>
      <w:r w:rsidRPr="000202EC">
        <w:rPr>
          <w:rStyle w:val="apple-converted-space"/>
          <w:color w:val="FF0000"/>
          <w:u w:val="single"/>
        </w:rPr>
        <w:t> </w:t>
      </w:r>
    </w:p>
    <w:p w:rsidR="00D93BCE" w:rsidRPr="000202EC" w:rsidRDefault="00D93BCE" w:rsidP="00D93BCE">
      <w:pPr>
        <w:pStyle w:val="NormalWeb"/>
        <w:shd w:val="clear" w:color="auto" w:fill="FFFFFF"/>
        <w:spacing w:before="0" w:beforeAutospacing="0" w:after="0" w:afterAutospacing="0"/>
        <w:jc w:val="both"/>
        <w:rPr>
          <w:color w:val="FF0000"/>
          <w:u w:val="single"/>
        </w:rPr>
      </w:pPr>
    </w:p>
    <w:p w:rsidR="00D93BCE" w:rsidRPr="000202EC" w:rsidRDefault="00D93BCE" w:rsidP="00D93BCE">
      <w:pPr>
        <w:pStyle w:val="NormalWeb"/>
        <w:shd w:val="clear" w:color="auto" w:fill="FFFFFF"/>
        <w:spacing w:before="0" w:beforeAutospacing="0" w:after="480" w:afterAutospacing="0"/>
        <w:jc w:val="both"/>
        <w:rPr>
          <w:color w:val="FF0000"/>
          <w:u w:val="single"/>
        </w:rPr>
      </w:pPr>
      <w:r w:rsidRPr="000202EC">
        <w:rPr>
          <w:color w:val="FF0000"/>
          <w:u w:val="single"/>
        </w:rPr>
        <w:t>Estas oportunidades pueden ayudar a cumplir la promesa del capitalismo de múltiples partes interesadas, facilitando una creación de valor compartida y sostenida que fortalece la prosperidad a largo plazo de una empresa. Las empresas que reflejan los valores de la sociedad, con un propósito claro y no solo con una retórica vacía, pueden respaldar una recuperación y un crecimiento económicos sostenibles y de base amplia, así como el fortalecimiento de la confianza social y la reducción de la desigualdad. Dichos resultados son fundamentales para hacer frente a las crisis actuales y futuras.</w:t>
      </w:r>
    </w:p>
    <w:p w:rsidR="00D93BCE" w:rsidRPr="00F2605B" w:rsidRDefault="00D93BCE" w:rsidP="00D93BCE">
      <w:pPr>
        <w:pStyle w:val="Ttulo1"/>
        <w:spacing w:before="0" w:beforeAutospacing="0" w:after="0" w:afterAutospacing="0"/>
        <w:jc w:val="both"/>
        <w:rPr>
          <w:b w:val="0"/>
          <w:bCs w:val="0"/>
          <w:sz w:val="24"/>
          <w:szCs w:val="24"/>
        </w:rPr>
      </w:pPr>
      <w:r w:rsidRPr="00F2605B">
        <w:rPr>
          <w:b w:val="0"/>
          <w:bCs w:val="0"/>
          <w:sz w:val="24"/>
          <w:szCs w:val="24"/>
        </w:rPr>
        <w:t>Retrospectiva: reflexiones sobre las respuestas a la COVID</w:t>
      </w:r>
    </w:p>
    <w:p w:rsidR="00D93BCE" w:rsidRPr="00F2605B" w:rsidRDefault="00D93BCE" w:rsidP="00D93BCE">
      <w:pPr>
        <w:pStyle w:val="Ttulo2"/>
        <w:shd w:val="clear" w:color="auto" w:fill="FFFFFF"/>
        <w:spacing w:before="0" w:after="150" w:line="240" w:lineRule="auto"/>
        <w:ind w:right="120"/>
        <w:jc w:val="both"/>
        <w:rPr>
          <w:rFonts w:ascii="Times New Roman" w:hAnsi="Times New Roman" w:cs="Times New Roman"/>
          <w:b w:val="0"/>
          <w:bCs w:val="0"/>
          <w:color w:val="auto"/>
          <w:sz w:val="24"/>
          <w:szCs w:val="24"/>
        </w:rPr>
      </w:pPr>
    </w:p>
    <w:p w:rsidR="00D93BCE" w:rsidRPr="00F2605B" w:rsidRDefault="00D93BCE" w:rsidP="00D93BCE">
      <w:pPr>
        <w:pStyle w:val="NormalWeb"/>
        <w:shd w:val="clear" w:color="auto" w:fill="FFFFFF"/>
        <w:spacing w:before="0" w:beforeAutospacing="0" w:after="480" w:afterAutospacing="0"/>
        <w:jc w:val="both"/>
      </w:pPr>
      <w:r w:rsidRPr="00F2605B">
        <w:t>COVID-19 ha revelado lecciones clave sobre cómo la comunidad global responde a la crisis. A pesar de algunos ejemplos notables de determinación, cooperación e innovación, la mayoría de los países lucharon con al menos algunos aspectos de la gestión de crisis, y el mundo aún no se ha unido para mitigar las consecuencias. Si bien es demasiado pronto para extraer lecciones definitivas, este capítulo extrae algunas observaciones iniciales en diferentes áreas de respuesta.</w:t>
      </w:r>
    </w:p>
    <w:p w:rsidR="00D93BCE" w:rsidRPr="00F2605B" w:rsidRDefault="00D93BCE" w:rsidP="00D93BCE">
      <w:pPr>
        <w:pStyle w:val="NormalWeb"/>
        <w:shd w:val="clear" w:color="auto" w:fill="FFFFFF"/>
        <w:spacing w:before="0" w:beforeAutospacing="0" w:after="480" w:afterAutospacing="0"/>
        <w:jc w:val="both"/>
      </w:pPr>
      <w:r w:rsidRPr="00F2605B">
        <w:t>Si las lecciones extraídas de esta crisis informan a los tomadores de decisiones solo sobre cómo prepararse mejor para la próxima pandemia, en lugar de mejorar los procesos, las capacidades y la cultura para impulsar el esfuerzo en torno a otras preocupaciones importantes, el mundo habrá caído en la trampa</w:t>
      </w:r>
      <w:r>
        <w:t xml:space="preserve"> familiar de gestión de riesgos,</w:t>
      </w:r>
      <w:r w:rsidRPr="00F2605B">
        <w:t xml:space="preserve"> de planificar para la última crisis en lugar de anticipar la siguiente (ver Cuadro 6.1).</w:t>
      </w:r>
    </w:p>
    <w:p w:rsidR="00D93BCE" w:rsidRPr="00F2605B" w:rsidRDefault="00D93BCE" w:rsidP="00D93BCE">
      <w:pPr>
        <w:pStyle w:val="Ttulo2"/>
        <w:shd w:val="clear" w:color="auto" w:fill="F4F4F4"/>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Recuadro 6.1: Respuesta a pandemias y crisis en la serie de informes de </w:t>
      </w:r>
      <w:r w:rsidRPr="00F2605B">
        <w:rPr>
          <w:rFonts w:ascii="Times New Roman" w:hAnsi="Times New Roman" w:cs="Times New Roman"/>
          <w:b w:val="0"/>
          <w:bCs w:val="0"/>
          <w:i/>
          <w:iCs/>
          <w:color w:val="auto"/>
          <w:sz w:val="24"/>
          <w:szCs w:val="24"/>
        </w:rPr>
        <w:t>riesgos globales</w:t>
      </w:r>
    </w:p>
    <w:p w:rsidR="00D93BCE" w:rsidRPr="00F2605B" w:rsidRDefault="00D93BCE" w:rsidP="00D93BCE">
      <w:pPr>
        <w:pStyle w:val="NormalWeb"/>
        <w:shd w:val="clear" w:color="auto" w:fill="F4F4F4"/>
        <w:spacing w:before="360" w:beforeAutospacing="0" w:after="480" w:afterAutospacing="0"/>
        <w:jc w:val="both"/>
      </w:pPr>
      <w:r w:rsidRPr="00F2605B">
        <w:t>El </w:t>
      </w:r>
      <w:r w:rsidRPr="00F2605B">
        <w:rPr>
          <w:i/>
          <w:iCs/>
        </w:rPr>
        <w:t>Informe de Riesgos Globales</w:t>
      </w:r>
      <w:r w:rsidRPr="00F2605B">
        <w:t xml:space="preserve"> ha discutido con frecuencia el riesgo de pandemias para la salud y los medios de subsistencia. La edición de 2020 señaló cómo los sistemas de salud en todo el mundo se estiraron en general; las ediciones de 2018 y 2019 destacaron las amenazas </w:t>
      </w:r>
      <w:r w:rsidRPr="00F2605B">
        <w:lastRenderedPageBreak/>
        <w:t>biológicas y la resistencia a los antimicrobianos; y la edición de 2016 destacó que la crisis del ébola “no sería la última epidemia grave” y que “es probable que los brotes de salud pública se vuelvan cada vez más complejos y desafiantes”.</w:t>
      </w:r>
    </w:p>
    <w:p w:rsidR="00D93BCE" w:rsidRPr="00F2605B" w:rsidRDefault="00D93BCE" w:rsidP="00D93BCE">
      <w:pPr>
        <w:pStyle w:val="NormalWeb"/>
        <w:shd w:val="clear" w:color="auto" w:fill="F4F4F4"/>
        <w:spacing w:before="0" w:beforeAutospacing="0" w:after="480" w:afterAutospacing="0"/>
        <w:jc w:val="both"/>
      </w:pPr>
      <w:r w:rsidRPr="00F2605B">
        <w:t xml:space="preserve">El informe también ha explorado aspectos de la gestión del riesgo y la creación de resiliencia ante las crisis: las ediciones de 2018 y 2019, por ejemplo, analizaron los impactos de la complejidad y el sesgo cognitivo en la evaluación y respuesta al riesgo. La experiencia de COVID-19 hasta ahora ofrece una oportunidad para </w:t>
      </w:r>
      <w:r>
        <w:t>actualizar nuestra comprensión.</w:t>
      </w:r>
      <w:r w:rsidRPr="00F2605B">
        <w:t> </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Cooperación mundial</w:t>
      </w:r>
    </w:p>
    <w:p w:rsidR="00D93BCE" w:rsidRPr="006C4B40" w:rsidRDefault="00D93BCE" w:rsidP="00D93BCE">
      <w:pPr>
        <w:pStyle w:val="NormalWeb"/>
        <w:shd w:val="clear" w:color="auto" w:fill="FFFFFF"/>
        <w:spacing w:before="0" w:beforeAutospacing="0" w:after="0" w:afterAutospacing="0"/>
        <w:jc w:val="both"/>
        <w:rPr>
          <w:u w:val="single"/>
        </w:rPr>
      </w:pPr>
      <w:r w:rsidRPr="00F2605B">
        <w:t>En un mundo conectado, un brote en cualquier lugar es un riesgo en todas partes y, en promedio, surge una nueva enfermedad infecciosa en humanos cada cuatro meses, y el 75 % de estas nuevas enfermedades provienen de animales. </w:t>
      </w:r>
      <w:r w:rsidRPr="006C4B40">
        <w:rPr>
          <w:u w:val="single"/>
        </w:rPr>
        <w:t>Esta sección hace un balance de la preparación global al analizar cuatro áreas clave de la respuesta al COVID-19: autoridad institucional, financiamiento de riesgos, recopilación e intercambio de información, y equipos y vacunas.</w:t>
      </w:r>
    </w:p>
    <w:p w:rsidR="00D93BCE" w:rsidRPr="006C4B40" w:rsidRDefault="00D93BCE" w:rsidP="00D93BCE">
      <w:pPr>
        <w:pStyle w:val="NormalWeb"/>
        <w:shd w:val="clear" w:color="auto" w:fill="FFFFFF"/>
        <w:spacing w:before="0" w:beforeAutospacing="0" w:after="0" w:afterAutospacing="0"/>
        <w:jc w:val="both"/>
        <w:rPr>
          <w:u w:val="single"/>
        </w:rPr>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 xml:space="preserve">Autoridad institucional </w:t>
      </w:r>
    </w:p>
    <w:p w:rsidR="00D93BCE" w:rsidRDefault="00D93BCE" w:rsidP="00D93BCE">
      <w:pPr>
        <w:pStyle w:val="NormalWeb"/>
        <w:shd w:val="clear" w:color="auto" w:fill="FFFFFF"/>
        <w:spacing w:before="0" w:beforeAutospacing="0" w:after="0" w:afterAutospacing="0"/>
        <w:jc w:val="both"/>
        <w:rPr>
          <w:rStyle w:val="Textoennegrita"/>
        </w:rPr>
      </w:pPr>
    </w:p>
    <w:p w:rsidR="00D93BCE" w:rsidRPr="006C4B40" w:rsidRDefault="00D93BCE" w:rsidP="00D93BCE">
      <w:pPr>
        <w:pStyle w:val="NormalWeb"/>
        <w:shd w:val="clear" w:color="auto" w:fill="FFFFFF"/>
        <w:spacing w:before="0" w:beforeAutospacing="0" w:after="0" w:afterAutospacing="0"/>
        <w:jc w:val="both"/>
        <w:rPr>
          <w:u w:val="single"/>
        </w:rPr>
      </w:pPr>
      <w:r w:rsidRPr="006C4B40">
        <w:rPr>
          <w:rStyle w:val="Textoennegrita"/>
          <w:u w:val="single"/>
        </w:rPr>
        <w:t xml:space="preserve">La </w:t>
      </w:r>
      <w:r w:rsidRPr="006C4B40">
        <w:rPr>
          <w:u w:val="single"/>
        </w:rPr>
        <w:t>respuesta a riesgos como una pandemia requiere una cooperación mundial eficaz, el intercambio de información y la coordinación</w:t>
      </w:r>
      <w:r w:rsidRPr="00F2605B">
        <w:t>. Los brotes de H1N1 y Ébola en la década de 2010 destacaron la necesidad de fortalecer las competencias de la Organización Mundial de la Salud (OMS), sin embargo, algunas áreas de debilidad se han intensificado. La OMS carece de poderes de investigación independientes y también carece de la capacidad de sancionar a los estados miembros que no cumplen (por diseño y carta); su autoridad ha sido desafiada aún más en los últimos años por comportamientos nacionalistas en muchos países. A lo largo de la crisis, el consejo de la OMS a veces compitió con el de varios gobiernos. </w:t>
      </w:r>
      <w:r w:rsidRPr="006C4B40">
        <w:rPr>
          <w:u w:val="single"/>
        </w:rPr>
        <w:t>Este conflicto reiteró los desafíos que, en momentos de urgencia, enfrenta el sistema multilateral para funcionar de manera acorde a la escala de las crisis globales.</w:t>
      </w:r>
    </w:p>
    <w:p w:rsidR="00D93BCE" w:rsidRPr="006C4B40" w:rsidRDefault="00D93BCE" w:rsidP="00D93BCE">
      <w:pPr>
        <w:pStyle w:val="NormalWeb"/>
        <w:shd w:val="clear" w:color="auto" w:fill="FFFFFF"/>
        <w:spacing w:before="0" w:beforeAutospacing="0" w:after="0" w:afterAutospacing="0"/>
        <w:jc w:val="both"/>
        <w:rPr>
          <w:b/>
          <w:bCs/>
          <w:u w:val="single"/>
        </w:rPr>
      </w:pPr>
    </w:p>
    <w:p w:rsidR="00D93BCE" w:rsidRPr="006C4B40" w:rsidRDefault="00D93BCE" w:rsidP="00D93BCE">
      <w:pPr>
        <w:pStyle w:val="NormalWeb"/>
        <w:shd w:val="clear" w:color="auto" w:fill="FFFFFF"/>
        <w:spacing w:before="0" w:beforeAutospacing="0" w:after="0" w:afterAutospacing="0"/>
        <w:jc w:val="both"/>
        <w:rPr>
          <w:u w:val="single"/>
        </w:rPr>
      </w:pPr>
      <w:r w:rsidRPr="006C4B40">
        <w:rPr>
          <w:u w:val="single"/>
        </w:rPr>
        <w:t xml:space="preserve">Más allá de la OMS, otros actores internacionales lucharon para montar una respuesta coordinada a la crisis sanitaria, social y económica mundial. Por ejemplo, el Consejo de Seguridad de las Naciones Unidas tardó en llegar a una resolución para apoyar el llamado del Secretario General a un alto el fuego global. El G7 y el G20, obstaculizados por problemas políticos internos y bilaterales, tampoco lograron montar una respuesta colectiva acorde con la escala de los impactos, aunque habían podido hacerlo en crisis anteriores. Esto se vio en un fracaso inicial para aumentar los recursos disponibles para las organizaciones financieras internacionales y para suspender los pagos de </w:t>
      </w:r>
      <w:r>
        <w:rPr>
          <w:u w:val="single"/>
        </w:rPr>
        <w:t>la deuda.</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Financiamiento de riesgos</w:t>
      </w:r>
    </w:p>
    <w:p w:rsidR="00D93BCE" w:rsidRPr="00F2605B" w:rsidRDefault="00D93BCE" w:rsidP="00D93BCE">
      <w:pPr>
        <w:pStyle w:val="NormalWeb"/>
        <w:shd w:val="clear" w:color="auto" w:fill="FFFFFF"/>
        <w:spacing w:before="0" w:beforeAutospacing="0" w:after="0" w:afterAutospacing="0"/>
        <w:jc w:val="both"/>
      </w:pPr>
      <w:r w:rsidRPr="00F2605B">
        <w:rPr>
          <w:b/>
          <w:bCs/>
        </w:rPr>
        <w:br/>
      </w:r>
      <w:r w:rsidRPr="00F2605B">
        <w:t>El presupuesto anu</w:t>
      </w:r>
      <w:r>
        <w:t>al de la OMS (US$ 2400 millones</w:t>
      </w:r>
      <w:r w:rsidRPr="00F2605B">
        <w:t>) ha superado con creces los costos económicos y de desarrollo de la pandemia hasta el momento. En las primeras etapas de la pandemia, la entrega de fondos de crisis complementarios resultó ser un proceso lento. Llevó dos meses alcanzar una meta inicial de financiamiento de US$</w:t>
      </w:r>
      <w:r>
        <w:t xml:space="preserve"> </w:t>
      </w:r>
      <w:r w:rsidRPr="00F2605B">
        <w:t xml:space="preserve">675 millones. Las organizaciones financieras internacionales se movilizaron más rápido para ayudar a las naciones de bajos y medianos ingresos a preparar servicios de atención médica y apoyar a los hogares durante los cierres. Sin embargo, aquí también se necesita una mayor </w:t>
      </w:r>
      <w:r w:rsidRPr="00F2605B">
        <w:lastRenderedPageBreak/>
        <w:t>preparación: aunque la financiación estaba disponible en marzo o abril cuando se activaron los desencadenantes predeterminados, en ausencia de esos desencadenantes, el alivio tardó más en desembolsarse (consulte la Figura 6.1).</w:t>
      </w:r>
      <w:r w:rsidRPr="00F2605B">
        <w:rPr>
          <w:rStyle w:val="apple-converted-space"/>
        </w:rPr>
        <w:t> </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Figura 6.1: Financiamiento aprobado por el Instituto Internacional de Finanzas por mes</w:t>
      </w:r>
    </w:p>
    <w:p w:rsidR="00D93BCE" w:rsidRPr="00F2605B" w:rsidRDefault="00D93BCE" w:rsidP="00D93BCE">
      <w:pPr>
        <w:pStyle w:val="NormalWeb"/>
        <w:shd w:val="clear" w:color="auto" w:fill="FFFFFF"/>
        <w:spacing w:before="360" w:beforeAutospacing="0" w:after="480" w:afterAutospacing="0"/>
        <w:jc w:val="both"/>
      </w:pPr>
      <w:r w:rsidRPr="00F2605B">
        <w:rPr>
          <w:noProof/>
        </w:rPr>
        <w:drawing>
          <wp:inline distT="0" distB="0" distL="0" distR="0" wp14:anchorId="5506D445" wp14:editId="020A4A44">
            <wp:extent cx="5257800" cy="3111500"/>
            <wp:effectExtent l="0" t="0" r="0" b="0"/>
            <wp:docPr id="100" name="Imagen 100" descr="http://reports.weforum.org/global-risks-report-2021/files/2021/01/fig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reports.weforum.org/global-risks-report-2021/files/2021/01/fig6.1-1.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57800" cy="3111500"/>
                    </a:xfrm>
                    <a:prstGeom prst="rect">
                      <a:avLst/>
                    </a:prstGeom>
                    <a:noFill/>
                    <a:ln>
                      <a:noFill/>
                    </a:ln>
                  </pic:spPr>
                </pic:pic>
              </a:graphicData>
            </a:graphic>
          </wp:inline>
        </w:drawing>
      </w:r>
    </w:p>
    <w:p w:rsidR="00D93BCE" w:rsidRPr="00DE6AA4" w:rsidRDefault="00D93BCE" w:rsidP="00D93BCE">
      <w:pPr>
        <w:pStyle w:val="NormalWeb"/>
        <w:shd w:val="clear" w:color="auto" w:fill="FFFFFF"/>
        <w:spacing w:before="0" w:beforeAutospacing="0" w:after="480" w:afterAutospacing="0"/>
        <w:jc w:val="both"/>
      </w:pPr>
      <w:r w:rsidRPr="00DE6AA4">
        <w:t>Fuente: Segal, S., Henderson, J. y Gerstel, D. 2020. CSIS Economics Program, datos de una colección de comunicados de prensa de instituciones financieras internacionales. 24 de noviembre de 2020, </w:t>
      </w:r>
      <w:hyperlink r:id="rId66" w:history="1">
        <w:r w:rsidRPr="00DE6AA4">
          <w:rPr>
            <w:rStyle w:val="Hipervnculo"/>
            <w:rFonts w:eastAsiaTheme="majorEastAsia"/>
            <w:color w:val="auto"/>
            <w:u w:val="none"/>
          </w:rPr>
          <w:t>https://www.csis.org/analysis/international-financial-institutions-covid-19-funding-rebounds-september-remains-below</w:t>
        </w:r>
      </w:hyperlink>
    </w:p>
    <w:p w:rsidR="00D93BCE" w:rsidRDefault="00D93BCE" w:rsidP="00D93BCE">
      <w:pPr>
        <w:pStyle w:val="NormalWeb"/>
        <w:shd w:val="clear" w:color="auto" w:fill="FFFFFF"/>
        <w:spacing w:before="0" w:beforeAutospacing="0" w:after="0" w:afterAutospacing="0"/>
        <w:jc w:val="both"/>
        <w:rPr>
          <w:b/>
          <w:bCs/>
          <w:vertAlign w:val="superscript"/>
        </w:rPr>
      </w:pPr>
      <w:r w:rsidRPr="00F2605B">
        <w:t>Sobre la base de las nefastas consecuencias económicas y de desarrollo de la pandemia hasta el momento y la experiencia de enfermedades infecciosas anteriores, los beneficios de invertir más en la preparación a nivel mundial habrían sido una inversión valiosa, especialmente si se combinaran con la mejora de los sistemas de salud. Este seguirá siendo el caso y es cierto en diferentes tipos de desastres. </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480" w:afterAutospacing="0"/>
        <w:jc w:val="both"/>
      </w:pPr>
      <w:r w:rsidRPr="00F2605B">
        <w:rPr>
          <w:noProof/>
        </w:rPr>
        <w:drawing>
          <wp:inline distT="0" distB="0" distL="0" distR="0" wp14:anchorId="75A2C88E" wp14:editId="00F4D8AD">
            <wp:extent cx="4089400" cy="869950"/>
            <wp:effectExtent l="0" t="0" r="6350" b="6350"/>
            <wp:docPr id="99" name="Imagen 99" descr="http://reports.weforum.org/global-risks-report-2021/files/2021/01/PQ1-HIN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reports.weforum.org/global-risks-report-2021/files/2021/01/PQ1-HIND-1.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89400" cy="869950"/>
                    </a:xfrm>
                    <a:prstGeom prst="rect">
                      <a:avLst/>
                    </a:prstGeom>
                    <a:noFill/>
                    <a:ln>
                      <a:noFill/>
                    </a:ln>
                  </pic:spPr>
                </pic:pic>
              </a:graphicData>
            </a:graphic>
          </wp:inline>
        </w:drawing>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Recopilación e intercambio de información</w:t>
      </w:r>
    </w:p>
    <w:p w:rsidR="00D93BCE" w:rsidRDefault="00D93BCE" w:rsidP="00D93BCE">
      <w:pPr>
        <w:pStyle w:val="NormalWeb"/>
        <w:shd w:val="clear" w:color="auto" w:fill="FFFFFF"/>
        <w:spacing w:before="0" w:beforeAutospacing="0" w:after="0" w:afterAutospacing="0"/>
        <w:jc w:val="both"/>
      </w:pPr>
      <w:r w:rsidRPr="00F2605B">
        <w:rPr>
          <w:b/>
          <w:bCs/>
        </w:rPr>
        <w:br/>
      </w:r>
      <w:r w:rsidRPr="00F2605B">
        <w:t xml:space="preserve">Los esfuerzos de respuesta temprana se vieron obstaculizados por la falta de sistemas sólidos de intercambio de datos que permitieran el análisis a gran escala y casi en tiempo real de información como las tasas de prueba e infección, el número de muertes, la movilidad </w:t>
      </w:r>
      <w:r w:rsidRPr="00F2605B">
        <w:lastRenderedPageBreak/>
        <w:t>personal y las secuencia</w:t>
      </w:r>
      <w:r>
        <w:t xml:space="preserve">s del genoma viral. </w:t>
      </w:r>
      <w:r w:rsidRPr="00F2605B">
        <w:t>Aunque tales sistemas se desarrollaron rápidamente, a menudo estaban restringidos por la falta de estándares de datos abiertos.</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480" w:afterAutospacing="0"/>
        <w:jc w:val="both"/>
      </w:pPr>
      <w:r w:rsidRPr="00F2605B">
        <w:t>La colaboración entre los sectores público y privado funcionó bien en algunos casos. Por ejemplo, en marzo de 2020, el Foro Económico Mundial lanzó la Plataforma de Acción COVID y comunicó actualizaciones semanales de los gobiernos, la Organización Mundial de la Salud y los fabricantes de vacunas con más de 1800 ejecutivos y líderes. La plataforma ha ayudado a canalizar el suministro de equipos esenciales a través de Pandemic Supply Chain Network.</w:t>
      </w:r>
    </w:p>
    <w:p w:rsidR="00D93BCE" w:rsidRDefault="00D93BCE" w:rsidP="00D93BCE">
      <w:pPr>
        <w:pStyle w:val="NormalWeb"/>
        <w:shd w:val="clear" w:color="auto" w:fill="FFFFFF"/>
        <w:spacing w:before="0" w:beforeAutospacing="0" w:after="0" w:afterAutospacing="0"/>
        <w:jc w:val="both"/>
      </w:pPr>
      <w:r w:rsidRPr="00F2605B">
        <w:t>Las empresas de tecnología también proporcionaron datos de movilidad que ayudaron a las autoridades a comprender la posible propagación y orientar mejor las respuestas. Los científicos secuen</w:t>
      </w:r>
      <w:r>
        <w:t>ciaron y compartieron más de 32.</w:t>
      </w:r>
      <w:r w:rsidRPr="00F2605B">
        <w:t>000 genomas virales, lo que permitió a los investigadores rastrear más rápidamente el origen de los brotes y sentar las bases para una vigilancia pandémica más sólida en el futuro. La información sobre el éxito relativo de las opciones de tratamiento médico fue rápidamente difundida por profesionales médicos y compañías farmacéuticas, mejorando los resultados en todo el mundo.</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Equipos y vacunas</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Figura 6.2: Controles de Exportación de Suministros Médicos y Medicamentos</w:t>
      </w:r>
    </w:p>
    <w:p w:rsidR="00D93BCE" w:rsidRPr="00DE6AA4" w:rsidRDefault="00D93BCE" w:rsidP="00D93BCE">
      <w:pPr>
        <w:pStyle w:val="NormalWeb"/>
        <w:shd w:val="clear" w:color="auto" w:fill="FFFFFF"/>
        <w:spacing w:before="360" w:beforeAutospacing="0" w:after="480" w:afterAutospacing="0"/>
        <w:jc w:val="both"/>
        <w:rPr>
          <w:rStyle w:val="Hipervnculo"/>
          <w:rFonts w:eastAsiaTheme="majorEastAsia"/>
          <w:color w:val="auto"/>
          <w:u w:val="none"/>
        </w:rPr>
      </w:pPr>
      <w:r w:rsidRPr="00F2605B">
        <w:rPr>
          <w:noProof/>
        </w:rPr>
        <w:drawing>
          <wp:inline distT="0" distB="0" distL="0" distR="0" wp14:anchorId="597597D2" wp14:editId="0F4E3034">
            <wp:extent cx="5549900" cy="3943350"/>
            <wp:effectExtent l="0" t="0" r="0" b="0"/>
            <wp:docPr id="97" name="Imagen 97" descr="http://reports.weforum.org/global-risks-report-2021/files/2021/01/FIG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reports.weforum.org/global-risks-report-2021/files/2021/01/FIG6.2-1.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49900" cy="3943350"/>
                    </a:xfrm>
                    <a:prstGeom prst="rect">
                      <a:avLst/>
                    </a:prstGeom>
                    <a:noFill/>
                    <a:ln>
                      <a:noFill/>
                    </a:ln>
                  </pic:spPr>
                </pic:pic>
              </a:graphicData>
            </a:graphic>
          </wp:inline>
        </w:drawing>
      </w:r>
      <w:r w:rsidRPr="00DE6AA4">
        <w:t>Fuente: Banco Mundial. “Base de datos de políticas comerciales COVID-19: alimentos y productos médicos”. Breve. </w:t>
      </w:r>
      <w:hyperlink r:id="rId69" w:history="1">
        <w:r w:rsidRPr="00DE6AA4">
          <w:rPr>
            <w:rStyle w:val="Hipervnculo"/>
            <w:rFonts w:eastAsiaTheme="majorEastAsia"/>
            <w:color w:val="auto"/>
            <w:u w:val="none"/>
          </w:rPr>
          <w:t>https://www.worldbank.org/en/topic/trade/brief/coronavirus-covid-19-trade-policy-database-food-and-medical-products</w:t>
        </w:r>
      </w:hyperlink>
    </w:p>
    <w:p w:rsidR="00D93BCE" w:rsidRPr="00F2605B" w:rsidRDefault="00D93BCE" w:rsidP="00D93BCE">
      <w:pPr>
        <w:pStyle w:val="NormalWeb"/>
        <w:shd w:val="clear" w:color="auto" w:fill="FFFFFF"/>
        <w:spacing w:before="0" w:beforeAutospacing="0" w:after="0" w:afterAutospacing="0"/>
        <w:jc w:val="both"/>
      </w:pPr>
      <w:r w:rsidRPr="006C4B40">
        <w:rPr>
          <w:u w:val="single"/>
        </w:rPr>
        <w:lastRenderedPageBreak/>
        <w:t>La competencia temprana para asegurar equipos de protección personal (EPP) y suministros médicos dificultó la optimización de su desarrollo y distribución. Los gobiernos requisaron máscaras que habían sido ordenadas por compradores extranjeros y, en algunos casos, se informó que las existencias se vendieron a mejores postores en las pistas de los aeropuertos</w:t>
      </w:r>
      <w:r w:rsidRPr="00F2605B">
        <w:t>. Hasta octubre de 2020, más de 90 jurisdicciones habían implementado controles de exportación (ver Figura 6.2). En una nota más positiva, surgieron asociaciones público-privadas innovadoras a medida que las cadenas de suministro se reconfiguraron rápidamente para satisfacer la demanda. </w:t>
      </w:r>
    </w:p>
    <w:p w:rsidR="00D93BCE"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6C4B40">
        <w:rPr>
          <w:u w:val="single"/>
        </w:rPr>
        <w:t>El desarrollo de la vacuna progresó rápidamente gracias a la colaboración entre empresas privadas y universidades facilitada por la financiación del gobierno, aunque aún no está claro cómo se manejarán las preocupaciones sobre los derechos de propiedad intelectual, los precios y la adquisición</w:t>
      </w:r>
      <w:r w:rsidRPr="00F2605B">
        <w:t>. Las iniciativas para implementar vacunas de manera equitativa en países de ingresos bajos y medianos, como el acelerador de herramientas COVID-19 del G20, se han visto obstaculizadas por desafíos de financiación y distribución. Más de 180 países se han inscrito para participar en la iniciativa COVAX de la OMS para facilitar la compra de vacunas a granel a bajo costo. Sin embargo, los países de ingresos bajos y medianos pueden recibir solo una pequeña fracción de sus dosis para los trabajadores de primera línea hasta que las economías avanzadas hayan logrado una cobertura de vacunación del 20%. </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480" w:afterAutospacing="0"/>
        <w:jc w:val="both"/>
      </w:pPr>
      <w:r w:rsidRPr="00F2605B">
        <w:t>Otros desafíos de implementación para los programas de vacunas aún requieren resolución, por ejemplo, distribución (requisitos de cadena de frío, disponibilidad global de viales de vidrio y logística de suministro para áreas de baja densidad) y aplicación (definición de grupos prioritarios, registro de dosis administradas y contrarresto de la vacilación de la vacuna). A medida que comiencen los lanzamientos de vacunas, la rápida difusión de los desafíos y las mejores prácticas será clave para una iteración exitosa en todas las economías.</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t>Respuestas a nivel nacional</w:t>
      </w:r>
    </w:p>
    <w:p w:rsidR="00D93BCE" w:rsidRPr="00F2605B" w:rsidRDefault="00D93BCE" w:rsidP="00D93BCE">
      <w:pPr>
        <w:pStyle w:val="NormalWeb"/>
        <w:shd w:val="clear" w:color="auto" w:fill="FFFFFF"/>
        <w:spacing w:before="360" w:beforeAutospacing="0" w:after="480" w:afterAutospacing="0"/>
        <w:jc w:val="both"/>
      </w:pPr>
      <w:r w:rsidRPr="00C63E1C">
        <w:rPr>
          <w:u w:val="single"/>
        </w:rPr>
        <w:t>Las respuestas a nivel nacional han variado dado diferentes puntos de partida: nivel de ingresos, madurez del sistema de salud, características geográficas y demográficas, cultura y tipo de régimen político</w:t>
      </w:r>
      <w:r w:rsidRPr="00F2605B">
        <w:t>. No obstante, se pueden extraer lecciones iniciales en cinco áreas: toma de decisiones gubernamentales, comunicación pública, capacidades del sistema de salud, gestión del confinamiento y asistencia financiera a los vulnerables. Estas áreas son interdependientes: un desempeño débil en un área tiene efectos indirectos en otras.</w:t>
      </w: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Toma de decisiones gubernamentales</w:t>
      </w:r>
    </w:p>
    <w:p w:rsidR="00D93BCE" w:rsidRDefault="00D93BCE" w:rsidP="00D93BCE">
      <w:pPr>
        <w:pStyle w:val="NormalWeb"/>
        <w:shd w:val="clear" w:color="auto" w:fill="FFFFFF"/>
        <w:spacing w:before="0" w:beforeAutospacing="0" w:after="0" w:afterAutospacing="0"/>
        <w:jc w:val="both"/>
      </w:pPr>
      <w:r w:rsidRPr="00F2605B">
        <w:rPr>
          <w:b/>
          <w:bCs/>
        </w:rPr>
        <w:br/>
      </w:r>
      <w:r w:rsidRPr="00F2605B">
        <w:t xml:space="preserve">En los primeros días, con información imperfecta y cambiante, todos los gobiernos comprensiblemente lucharon por equilibrar la seguridad de la salud con el impacto económico y el sentimiento de la comunidad. Sin embargo, algunos países posteriormente demostraron ser más capaces que otros para formular estrategias claras y adaptarlas a medida que se disponía de nueva información. Los países que ya tenían una pandemia alta en sus registros de riesgo pudieron apreciar las diferentes dimensiones del riesgo, las consideraciones clave y las opciones de mitigación, y la evidencia necesaria para informar las decisiones. Mientras que algunos pudieron poner en práctica las lecciones de las pruebas de estrés y los ejercicios de simulación, otros no aplicaron las estrategias de respuesta desarrolladas previamente. Algunos tampoco supieron apreciar las lecciones aprendidas en </w:t>
      </w:r>
      <w:r w:rsidRPr="00F2605B">
        <w:lastRenderedPageBreak/>
        <w:t>otros países una vez que comenzó la pandemia, perdiendo un tiempo valioso para desarrollar capacidades, comprender las vulnerabilidad</w:t>
      </w:r>
      <w:r>
        <w:t xml:space="preserve">es y desarrollar contingencias. </w:t>
      </w:r>
      <w:r w:rsidRPr="00F2605B">
        <w:t>Esta falta de comprensión se volvió más complicada a medida que las cepas mutaron y surgieron con niveles más altos de transmisibilidad.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Por otra parte, también ha crecido la preocupación por el alcance y la duración de los nuevos poderes de emergencia y la consolidación de un modo de liderazgo menos consultivo. En algunos países, la marginación de servidores públicos clave, las relaciones agrias entre los actores gubernamentales y la falta de atención a las recomendaciones de los órganos asesores de expertos han exacerbado los desafíos para una respuesta exitosa. </w:t>
      </w:r>
    </w:p>
    <w:p w:rsidR="00D93BCE" w:rsidRPr="00F2605B"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Comunicación con las poblaciones</w:t>
      </w:r>
    </w:p>
    <w:p w:rsidR="00D93BCE" w:rsidRPr="00DE6AA4" w:rsidRDefault="00D93BCE" w:rsidP="00D93BCE">
      <w:pPr>
        <w:pStyle w:val="NormalWeb"/>
        <w:shd w:val="clear" w:color="auto" w:fill="FFFFFF"/>
        <w:spacing w:before="0" w:beforeAutospacing="0" w:after="0" w:afterAutospacing="0"/>
        <w:jc w:val="both"/>
      </w:pPr>
      <w:r w:rsidRPr="00F2605B">
        <w:rPr>
          <w:b/>
          <w:bCs/>
        </w:rPr>
        <w:br/>
      </w:r>
      <w:r w:rsidRPr="00F2605B">
        <w:t>Los gobiernos que mantuvieron con mayor éxito la confianza popular en 2020 se caracterizaron por informes públicos regulares y consistentes, transparencia sobre los límites del conocimiento en un momento dado y una alineación visible entre políticos y expertos en áreas como la epidemiología y las ciencias del comportamiento. </w:t>
      </w:r>
      <w:r w:rsidRPr="00C63E1C">
        <w:rPr>
          <w:u w:val="single"/>
        </w:rPr>
        <w:t>El comportamiento tendía a ser más caótico donde los mensajes gubernamentales carecían de claridad, las medidas parecían discriminatorias, los líderes nacionales y locales adoptaban diferentes agendas y las narrativas en competencia sembraban dudas </w:t>
      </w:r>
      <w:r>
        <w:rPr>
          <w:u w:val="single"/>
        </w:rPr>
        <w:t> -</w:t>
      </w:r>
      <w:r w:rsidRPr="00C63E1C">
        <w:rPr>
          <w:u w:val="single"/>
        </w:rPr>
        <w:t xml:space="preserve">exacerbadas por la desinformación en las redes </w:t>
      </w:r>
      <w:r w:rsidRPr="00DE6AA4">
        <w:rPr>
          <w:u w:val="single"/>
        </w:rPr>
        <w:t>sociales</w:t>
      </w:r>
      <w:r w:rsidRPr="00DE6AA4">
        <w:t xml:space="preserve"> (ver </w:t>
      </w:r>
      <w:hyperlink r:id="rId70" w:history="1">
        <w:r w:rsidRPr="00DE6AA4">
          <w:rPr>
            <w:rStyle w:val="Hipervnculo"/>
            <w:rFonts w:eastAsiaTheme="majorEastAsia"/>
            <w:color w:val="auto"/>
            <w:u w:val="none"/>
          </w:rPr>
          <w:t>Capítulo 2, Error 404</w:t>
        </w:r>
      </w:hyperlink>
      <w:r w:rsidRPr="00DE6AA4">
        <w:t> ).</w:t>
      </w:r>
    </w:p>
    <w:p w:rsidR="00D93BCE" w:rsidRDefault="00D93BCE" w:rsidP="00D93BCE">
      <w:pPr>
        <w:pStyle w:val="NormalWeb"/>
        <w:shd w:val="clear" w:color="auto" w:fill="FFFFFF"/>
        <w:spacing w:before="0" w:beforeAutospacing="0" w:after="0" w:afterAutospacing="0"/>
        <w:jc w:val="both"/>
        <w:rPr>
          <w:u w:val="single"/>
        </w:rPr>
      </w:pPr>
    </w:p>
    <w:p w:rsidR="00D93BCE" w:rsidRPr="00C63E1C" w:rsidRDefault="00D93BCE" w:rsidP="00D93BCE">
      <w:pPr>
        <w:pStyle w:val="NormalWeb"/>
        <w:shd w:val="clear" w:color="auto" w:fill="FFFFFF"/>
        <w:spacing w:before="0" w:beforeAutospacing="0" w:after="0" w:afterAutospacing="0"/>
        <w:jc w:val="both"/>
        <w:rPr>
          <w:u w:val="single"/>
        </w:rPr>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Capacidades del sistema de salud</w:t>
      </w:r>
    </w:p>
    <w:p w:rsidR="00D93BCE" w:rsidRPr="00DE6AA4" w:rsidRDefault="00D93BCE" w:rsidP="00D93BCE">
      <w:pPr>
        <w:pStyle w:val="NormalWeb"/>
        <w:shd w:val="clear" w:color="auto" w:fill="FFFFFF"/>
        <w:spacing w:before="0" w:beforeAutospacing="0" w:after="0" w:afterAutospacing="0"/>
        <w:jc w:val="both"/>
      </w:pPr>
      <w:r w:rsidRPr="00F2605B">
        <w:rPr>
          <w:b/>
          <w:bCs/>
        </w:rPr>
        <w:br/>
      </w:r>
      <w:r w:rsidRPr="00F2605B">
        <w:t>Muchos países hicieron esfuerzos extraordinarios para expandir la capacidad del sistema de salud en la primera ola de la pandemia, por ejemplo, retrasando la atención electiva, reasignando profesionales médicos y construyendo hospitales temporales completamente nuevos. Sin embargo, además de las deficiencias del EPP discutidas anteriormente, los sistemas de salud a menudo también pasaron por alto el desafío de controlar las infecciones en instalaciones de alto impacto, como los hogares de ancianos, donde la edad y la mala salud dieron lugar a un gran número de muertes (ver Figura 6.3). En muchos casos, tampoco se prestó suficiente atención al agotamiento crónico del personal del sistema de salud, ya que las oleadas posteriores de la pandemia coincidieron con la necesidad de atender otras condiciones que se habían agravado durante los confinamientos </w:t>
      </w:r>
      <w:r>
        <w:t>-</w:t>
      </w:r>
      <w:r w:rsidRPr="00F2605B">
        <w:t>por ejemplo, para el 41% de los adultos en los Estados Unidos que retrasaron o evitaron la atención médica. Los trabajadores de la salud ya han comenzado a dejar la profesión (ver </w:t>
      </w:r>
      <w:hyperlink r:id="rId71" w:history="1">
        <w:r w:rsidRPr="00DE6AA4">
          <w:rPr>
            <w:rStyle w:val="Hipervnculo"/>
            <w:rFonts w:eastAsiaTheme="majorEastAsia"/>
            <w:color w:val="auto"/>
            <w:u w:val="none"/>
          </w:rPr>
          <w:t>Capítulo 1, Riesgos globales 2021</w:t>
        </w:r>
      </w:hyperlink>
      <w:r w:rsidRPr="00DE6AA4">
        <w:t> ). Los problemas de salud mental en las poblaciones, incluida la ansiedad, la depresión y el estrés postraumático, también aumentarán (consulte </w:t>
      </w:r>
      <w:hyperlink r:id="rId72" w:history="1">
        <w:r w:rsidRPr="00DE6AA4">
          <w:rPr>
            <w:rStyle w:val="Hipervnculo"/>
            <w:rFonts w:eastAsiaTheme="majorEastAsia"/>
            <w:color w:val="auto"/>
            <w:u w:val="none"/>
          </w:rPr>
          <w:t>el Capítulo 1, Riesgos globales 2021</w:t>
        </w:r>
      </w:hyperlink>
      <w:r w:rsidRPr="00DE6AA4">
        <w:t> y el </w:t>
      </w:r>
      <w:hyperlink r:id="rId73" w:history="1">
        <w:r w:rsidRPr="00DE6AA4">
          <w:rPr>
            <w:rStyle w:val="Hipervnculo"/>
            <w:rFonts w:eastAsiaTheme="majorEastAsia"/>
            <w:color w:val="auto"/>
            <w:u w:val="none"/>
          </w:rPr>
          <w:t>Capítulo 3, Pandemias</w:t>
        </w:r>
      </w:hyperlink>
      <w:r w:rsidRPr="00DE6AA4">
        <w:t> ).</w:t>
      </w:r>
    </w:p>
    <w:p w:rsidR="00D93BCE" w:rsidRPr="00DE6AA4"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r w:rsidRPr="00F2605B">
        <w:t>Muchos países lucharon con las pruebas, el seguimiento y el rastreo de contactos, a pesar de que se consideraban fundamentales para mantener los brotes bajo control y las economías abiertas. Dichos sistemas a menudo tardaban en identificar dónde se estaban propagando las infecciones: desde viajes internacionales, instalaciones empacadoras de carne, grandes reuniones sociales o alojamiento para trabajadores de la construcción migrantes. </w:t>
      </w:r>
    </w:p>
    <w:p w:rsidR="00D93BCE"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p>
    <w:p w:rsidR="00D93BCE"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0" w:afterAutospacing="0"/>
        <w:jc w:val="both"/>
      </w:pPr>
    </w:p>
    <w:p w:rsidR="00D93BCE" w:rsidRPr="00C63E1C" w:rsidRDefault="00D93BCE" w:rsidP="00D93BCE">
      <w:pPr>
        <w:pStyle w:val="NormalWeb"/>
        <w:shd w:val="clear" w:color="auto" w:fill="FFFFFF"/>
        <w:spacing w:before="0" w:beforeAutospacing="0" w:after="0" w:afterAutospacing="0"/>
        <w:jc w:val="both"/>
        <w:rPr>
          <w:b/>
        </w:rPr>
      </w:pPr>
      <w:r w:rsidRPr="00F2605B">
        <w:rPr>
          <w:rStyle w:val="Textoennegrita"/>
        </w:rPr>
        <w:lastRenderedPageBreak/>
        <w:t>Gestión</w:t>
      </w:r>
      <w:r>
        <w:rPr>
          <w:rStyle w:val="Textoennegrita"/>
        </w:rPr>
        <w:t xml:space="preserve"> </w:t>
      </w:r>
      <w:r w:rsidRPr="00C63E1C">
        <w:rPr>
          <w:b/>
        </w:rPr>
        <w:t xml:space="preserve">del confinamiento </w:t>
      </w:r>
    </w:p>
    <w:p w:rsidR="00D93BCE" w:rsidRDefault="00D93BCE" w:rsidP="00D93BCE">
      <w:pPr>
        <w:pStyle w:val="NormalWeb"/>
        <w:shd w:val="clear" w:color="auto" w:fill="FFFFFF"/>
        <w:spacing w:before="0" w:beforeAutospacing="0" w:after="0" w:afterAutospacing="0"/>
        <w:jc w:val="both"/>
      </w:pPr>
    </w:p>
    <w:p w:rsidR="00D93BCE" w:rsidRPr="00C63E1C" w:rsidRDefault="00D93BCE" w:rsidP="00D93BCE">
      <w:pPr>
        <w:pStyle w:val="NormalWeb"/>
        <w:shd w:val="clear" w:color="auto" w:fill="FFFFFF"/>
        <w:spacing w:before="0" w:beforeAutospacing="0" w:after="0" w:afterAutospacing="0"/>
        <w:jc w:val="both"/>
        <w:rPr>
          <w:b/>
          <w:bCs/>
        </w:rPr>
      </w:pPr>
      <w:r w:rsidRPr="00C63E1C">
        <w:rPr>
          <w:u w:val="single"/>
        </w:rPr>
        <w:t>Los confinamientos nacionales tuvieron algunos éxitos: por ejemplo, la protección de personas vulnerables a menudo funcionó bien en las economías avanzadas, con la colaboración público-privada asegurando la entrega de suministros de alimentos. Sin embargo, la interrupción de la educación y los lugares de trabajo causó una amplia gama de impactos en países de todos los niveles de ingresos</w:t>
      </w:r>
      <w:r w:rsidRPr="00F2605B">
        <w:t xml:space="preserve"> (consulte </w:t>
      </w:r>
      <w:r w:rsidRPr="00C63E1C">
        <w:t>el </w:t>
      </w:r>
      <w:hyperlink r:id="rId74" w:history="1">
        <w:r w:rsidRPr="00DE6AA4">
          <w:rPr>
            <w:rStyle w:val="Hipervnculo"/>
            <w:rFonts w:eastAsiaTheme="majorEastAsia"/>
            <w:color w:val="auto"/>
            <w:u w:val="none"/>
          </w:rPr>
          <w:t>Capítulo 3, Pandemias</w:t>
        </w:r>
      </w:hyperlink>
      <w:r w:rsidRPr="00DE6AA4">
        <w:t> ),  incluida una exacerbación de las brechas digitales (consulte el </w:t>
      </w:r>
      <w:hyperlink r:id="rId75" w:history="1">
        <w:r w:rsidRPr="00DE6AA4">
          <w:rPr>
            <w:rStyle w:val="Hipervnculo"/>
            <w:rFonts w:eastAsiaTheme="majorEastAsia"/>
            <w:color w:val="auto"/>
            <w:u w:val="none"/>
          </w:rPr>
          <w:t>Capítulo 2, Error 404</w:t>
        </w:r>
      </w:hyperlink>
      <w:r w:rsidRPr="00DE6AA4">
        <w:t xml:space="preserve"> ). El recuadro 6.2 compara las características de las respuestas de confinamiento entre </w:t>
      </w:r>
      <w:r w:rsidRPr="00C63E1C">
        <w:t>regiones.</w:t>
      </w:r>
    </w:p>
    <w:p w:rsidR="00D93BCE" w:rsidRPr="00F2605B" w:rsidRDefault="00D93BCE" w:rsidP="00D93BCE">
      <w:pPr>
        <w:pStyle w:val="NormalWeb"/>
        <w:shd w:val="clear" w:color="auto" w:fill="FFFFFF"/>
        <w:spacing w:before="0" w:beforeAutospacing="0" w:after="0" w:afterAutospacing="0"/>
        <w:jc w:val="both"/>
      </w:pPr>
    </w:p>
    <w:p w:rsidR="00D93BCE" w:rsidRPr="00F2605B" w:rsidRDefault="00D93BCE" w:rsidP="00D93BCE">
      <w:pPr>
        <w:pStyle w:val="NormalWeb"/>
        <w:shd w:val="clear" w:color="auto" w:fill="FFFFFF"/>
        <w:spacing w:before="0" w:beforeAutospacing="0" w:after="0" w:afterAutospacing="0"/>
        <w:jc w:val="both"/>
      </w:pPr>
      <w:r w:rsidRPr="00C63E1C">
        <w:rPr>
          <w:u w:val="single"/>
        </w:rPr>
        <w:t xml:space="preserve">Después de que la apertura gradual de las economías hizo que los casos aumentaran nuevamente, muchos gobiernos se mostraron reacios a volver a los bloqueos prolongados en todo el </w:t>
      </w:r>
      <w:r>
        <w:rPr>
          <w:u w:val="single"/>
        </w:rPr>
        <w:t>país, y en su lugar intentaron “interruptores de circuito”</w:t>
      </w:r>
      <w:r w:rsidRPr="00C63E1C">
        <w:rPr>
          <w:u w:val="single"/>
        </w:rPr>
        <w:t xml:space="preserve"> cortos (de dos a cuatro semanas) o restricciones locales más matizadas (como toques de queda, hospitalidad), cierres, prohibiciones de mezcla entre hogares y restricciones de viaje).</w:t>
      </w:r>
      <w:r w:rsidRPr="00F2605B">
        <w:t> El momento y las condiciones para el despliegue de estas medidas, y sus perspectivas de éxito en el control de la propagación del virus, generaron discusiones políticas tensas y resultados mixtos dieron como resultado que algunos gobiernos regresaran a enfoques nacionales más restrictivos. </w:t>
      </w:r>
    </w:p>
    <w:p w:rsidR="00D93BCE" w:rsidRPr="00F2605B" w:rsidRDefault="00D93BCE" w:rsidP="00D93BCE">
      <w:pPr>
        <w:shd w:val="clear" w:color="auto" w:fill="FFFFFF"/>
        <w:spacing w:line="240" w:lineRule="auto"/>
        <w:jc w:val="both"/>
        <w:rPr>
          <w:rFonts w:ascii="Times New Roman" w:hAnsi="Times New Roman" w:cs="Times New Roman"/>
          <w:sz w:val="24"/>
          <w:szCs w:val="24"/>
        </w:rPr>
      </w:pPr>
    </w:p>
    <w:p w:rsidR="00D93BCE" w:rsidRDefault="00D93BCE" w:rsidP="00D93BCE">
      <w:pPr>
        <w:pStyle w:val="NormalWeb"/>
        <w:shd w:val="clear" w:color="auto" w:fill="FFFFFF"/>
        <w:spacing w:before="0" w:beforeAutospacing="0" w:after="0" w:afterAutospacing="0"/>
        <w:jc w:val="both"/>
        <w:rPr>
          <w:rStyle w:val="Textoennegrita"/>
        </w:rPr>
      </w:pPr>
      <w:r w:rsidRPr="00F2605B">
        <w:rPr>
          <w:rStyle w:val="Textoennegrita"/>
        </w:rPr>
        <w:t xml:space="preserve">Asistencia financiera para particulares </w:t>
      </w:r>
    </w:p>
    <w:p w:rsidR="00D93BCE" w:rsidRDefault="00D93BCE" w:rsidP="00D93BCE">
      <w:pPr>
        <w:pStyle w:val="NormalWeb"/>
        <w:shd w:val="clear" w:color="auto" w:fill="FFFFFF"/>
        <w:spacing w:before="0" w:beforeAutospacing="0" w:after="0" w:afterAutospacing="0"/>
        <w:jc w:val="both"/>
        <w:rPr>
          <w:rStyle w:val="Textoennegrita"/>
        </w:rPr>
      </w:pPr>
    </w:p>
    <w:p w:rsidR="00D93BCE" w:rsidRPr="006F1264" w:rsidRDefault="00D93BCE" w:rsidP="00D93BCE">
      <w:pPr>
        <w:pStyle w:val="NormalWeb"/>
        <w:shd w:val="clear" w:color="auto" w:fill="FFFFFF"/>
        <w:spacing w:before="0" w:beforeAutospacing="0" w:after="0" w:afterAutospacing="0"/>
        <w:jc w:val="both"/>
        <w:rPr>
          <w:b/>
          <w:bCs/>
        </w:rPr>
      </w:pPr>
      <w:r w:rsidRPr="00C63E1C">
        <w:rPr>
          <w:rStyle w:val="Textoennegrita"/>
          <w:u w:val="single"/>
        </w:rPr>
        <w:t xml:space="preserve">Las </w:t>
      </w:r>
      <w:r w:rsidRPr="00C63E1C">
        <w:rPr>
          <w:u w:val="single"/>
        </w:rPr>
        <w:t>medidas de confinamiento provocaron un fuerte descenso de la producción económica, poniendo en peligro puestos de trabajo y empresas. Los países más ricos buscaron defin</w:t>
      </w:r>
      <w:r w:rsidR="00DE6AA4">
        <w:rPr>
          <w:u w:val="single"/>
        </w:rPr>
        <w:t>ir y entregar paquetes de ayuda</w:t>
      </w:r>
      <w:r w:rsidR="00DE6AA4">
        <w:t xml:space="preserve"> </w:t>
      </w:r>
      <w:r w:rsidRPr="00DE6AA4">
        <w:t>(consulte </w:t>
      </w:r>
      <w:hyperlink r:id="rId76" w:history="1">
        <w:r w:rsidRPr="00DE6AA4">
          <w:rPr>
            <w:rStyle w:val="Hipervnculo"/>
            <w:rFonts w:eastAsiaTheme="majorEastAsia"/>
            <w:color w:val="auto"/>
            <w:u w:val="none"/>
          </w:rPr>
          <w:t>el Capítulo 1, Riesgos globales 2021</w:t>
        </w:r>
      </w:hyperlink>
      <w:r w:rsidRPr="00DE6AA4">
        <w:t> )</w:t>
      </w:r>
      <w:r w:rsidRPr="00C63E1C">
        <w:rPr>
          <w:u w:val="single"/>
        </w:rPr>
        <w:t xml:space="preserve"> para los grupos más afectados y apoyaron a los empleadores en sus esfuerzos por retener a los empleados. Sin embargo, la eliminación gradual del apoyo dejará a muchas empresas con decisiones laborales difíciles</w:t>
      </w:r>
      <w:r w:rsidRPr="00F2605B">
        <w:t xml:space="preserve"> (consulte e</w:t>
      </w:r>
      <w:r w:rsidRPr="00C63E1C">
        <w:t>l </w:t>
      </w:r>
      <w:hyperlink r:id="rId77" w:history="1">
        <w:r w:rsidRPr="00DE6AA4">
          <w:rPr>
            <w:rStyle w:val="Hipervnculo"/>
            <w:rFonts w:eastAsiaTheme="majorEastAsia"/>
            <w:color w:val="auto"/>
            <w:u w:val="none"/>
          </w:rPr>
          <w:t>Capítulo 5, Mercados imperfectos)</w:t>
        </w:r>
        <w:r w:rsidRPr="00C63E1C">
          <w:rPr>
            <w:rStyle w:val="Hipervnculo"/>
            <w:rFonts w:eastAsiaTheme="majorEastAsia"/>
            <w:color w:val="auto"/>
          </w:rPr>
          <w:t>.</w:t>
        </w:r>
      </w:hyperlink>
      <w:r w:rsidRPr="00F2605B">
        <w:t> El rápido aumento del desempleo en la segunda mitad de 2020 comenzó a ejercer una presión adicional sobre otras disposiciones del sistema de bienestar y exacerbó los desafíos de salud mental. Las economías en desarrollo con finanzas públicas limitadas a menudo se enfrentaron a la difícil elección entre bloqueos con poca o ninguna asistencia financiera para aquellos que perdieron sus medios de vida y mantener sus economías abiertas ante el riesgo de una rápida propagación del virus y sistemas de salud abrumados. En muchas economías, los mercados informales también complicaron la distribución de asistencia financiera.</w:t>
      </w:r>
    </w:p>
    <w:p w:rsidR="00D93BCE" w:rsidRPr="00F2605B" w:rsidRDefault="00D93BCE" w:rsidP="00D93BCE">
      <w:pPr>
        <w:pStyle w:val="Ttulo2"/>
        <w:shd w:val="clear" w:color="auto" w:fill="FFFFFF"/>
        <w:spacing w:before="150" w:after="300" w:line="240" w:lineRule="auto"/>
        <w:jc w:val="both"/>
        <w:rPr>
          <w:rFonts w:ascii="Times New Roman" w:hAnsi="Times New Roman" w:cs="Times New Roman"/>
          <w:b w:val="0"/>
          <w:bCs w:val="0"/>
          <w:color w:val="auto"/>
          <w:sz w:val="24"/>
          <w:szCs w:val="24"/>
        </w:rPr>
      </w:pPr>
      <w:r w:rsidRPr="00F2605B">
        <w:rPr>
          <w:rFonts w:ascii="Times New Roman" w:hAnsi="Times New Roman" w:cs="Times New Roman"/>
          <w:b w:val="0"/>
          <w:bCs w:val="0"/>
          <w:color w:val="auto"/>
          <w:sz w:val="24"/>
          <w:szCs w:val="24"/>
        </w:rPr>
        <w:lastRenderedPageBreak/>
        <w:t>Recuadro 6.2: Respondiendo al COVID-19: Características Regionales</w:t>
      </w:r>
    </w:p>
    <w:p w:rsidR="00D93BCE" w:rsidRDefault="00D93BCE" w:rsidP="00D93BCE">
      <w:pPr>
        <w:pStyle w:val="NormalWeb"/>
        <w:shd w:val="clear" w:color="auto" w:fill="FFFFFF"/>
        <w:spacing w:before="360" w:beforeAutospacing="0" w:after="480" w:afterAutospacing="0"/>
        <w:jc w:val="both"/>
      </w:pPr>
      <w:r w:rsidRPr="00F2605B">
        <w:rPr>
          <w:noProof/>
        </w:rPr>
        <w:drawing>
          <wp:inline distT="0" distB="0" distL="0" distR="0" wp14:anchorId="19BB74B2" wp14:editId="47789167">
            <wp:extent cx="5657850" cy="8153400"/>
            <wp:effectExtent l="0" t="0" r="0" b="0"/>
            <wp:docPr id="93" name="Imagen 93" descr="http://reports.weforum.org/global-risks-report-2021/files/2021/01/WR146-BOX6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reports.weforum.org/global-risks-report-2021/files/2021/01/WR146-BOX62a.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57850" cy="8153400"/>
                    </a:xfrm>
                    <a:prstGeom prst="rect">
                      <a:avLst/>
                    </a:prstGeom>
                    <a:noFill/>
                    <a:ln>
                      <a:noFill/>
                    </a:ln>
                  </pic:spPr>
                </pic:pic>
              </a:graphicData>
            </a:graphic>
          </wp:inline>
        </w:drawing>
      </w:r>
    </w:p>
    <w:p w:rsidR="00D93BCE" w:rsidRDefault="00D93BCE" w:rsidP="00D93BCE">
      <w:pPr>
        <w:pStyle w:val="NormalWeb"/>
        <w:shd w:val="clear" w:color="auto" w:fill="FFFFFF"/>
        <w:spacing w:before="360" w:beforeAutospacing="0" w:after="480" w:afterAutospacing="0"/>
        <w:jc w:val="both"/>
        <w:rPr>
          <w:b/>
        </w:rPr>
      </w:pPr>
      <w:r w:rsidRPr="00863790">
        <w:rPr>
          <w:b/>
        </w:rPr>
        <w:lastRenderedPageBreak/>
        <w:t>Posdata</w:t>
      </w:r>
    </w:p>
    <w:p w:rsidR="00D93BCE" w:rsidRDefault="00D93BCE" w:rsidP="00D93BCE">
      <w:pPr>
        <w:pStyle w:val="NormalWeb"/>
        <w:shd w:val="clear" w:color="auto" w:fill="FFFFFF"/>
        <w:spacing w:before="360" w:beforeAutospacing="0" w:after="480" w:afterAutospacing="0"/>
        <w:jc w:val="both"/>
        <w:rPr>
          <w:b/>
        </w:rPr>
      </w:pPr>
      <w:r w:rsidRPr="00C63E1C">
        <w:rPr>
          <w:color w:val="FF0000"/>
          <w:u w:val="single"/>
        </w:rPr>
        <w:t>COVID-19 ha demostrado los impactos rápidos y en cascada de un riesgo catastrófico global manifestado. Las pandemias, así como el cambio climático, las crisis de deuda, los ataques cibernéticos y otros, son riesgos de alta probabilidad y alto impacto en los que centramos nuestra atención cada año en el Informe de riesgos globales.</w:t>
      </w:r>
    </w:p>
    <w:p w:rsidR="00D93BCE" w:rsidRDefault="00D93BCE" w:rsidP="00D93BCE">
      <w:pPr>
        <w:pStyle w:val="NormalWeb"/>
        <w:shd w:val="clear" w:color="auto" w:fill="FFFFFF"/>
        <w:spacing w:before="360" w:beforeAutospacing="0" w:after="480" w:afterAutospacing="0"/>
        <w:jc w:val="both"/>
        <w:rPr>
          <w:b/>
        </w:rPr>
      </w:pPr>
      <w:r w:rsidRPr="00C63E1C">
        <w:rPr>
          <w:u w:val="single"/>
        </w:rPr>
        <w:t>Ampliamos nuestro análisis este año para preguntar a expertos en riesgo de alto nivel sobre posibles shocks que son menos conocidos pero que tendrían un gran impacto si se manifestaran. El propósito de esta lista no exhaustiva es fomentar un pensamiento más amplio sobre el universo de posibilidades de riesgo en la próxima década.</w:t>
      </w:r>
    </w:p>
    <w:p w:rsidR="00D93BCE" w:rsidRPr="00863790" w:rsidRDefault="00D93BCE" w:rsidP="00D93BCE">
      <w:pPr>
        <w:pStyle w:val="NormalWeb"/>
        <w:shd w:val="clear" w:color="auto" w:fill="FFFFFF"/>
        <w:spacing w:before="360" w:beforeAutospacing="0" w:after="480" w:afterAutospacing="0"/>
        <w:jc w:val="both"/>
        <w:rPr>
          <w:b/>
        </w:rPr>
      </w:pPr>
      <w:r w:rsidRPr="00C63E1C">
        <w:rPr>
          <w:u w:val="single"/>
        </w:rPr>
        <w:t>El objetivo es permitir mejor la preparación, en lugar de la parálisis, así como la resiliencia en la frontera de la crisis. La siguiente lista establece algunos de los riesgos potenciales que están en la mente de los analistas de riesgos.</w:t>
      </w:r>
    </w:p>
    <w:p w:rsidR="00D93BCE" w:rsidRDefault="00D93BCE" w:rsidP="00D93BCE">
      <w:pPr>
        <w:pStyle w:val="NormalWeb"/>
        <w:shd w:val="clear" w:color="auto" w:fill="FFFFFF"/>
        <w:spacing w:before="0" w:beforeAutospacing="0" w:after="150" w:afterAutospacing="0"/>
        <w:jc w:val="both"/>
        <w:rPr>
          <w:b/>
          <w:bCs/>
        </w:rPr>
      </w:pPr>
      <w:r w:rsidRPr="00F2605B">
        <w:rPr>
          <w:noProof/>
        </w:rPr>
        <w:drawing>
          <wp:inline distT="0" distB="0" distL="0" distR="0" wp14:anchorId="76E11565" wp14:editId="33FEC5B1">
            <wp:extent cx="5680352" cy="5384800"/>
            <wp:effectExtent l="0" t="0" r="0" b="6350"/>
            <wp:docPr id="101" name="Imagen 101" descr="http://reports.weforum.org/global-risks-report-2021/files/2021/01/Postscrip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reports.weforum.org/global-risks-report-2021/files/2021/01/Postscript4.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81934" cy="5386300"/>
                    </a:xfrm>
                    <a:prstGeom prst="rect">
                      <a:avLst/>
                    </a:prstGeom>
                    <a:noFill/>
                    <a:ln>
                      <a:noFill/>
                    </a:ln>
                  </pic:spPr>
                </pic:pic>
              </a:graphicData>
            </a:graphic>
          </wp:inline>
        </w:drawing>
      </w:r>
    </w:p>
    <w:p w:rsidR="00D93BCE" w:rsidRPr="00863790" w:rsidRDefault="00D93BCE" w:rsidP="00D93BCE">
      <w:pPr>
        <w:pStyle w:val="NormalWeb"/>
        <w:shd w:val="clear" w:color="auto" w:fill="FFFFFF"/>
        <w:spacing w:before="0" w:beforeAutospacing="0" w:after="150" w:afterAutospacing="0"/>
        <w:jc w:val="both"/>
      </w:pPr>
      <w:r w:rsidRPr="00F2605B">
        <w:rPr>
          <w:b/>
          <w:bCs/>
        </w:rPr>
        <w:lastRenderedPageBreak/>
        <w:t>Global Risks Horizon</w:t>
      </w:r>
    </w:p>
    <w:p w:rsidR="00D93BCE" w:rsidRPr="00F2605B" w:rsidRDefault="00D93BCE" w:rsidP="00D93BCE">
      <w:pPr>
        <w:pStyle w:val="Ttulo2"/>
        <w:shd w:val="clear" w:color="auto" w:fill="FFFFFF"/>
        <w:spacing w:before="0" w:after="150" w:line="240" w:lineRule="auto"/>
        <w:ind w:right="120"/>
        <w:jc w:val="both"/>
        <w:rPr>
          <w:rFonts w:ascii="Times New Roman" w:hAnsi="Times New Roman" w:cs="Times New Roman"/>
          <w:b w:val="0"/>
          <w:bCs w:val="0"/>
          <w:color w:val="auto"/>
          <w:sz w:val="24"/>
          <w:szCs w:val="24"/>
        </w:rPr>
      </w:pPr>
    </w:p>
    <w:p w:rsidR="00D93BCE" w:rsidRPr="00F2605B" w:rsidRDefault="00D93BCE" w:rsidP="00D93BCE">
      <w:pPr>
        <w:pStyle w:val="NormalWeb"/>
        <w:shd w:val="clear" w:color="auto" w:fill="FFFFFF"/>
        <w:spacing w:before="0" w:beforeAutospacing="0" w:after="150" w:afterAutospacing="0"/>
        <w:jc w:val="both"/>
      </w:pPr>
      <w:r w:rsidRPr="00F2605B">
        <w:rPr>
          <w:noProof/>
        </w:rPr>
        <w:drawing>
          <wp:inline distT="0" distB="0" distL="0" distR="0" wp14:anchorId="1DA3E0B7" wp14:editId="32F09922">
            <wp:extent cx="5613400" cy="7670800"/>
            <wp:effectExtent l="0" t="0" r="6350" b="6350"/>
            <wp:docPr id="102" name="Imagen 102" descr="http://reports.weforum.org/global-risks-report-2021/files/2021/01/Horizo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reports.weforum.org/global-risks-report-2021/files/2021/01/Horizon3.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15135" cy="7673171"/>
                    </a:xfrm>
                    <a:prstGeom prst="rect">
                      <a:avLst/>
                    </a:prstGeom>
                    <a:noFill/>
                    <a:ln>
                      <a:noFill/>
                    </a:ln>
                  </pic:spPr>
                </pic:pic>
              </a:graphicData>
            </a:graphic>
          </wp:inline>
        </w:drawing>
      </w:r>
    </w:p>
    <w:p w:rsidR="00D93BCE" w:rsidRPr="00F2605B" w:rsidRDefault="00D93BCE" w:rsidP="00D93BCE">
      <w:pPr>
        <w:shd w:val="clear" w:color="auto" w:fill="FFFFFF"/>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6056E080" wp14:editId="7FEF6783">
            <wp:extent cx="5731510" cy="6106263"/>
            <wp:effectExtent l="0" t="0" r="2540" b="889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6106263"/>
                    </a:xfrm>
                    <a:prstGeom prst="rect">
                      <a:avLst/>
                    </a:prstGeom>
                  </pic:spPr>
                </pic:pic>
              </a:graphicData>
            </a:graphic>
          </wp:inline>
        </w:drawing>
      </w:r>
    </w:p>
    <w:p w:rsidR="00D93BCE" w:rsidRPr="00F2605B" w:rsidRDefault="00D93BCE" w:rsidP="00D93BCE">
      <w:pPr>
        <w:shd w:val="clear" w:color="auto" w:fill="FFFFFF"/>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57B82775" wp14:editId="4ECEAAF0">
            <wp:extent cx="5727700" cy="3829050"/>
            <wp:effectExtent l="0" t="0" r="635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831597"/>
                    </a:xfrm>
                    <a:prstGeom prst="rect">
                      <a:avLst/>
                    </a:prstGeom>
                  </pic:spPr>
                </pic:pic>
              </a:graphicData>
            </a:graphic>
          </wp:inline>
        </w:drawing>
      </w:r>
    </w:p>
    <w:p w:rsidR="00D93BCE" w:rsidRPr="00F2605B" w:rsidRDefault="00D93BCE" w:rsidP="00D93BCE">
      <w:pPr>
        <w:shd w:val="clear" w:color="auto" w:fill="FFFFFF"/>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07A8E1C9" wp14:editId="74EA7E69">
            <wp:extent cx="5734049" cy="4597400"/>
            <wp:effectExtent l="0" t="0" r="63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4595364"/>
                    </a:xfrm>
                    <a:prstGeom prst="rect">
                      <a:avLst/>
                    </a:prstGeom>
                  </pic:spPr>
                </pic:pic>
              </a:graphicData>
            </a:graphic>
          </wp:inline>
        </w:drawing>
      </w:r>
    </w:p>
    <w:p w:rsidR="00D93BCE" w:rsidRPr="00F2605B" w:rsidRDefault="00D93BCE" w:rsidP="00D93BCE">
      <w:pPr>
        <w:shd w:val="clear" w:color="auto" w:fill="FFFFFF"/>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21FAABAB" wp14:editId="28989298">
            <wp:extent cx="5731510" cy="3570559"/>
            <wp:effectExtent l="0" t="0" r="254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570559"/>
                    </a:xfrm>
                    <a:prstGeom prst="rect">
                      <a:avLst/>
                    </a:prstGeom>
                  </pic:spPr>
                </pic:pic>
              </a:graphicData>
            </a:graphic>
          </wp:inline>
        </w:drawing>
      </w:r>
    </w:p>
    <w:p w:rsidR="00D93BCE" w:rsidRPr="00F2605B" w:rsidRDefault="00D93BCE" w:rsidP="00D93BCE">
      <w:pPr>
        <w:shd w:val="clear" w:color="auto" w:fill="FFFFFF"/>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2EBB1B51" wp14:editId="5B13C72B">
            <wp:extent cx="5731510" cy="4154120"/>
            <wp:effectExtent l="0" t="0" r="254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4154120"/>
                    </a:xfrm>
                    <a:prstGeom prst="rect">
                      <a:avLst/>
                    </a:prstGeom>
                  </pic:spPr>
                </pic:pic>
              </a:graphicData>
            </a:graphic>
          </wp:inline>
        </w:drawing>
      </w:r>
    </w:p>
    <w:p w:rsidR="00D93BCE" w:rsidRPr="00F2605B" w:rsidRDefault="00D93BCE" w:rsidP="00D93BCE">
      <w:pPr>
        <w:pStyle w:val="NormalWeb"/>
        <w:shd w:val="clear" w:color="auto" w:fill="FFFFFF"/>
        <w:spacing w:before="0" w:beforeAutospacing="0" w:after="480" w:afterAutospacing="0"/>
        <w:jc w:val="both"/>
      </w:pPr>
    </w:p>
    <w:p w:rsidR="00D93BCE" w:rsidRDefault="00D93BCE" w:rsidP="00D93BCE">
      <w:pPr>
        <w:spacing w:before="100" w:beforeAutospacing="1" w:after="100" w:afterAutospacing="1" w:line="240" w:lineRule="auto"/>
        <w:jc w:val="both"/>
        <w:rPr>
          <w:rFonts w:ascii="Times New Roman" w:hAnsi="Times New Roman" w:cs="Times New Roman"/>
          <w:b/>
          <w:color w:val="FF0000"/>
          <w:sz w:val="24"/>
          <w:szCs w:val="24"/>
        </w:rPr>
      </w:pPr>
    </w:p>
    <w:p w:rsidR="00D93BCE" w:rsidRPr="00F2605B" w:rsidRDefault="001715FB" w:rsidP="00D93BCE">
      <w:pPr>
        <w:spacing w:after="120" w:line="240" w:lineRule="auto"/>
        <w:jc w:val="both"/>
        <w:outlineLvl w:val="0"/>
        <w:rPr>
          <w:rFonts w:ascii="Times New Roman" w:eastAsia="Times New Roman" w:hAnsi="Times New Roman" w:cs="Times New Roman"/>
          <w:b/>
          <w:bCs/>
          <w:spacing w:val="-5"/>
          <w:kern w:val="36"/>
          <w:sz w:val="24"/>
          <w:szCs w:val="24"/>
          <w:lang w:eastAsia="es-ES"/>
        </w:rPr>
      </w:pPr>
      <w:r>
        <w:rPr>
          <w:rFonts w:ascii="Times New Roman" w:eastAsia="Times New Roman" w:hAnsi="Times New Roman" w:cs="Times New Roman"/>
          <w:b/>
          <w:bCs/>
          <w:spacing w:val="-5"/>
          <w:kern w:val="36"/>
          <w:sz w:val="24"/>
          <w:szCs w:val="24"/>
          <w:lang w:eastAsia="es-ES"/>
        </w:rPr>
        <w:lastRenderedPageBreak/>
        <w:t xml:space="preserve">- </w:t>
      </w:r>
      <w:r w:rsidR="00D93BCE" w:rsidRPr="00F2605B">
        <w:rPr>
          <w:rFonts w:ascii="Times New Roman" w:eastAsia="Times New Roman" w:hAnsi="Times New Roman" w:cs="Times New Roman"/>
          <w:b/>
          <w:bCs/>
          <w:spacing w:val="-5"/>
          <w:kern w:val="36"/>
          <w:sz w:val="24"/>
          <w:szCs w:val="24"/>
          <w:lang w:eastAsia="es-ES"/>
        </w:rPr>
        <w:t>Informe de Riesgos Globales 2022 (World Economic Forum - Davos - Enero 2022)</w:t>
      </w:r>
    </w:p>
    <w:p w:rsidR="00D93BCE" w:rsidRPr="00F2605B" w:rsidRDefault="00D93BCE" w:rsidP="00D93BCE">
      <w:pPr>
        <w:spacing w:after="161" w:line="240" w:lineRule="auto"/>
        <w:jc w:val="both"/>
        <w:outlineLvl w:val="0"/>
        <w:rPr>
          <w:rFonts w:ascii="Times New Roman" w:eastAsia="Times New Roman" w:hAnsi="Times New Roman" w:cs="Times New Roman"/>
          <w:b/>
          <w:bCs/>
          <w:kern w:val="36"/>
          <w:sz w:val="24"/>
          <w:szCs w:val="24"/>
          <w:lang w:eastAsia="es-ES"/>
        </w:rPr>
      </w:pPr>
      <w:r w:rsidRPr="00F2605B">
        <w:rPr>
          <w:rFonts w:ascii="Times New Roman" w:eastAsia="Times New Roman" w:hAnsi="Times New Roman" w:cs="Times New Roman"/>
          <w:b/>
          <w:bCs/>
          <w:kern w:val="36"/>
          <w:sz w:val="24"/>
          <w:szCs w:val="24"/>
          <w:lang w:eastAsia="es-ES"/>
        </w:rPr>
        <w:t>Resumen ejecutivo</w:t>
      </w:r>
    </w:p>
    <w:p w:rsidR="00D93BCE" w:rsidRPr="00F2605B" w:rsidRDefault="00D93BCE" w:rsidP="00D93BCE">
      <w:pPr>
        <w:spacing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A medida que comienza 2022, COVID-19 y sus consecuencias económicas y sociales continúan representando una amenaza crítica para el mundo. La desigualdad de vacunas y la recuperación económica desigual resultante corren el riesgo de agravar las fracturas sociales y las tensiones geopolíticas. En los 52 países más pobres, hogar del 20% de la población mundial, solo el 6% de la población había sido vacunada al momento de escribir este artículo. Para 2024, las economías en desarrollo (excluida China) habrán caído un 5,5 % por debajo del crecimiento del PIB previsto antes de la pandemia, mientras que las economías avanzadas lo habrán superado en un 0,9 %, lo que ampliará la brecha mundial de ingresos.</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La divergencia global resultante creará tensiones, dentro y fuera de las fronteras, que corren el riesgo de empeorar los impactos en cascada de la pandemia y complicar la coordinación necesaria para abordar desafíos comunes, incluido el fortalecimiento de la acción climática, la mejora de la seguridad digital, la restauración de los medios de vida y la cohesión social y la gestión de la competencia en el espacio.</w:t>
      </w:r>
    </w:p>
    <w:p w:rsidR="00D93BCE" w:rsidRPr="004338BD" w:rsidRDefault="00D93BCE" w:rsidP="00D93BCE">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338BD">
        <w:rPr>
          <w:rFonts w:ascii="Times New Roman" w:eastAsia="Times New Roman" w:hAnsi="Times New Roman" w:cs="Times New Roman"/>
          <w:sz w:val="24"/>
          <w:szCs w:val="24"/>
          <w:u w:val="single"/>
          <w:lang w:eastAsia="es-ES"/>
        </w:rPr>
        <w:t>El </w:t>
      </w:r>
      <w:r w:rsidRPr="004338BD">
        <w:rPr>
          <w:rFonts w:ascii="Times New Roman" w:eastAsia="Times New Roman" w:hAnsi="Times New Roman" w:cs="Times New Roman"/>
          <w:i/>
          <w:iCs/>
          <w:sz w:val="24"/>
          <w:szCs w:val="24"/>
          <w:u w:val="single"/>
          <w:lang w:eastAsia="es-ES"/>
        </w:rPr>
        <w:t>Informe de riesgos globales</w:t>
      </w:r>
      <w:r w:rsidRPr="004338BD">
        <w:rPr>
          <w:rFonts w:ascii="Times New Roman" w:eastAsia="Times New Roman" w:hAnsi="Times New Roman" w:cs="Times New Roman"/>
          <w:sz w:val="24"/>
          <w:szCs w:val="24"/>
          <w:u w:val="single"/>
          <w:lang w:eastAsia="es-ES"/>
        </w:rPr>
        <w:t> 2022 presenta los resultados de la última Encuesta de percepción de riesgos globales (GRPS), seguida de un análisis de los riesgos clave que emanan de las tensiones económicas, sociales, ambientales y tecnológicas actuales</w:t>
      </w:r>
      <w:r w:rsidRPr="00F2605B">
        <w:rPr>
          <w:rFonts w:ascii="Times New Roman" w:eastAsia="Times New Roman" w:hAnsi="Times New Roman" w:cs="Times New Roman"/>
          <w:sz w:val="24"/>
          <w:szCs w:val="24"/>
          <w:lang w:eastAsia="es-ES"/>
        </w:rPr>
        <w:t>. El informe concluye con reflexiones sobre la mejora de la resiliencia, extraídas de las lecciones de los últimos dos años de la pandemia de COVID-19. </w:t>
      </w:r>
      <w:r w:rsidRPr="004338BD">
        <w:rPr>
          <w:rFonts w:ascii="Times New Roman" w:eastAsia="Times New Roman" w:hAnsi="Times New Roman" w:cs="Times New Roman"/>
          <w:sz w:val="24"/>
          <w:szCs w:val="24"/>
          <w:u w:val="single"/>
          <w:lang w:eastAsia="es-ES"/>
        </w:rPr>
        <w:t>Los hallazgos clave de la encuesta y el análisis se resumen a continuación.</w:t>
      </w:r>
    </w:p>
    <w:p w:rsidR="00D93BCE" w:rsidRPr="00F2605B" w:rsidRDefault="00D93BCE" w:rsidP="00D93BCE">
      <w:pPr>
        <w:spacing w:before="100" w:beforeAutospacing="1" w:after="100" w:afterAutospacing="1" w:line="240" w:lineRule="auto"/>
        <w:jc w:val="both"/>
        <w:outlineLvl w:val="2"/>
        <w:rPr>
          <w:rFonts w:ascii="Times New Roman" w:eastAsia="Times New Roman" w:hAnsi="Times New Roman" w:cs="Times New Roman"/>
          <w:b/>
          <w:bCs/>
          <w:sz w:val="24"/>
          <w:szCs w:val="24"/>
          <w:lang w:eastAsia="es-ES"/>
        </w:rPr>
      </w:pPr>
      <w:r w:rsidRPr="00F2605B">
        <w:rPr>
          <w:rFonts w:ascii="Times New Roman" w:eastAsia="Times New Roman" w:hAnsi="Times New Roman" w:cs="Times New Roman"/>
          <w:b/>
          <w:bCs/>
          <w:sz w:val="24"/>
          <w:szCs w:val="24"/>
          <w:lang w:eastAsia="es-ES"/>
        </w:rPr>
        <w:t>Las percepciones de los riesgos globales resaltan las preocupaciones sociales y ambientales</w:t>
      </w:r>
    </w:p>
    <w:p w:rsidR="00D93BCE" w:rsidRPr="004338BD" w:rsidRDefault="00D93BCE" w:rsidP="00D93BCE">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338BD">
        <w:rPr>
          <w:rFonts w:ascii="Times New Roman" w:eastAsia="Times New Roman" w:hAnsi="Times New Roman" w:cs="Times New Roman"/>
          <w:sz w:val="24"/>
          <w:szCs w:val="24"/>
          <w:u w:val="single"/>
          <w:lang w:eastAsia="es-ES"/>
        </w:rPr>
        <w:t>Cuando se les pidió que revisaran los últimos dos años, los encuestados de la GRPS perciben los</w:t>
      </w:r>
      <w:r>
        <w:rPr>
          <w:rFonts w:ascii="Times New Roman" w:eastAsia="Times New Roman" w:hAnsi="Times New Roman" w:cs="Times New Roman"/>
          <w:sz w:val="24"/>
          <w:szCs w:val="24"/>
          <w:u w:val="single"/>
          <w:lang w:eastAsia="es-ES"/>
        </w:rPr>
        <w:t xml:space="preserve"> riesgos sociales, en forma de “erosión de la cohesión social”, “</w:t>
      </w:r>
      <w:r w:rsidRPr="004338BD">
        <w:rPr>
          <w:rFonts w:ascii="Times New Roman" w:eastAsia="Times New Roman" w:hAnsi="Times New Roman" w:cs="Times New Roman"/>
          <w:sz w:val="24"/>
          <w:szCs w:val="24"/>
          <w:u w:val="single"/>
          <w:lang w:eastAsia="es-ES"/>
        </w:rPr>
        <w:t>crisis de medios de vida</w:t>
      </w:r>
      <w:r>
        <w:rPr>
          <w:rFonts w:ascii="Times New Roman" w:eastAsia="Times New Roman" w:hAnsi="Times New Roman" w:cs="Times New Roman"/>
          <w:sz w:val="24"/>
          <w:szCs w:val="24"/>
          <w:u w:val="single"/>
          <w:lang w:eastAsia="es-ES"/>
        </w:rPr>
        <w:t>” y “deterioro de la salud mental”</w:t>
      </w:r>
      <w:r w:rsidRPr="004338BD">
        <w:rPr>
          <w:rFonts w:ascii="Times New Roman" w:eastAsia="Times New Roman" w:hAnsi="Times New Roman" w:cs="Times New Roman"/>
          <w:sz w:val="24"/>
          <w:szCs w:val="24"/>
          <w:u w:val="single"/>
          <w:lang w:eastAsia="es-ES"/>
        </w:rPr>
        <w:t>, como los que más han empeorado desde que la pandemia comenzó</w:t>
      </w:r>
      <w:r w:rsidRPr="00F2605B">
        <w:rPr>
          <w:rFonts w:ascii="Times New Roman" w:eastAsia="Times New Roman" w:hAnsi="Times New Roman" w:cs="Times New Roman"/>
          <w:sz w:val="24"/>
          <w:szCs w:val="24"/>
          <w:lang w:eastAsia="es-ES"/>
        </w:rPr>
        <w:t>. </w:t>
      </w:r>
      <w:r w:rsidRPr="004338BD">
        <w:rPr>
          <w:rFonts w:ascii="Times New Roman" w:eastAsia="Times New Roman" w:hAnsi="Times New Roman" w:cs="Times New Roman"/>
          <w:sz w:val="24"/>
          <w:szCs w:val="24"/>
          <w:u w:val="single"/>
          <w:lang w:eastAsia="es-ES"/>
        </w:rPr>
        <w:t>Solo el 16 % de los encuestados se siente positivo y optimista sobre las perspectivas del mundo, y solo el 11 % cree que la recuperación global se acelerará. En cambio, la mayoría de los encuestados espera que los próximos tres años se caractericen por una volatilidad constante y múltiples sorpresas o trayectorias fracturadas que separarán a los ganadores y perdedores relativos.</w:t>
      </w:r>
    </w:p>
    <w:p w:rsidR="00D93BCE" w:rsidRPr="004338BD" w:rsidRDefault="00D93BCE" w:rsidP="00D93BCE">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338BD">
        <w:rPr>
          <w:rFonts w:ascii="Times New Roman" w:eastAsia="Times New Roman" w:hAnsi="Times New Roman" w:cs="Times New Roman"/>
          <w:sz w:val="24"/>
          <w:szCs w:val="24"/>
          <w:u w:val="single"/>
          <w:lang w:eastAsia="es-ES"/>
        </w:rPr>
        <w:t>Durante los próximos cinco años, los encuestados nuevamente señalan los riesgos sociales y ambientales como los más preocupantes. Sin embargo, en un horizonte de 10 años, la salud del planeta domina las preocupaciones: los riesgos ambientales se perciben como las cinco amenazas a largo plazo más críticas para el mundo, así como las más potencialmente dañinas para las personas y el planeta, con “acción climática-fracaso”, “clima extremo” y “pérdida de biodiversidad” clasificándose como los tres riesgos más graves. Los encuestados también s</w:t>
      </w:r>
      <w:r>
        <w:rPr>
          <w:rFonts w:ascii="Times New Roman" w:eastAsia="Times New Roman" w:hAnsi="Times New Roman" w:cs="Times New Roman"/>
          <w:sz w:val="24"/>
          <w:szCs w:val="24"/>
          <w:u w:val="single"/>
          <w:lang w:eastAsia="es-ES"/>
        </w:rPr>
        <w:t>eñalaron las “crisis de la deuda” y las “confrontaciones geoeconómicas”</w:t>
      </w:r>
      <w:r w:rsidRPr="004338BD">
        <w:rPr>
          <w:rFonts w:ascii="Times New Roman" w:eastAsia="Times New Roman" w:hAnsi="Times New Roman" w:cs="Times New Roman"/>
          <w:sz w:val="24"/>
          <w:szCs w:val="24"/>
          <w:u w:val="single"/>
          <w:lang w:eastAsia="es-ES"/>
        </w:rPr>
        <w:t xml:space="preserve"> como algunos de los riesgos más graves en los próximos 10 años.</w:t>
      </w:r>
    </w:p>
    <w:p w:rsidR="00D93BCE" w:rsidRPr="004338BD" w:rsidRDefault="00D93BCE" w:rsidP="00D93BCE">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338BD">
        <w:rPr>
          <w:rFonts w:ascii="Times New Roman" w:eastAsia="Times New Roman" w:hAnsi="Times New Roman" w:cs="Times New Roman"/>
          <w:sz w:val="24"/>
          <w:szCs w:val="24"/>
          <w:u w:val="single"/>
          <w:lang w:eastAsia="es-ES"/>
        </w:rPr>
        <w:t>Los</w:t>
      </w:r>
      <w:r>
        <w:rPr>
          <w:rFonts w:ascii="Times New Roman" w:eastAsia="Times New Roman" w:hAnsi="Times New Roman" w:cs="Times New Roman"/>
          <w:sz w:val="24"/>
          <w:szCs w:val="24"/>
          <w:u w:val="single"/>
          <w:lang w:eastAsia="es-ES"/>
        </w:rPr>
        <w:t xml:space="preserve"> riesgos tecnológicos, como la “desigualdad digital” y la “falla de la ciberseguridad”</w:t>
      </w:r>
      <w:r w:rsidRPr="004338BD">
        <w:rPr>
          <w:rFonts w:ascii="Times New Roman" w:eastAsia="Times New Roman" w:hAnsi="Times New Roman" w:cs="Times New Roman"/>
          <w:sz w:val="24"/>
          <w:szCs w:val="24"/>
          <w:u w:val="single"/>
          <w:lang w:eastAsia="es-ES"/>
        </w:rPr>
        <w:t xml:space="preserve">, son otras amenazas críticas a corto y mediano plazo para el mundo según los encuestados de GRPS, pero estos retroceden en las clasificaciones hacia el largo plazo y ninguno aparece </w:t>
      </w:r>
      <w:r w:rsidRPr="004338BD">
        <w:rPr>
          <w:rFonts w:ascii="Times New Roman" w:eastAsia="Times New Roman" w:hAnsi="Times New Roman" w:cs="Times New Roman"/>
          <w:sz w:val="24"/>
          <w:szCs w:val="24"/>
          <w:u w:val="single"/>
          <w:lang w:eastAsia="es-ES"/>
        </w:rPr>
        <w:lastRenderedPageBreak/>
        <w:t>entre los más importantes. potencialmente grave, lo que indica un posible punto ciego en las percepciones de riesgo.</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La GRPS 2021-2022 incluyó una pregunta sobre los esfuerzos internacionales de mitigación de riesgos. “Inteligencia artificial”, “explotación espacial”, “ataques cibernéticos transfronterizos e información errónea” y “migración y refugiados” son las áreas en las que la mayoría de los encuestados cree que el estado actual de los esfuerzos de mitigación de riesgos no está a la altura del desafío</w:t>
      </w:r>
      <w:r>
        <w:rPr>
          <w:rFonts w:ascii="Times New Roman" w:eastAsia="Times New Roman" w:hAnsi="Times New Roman" w:cs="Times New Roman"/>
          <w:sz w:val="24"/>
          <w:szCs w:val="24"/>
          <w:lang w:eastAsia="es-ES"/>
        </w:rPr>
        <w:t>, es decir, los esfuerzos son “</w:t>
      </w:r>
      <w:r w:rsidRPr="00F2605B">
        <w:rPr>
          <w:rFonts w:ascii="Times New Roman" w:eastAsia="Times New Roman" w:hAnsi="Times New Roman" w:cs="Times New Roman"/>
          <w:sz w:val="24"/>
          <w:szCs w:val="24"/>
          <w:lang w:eastAsia="es-ES"/>
        </w:rPr>
        <w:t>no iniciado” o en “desarrollo temprano”. Mientras tanto, para la “facilitación del comercio”, el “crimen internacional” y las “armas de destrucción masiva”, una gran mayoría percibió que los esfuerzos de mitigación de riesgos estaban “establecidos” o “efectivos”.</w:t>
      </w:r>
    </w:p>
    <w:p w:rsidR="00D93BCE" w:rsidRPr="00F2605B" w:rsidRDefault="00D93BCE" w:rsidP="00D93BCE">
      <w:pPr>
        <w:spacing w:before="100" w:beforeAutospacing="1" w:after="100" w:afterAutospacing="1" w:line="240" w:lineRule="auto"/>
        <w:jc w:val="both"/>
        <w:outlineLvl w:val="2"/>
        <w:rPr>
          <w:rFonts w:ascii="Times New Roman" w:eastAsia="Times New Roman" w:hAnsi="Times New Roman" w:cs="Times New Roman"/>
          <w:b/>
          <w:bCs/>
          <w:sz w:val="24"/>
          <w:szCs w:val="24"/>
          <w:lang w:eastAsia="es-ES"/>
        </w:rPr>
      </w:pPr>
      <w:r w:rsidRPr="00F2605B">
        <w:rPr>
          <w:rFonts w:ascii="Times New Roman" w:eastAsia="Times New Roman" w:hAnsi="Times New Roman" w:cs="Times New Roman"/>
          <w:b/>
          <w:bCs/>
          <w:sz w:val="24"/>
          <w:szCs w:val="24"/>
          <w:lang w:eastAsia="es-ES"/>
        </w:rPr>
        <w:t>Una recuperación económica divergente amenaza la colaboración en los desafíos globales</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 xml:space="preserve">Los desafíos económicos derivados de la pandemia persisten. Las perspectivas siguen siendo débiles: </w:t>
      </w:r>
      <w:r w:rsidRPr="004338BD">
        <w:rPr>
          <w:rFonts w:ascii="Times New Roman" w:eastAsia="Times New Roman" w:hAnsi="Times New Roman" w:cs="Times New Roman"/>
          <w:sz w:val="24"/>
          <w:szCs w:val="24"/>
          <w:u w:val="single"/>
          <w:lang w:eastAsia="es-ES"/>
        </w:rPr>
        <w:t>en el momento de redactar este informe, se esperaba que la economía mundial fuera un 2,3 % más pequeña para 2024 de lo que hubiera sido sin la pandemia. El aumento de los precios de las materias primas, la inflación y la deuda son riesgos emergentes</w:t>
      </w:r>
      <w:r w:rsidRPr="00F2605B">
        <w:rPr>
          <w:rFonts w:ascii="Times New Roman" w:eastAsia="Times New Roman" w:hAnsi="Times New Roman" w:cs="Times New Roman"/>
          <w:sz w:val="24"/>
          <w:szCs w:val="24"/>
          <w:lang w:eastAsia="es-ES"/>
        </w:rPr>
        <w:t>. Además, con otro aumento en los casos de COVID-19 hacia fines de 2021, la pandemia continúa sofocando la capacidad de los países para facilitar una recuperación sostenida.</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338BD">
        <w:rPr>
          <w:rFonts w:ascii="Times New Roman" w:eastAsia="Times New Roman" w:hAnsi="Times New Roman" w:cs="Times New Roman"/>
          <w:sz w:val="24"/>
          <w:szCs w:val="24"/>
          <w:u w:val="single"/>
          <w:lang w:eastAsia="es-ES"/>
        </w:rPr>
        <w:t>Las consecuencias económicas de la pandemia se están agravando con los desequilibrios del mercado laboral, el proteccionismo y la ampliación de las brechas digitales, educativas y de habilidades que corren el riesgo de dividir el mundo en trayectorias divergentes.</w:t>
      </w:r>
      <w:r w:rsidRPr="00F2605B">
        <w:rPr>
          <w:rFonts w:ascii="Times New Roman" w:eastAsia="Times New Roman" w:hAnsi="Times New Roman" w:cs="Times New Roman"/>
          <w:sz w:val="24"/>
          <w:szCs w:val="24"/>
          <w:lang w:eastAsia="es-ES"/>
        </w:rPr>
        <w:t> En algunos países, la rápida implementación de vacunas, las transformaciones digitales exitosas y las nuevas oportunidades de crecimiento podrían significar un regreso a las tendencias previas a la pandemia en el corto plazo y la posibilidad de una perspectiva más resistente en un horizonte más largo. Sin embargo, muchos otros países se verán frenados por las bajas tasas de vacunación, el continuo estrés agudo en los sistemas de salud, las brechas digitales y los mercados laborales estancados. Estas divergencias complicarán la colaboración internacional necesaria para abordar los impactos cada vez mayores del cambio climático, gestionar los flujos migratorios y combatir los riesgos cibernéticos peligrosos.</w:t>
      </w:r>
    </w:p>
    <w:p w:rsidR="00D93BCE" w:rsidRPr="004338BD" w:rsidRDefault="00D93BCE" w:rsidP="00D93BCE">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338BD">
        <w:rPr>
          <w:rFonts w:ascii="Times New Roman" w:eastAsia="Times New Roman" w:hAnsi="Times New Roman" w:cs="Times New Roman"/>
          <w:sz w:val="24"/>
          <w:szCs w:val="24"/>
          <w:u w:val="single"/>
          <w:lang w:eastAsia="es-ES"/>
        </w:rPr>
        <w:t>Las presiones internas a corto plazo dificultarán que los gobiernos se concentren en las prioridades a largo plazo y limitarán el capital político asignado a las preocupaciones globales</w:t>
      </w:r>
      <w:r w:rsidRPr="00F2605B">
        <w:rPr>
          <w:rFonts w:ascii="Times New Roman" w:eastAsia="Times New Roman" w:hAnsi="Times New Roman" w:cs="Times New Roman"/>
          <w:sz w:val="24"/>
          <w:szCs w:val="24"/>
          <w:lang w:eastAsia="es-ES"/>
        </w:rPr>
        <w:t>. </w:t>
      </w:r>
      <w:r w:rsidRPr="004338BD">
        <w:rPr>
          <w:rFonts w:ascii="Times New Roman" w:eastAsia="Times New Roman" w:hAnsi="Times New Roman" w:cs="Times New Roman"/>
          <w:sz w:val="24"/>
          <w:szCs w:val="24"/>
          <w:u w:val="single"/>
          <w:lang w:eastAsia="es-ES"/>
        </w:rPr>
        <w:t>La “erosión de la cohesión social” es una de las principales amenazas a corto plazo en 31 países, incluidos Argentina, Francia, Alemania, México y Sudáfrica del G20</w:t>
      </w:r>
      <w:r w:rsidRPr="00F2605B">
        <w:rPr>
          <w:rFonts w:ascii="Times New Roman" w:eastAsia="Times New Roman" w:hAnsi="Times New Roman" w:cs="Times New Roman"/>
          <w:sz w:val="24"/>
          <w:szCs w:val="24"/>
          <w:lang w:eastAsia="es-ES"/>
        </w:rPr>
        <w:t>. Ahora se espera que se amplíen las disparidades que ya eran un desafío para las sociedades: se prevé que 51 millones de personas más vivirán en la pobreza extrema en comparación con la tendencia anterior a la pandemia, a riesgo de aumentar la polarización y el resentimiento dentro de las sociedades. </w:t>
      </w:r>
      <w:r w:rsidRPr="004338BD">
        <w:rPr>
          <w:rFonts w:ascii="Times New Roman" w:eastAsia="Times New Roman" w:hAnsi="Times New Roman" w:cs="Times New Roman"/>
          <w:sz w:val="24"/>
          <w:szCs w:val="24"/>
          <w:u w:val="single"/>
          <w:lang w:eastAsia="es-ES"/>
        </w:rPr>
        <w:t>Al mismo tiempo, las presiones internas ponen en riesgo posturas de interés nacional más fuertes y fracturas cada vez mayores en la economía global que se producirán a expensas de la ayuda y la cooperación extranjeras.</w:t>
      </w:r>
    </w:p>
    <w:p w:rsidR="00D93BCE" w:rsidRPr="00F2605B" w:rsidRDefault="00D93BCE" w:rsidP="00D93BCE">
      <w:pPr>
        <w:spacing w:before="100" w:beforeAutospacing="1" w:after="100" w:afterAutospacing="1" w:line="240" w:lineRule="auto"/>
        <w:jc w:val="both"/>
        <w:outlineLvl w:val="2"/>
        <w:rPr>
          <w:rFonts w:ascii="Times New Roman" w:eastAsia="Times New Roman" w:hAnsi="Times New Roman" w:cs="Times New Roman"/>
          <w:b/>
          <w:bCs/>
          <w:sz w:val="24"/>
          <w:szCs w:val="24"/>
          <w:lang w:eastAsia="es-ES"/>
        </w:rPr>
      </w:pPr>
      <w:r w:rsidRPr="00F2605B">
        <w:rPr>
          <w:rFonts w:ascii="Times New Roman" w:eastAsia="Times New Roman" w:hAnsi="Times New Roman" w:cs="Times New Roman"/>
          <w:b/>
          <w:bCs/>
          <w:sz w:val="24"/>
          <w:szCs w:val="24"/>
          <w:lang w:eastAsia="es-ES"/>
        </w:rPr>
        <w:t>Una transición climática desordenada exacerbará las desigualdades</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338BD">
        <w:rPr>
          <w:rFonts w:ascii="Times New Roman" w:eastAsia="Times New Roman" w:hAnsi="Times New Roman" w:cs="Times New Roman"/>
          <w:sz w:val="24"/>
          <w:szCs w:val="24"/>
          <w:u w:val="single"/>
          <w:lang w:eastAsia="es-ES"/>
        </w:rPr>
        <w:t>Los encu</w:t>
      </w:r>
      <w:r>
        <w:rPr>
          <w:rFonts w:ascii="Times New Roman" w:eastAsia="Times New Roman" w:hAnsi="Times New Roman" w:cs="Times New Roman"/>
          <w:sz w:val="24"/>
          <w:szCs w:val="24"/>
          <w:u w:val="single"/>
          <w:lang w:eastAsia="es-ES"/>
        </w:rPr>
        <w:t>estados del GRPS clasifican el “fracaso de la acción climática”</w:t>
      </w:r>
      <w:r w:rsidRPr="004338BD">
        <w:rPr>
          <w:rFonts w:ascii="Times New Roman" w:eastAsia="Times New Roman" w:hAnsi="Times New Roman" w:cs="Times New Roman"/>
          <w:sz w:val="24"/>
          <w:szCs w:val="24"/>
          <w:u w:val="single"/>
          <w:lang w:eastAsia="es-ES"/>
        </w:rPr>
        <w:t xml:space="preserve"> como la principal amenaza a largo plazo para el mundo y el riesgo con los impactos potencialmente más graves durante la próxima década. El cambio climático ya se está manifestando rápidamente en </w:t>
      </w:r>
      <w:r w:rsidRPr="004338BD">
        <w:rPr>
          <w:rFonts w:ascii="Times New Roman" w:eastAsia="Times New Roman" w:hAnsi="Times New Roman" w:cs="Times New Roman"/>
          <w:sz w:val="24"/>
          <w:szCs w:val="24"/>
          <w:u w:val="single"/>
          <w:lang w:eastAsia="es-ES"/>
        </w:rPr>
        <w:lastRenderedPageBreak/>
        <w:t>forma de sequías, incendios, inundaciones, escasez de recursos y pérdida de especies, entre otros impactos</w:t>
      </w:r>
      <w:r w:rsidRPr="00F2605B">
        <w:rPr>
          <w:rFonts w:ascii="Times New Roman" w:eastAsia="Times New Roman" w:hAnsi="Times New Roman" w:cs="Times New Roman"/>
          <w:sz w:val="24"/>
          <w:szCs w:val="24"/>
          <w:lang w:eastAsia="es-ES"/>
        </w:rPr>
        <w:t>. En 2020, varias ciudades de todo el mundo experimentaron temperaturas extremas que no se habían visto en años, como un máximo histórico de 42,7 °C en Madrid y un mínimo de 72 años de -19 °C en Dallas, y regiones como el Círculo Polar Ártico han tenido un promedio de verano temperaturas 10°C más altas que en años anteriores. Los gobiernos, las empresas y las sociedades se enfrentan a una presión cada vez mayor para frustrar las peores consecuencias.</w:t>
      </w:r>
    </w:p>
    <w:p w:rsidR="00D93BCE" w:rsidRPr="00D70EF9" w:rsidRDefault="00D93BCE" w:rsidP="00D93BCE">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338BD">
        <w:rPr>
          <w:rFonts w:ascii="Times New Roman" w:eastAsia="Times New Roman" w:hAnsi="Times New Roman" w:cs="Times New Roman"/>
          <w:sz w:val="24"/>
          <w:szCs w:val="24"/>
          <w:u w:val="single"/>
          <w:lang w:eastAsia="es-ES"/>
        </w:rPr>
        <w:t>Dadas las complejidades del cambio tecnológico, económico y social a esta escala, y la naturaleza insuficiente de los compromisos actuales, es probable que cualquier transición que logre el objetivo de cero emisiones netas para 2050 sea desordenada</w:t>
      </w:r>
      <w:r w:rsidRPr="00F2605B">
        <w:rPr>
          <w:rFonts w:ascii="Times New Roman" w:eastAsia="Times New Roman" w:hAnsi="Times New Roman" w:cs="Times New Roman"/>
          <w:sz w:val="24"/>
          <w:szCs w:val="24"/>
          <w:lang w:eastAsia="es-ES"/>
        </w:rPr>
        <w:t xml:space="preserve">. Si bien los bloqueos de COVID-19 vieron una caída global en las emisiones de gases de efecto invernadero (GEI), pronto se reanudaron las trayectorias ascendentes: la tasa de emisión de GEI aumentó más rápido en 2020 que el promedio durante la última década. Los países que continúan por el camino de la dependencia de los sectores intensivos en carbono corren el riesgo de perder la ventaja competitiva a través de un mayor costo del carbono, menor resiliencia, incapacidad para mantenerse al día con la innovación tecnológica y un apalancamiento limitado en los acuerdos comerciales. Sin embargo, alejarse de las industrias intensivas en carbono, que actualmente </w:t>
      </w:r>
      <w:r w:rsidR="00297184" w:rsidRPr="00F2605B">
        <w:rPr>
          <w:rFonts w:ascii="Times New Roman" w:eastAsia="Times New Roman" w:hAnsi="Times New Roman" w:cs="Times New Roman"/>
          <w:sz w:val="24"/>
          <w:szCs w:val="24"/>
          <w:lang w:eastAsia="es-ES"/>
        </w:rPr>
        <w:t>emplea</w:t>
      </w:r>
      <w:r w:rsidRPr="00F2605B">
        <w:rPr>
          <w:rFonts w:ascii="Times New Roman" w:eastAsia="Times New Roman" w:hAnsi="Times New Roman" w:cs="Times New Roman"/>
          <w:sz w:val="24"/>
          <w:szCs w:val="24"/>
          <w:lang w:eastAsia="es-ES"/>
        </w:rPr>
        <w:t xml:space="preserve"> a millones de trabajadores, desencadenará volatilidad económica, profundizar el desempleo y aumentar las tensiones sociales y geopolíticas. La adopción de políticas ambientales apresuradas también podría tener consecuencias no deseadas para la naturaleza: aún existen muchos riesgos desconocidos derivados del despliegue de tecnologías biotécnicas y de geoingeniería no probadas. Y los mercados verdes mal regulados podrían crear monopolios, mientras que la falta de apoyo público para las transiciones en el uso de la tierra o los nuevos esquemas de precios</w:t>
      </w:r>
      <w:r>
        <w:rPr>
          <w:rFonts w:ascii="Times New Roman" w:eastAsia="Times New Roman" w:hAnsi="Times New Roman" w:cs="Times New Roman"/>
          <w:sz w:val="24"/>
          <w:szCs w:val="24"/>
          <w:lang w:eastAsia="es-ES"/>
        </w:rPr>
        <w:t>,</w:t>
      </w:r>
      <w:r w:rsidRPr="00F2605B">
        <w:rPr>
          <w:rFonts w:ascii="Times New Roman" w:eastAsia="Times New Roman" w:hAnsi="Times New Roman" w:cs="Times New Roman"/>
          <w:sz w:val="24"/>
          <w:szCs w:val="24"/>
          <w:lang w:eastAsia="es-ES"/>
        </w:rPr>
        <w:t xml:space="preserve"> podrían crear complicaciones políticas que retrasarían aún más la acción. </w:t>
      </w:r>
      <w:r w:rsidRPr="00D70EF9">
        <w:rPr>
          <w:rFonts w:ascii="Times New Roman" w:eastAsia="Times New Roman" w:hAnsi="Times New Roman" w:cs="Times New Roman"/>
          <w:sz w:val="24"/>
          <w:szCs w:val="24"/>
          <w:u w:val="single"/>
          <w:lang w:eastAsia="es-ES"/>
        </w:rPr>
        <w:t>Una transición que no tenga en cuenta las implicaciones sociales exacerbará las desigualdades dentro y entre países, aumentando las fricciones geopolíticas. Y los mercados verdes mal regulados podrían crear monopolios, mientras que la falta de apoyo público para las transiciones en el uso de la tierra o los nuevos esquemas de precios, podrían crear complicaciones políticas que retrasarían aún más la acción. Una transición que no tenga en cuenta las implicaciones sociales exacerbará las desigualdades dentro y entre países, aumentando las fricciones geopolíticas. Y los mercados verdes mal regulados podrían crear monopolios, mientras que la falta de apoyo público para las transiciones en el uso de la tierra o los nuevos esquemas de precios, podrían crear complicaciones políticas que retrasarían aún más la acción. Una transición que no tenga en cuenta las implicaciones sociales exacerbará las desigualdades dentro y entre países, aumentando las fricciones geopolíticas.</w:t>
      </w:r>
    </w:p>
    <w:p w:rsidR="00D93BCE" w:rsidRPr="00F2605B" w:rsidRDefault="00D93BCE" w:rsidP="00D93BCE">
      <w:pPr>
        <w:spacing w:before="100" w:beforeAutospacing="1" w:after="100" w:afterAutospacing="1" w:line="240" w:lineRule="auto"/>
        <w:jc w:val="both"/>
        <w:outlineLvl w:val="2"/>
        <w:rPr>
          <w:rFonts w:ascii="Times New Roman" w:eastAsia="Times New Roman" w:hAnsi="Times New Roman" w:cs="Times New Roman"/>
          <w:b/>
          <w:bCs/>
          <w:sz w:val="24"/>
          <w:szCs w:val="24"/>
          <w:lang w:eastAsia="es-ES"/>
        </w:rPr>
      </w:pPr>
      <w:r w:rsidRPr="00F2605B">
        <w:rPr>
          <w:rFonts w:ascii="Times New Roman" w:eastAsia="Times New Roman" w:hAnsi="Times New Roman" w:cs="Times New Roman"/>
          <w:b/>
          <w:bCs/>
          <w:sz w:val="24"/>
          <w:szCs w:val="24"/>
          <w:lang w:eastAsia="es-ES"/>
        </w:rPr>
        <w:t>La creciente dependencia digital intensificará las ciberamenazas</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La creciente dependencia de los sistemas digitales, intensificada por el COVID-19, ha alterado las sociedades. En los últimos 18 meses, las industrias han experimentado una rápida digitalización, los trabajadores se han pasado al trabajo remoto siempre que ha sido posible y han proliferado las plataformas y los dispositivos que facilitan este cambio. Al mismo tiempo, las amenazas a la ciberseguridad están creciendo (en 2020, los ataques de malware y ransomware aumentaron un 358 % y un 435 % respectivamente) y están superando la capacidad de las sociedades para prevenirlos o responder a ellos de manera efectiva. Las barreras de entrada más bajas para los actores de ciberamenazas, los métodos de ataque más agresivos, la escasez de profesionales de ciberseguridad y los mecanismos de gobernanza fragmentados están agravando el riesgo.</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70EF9">
        <w:rPr>
          <w:rFonts w:ascii="Times New Roman" w:eastAsia="Times New Roman" w:hAnsi="Times New Roman" w:cs="Times New Roman"/>
          <w:sz w:val="24"/>
          <w:szCs w:val="24"/>
          <w:u w:val="single"/>
          <w:lang w:eastAsia="es-ES"/>
        </w:rPr>
        <w:lastRenderedPageBreak/>
        <w:t>Los ataques a sistemas grandes y estratégicos tendrán consecuencias físicas en cascada en todas las sociedades, mientras que la prevención inevitablemente implicará costos más altos. Los riesgos intangibles, como la desinformación, el fraude y la falta de seguridad digital, también afectarán la confianza pública en los sistemas digitales. Las amenazas cibernéticas mayores también corren el riesgo de separar a los estados si los gobiernos continúan siguiendo caminos unilaterales para controlar los riesgos.</w:t>
      </w:r>
      <w:r w:rsidRPr="00F2605B">
        <w:rPr>
          <w:rFonts w:ascii="Times New Roman" w:eastAsia="Times New Roman" w:hAnsi="Times New Roman" w:cs="Times New Roman"/>
          <w:sz w:val="24"/>
          <w:szCs w:val="24"/>
          <w:lang w:eastAsia="es-ES"/>
        </w:rPr>
        <w:t> A medida que los ataques se vuelvan más severos y tengan un impacto amplio, las tensiones ya agudas entre los gobiernos afectados por el delito cibernético y los gobiernos cómplices en su comisión aumentarán a medida que la seguridad cibernética se convierta en otra cuña para la divergencia, en lugar de la cooperación, entre los estados-nación.</w:t>
      </w:r>
    </w:p>
    <w:p w:rsidR="00D93BCE" w:rsidRPr="00F2605B" w:rsidRDefault="00D93BCE" w:rsidP="00D93BCE">
      <w:pPr>
        <w:spacing w:before="100" w:beforeAutospacing="1" w:after="100" w:afterAutospacing="1" w:line="240" w:lineRule="auto"/>
        <w:jc w:val="both"/>
        <w:outlineLvl w:val="2"/>
        <w:rPr>
          <w:rFonts w:ascii="Times New Roman" w:eastAsia="Times New Roman" w:hAnsi="Times New Roman" w:cs="Times New Roman"/>
          <w:b/>
          <w:bCs/>
          <w:sz w:val="24"/>
          <w:szCs w:val="24"/>
          <w:lang w:eastAsia="es-ES"/>
        </w:rPr>
      </w:pPr>
      <w:r w:rsidRPr="00F2605B">
        <w:rPr>
          <w:rFonts w:ascii="Times New Roman" w:eastAsia="Times New Roman" w:hAnsi="Times New Roman" w:cs="Times New Roman"/>
          <w:b/>
          <w:bCs/>
          <w:sz w:val="24"/>
          <w:szCs w:val="24"/>
          <w:lang w:eastAsia="es-ES"/>
        </w:rPr>
        <w:t>Las barreras a la movilidad aumentan el riesgo de inseguridad mundial</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70EF9">
        <w:rPr>
          <w:rFonts w:ascii="Times New Roman" w:eastAsia="Times New Roman" w:hAnsi="Times New Roman" w:cs="Times New Roman"/>
          <w:sz w:val="24"/>
          <w:szCs w:val="24"/>
          <w:u w:val="single"/>
          <w:lang w:eastAsia="es-ES"/>
        </w:rPr>
        <w:t>La creciente inseguridad resultante de las dificultades económicas, la intensificación de los impactos del cambio climático y la inestabilidad política ya están obligando a millones de personas a abandonar sus hogares en busca de un futuro mejor en el extranjero. La “migración involuntaria” es una de las principales preocupaciones a largo plazo para los encuestados de GRPS</w:t>
      </w:r>
      <w:r w:rsidRPr="00F2605B">
        <w:rPr>
          <w:rFonts w:ascii="Times New Roman" w:eastAsia="Times New Roman" w:hAnsi="Times New Roman" w:cs="Times New Roman"/>
          <w:sz w:val="24"/>
          <w:szCs w:val="24"/>
          <w:lang w:eastAsia="es-ES"/>
        </w:rPr>
        <w:t>, mientras que el 60 % de ellos considera que la “migración y los refugiados” es un área en la que los esfuerzos internacionales de mitigación “no han comenzado” o se encuentran en un “desarrollo temprano”. </w:t>
      </w:r>
      <w:r w:rsidRPr="00D70EF9">
        <w:rPr>
          <w:rFonts w:ascii="Times New Roman" w:eastAsia="Times New Roman" w:hAnsi="Times New Roman" w:cs="Times New Roman"/>
          <w:sz w:val="24"/>
          <w:szCs w:val="24"/>
          <w:u w:val="single"/>
          <w:lang w:eastAsia="es-ES"/>
        </w:rPr>
        <w:t>En 2020, hubo más de 34 millones de personas desplazadas en el extranjero en todo el mundo solo por conflictos, un máximo histórico</w:t>
      </w:r>
      <w:r w:rsidRPr="00F2605B">
        <w:rPr>
          <w:rFonts w:ascii="Times New Roman" w:eastAsia="Times New Roman" w:hAnsi="Times New Roman" w:cs="Times New Roman"/>
          <w:sz w:val="24"/>
          <w:szCs w:val="24"/>
          <w:lang w:eastAsia="es-ES"/>
        </w:rPr>
        <w:t>. Sin embargo, en muchos países, los efectos persistentes de la pandemia, el aumento del proteccionismo económico y la nueva dinámica del mercado laboral están generando mayores barreras de entrada para los migrantes que podrían buscar oportunidades o refugio.</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 xml:space="preserve">Estas mayores barreras a la migración y su efecto indirecto sobre las remesas, un salvavidas crítico para algunos países en desarrollo, corren el riesgo de impedir un camino potencial para restaurar los medios de vida, mantener la estabilidad política y cerrar las brechas laborales y de ingresos. En el momento de escribir este artículo, Estados Unidos se enfrentaba a más de 11 millones de puestos de trabajo vacantes en general y la Unión </w:t>
      </w:r>
      <w:r>
        <w:rPr>
          <w:rFonts w:ascii="Times New Roman" w:eastAsia="Times New Roman" w:hAnsi="Times New Roman" w:cs="Times New Roman"/>
          <w:sz w:val="24"/>
          <w:szCs w:val="24"/>
          <w:lang w:eastAsia="es-ES"/>
        </w:rPr>
        <w:t>Europea tenía un déficit de 400.</w:t>
      </w:r>
      <w:r w:rsidRPr="00F2605B">
        <w:rPr>
          <w:rFonts w:ascii="Times New Roman" w:eastAsia="Times New Roman" w:hAnsi="Times New Roman" w:cs="Times New Roman"/>
          <w:sz w:val="24"/>
          <w:szCs w:val="24"/>
          <w:lang w:eastAsia="es-ES"/>
        </w:rPr>
        <w:t>000 conductores solo en la industria del transporte por carretera. En los casos más extremos, las crisis humanitarias se agravarán ya que los grupos vulnerables no tendrán más remedio que emprender viajes más peligrosos. En 2021, 4.800 migrantes, entre familias y niños, fallecieron o desaparecieron durante el viaje. Las presiones migratorias también exacerbarán las tensiones internacionales, ya que se utiliza cada vez más como instrumento geopolítico.</w:t>
      </w:r>
    </w:p>
    <w:p w:rsidR="00D93BCE" w:rsidRPr="00F2605B" w:rsidRDefault="00D93BCE" w:rsidP="00D93BCE">
      <w:pPr>
        <w:spacing w:before="100" w:beforeAutospacing="1" w:after="100" w:afterAutospacing="1" w:line="240" w:lineRule="auto"/>
        <w:jc w:val="both"/>
        <w:outlineLvl w:val="2"/>
        <w:rPr>
          <w:rFonts w:ascii="Times New Roman" w:eastAsia="Times New Roman" w:hAnsi="Times New Roman" w:cs="Times New Roman"/>
          <w:b/>
          <w:bCs/>
          <w:sz w:val="24"/>
          <w:szCs w:val="24"/>
          <w:lang w:eastAsia="es-ES"/>
        </w:rPr>
      </w:pPr>
      <w:r w:rsidRPr="00F2605B">
        <w:rPr>
          <w:rFonts w:ascii="Times New Roman" w:eastAsia="Times New Roman" w:hAnsi="Times New Roman" w:cs="Times New Roman"/>
          <w:b/>
          <w:bCs/>
          <w:sz w:val="24"/>
          <w:szCs w:val="24"/>
          <w:lang w:eastAsia="es-ES"/>
        </w:rPr>
        <w:t>Las oportunidades en el espacio podrían verse limitadas por fricciones</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Si bien los humanos han estado explorando el espacio durante décadas, los últimos años han sido testigos de una mayor actividad, no solo creando nuevas oportunidades sino también señalando un reino emergente de riesgo, particularmente con la creciente militarización y armamento en la arena. Los nuevos participantes en el mercado de satélites comerciales están alterando la influencia tradicional de los titulares sobre los bienes comunes del espacio mundial en la prestación de servicios por satélite, en particular las comunicaciones relacionadas con Internet. Un mayor número y variedad de actores que operan en el espacio podría generar fricciones si la exploración y explotación del espacio no se gestiona de manera responsable. Con una gobernanza global limitada y obsoleta para regular el espacio junto con políticas divergentes a nivel nacional, los riesgos se están intensificando.</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lastRenderedPageBreak/>
        <w:t>Una consecuencia de la actividad espacial acelerada es un mayor riesgo de colisiones, lo que podría provocar una proliferación de desechos espaciales e impactar en las órbitas que albergan infraestructura para sistemas clave en la Tierra, dañar equipos espaciales valiosos o provocar tensiones internacionales. Las herramientas de gobernanza limitadas aumentan la probabilidad de que la actividad espacial aumente las tensiones geopolíticas, y las recientes pruebas de armas en el espacio subrayan tales riesgos. El aumento de la actividad espacial también podría generar impactos ambientales desconocidos o aumentar los costos de los bienes públicos, como el monitoreo del clima o la vigilancia del cambio climático.</w:t>
      </w:r>
    </w:p>
    <w:p w:rsidR="00D93BCE" w:rsidRPr="00F2605B" w:rsidRDefault="00D93BCE" w:rsidP="00D93BCE">
      <w:pPr>
        <w:spacing w:before="100" w:beforeAutospacing="1" w:after="100" w:afterAutospacing="1" w:line="240" w:lineRule="auto"/>
        <w:jc w:val="both"/>
        <w:outlineLvl w:val="2"/>
        <w:rPr>
          <w:rFonts w:ascii="Times New Roman" w:eastAsia="Times New Roman" w:hAnsi="Times New Roman" w:cs="Times New Roman"/>
          <w:b/>
          <w:bCs/>
          <w:sz w:val="24"/>
          <w:szCs w:val="24"/>
          <w:lang w:eastAsia="es-ES"/>
        </w:rPr>
      </w:pPr>
      <w:r w:rsidRPr="00F2605B">
        <w:rPr>
          <w:rFonts w:ascii="Times New Roman" w:eastAsia="Times New Roman" w:hAnsi="Times New Roman" w:cs="Times New Roman"/>
          <w:b/>
          <w:bCs/>
          <w:sz w:val="24"/>
          <w:szCs w:val="24"/>
          <w:lang w:eastAsia="es-ES"/>
        </w:rPr>
        <w:t>El segundo año de la pandemia arroja información sobre la resiliencia</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En 2021, los países implementaron nuevos mecanismos para responder a una crisis de salud pública con características cambiantes, lo que condujo tanto a éxitos como a fracasos. Dos factores interrelacionados fueron fundamentales para la gestión eficaz de la pandemia: primero, la disposición de los gobiernos para ajustar y modificar las estrategias de respuesta según las circunstancias cambiantes; y segundo, su capacidad para mantener la confianza de la sociedad a través de decisiones basadas en principios y una comunicación eficaz.</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Reflexionar sobre los distintos objetivos de resiliencia de los gobiernos, las empresas y las comunidades ayudará a garantizar que las agendas estén alineadas para lograr un enfoque de toda la sociedad para abordar los riesgos críticos de cualquier naturaleza. Para los gobiernos, el equilibrio de costos, la regulación para la resiliencia y el ajuste de los acuerdos de intercambio de datos para garantizar una gestión de crisis más precisa son clave para impulsar una interacción más sólida entre los sectores público y privado. Las empresas, al reconocer que una mejor preparación a nivel nacional es fundamental para planificar, invertir y ejecutar sus estrategias, pueden aprovechar las oportunidades en áreas como las cadenas de suministro, los códigos de conducta dentro de su industria y la inclusión de una dimensión de resiliencia en las ofertas de beneficios para la fuerza laboral.</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Las comunidades pueden ayudar a los gobiernos locales a unirse a los esfuerzos nacionales, mejorar la comunicación y apoyar los esfuerzos de resiliencia de base. A nivel organizacional, estrategias como basar los análisis de resiliencia en resultados clave de entrega, apreciar las vulnerabilidades sistémicas y adoptar una diversidad de enfoques también pueden ayudar a los líderes a desarrollar una mejor resiliencia.</w:t>
      </w:r>
    </w:p>
    <w:p w:rsidR="00D93BCE" w:rsidRPr="00F2605B" w:rsidRDefault="00D93BCE" w:rsidP="00D93BCE">
      <w:pPr>
        <w:pStyle w:val="Ttulo1"/>
        <w:spacing w:before="0" w:beforeAutospacing="0" w:after="161" w:afterAutospacing="0"/>
        <w:jc w:val="both"/>
        <w:rPr>
          <w:sz w:val="24"/>
          <w:szCs w:val="24"/>
        </w:rPr>
      </w:pPr>
      <w:r w:rsidRPr="00F2605B">
        <w:rPr>
          <w:sz w:val="24"/>
          <w:szCs w:val="24"/>
        </w:rPr>
        <w:t>Capítulo 1. Riesgos globales 2022: Mundos aparte</w:t>
      </w:r>
    </w:p>
    <w:p w:rsidR="00D93BCE" w:rsidRPr="00F2605B" w:rsidRDefault="00D93BCE" w:rsidP="00D93BCE">
      <w:pPr>
        <w:pStyle w:val="Ttulo3"/>
        <w:jc w:val="both"/>
        <w:rPr>
          <w:sz w:val="24"/>
          <w:szCs w:val="24"/>
        </w:rPr>
      </w:pPr>
      <w:r w:rsidRPr="00F2605B">
        <w:rPr>
          <w:sz w:val="24"/>
          <w:szCs w:val="24"/>
        </w:rPr>
        <w:t>Una recuperación divergente</w:t>
      </w:r>
    </w:p>
    <w:p w:rsidR="00D93BCE" w:rsidRPr="00F2605B" w:rsidRDefault="00D93BCE" w:rsidP="00D93BCE">
      <w:pPr>
        <w:pStyle w:val="NormalWeb"/>
        <w:spacing w:before="0" w:beforeAutospacing="0"/>
        <w:jc w:val="both"/>
      </w:pPr>
      <w:r w:rsidRPr="00F2605B">
        <w:t>A principios de 2022, la crisis de la COVID-19 sigue en curso y se siguen sintiendo sus altibajos económicos. Las disparidades en el progreso de la vacunación están creando una recuperación económica divergente que corre el riesgo de agravar las divisiones sociales y las tensiones geopolíticas preexistentes. Estas tensiones y la sobrecarga económica de la pandemia dificultarán garantizar un enfoque coordinado y lo suficientemente rápido para los desafíos globales, en particular el cambio climático.</w:t>
      </w:r>
    </w:p>
    <w:p w:rsidR="00D93BCE" w:rsidRPr="00D70EF9" w:rsidRDefault="00D93BCE" w:rsidP="00D93BCE">
      <w:pPr>
        <w:pStyle w:val="NormalWeb"/>
        <w:jc w:val="both"/>
        <w:rPr>
          <w:u w:val="single"/>
        </w:rPr>
      </w:pPr>
      <w:r w:rsidRPr="00F2605B">
        <w:t>La vacunación y la digitalización acelerada han permitido que algunos países se recuperen rápidamente de la crisis económica creada por la pandemia de COVID-19, pero muchos otros aún luchan por evitar las peores consecuencias. Al momento de escribir este artículo, la mitad de la población mundial aún no estaba vacunada,</w:t>
      </w:r>
      <w:r>
        <w:t xml:space="preserve"> </w:t>
      </w:r>
      <w:r w:rsidRPr="00F2605B">
        <w:t>40% permaneció fuera de línea,</w:t>
      </w:r>
      <w:r>
        <w:rPr>
          <w:b/>
          <w:bCs/>
          <w:vertAlign w:val="superscript"/>
        </w:rPr>
        <w:t xml:space="preserve"> </w:t>
      </w:r>
      <w:r w:rsidRPr="00F2605B">
        <w:t xml:space="preserve">y solo el </w:t>
      </w:r>
      <w:r w:rsidRPr="00F2605B">
        <w:lastRenderedPageBreak/>
        <w:t>35% de los estudiantes del mundo vivían en países donde las escuelas están completamente abiertas.</w:t>
      </w:r>
      <w:r>
        <w:rPr>
          <w:b/>
          <w:bCs/>
          <w:vertAlign w:val="superscript"/>
        </w:rPr>
        <w:t xml:space="preserve"> </w:t>
      </w:r>
      <w:r w:rsidRPr="00D70EF9">
        <w:rPr>
          <w:u w:val="single"/>
        </w:rPr>
        <w:t>Alrededor del 37 % de los encuestados en la Encuesta de Percepción de Riesgo Global (GRPS) de este año cree que el mundo seguirá una trayectoria fracturada en el mediano plazo</w:t>
      </w:r>
      <w:r>
        <w:rPr>
          <w:u w:val="single"/>
        </w:rPr>
        <w:t>, separando cada vez más a los “ganadores” relativos de los “perdedores”</w:t>
      </w:r>
      <w:r w:rsidRPr="00D70EF9">
        <w:rPr>
          <w:u w:val="single"/>
        </w:rPr>
        <w:t xml:space="preserve"> de la crisis de COVID-19 (ver Figura 1.1). Cuando se llevó a cabo la GRPS (consulte las Notas técnicas en el Apéndice C), solo el 11 % creía que la recuperación mundial se aceleraría en los próximos tres años.</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033E4D80" wp14:editId="082FEAF0">
            <wp:extent cx="5689600" cy="3810000"/>
            <wp:effectExtent l="0" t="0" r="6350" b="0"/>
            <wp:docPr id="8" name="Imagen 8" descr="Encuesta Global de Percepción de Riesgos (GRPS), perspectivas para el mundo en los próximos 3 años - Informe de Riesgos Globales 2022">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cuesta Global de Percepción de Riesgos (GRPS), perspectivas para el mundo en los próximos 3 años - Informe de Riesgos Globales 2022">
                      <a:hlinkClick r:id="rId86"/>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89600" cy="3810000"/>
                    </a:xfrm>
                    <a:prstGeom prst="rect">
                      <a:avLst/>
                    </a:prstGeom>
                    <a:noFill/>
                    <a:ln>
                      <a:noFill/>
                    </a:ln>
                  </pic:spPr>
                </pic:pic>
              </a:graphicData>
            </a:graphic>
          </wp:inline>
        </w:drawing>
      </w:r>
    </w:p>
    <w:p w:rsidR="00D93BCE" w:rsidRPr="00D70EF9" w:rsidRDefault="00D93BCE" w:rsidP="00D93BCE">
      <w:pPr>
        <w:pStyle w:val="NormalWeb"/>
        <w:jc w:val="both"/>
        <w:rPr>
          <w:u w:val="single"/>
        </w:rPr>
      </w:pPr>
      <w:r w:rsidRPr="00D70EF9">
        <w:rPr>
          <w:u w:val="single"/>
        </w:rPr>
        <w:t>Fracturas económicas, geopolíticas, de salud pública y sociales, que aumentan después de las pandemias</w:t>
      </w:r>
      <w:r w:rsidRPr="00D70EF9">
        <w:rPr>
          <w:b/>
          <w:bCs/>
          <w:u w:val="single"/>
          <w:vertAlign w:val="superscript"/>
        </w:rPr>
        <w:t xml:space="preserve"> </w:t>
      </w:r>
      <w:r w:rsidRPr="00D70EF9">
        <w:rPr>
          <w:u w:val="single"/>
        </w:rPr>
        <w:t>-riesgo que conduce a enfoques divergentes y retrasados ​​de los desafíos críticos que enfrentan las personas y el planeta: acelerar la transición verde en respuesta al cambio climático (ver capítulo 2), coordinarse contra vulnerabilidades digitales aumentadas (ver capítulo 3), gestionar la movilidad y la migración (ver capítulo 4), y salvaguardar el próximo bien común global: el espacio (ver Capítulo 5).</w:t>
      </w:r>
    </w:p>
    <w:p w:rsidR="00D93BCE" w:rsidRPr="00D70EF9" w:rsidRDefault="00D93BCE" w:rsidP="00D93BCE">
      <w:pPr>
        <w:pStyle w:val="NormalWeb"/>
        <w:jc w:val="both"/>
        <w:rPr>
          <w:u w:val="single"/>
        </w:rPr>
      </w:pPr>
      <w:r w:rsidRPr="00D70EF9">
        <w:rPr>
          <w:u w:val="single"/>
        </w:rPr>
        <w:t>La acción nacional e internacional eficaz sobre estos desafíos depende de restaurar la confianza dentro de las sociedades, galvanizar a los líderes nacionales y mundiales y encontrar nuevas oportunidades de colaboración (consulte el Capítulo 6). El 84% de los encuestados de GRPS estaban preocupados o preocupados por las perspectivas del mundo (ver Figura 1.2); la falta de optimismo podría crear un círculo vicioso de desilusión y malestar social.</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3154BEF3" wp14:editId="1B2E3EDF">
            <wp:extent cx="5727700" cy="2374900"/>
            <wp:effectExtent l="0" t="0" r="6350" b="6350"/>
            <wp:docPr id="7" name="Imagen 7" descr="Encuesta Global de Percepción de Riesgos (GRPS), cómo se siente acerca de las perspectivas para el mundo - Informe de Riesgos Globales 2022">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ncuesta Global de Percepción de Riesgos (GRPS), cómo se siente acerca de las perspectivas para el mundo - Informe de Riesgos Globales 2022">
                      <a:hlinkClick r:id="rId86"/>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27700" cy="2374900"/>
                    </a:xfrm>
                    <a:prstGeom prst="rect">
                      <a:avLst/>
                    </a:prstGeom>
                    <a:noFill/>
                    <a:ln>
                      <a:noFill/>
                    </a:ln>
                  </pic:spPr>
                </pic:pic>
              </a:graphicData>
            </a:graphic>
          </wp:inline>
        </w:drawing>
      </w:r>
    </w:p>
    <w:p w:rsidR="00D93BCE" w:rsidRPr="00F2605B" w:rsidRDefault="00D93BCE" w:rsidP="00D93BCE">
      <w:pPr>
        <w:pStyle w:val="Ttulo3"/>
        <w:jc w:val="both"/>
        <w:rPr>
          <w:sz w:val="24"/>
          <w:szCs w:val="24"/>
        </w:rPr>
      </w:pPr>
      <w:r w:rsidRPr="00F2605B">
        <w:rPr>
          <w:sz w:val="24"/>
          <w:szCs w:val="24"/>
        </w:rPr>
        <w:t>Un contexto mundial turbulento</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La pandemia persiste</w:t>
      </w:r>
    </w:p>
    <w:p w:rsidR="00D93BCE" w:rsidRPr="00F2605B" w:rsidRDefault="00D93BCE" w:rsidP="00D93BCE">
      <w:pPr>
        <w:pStyle w:val="NormalWeb"/>
        <w:jc w:val="both"/>
      </w:pPr>
      <w:r w:rsidRPr="00F2605B">
        <w:t>El mundo sigue lidiando con los efectos del COVID-19 en la salud</w:t>
      </w:r>
      <w:r>
        <w:t xml:space="preserve"> pública. A principios de 2022, </w:t>
      </w:r>
      <w:r w:rsidRPr="00F2605B">
        <w:t>se habían informado 5 millones de muertes por COVID-19 en todo el mundo, de los 282 millones de casos confirmados.</w:t>
      </w:r>
      <w:r>
        <w:rPr>
          <w:b/>
          <w:bCs/>
          <w:vertAlign w:val="superscript"/>
        </w:rPr>
        <w:t xml:space="preserve"> </w:t>
      </w:r>
      <w:r w:rsidRPr="00F2605B">
        <w:t>Además, una proporción significativa de las personas infectadas por COVID-19 tienen síntomas duraderos: alrededor del 10 % presenta problemas de salud persistentes 12 semanas después de haber contraído la enfermedad.</w:t>
      </w:r>
      <w:r>
        <w:rPr>
          <w:b/>
          <w:bCs/>
          <w:vertAlign w:val="superscript"/>
        </w:rPr>
        <w:t xml:space="preserve"> </w:t>
      </w:r>
      <w:r w:rsidRPr="00F2605B">
        <w:t>La vacunación contra la COVID-19 ha progresado de manera constante pero desigual en todo el mundo. Al momento de escribir este artículo, 50 países habían vacunado a más del 70% de su población,</w:t>
      </w:r>
      <w:r>
        <w:rPr>
          <w:b/>
          <w:bCs/>
          <w:vertAlign w:val="superscript"/>
        </w:rPr>
        <w:t xml:space="preserve"> </w:t>
      </w:r>
      <w:r w:rsidRPr="00F2605B">
        <w:t>algunos ahora comienzan a recibir vacunas de refuerzo, mientras que la tasa de vacunación en los 52 países más pobres, hogar del 20% de la población mundial, todavía era solo del 6%.</w:t>
      </w:r>
      <w:r>
        <w:rPr>
          <w:b/>
          <w:bCs/>
          <w:vertAlign w:val="superscript"/>
        </w:rPr>
        <w:t xml:space="preserve"> </w:t>
      </w:r>
      <w:r w:rsidRPr="00F2605B">
        <w:t>Variantes potencialmente más infecciosas del virus, en particular la nueva variante Omicron, junto con la disminución de la inmunidad entre los vacunados y una alta proporción continua de personas que no están vacunadas significaron que la cantidad de casos nuevos aumentó nuevamente hacia fines de 2021.</w:t>
      </w:r>
      <w:r>
        <w:rPr>
          <w:b/>
          <w:bCs/>
          <w:vertAlign w:val="superscript"/>
        </w:rPr>
        <w:t xml:space="preserve"> </w:t>
      </w:r>
      <w:r>
        <w:t>Como era de esperar, las “enfermedades infecciosas”</w:t>
      </w:r>
      <w:r w:rsidRPr="00F2605B">
        <w:t xml:space="preserve"> todavía se consideran una amenaza crítica a corto plazo para el mundo en el GRPS.</w:t>
      </w:r>
    </w:p>
    <w:p w:rsidR="00D93BCE" w:rsidRPr="00F2605B" w:rsidRDefault="00D93BCE" w:rsidP="00D93BCE">
      <w:pPr>
        <w:pStyle w:val="NormalWeb"/>
        <w:jc w:val="both"/>
      </w:pPr>
      <w:r w:rsidRPr="00F2605B">
        <w:t>La crisis de la COVID-19 también ha tenido amplios impactos colaterales en la salud, en parte porque se dejó de priorizar otras enfermedades. La pandemia provocó 53 millones de casos adicionales de depresión mayor en todo el mundo.</w:t>
      </w:r>
      <w:r>
        <w:rPr>
          <w:b/>
          <w:bCs/>
          <w:vertAlign w:val="superscript"/>
        </w:rPr>
        <w:t xml:space="preserve"> </w:t>
      </w:r>
      <w:r>
        <w:t>El “deterioro de la salud mental”</w:t>
      </w:r>
      <w:r w:rsidRPr="00F2605B">
        <w:t xml:space="preserve"> fue uno de los cinco principales riesgos que los encuestados de GRPS 21 consideraron que se había deteriorado más durante el COVID-19. Las enfermedades no transmisibles, que causan 41 millones de muertes cada año, principalmente en países de ingresos bajos y medianos, también han empeorado en todo el mundo debido a los retrasos en el tratamiento causados ​​por la COVID-19.</w:t>
      </w:r>
      <w:r>
        <w:rPr>
          <w:b/>
          <w:bCs/>
          <w:vertAlign w:val="superscript"/>
        </w:rPr>
        <w:t xml:space="preserve"> </w:t>
      </w:r>
      <w:r w:rsidRPr="00F2605B">
        <w:t>La resistencia a los antimicrobianos causó casi 2 millones de muertes en 2020 y esta cifra puede aumentar, en particular para la malaria y la tuberculosis, debido al uso inadecuado de antibióticos para tratar la COVID-19.</w:t>
      </w:r>
      <w:r>
        <w:rPr>
          <w:b/>
          <w:bCs/>
          <w:vertAlign w:val="superscript"/>
        </w:rPr>
        <w:t xml:space="preserve"> </w:t>
      </w:r>
      <w:r w:rsidRPr="00F2605B">
        <w:t>La pandemia y sus impactos colaterales en la salud continuarán ejerciendo presión sobre los sistemas de salud en todo el mundo, ampliando las desigualdades en salud entre y dentro de los países, creando fricciones sociales y lastrando el potencial de crecimiento económico a largo plazo.</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lastRenderedPageBreak/>
        <w:t>Riesgos para la recuperación económica</w:t>
      </w:r>
    </w:p>
    <w:p w:rsidR="00D93BCE" w:rsidRPr="00F2605B" w:rsidRDefault="00D93BCE" w:rsidP="00D93BCE">
      <w:pPr>
        <w:pStyle w:val="NormalWeb"/>
        <w:jc w:val="both"/>
      </w:pPr>
      <w:r w:rsidRPr="00F2605B">
        <w:t>La recuperación económica mundial de la recesión causada por las respuestas a la pandemia de COVID-19 continúa, pero se está desacelerando. Después de una contracción del 3,1 % en 2020, se espera que el crecimiento económico mundial alcance el 5,9 % en 2021 y se desacelere hasta el 4,9 % en 2022.</w:t>
      </w:r>
      <w:r>
        <w:rPr>
          <w:b/>
          <w:bCs/>
          <w:vertAlign w:val="superscript"/>
        </w:rPr>
        <w:t xml:space="preserve"> </w:t>
      </w:r>
      <w:r w:rsidRPr="00F2605B">
        <w:t>Para 2024, se prevé que la economía mundial sea un 2,3 % más pequeña de lo que hubiera sido sin la pandemia.</w:t>
      </w:r>
      <w:r>
        <w:rPr>
          <w:b/>
          <w:bCs/>
          <w:vertAlign w:val="superscript"/>
        </w:rPr>
        <w:t xml:space="preserve"> </w:t>
      </w:r>
      <w:r w:rsidRPr="00F2605B">
        <w:t>Los riesgos para el crecimiento económico son considerables, incluidos los riesgos de un posible resurgimiento de la COVID-19 a medida que surgen nuevas variantes. </w:t>
      </w:r>
      <w:r w:rsidRPr="00E8697A">
        <w:rPr>
          <w:u w:val="single"/>
        </w:rPr>
        <w:t>La edición a</w:t>
      </w:r>
      <w:r>
        <w:rPr>
          <w:u w:val="single"/>
        </w:rPr>
        <w:t>nterior de GRPS identificó los “shocks de los productos básicos”, la “inestabilidad de los precios” y las “crisis de la deuda”</w:t>
      </w:r>
      <w:r w:rsidRPr="00E8697A">
        <w:rPr>
          <w:u w:val="single"/>
        </w:rPr>
        <w:t xml:space="preserve"> como preocupaciones críticas a mediano plazo</w:t>
      </w:r>
      <w:r w:rsidRPr="00F2605B">
        <w:t>. Estos ya están surgiendo en cierta medida. En el momento de escribir este artículo, los precios de las materias primas habían aumentado casi un 30 % desde principios de 2021;</w:t>
      </w:r>
      <w:r>
        <w:rPr>
          <w:b/>
          <w:bCs/>
          <w:vertAlign w:val="superscript"/>
        </w:rPr>
        <w:t xml:space="preserve"> </w:t>
      </w:r>
      <w:r w:rsidRPr="00F2605B">
        <w:t>podrían seguir siendo volátiles debido a las crecientes tensiones entre Europa y Rusia, la escasez de energía de China,</w:t>
      </w:r>
      <w:r>
        <w:rPr>
          <w:b/>
          <w:bCs/>
          <w:vertAlign w:val="superscript"/>
        </w:rPr>
        <w:t xml:space="preserve"> </w:t>
      </w:r>
      <w:r w:rsidRPr="00F2605B">
        <w:t>interrupciones continuas de la cadena de suministro y desafíos de transición derivados de la desinversión en reservas de combustibles fósiles. La inflación se ha acelerado en muchos países como resultado de las interrupciones relacionadas con la pandemia en las cadenas de suministro combinadas con el resurgimiento de la demanda de los consumidores y el aumento de los precios de las materias primas. Esto debilitará la confianza del consumidor, que ha sido fundamental para la recuperación, y aumentará el riesgo de aumentos de la tasa de interés del banco central.</w:t>
      </w:r>
      <w:r>
        <w:rPr>
          <w:b/>
          <w:bCs/>
          <w:vertAlign w:val="superscript"/>
        </w:rPr>
        <w:t xml:space="preserve"> </w:t>
      </w:r>
      <w:r w:rsidRPr="00F2605B">
        <w:t>Tanto en las economías avanzadas como en desarrollo, los precios más altos y la deuda más cara afectarían especialmente a los hogares de bajos ingresos, mientras que las pequeñas y medianas empresas (PYME) que todavía están tratando de evitar la quiebra sufrirían un consumo más débil.</w:t>
      </w:r>
    </w:p>
    <w:p w:rsidR="00D93BCE" w:rsidRPr="00F2605B" w:rsidRDefault="00D93BCE" w:rsidP="00D93BCE">
      <w:pPr>
        <w:pStyle w:val="NormalWeb"/>
        <w:jc w:val="both"/>
      </w:pPr>
      <w:r w:rsidRPr="00E8697A">
        <w:rPr>
          <w:u w:val="single"/>
        </w:rPr>
        <w:t>Además, la deuda soberana se ha disparado debido a la pandemia. La deuda pública a nivel mundial aumentó en 13 puntos porcentuales, hasta el 97 % del PIB, en 2020</w:t>
      </w:r>
      <w:r w:rsidRPr="00F2605B">
        <w:t>.</w:t>
      </w:r>
      <w:r>
        <w:rPr>
          <w:b/>
          <w:bCs/>
          <w:vertAlign w:val="superscript"/>
        </w:rPr>
        <w:t xml:space="preserve"> </w:t>
      </w:r>
      <w:r w:rsidRPr="00F2605B">
        <w:t>Las finanzas públicas ya tensas en los países en desarrollo corren un mayor riesgo por el desapalancamiento de la deuda</w:t>
      </w:r>
      <w:r>
        <w:rPr>
          <w:b/>
          <w:bCs/>
          <w:vertAlign w:val="superscript"/>
        </w:rPr>
        <w:t xml:space="preserve"> </w:t>
      </w:r>
      <w:r w:rsidRPr="00F2605B">
        <w:t>y una apreciación del dólar estadounidense: el índice del dólar estadounidense había subido un 7 % desde principios de 2021.</w:t>
      </w:r>
      <w:r>
        <w:rPr>
          <w:b/>
          <w:bCs/>
          <w:vertAlign w:val="superscript"/>
        </w:rPr>
        <w:t xml:space="preserve"> </w:t>
      </w:r>
      <w:r w:rsidRPr="00E8697A">
        <w:rPr>
          <w:u w:val="single"/>
        </w:rPr>
        <w:t>Los encuestados</w:t>
      </w:r>
      <w:r>
        <w:rPr>
          <w:u w:val="single"/>
        </w:rPr>
        <w:t xml:space="preserve"> de GRPS identificaron las “crisis de la deuda”</w:t>
      </w:r>
      <w:r w:rsidRPr="00E8697A">
        <w:rPr>
          <w:u w:val="single"/>
        </w:rPr>
        <w:t xml:space="preserve"> como una amenaza crítica a corto y mediano plazo para el mundo, y uno de los riesgos potencialmente más graves durante la próxima década </w:t>
      </w:r>
      <w:r w:rsidRPr="00DE6AA4">
        <w:t>(consulte la Figura 1.3).</w:t>
      </w:r>
      <w:r w:rsidRPr="00F2605B">
        <w:t> Los sobreendeudamiento harán que sea más difícil para los países lidiar con los impactos económicos de COVID-19 y financiar una transición socialmente justa y neta cero.</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582EA9FE" wp14:editId="113C6794">
            <wp:extent cx="5746750" cy="2508250"/>
            <wp:effectExtent l="0" t="0" r="6350" b="6350"/>
            <wp:docPr id="6" name="Imagen 6" descr="Encuesta Global de Percepción de Riesgos (GRPS), identifica los riesgos globales más severos para los próximos 10 años - Informe de Riesgos Globales 2022">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ncuesta Global de Percepción de Riesgos (GRPS), identifica los riesgos globales más severos para los próximos 10 años - Informe de Riesgos Globales 2022">
                      <a:hlinkClick r:id="rId86"/>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46750" cy="2508250"/>
                    </a:xfrm>
                    <a:prstGeom prst="rect">
                      <a:avLst/>
                    </a:prstGeom>
                    <a:noFill/>
                    <a:ln>
                      <a:noFill/>
                    </a:ln>
                  </pic:spPr>
                </pic:pic>
              </a:graphicData>
            </a:graphic>
          </wp:inline>
        </w:drawing>
      </w:r>
    </w:p>
    <w:p w:rsidR="00D93BCE" w:rsidRPr="00F2605B" w:rsidRDefault="00D93BCE" w:rsidP="00D93BCE">
      <w:pPr>
        <w:pStyle w:val="Ttulo4"/>
        <w:spacing w:line="240" w:lineRule="auto"/>
        <w:jc w:val="both"/>
        <w:rPr>
          <w:rFonts w:ascii="Times New Roman" w:hAnsi="Times New Roman" w:cs="Times New Roman"/>
          <w:color w:val="auto"/>
          <w:sz w:val="24"/>
          <w:szCs w:val="24"/>
        </w:rPr>
      </w:pPr>
      <w:r>
        <w:rPr>
          <w:rFonts w:ascii="Times New Roman" w:hAnsi="Times New Roman" w:cs="Times New Roman"/>
          <w:i w:val="0"/>
          <w:iCs w:val="0"/>
          <w:color w:val="auto"/>
          <w:sz w:val="24"/>
          <w:szCs w:val="24"/>
        </w:rPr>
        <w:lastRenderedPageBreak/>
        <w:t>D</w:t>
      </w:r>
      <w:r w:rsidRPr="00F2605B">
        <w:rPr>
          <w:rFonts w:ascii="Times New Roman" w:hAnsi="Times New Roman" w:cs="Times New Roman"/>
          <w:i w:val="0"/>
          <w:iCs w:val="0"/>
          <w:color w:val="auto"/>
          <w:sz w:val="24"/>
          <w:szCs w:val="24"/>
        </w:rPr>
        <w:t>ivergencia económica</w:t>
      </w:r>
    </w:p>
    <w:p w:rsidR="00D93BCE" w:rsidRPr="00F2605B" w:rsidRDefault="00D93BCE" w:rsidP="00D93BCE">
      <w:pPr>
        <w:pStyle w:val="NormalWeb"/>
        <w:jc w:val="both"/>
      </w:pPr>
      <w:r w:rsidRPr="00F2605B">
        <w:t>El COVID-19 provocó una recesión mundial, pero las marcadas diferencias en las tasas de vacunación entre países ahora corren el riesgo de conducir a una divergencia económica aún mayor que la experimentada antes de la pandemia. Una mayor prevalencia de COVID-19 en países con baja vacunación que en países con alta vacunación afectará la disponibilidad y productividad de los trabajadores, interrumpirá las cadenas de suministro y debilitará el consumo. Además, un menor apetito por el riesgo posterior a la pandemia en el mundo vacunado, compuesto principalmente por economías avanzadas, podría debilitar su inversión en el mundo no vacunado. La interrupción económica de la pandemia también ha creado incentivos más fuertes en el mundo vacunado para priorizar la resiliencia sobre la minimización de costos. Los gobiernos y las industrias ahora pueden impulsar la convergencia regional a expensas de la integración global mientras buscan minimizar las interrupciones en la cadena de suministro.</w:t>
      </w:r>
    </w:p>
    <w:p w:rsidR="00D93BCE" w:rsidRPr="00F2605B" w:rsidRDefault="00D93BCE" w:rsidP="00D93BCE">
      <w:pPr>
        <w:pStyle w:val="NormalWeb"/>
        <w:jc w:val="both"/>
      </w:pPr>
      <w:r w:rsidRPr="00E8697A">
        <w:rPr>
          <w:u w:val="single"/>
        </w:rPr>
        <w:t>Las trayectorias polarizadas de conectividad, educación e ingresos corren el riesgo de fragmentar aún más la economía mundial, y es probable que la divergencia se vea agravada por la desaceleración y el crecimiento desigual</w:t>
      </w:r>
      <w:r w:rsidRPr="00F2605B">
        <w:t>. </w:t>
      </w:r>
      <w:r w:rsidRPr="00E8697A">
        <w:rPr>
          <w:u w:val="single"/>
        </w:rPr>
        <w:t>Se espera que las economías avanzadas superen su trayectoria de crecimiento previa a la pandemia en un 0,9 % para 2024, pero las economías en desarrollo (excluyendo a China) estarán un 5,5 % por debajo, con América Latina y el África subsahariana aún más rezagadas</w:t>
      </w:r>
      <w:r w:rsidRPr="00F2605B">
        <w:t>.</w:t>
      </w:r>
      <w:r>
        <w:rPr>
          <w:b/>
          <w:bCs/>
          <w:vertAlign w:val="superscript"/>
        </w:rPr>
        <w:t xml:space="preserve"> </w:t>
      </w:r>
      <w:r w:rsidRPr="00F2605B">
        <w:t>El desacoplamiento económico corre el riesgo de obstaculizar aún más los medios ya limitados para restaurar el crecimiento en las economías en desarrollo. Tal disociación dificultará que las economías emergentes aprovechen la mano de obra joven, los grandes mercados de consumo y los costos competitivos. También corren el riesgo de tener menos acceso a financiamiento y tecnología para enfrentar los desafíos globales, incluido el cambio climático.</w:t>
      </w:r>
    </w:p>
    <w:p w:rsidR="00D93BCE" w:rsidRPr="00E8697A" w:rsidRDefault="00D93BCE" w:rsidP="00D93BCE">
      <w:pPr>
        <w:pStyle w:val="NormalWeb"/>
        <w:jc w:val="both"/>
        <w:rPr>
          <w:u w:val="single"/>
        </w:rPr>
      </w:pPr>
      <w:r w:rsidRPr="00E8697A">
        <w:rPr>
          <w:u w:val="single"/>
        </w:rPr>
        <w:t>Si bien el empleo se está acercando a los niveles previos a la pandemia en muchas economías avanzadas, a nivel mundial, la recuperación de empleos de la crisis de COVID-19 está rezagada con respecto a la recuperación económica: el empleo mundial sigue siendo más bajo que antes de la pandemia y la Gran Resignación en las economías avanzadas ha provocado que</w:t>
      </w:r>
      <w:r>
        <w:rPr>
          <w:u w:val="single"/>
        </w:rPr>
        <w:t xml:space="preserve"> la participación en</w:t>
      </w:r>
      <w:r w:rsidRPr="00E8697A">
        <w:rPr>
          <w:u w:val="single"/>
        </w:rPr>
        <w:t xml:space="preserve"> el merc</w:t>
      </w:r>
      <w:r>
        <w:rPr>
          <w:u w:val="single"/>
        </w:rPr>
        <w:t>ado laboral decaiga</w:t>
      </w:r>
      <w:r w:rsidRPr="00F2605B">
        <w:t>. Los jóvenes, las mujeres y los trabajadores menos calificados se han visto especialmente afectados. </w:t>
      </w:r>
      <w:r w:rsidRPr="00E8697A">
        <w:rPr>
          <w:u w:val="single"/>
        </w:rPr>
        <w:t>La economía mundial tardará al menos hasta 2023 en crear los puestos de trabajo perdidos por la COVID-19, pero se espera que muchos de estos puestos de trabajo sean de baja productividad y mala calidad, según la Organización Internacional del Trabajo.</w:t>
      </w:r>
      <w:r>
        <w:rPr>
          <w:b/>
          <w:bCs/>
          <w:vertAlign w:val="superscript"/>
        </w:rPr>
        <w:t xml:space="preserve"> </w:t>
      </w:r>
      <w:r w:rsidRPr="00E8697A">
        <w:rPr>
          <w:u w:val="single"/>
        </w:rPr>
        <w:t>La “crisis de medios de vida” es la segunda amenaza más inmediata para el mundo en el GRPS, y la primera a nivel de país en la Encuesta de Opinión Ejecutiva (EOS). Es la amenaza nacional más inmediata en 97 países, incluidos 16 de las economías del G20.</w:t>
      </w:r>
    </w:p>
    <w:p w:rsidR="00D93BCE" w:rsidRPr="00F2605B" w:rsidRDefault="00D93BCE" w:rsidP="00D93BCE">
      <w:pPr>
        <w:pStyle w:val="NormalWeb"/>
        <w:jc w:val="both"/>
      </w:pPr>
      <w:r w:rsidRPr="00E8697A">
        <w:rPr>
          <w:u w:val="single"/>
        </w:rPr>
        <w:t>Es probable que una recuperación económica bifurcada provoque un aumento de la migración económica. Al mismo tiempo, es probable que el empeoramiento del clima extremo y el aumento de la inestabilidad política, la fragilidad del estado y los conflictos civiles aumenten aún más el número de refugiados</w:t>
      </w:r>
      <w:r w:rsidRPr="00F2605B">
        <w:t>. </w:t>
      </w:r>
      <w:r w:rsidRPr="00E8697A">
        <w:rPr>
          <w:u w:val="single"/>
        </w:rPr>
        <w:t>Los encuestados de GRPS califican la “migración involuntaria” como una amenaza crítica para el mundo durante la próxima década</w:t>
      </w:r>
      <w:r w:rsidRPr="00F2605B">
        <w:t>. Sin embargo, es una de las 10 preocupaciones principales en solo 13 países encuestados por EOS, entre ellos Armenia, El Salvador, Guatemala, Honduras, Nicaragua, Ucrania y Venezuela, que recientemente han experimentado desafíos relacionados con la migración y los refugiados. Estos resultados sugieren que la migración se percibe como un desafío a corto plazo localizado en ciertos países, pero un riesgo global</w:t>
      </w:r>
      <w:r>
        <w:t xml:space="preserve"> a más largo plazo. </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lastRenderedPageBreak/>
        <w:t>Erosión de la cohesión social</w:t>
      </w:r>
    </w:p>
    <w:p w:rsidR="00D93BCE" w:rsidRPr="00E8697A" w:rsidRDefault="00D93BCE" w:rsidP="00D93BCE">
      <w:pPr>
        <w:pStyle w:val="NormalWeb"/>
        <w:jc w:val="both"/>
        <w:rPr>
          <w:u w:val="single"/>
        </w:rPr>
      </w:pPr>
      <w:r w:rsidRPr="00E8697A">
        <w:rPr>
          <w:u w:val="single"/>
        </w:rPr>
        <w:t>La “erosión de la cohesión social” es el riesgo que más se ha agravado a nivel mundial desde el inicio de la crisis del COVID-19, según el GRPS. Se percibe como una amenaza crítica para el mundo en todos los períodos de tiempo (a corto, mediano y largo plazo) y se considera una de las más potencialmente dañinas para los próximos 10 años. En 31 de los 124 países encuestados en la EOS, incluidos Argentina, Francia, Alemania, Mé</w:t>
      </w:r>
      <w:r>
        <w:rPr>
          <w:u w:val="single"/>
        </w:rPr>
        <w:t>xico y Sudáfrica en el G20, la “erosión de la cohesión social”</w:t>
      </w:r>
      <w:r w:rsidRPr="00E8697A">
        <w:rPr>
          <w:u w:val="single"/>
        </w:rPr>
        <w:t xml:space="preserve"> se consideró una de las 10 principales amenazas a corto plazo para sus países.</w:t>
      </w:r>
      <w:r>
        <w:t> </w:t>
      </w:r>
      <w:r w:rsidRPr="00E8697A">
        <w:rPr>
          <w:u w:val="single"/>
        </w:rPr>
        <w:t>La desigualdad -económica, política, tecnológica e intergeneracional- ya estaba desafiando a las sociedades incluso antes de que las disparidades de ingresos aumentaran durante la pandemia.</w:t>
      </w:r>
      <w:r w:rsidRPr="00E8697A">
        <w:rPr>
          <w:b/>
          <w:bCs/>
          <w:u w:val="single"/>
          <w:vertAlign w:val="superscript"/>
        </w:rPr>
        <w:t xml:space="preserve"> </w:t>
      </w:r>
      <w:r w:rsidRPr="00E8697A">
        <w:rPr>
          <w:u w:val="single"/>
        </w:rPr>
        <w:t>Ahora se espera que estas disparidades se amplíen aún más: una investigación del Banco Mundial estima que el 20 % más rico de la población mundial habrá recuperado la mitad de sus pérdidas en 2021, mientras que el 20 % más pobre habrá perdido un 5 % más de sus ingresos.</w:t>
      </w:r>
      <w:r w:rsidRPr="00E8697A">
        <w:rPr>
          <w:b/>
          <w:bCs/>
          <w:u w:val="single"/>
          <w:vertAlign w:val="superscript"/>
        </w:rPr>
        <w:t xml:space="preserve"> </w:t>
      </w:r>
      <w:r w:rsidRPr="00E8697A">
        <w:rPr>
          <w:u w:val="single"/>
        </w:rPr>
        <w:t>Para 2030, se proyecta que 51 millones de personas más vivirán en la pobreza extrema en comparación con la tendencia previa a la pandemia.</w:t>
      </w:r>
    </w:p>
    <w:p w:rsidR="00D93BCE" w:rsidRPr="00E8697A" w:rsidRDefault="00D93BCE" w:rsidP="00D93BCE">
      <w:pPr>
        <w:pStyle w:val="NormalWeb"/>
        <w:jc w:val="both"/>
        <w:rPr>
          <w:u w:val="single"/>
        </w:rPr>
      </w:pPr>
      <w:r w:rsidRPr="00E8697A">
        <w:rPr>
          <w:u w:val="single"/>
        </w:rPr>
        <w:t>Las disparidades de ingresos exacerbadas por una recuperación económica desigual corren el riesgo de aumentar la polarización y el resentimiento dentro de las sociedades. Los diferentes puntos de vista sobre las vacunas y las restricciones relacionadas con el COVID se suman a las presiones sociales, con varios países, incluso en Europa, viendo disturbios por parte de quienes se oponen a las respuestas del gobierno al COVID. La justicia racial también sigue siendo un problema apremiante en muchos países, especialmente en los Estados Unidos.</w:t>
      </w:r>
    </w:p>
    <w:p w:rsidR="00D93BCE" w:rsidRPr="00BE016D" w:rsidRDefault="00D93BCE" w:rsidP="00D93BCE">
      <w:pPr>
        <w:pStyle w:val="NormalWeb"/>
        <w:jc w:val="both"/>
        <w:rPr>
          <w:u w:val="single"/>
        </w:rPr>
      </w:pPr>
      <w:r w:rsidRPr="00E8697A">
        <w:rPr>
          <w:u w:val="single"/>
        </w:rPr>
        <w:t>Una encuesta reciente en los Estados Unidos, por ejemplo, encontró que la “división en el país” era la principal preocupación de los votantes: esperaban que empeorara en 2022</w:t>
      </w:r>
      <w:r w:rsidRPr="00F2605B">
        <w:t>.</w:t>
      </w:r>
      <w:r>
        <w:rPr>
          <w:b/>
          <w:bCs/>
          <w:vertAlign w:val="superscript"/>
        </w:rPr>
        <w:t xml:space="preserve"> </w:t>
      </w:r>
      <w:r w:rsidRPr="00F2605B">
        <w:t>En Europa, otra encuesta reciente reveló diferencias generacionales significativas, con el 65% de los encuestados mayores de 60</w:t>
      </w:r>
      <w:r>
        <w:t xml:space="preserve"> años diciendo que la pandemia “no los afectó en absoluto”</w:t>
      </w:r>
      <w:r w:rsidRPr="00F2605B">
        <w:t>, en comparación con solo el 43% de los encuestados menores de 30 años.</w:t>
      </w:r>
      <w:r>
        <w:rPr>
          <w:b/>
          <w:bCs/>
          <w:vertAlign w:val="superscript"/>
        </w:rPr>
        <w:t xml:space="preserve"> </w:t>
      </w:r>
      <w:r w:rsidRPr="00BE016D">
        <w:rPr>
          <w:u w:val="single"/>
        </w:rPr>
        <w:t xml:space="preserve">El ataque al Capitolio </w:t>
      </w:r>
      <w:r>
        <w:rPr>
          <w:u w:val="single"/>
        </w:rPr>
        <w:t>de los EEUU</w:t>
      </w:r>
      <w:r w:rsidRPr="00BE016D">
        <w:rPr>
          <w:u w:val="single"/>
        </w:rPr>
        <w:t xml:space="preserve"> en enero de 2021 fue una manifestación de la inestabilidad que la polarización política puede generar.</w:t>
      </w:r>
    </w:p>
    <w:p w:rsidR="00D93BCE" w:rsidRPr="00F2605B" w:rsidRDefault="00D93BCE" w:rsidP="00D93BCE">
      <w:pPr>
        <w:pStyle w:val="NormalWeb"/>
        <w:jc w:val="both"/>
      </w:pPr>
      <w:r w:rsidRPr="00BE016D">
        <w:rPr>
          <w:u w:val="single"/>
        </w:rPr>
        <w:t>A pesar de que los acuerdos alcanzados en la COP26 señalan el compromiso internacional con la acción climática (ver Cuadro 1.1), las presiones internas a corto plazo dificultarán que los gobiernos se concentren en las prioridades nacionales a largo plazo y limitarán la atención y el capital político que algunos gobiernos en todo el mundo tendrán, para ser capaces o estar dispuestos a asignar a las preocupaciones globales.</w:t>
      </w:r>
      <w:r w:rsidRPr="00F2605B">
        <w:t> Tales presiones también podrían conducir a posturas de interés nacional más fuertes, lo que empeoraría las fracturas en la economía global, potencialmente a expensas de la ayuda y la cooperación extranjera necesarias para resolver conflictos, proteger a los refugiados y abordar emergencias humanitarias. El gobierno del Reino Unido, por ejemplo, ya abandonó su objetivo de gastar el 0,7% del ingreso nacional bruto en ayuda exterior hasta al menos 2024.</w:t>
      </w:r>
      <w:r>
        <w:rPr>
          <w:b/>
          <w:bCs/>
          <w:vertAlign w:val="superscript"/>
        </w:rPr>
        <w:t xml:space="preserve"> </w:t>
      </w:r>
      <w:r w:rsidRPr="00F2605B">
        <w:t>Las economías frágiles podrían caer en crisis más profundas.</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Tensiones geopolíticas</w:t>
      </w:r>
    </w:p>
    <w:p w:rsidR="00D93BCE" w:rsidRPr="00BE016D" w:rsidRDefault="00D93BCE" w:rsidP="00D93BCE">
      <w:pPr>
        <w:pStyle w:val="NormalWeb"/>
        <w:jc w:val="both"/>
        <w:rPr>
          <w:u w:val="single"/>
        </w:rPr>
      </w:pPr>
      <w:r w:rsidRPr="00BE016D">
        <w:rPr>
          <w:u w:val="single"/>
        </w:rPr>
        <w:t>Las crecientes fracturas geopolíticas corren el riesgo de ser otra fuerza para la divergencia global. La competencia entre Estados Unidos y China está aumentando. La creciente destreza militar de China está cambiando el equilibrio de poder en el Pacífico Occidental.</w:t>
      </w:r>
      <w:r w:rsidRPr="00BE016D">
        <w:rPr>
          <w:b/>
          <w:bCs/>
          <w:u w:val="single"/>
          <w:vertAlign w:val="superscript"/>
        </w:rPr>
        <w:t xml:space="preserve"> </w:t>
      </w:r>
      <w:r w:rsidRPr="00BE016D">
        <w:rPr>
          <w:u w:val="single"/>
        </w:rPr>
        <w:t xml:space="preserve">Estados Unidos está fortaleciendo alianzas centradas en el Pacífico en respuesta, más recientemente </w:t>
      </w:r>
      <w:r w:rsidRPr="00BE016D">
        <w:rPr>
          <w:u w:val="single"/>
        </w:rPr>
        <w:lastRenderedPageBreak/>
        <w:t>con el pacto de seguridad Australia-Reino Unido-Estados Unidos (AUKUS). Otros estados, como Rusia y Turquía, también están mostrando una mayor capacidad y disposición para proyectar poder en el extranjero. Mientras tanto, potencias globales y regionales clave están poniendo a prueba los límites del derecho internacional y la cooperación mediante la realización de ejercicios militares en áreas tensas, como la frontera entre Rusia y Ucrania y el Estrecho de Taiwán. La competencia se está intensificando en nuevas dimensiones y geografías, como es evidente en la militarización y el uso de armas en el espacio (ver el Capítulo 5) y en los desarrollos en el ciberespacio, donde las tensiones ya agudas entre los gobiernos afectados por el ciberdelito y los gobiernos cómplices de su comisión seguirán aumentando (ver Capítulo 3).</w:t>
      </w:r>
    </w:p>
    <w:p w:rsidR="00D93BCE" w:rsidRPr="00F2605B" w:rsidRDefault="00D93BCE" w:rsidP="00D93BCE">
      <w:pPr>
        <w:pStyle w:val="NormalWeb"/>
        <w:jc w:val="both"/>
      </w:pPr>
      <w:r w:rsidRPr="00F2605B">
        <w:t>La competencia también está aumentando en el ejercicio del “poder blando”. Por ejemplo, la diplomacia de vacunas de China, la estrategia de financiamiento externo y la recuperación económica: se espera que su economía haya crecido un 8 % anual en 2021</w:t>
      </w:r>
      <w:r>
        <w:rPr>
          <w:b/>
          <w:bCs/>
          <w:vertAlign w:val="superscript"/>
        </w:rPr>
        <w:t xml:space="preserve"> </w:t>
      </w:r>
      <w:r>
        <w:t>-</w:t>
      </w:r>
      <w:r w:rsidRPr="00F2605B">
        <w:t>le han permitido continuar expandiendo su influencia en todo el mundo en desarrollo. Brasil, Indonesia, México y Turquía se encuentran entre los principales compradores de vacunas chinas contra el COVID-19.</w:t>
      </w:r>
      <w:r>
        <w:rPr>
          <w:b/>
          <w:bCs/>
          <w:vertAlign w:val="superscript"/>
        </w:rPr>
        <w:t xml:space="preserve"> </w:t>
      </w:r>
      <w:r w:rsidRPr="00F2605B">
        <w:t>y los pagos de deuda neta a China aumentaron un 62% en 2020.</w:t>
      </w:r>
      <w:r>
        <w:rPr>
          <w:b/>
          <w:bCs/>
          <w:vertAlign w:val="superscript"/>
        </w:rPr>
        <w:t xml:space="preserve"> </w:t>
      </w:r>
      <w:r w:rsidRPr="00F2605B">
        <w:t>Los países en desarrollo pueden buscar cada vez más en China apoyo financiero, tecnológico y científico para prosperar en la economía posterior a la pandemia.</w:t>
      </w:r>
    </w:p>
    <w:p w:rsidR="00D93BCE" w:rsidRPr="00F2605B" w:rsidRDefault="00D93BCE" w:rsidP="00D93BCE">
      <w:pPr>
        <w:pStyle w:val="NormalWeb"/>
        <w:jc w:val="both"/>
      </w:pPr>
      <w:r w:rsidRPr="00F2605B">
        <w:t>Las tensiones geopolíticas se están extendiendo a la esfera económica. Por ejemplo, India y Japón implementaron políticas proteccionistas durante la pandemia.</w:t>
      </w:r>
      <w:r>
        <w:rPr>
          <w:b/>
          <w:bCs/>
          <w:vertAlign w:val="superscript"/>
        </w:rPr>
        <w:t xml:space="preserve"> </w:t>
      </w:r>
      <w:r w:rsidRPr="00F2605B">
        <w:t>Las empresas occidentales en sectores sensibles como la tecnología encuentran cada vez más dificultades para hacer negocios en China y Rusia, y los propios países occidentales están restringiendo la inversión de competidores geopolíticos en sectores estratégicos. Los encuestados de GRPS identificaron las “confrontaciones geoeconómicas” como una amenaza crítica a mediano y largo plazo para el mundo, y el riesgo geopolítico potencialmente más grave para la próxima década (consulte la Figura 1.3). Las tensiones geopolíticas y geoeconómicas harán que sea más difícil abordar los desafíos globales comunes, en particular el cambio climático.</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Riesgo de fracaso de la acción climática</w:t>
      </w:r>
    </w:p>
    <w:p w:rsidR="00D93BCE" w:rsidRPr="00F2605B" w:rsidRDefault="00D93BCE" w:rsidP="00D93BCE">
      <w:pPr>
        <w:pStyle w:val="NormalWeb"/>
        <w:jc w:val="both"/>
      </w:pPr>
      <w:r w:rsidRPr="00BE016D">
        <w:rPr>
          <w:u w:val="single"/>
        </w:rPr>
        <w:t>La Conferencia de las Naciones Unidas sobre el Cambio Climático (COP26) de 2021 logró que 197 países se alinearan con el Pacto Climático de Glasgow y otras promesas históricas (ver Cuadro 1.1), pero se espera que incluso estos nuevos compromisos no alcancen la meta de 1,5 °C establecida en el 2016</w:t>
      </w:r>
      <w:r w:rsidRPr="00F2605B">
        <w:t>. Acuerdo Climático de París y aumentar los riesgos de una transición climática desordenada (ver Capítulo 2).</w:t>
      </w:r>
    </w:p>
    <w:p w:rsidR="00D93BCE" w:rsidRPr="00F2605B" w:rsidRDefault="00D93BCE" w:rsidP="00D93BCE">
      <w:pPr>
        <w:pStyle w:val="NormalWeb"/>
        <w:jc w:val="both"/>
      </w:pPr>
      <w:r w:rsidRPr="00BE016D">
        <w:rPr>
          <w:u w:val="single"/>
        </w:rPr>
        <w:t>La sobrecarga económica de la crisis de COVID-19 y la cohesión social debilitada, tanto en las economías avanzadas como en desarrollo, pueden limitar aún más el capital financiero y político disponible para una mayor acción climática</w:t>
      </w:r>
      <w:r w:rsidRPr="00F2605B">
        <w:t>. La Unión Europea, el Reino Unido y los Estados Unidos, por ejemplo, se mostraron reacios a comprometerse con un objetivo formal de financiamiento climático para responder al empeoramiento de los impactos del cambio climático en las Partes que son países en desarrollo.</w:t>
      </w:r>
      <w:r>
        <w:rPr>
          <w:b/>
          <w:bCs/>
          <w:vertAlign w:val="superscript"/>
        </w:rPr>
        <w:t xml:space="preserve"> </w:t>
      </w:r>
      <w:r w:rsidRPr="00F2605B">
        <w:t>China e India presionaron para cam</w:t>
      </w:r>
      <w:r>
        <w:t>biar la redacción del Pacto de “eliminación gradual” a “reducción gradual” de “</w:t>
      </w:r>
      <w:r w:rsidRPr="00F2605B">
        <w:t>energía de carbón incesante y subsidios ineficie</w:t>
      </w:r>
      <w:r>
        <w:t>ntes a los combustibles fósiles”</w:t>
      </w:r>
      <w:r w:rsidRPr="00F2605B">
        <w:t>.</w:t>
      </w:r>
    </w:p>
    <w:p w:rsidR="00D93BCE" w:rsidRPr="00F2605B" w:rsidRDefault="00D93BCE" w:rsidP="00D93BCE">
      <w:pPr>
        <w:pStyle w:val="NormalWeb"/>
        <w:jc w:val="both"/>
      </w:pPr>
      <w:r w:rsidRPr="00BE016D">
        <w:rPr>
          <w:u w:val="single"/>
        </w:rPr>
        <w:t xml:space="preserve">La crisis económica creada por la pandemia de COVID-19 corre el riesgo de retrasar los esfuerzos para abordar el cambio climático al alentar a los países a priorizar medidas a corto plazo para restaurar el crecimiento económico, independientemente de su impacto en el </w:t>
      </w:r>
      <w:r w:rsidRPr="00BE016D">
        <w:rPr>
          <w:u w:val="single"/>
        </w:rPr>
        <w:lastRenderedPageBreak/>
        <w:t>clima, en lugar de buscar transiciones verdes</w:t>
      </w:r>
      <w:r w:rsidRPr="00F2605B">
        <w:t>. Brasil, por ejemplo, se unió a los otros 141 países responsables del 91% de los bosques de la Tierra al respaldar la Declaración de líderes de Glasgow sobre bosques y uso de la tierra,</w:t>
      </w:r>
      <w:r>
        <w:rPr>
          <w:b/>
          <w:bCs/>
          <w:vertAlign w:val="superscript"/>
        </w:rPr>
        <w:t xml:space="preserve"> </w:t>
      </w:r>
      <w:r w:rsidRPr="00F2605B">
        <w:t>incluso cuando la deforestación en el Amazonas se aceleró a un máximo de 15 años en 2021 luego de la recesión inducida por la pandemia de 2020.</w:t>
      </w:r>
      <w:r>
        <w:rPr>
          <w:b/>
          <w:bCs/>
          <w:vertAlign w:val="superscript"/>
        </w:rPr>
        <w:t xml:space="preserve"> </w:t>
      </w:r>
      <w:r w:rsidRPr="00F2605B">
        <w:t>Las tensiones geopolíticas y las posturas de nación primero también complicarán la acción climática. La COP26 reveló mayores tensiones sobre la compensación por daños climáticos, y los países afectados enfrentan el rechazo de los grandes emisores, incluido Estados Unidos.</w:t>
      </w:r>
      <w:r>
        <w:rPr>
          <w:b/>
          <w:bCs/>
          <w:vertAlign w:val="superscript"/>
        </w:rPr>
        <w:t xml:space="preserve"> </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555E62F2" wp14:editId="2106B103">
            <wp:extent cx="5746750" cy="7131050"/>
            <wp:effectExtent l="0" t="0" r="6350" b="0"/>
            <wp:docPr id="5" name="Imagen 5" descr="Resultados de COP26 y COP15 - Informe de riesgos globales 2022">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sultados de COP26 y COP15 - Informe de riesgos globales 2022">
                      <a:hlinkClick r:id="rId86"/>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46750" cy="7131050"/>
                    </a:xfrm>
                    <a:prstGeom prst="rect">
                      <a:avLst/>
                    </a:prstGeom>
                    <a:noFill/>
                    <a:ln>
                      <a:noFill/>
                    </a:ln>
                  </pic:spPr>
                </pic:pic>
              </a:graphicData>
            </a:graphic>
          </wp:inline>
        </w:drawing>
      </w:r>
    </w:p>
    <w:p w:rsidR="00D93BCE" w:rsidRPr="00BE016D" w:rsidRDefault="00D93BCE" w:rsidP="00D93BCE">
      <w:pPr>
        <w:pStyle w:val="NormalWeb"/>
        <w:jc w:val="both"/>
        <w:rPr>
          <w:u w:val="single"/>
        </w:rPr>
      </w:pPr>
      <w:r w:rsidRPr="00BE016D">
        <w:rPr>
          <w:u w:val="single"/>
        </w:rPr>
        <w:lastRenderedPageBreak/>
        <w:t>El cambio climático sigue siendo percibido como la amenaza más grave para la humanidad. Los en</w:t>
      </w:r>
      <w:r>
        <w:rPr>
          <w:u w:val="single"/>
        </w:rPr>
        <w:t>cuestados de GRPS califican el “fracaso de la acción climática”</w:t>
      </w:r>
      <w:r w:rsidRPr="00BE016D">
        <w:rPr>
          <w:u w:val="single"/>
        </w:rPr>
        <w:t xml:space="preserve"> como el riesgo con el potencial de infligir el mayor daño a escala global durante la próxima década </w:t>
      </w:r>
      <w:r w:rsidRPr="00DE6AA4">
        <w:t>(ver Figura 1.3).</w:t>
      </w:r>
      <w:r w:rsidRPr="00F2605B">
        <w:t> Sin embargo, los resultados de EOS apuntan a sentidos de urgencia divergentes entre regiones y países. </w:t>
      </w:r>
      <w:r w:rsidRPr="00BE016D">
        <w:rPr>
          <w:u w:val="single"/>
        </w:rPr>
        <w:t>El “fracaso de la acción climática” ocupa el segundo lugar como riesgo a corto plazo en los Estados Unidos, pero el 23 en China, los dos países que son los mayores emisores de CO2 del mundo. Además de su segundo puesto en los Estados Unidos, se encuentra entre los 10 principales riesgos a corto plazo en otras 11 economías del G20.</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Digitalización segura</w:t>
      </w:r>
    </w:p>
    <w:p w:rsidR="00D93BCE" w:rsidRDefault="00D93BCE" w:rsidP="00D93BCE">
      <w:pPr>
        <w:pStyle w:val="NormalWeb"/>
        <w:jc w:val="both"/>
      </w:pPr>
      <w:r w:rsidRPr="00BE016D">
        <w:rPr>
          <w:u w:val="single"/>
        </w:rPr>
        <w:t>COVID-19 impulsó un salto en la digitalización</w:t>
      </w:r>
      <w:r w:rsidRPr="00F2605B">
        <w:t xml:space="preserve">, pero en diferentes grados según los países. Si bien avanzar hacia la hiperconectividad ha hecho que algunos países sean más competitivos, otros podrían permanecer atrapados en una economía análoga previa a la pandemia. En estas últimas economías, </w:t>
      </w:r>
      <w:r w:rsidRPr="00BE016D">
        <w:rPr>
          <w:u w:val="single"/>
        </w:rPr>
        <w:t>la necesidad de una digitalización rápida para evitar una brecha digital cada vez mayor sigue siendo apremiante</w:t>
      </w:r>
      <w:r w:rsidRPr="00F2605B">
        <w:t>.</w:t>
      </w:r>
      <w:r>
        <w:rPr>
          <w:b/>
          <w:bCs/>
          <w:vertAlign w:val="superscript"/>
        </w:rPr>
        <w:t xml:space="preserve"> </w:t>
      </w:r>
      <w:r w:rsidRPr="00F2605B">
        <w:t>En la EOS, la “desigualdad digital” es uno de los principales riesgos a corto plazo en América Latina y</w:t>
      </w:r>
      <w:r>
        <w:t xml:space="preserve"> </w:t>
      </w:r>
      <w:r w:rsidRPr="00F2605B">
        <w:t>África subsahariana, las dos regiones que se espera que crezcan menos en 2022, así como en los países de bajos ingresos en general. Los gobiernos, las empresas y las personas de las economías en desarrollo buscarán digitalizarse rápidamente, pero pueden tener recursos técnicos y financieros limitados para mejorar las defensas cibernéticas contra las infracciones de infraestructura crítica o las regulaciones cibernéticas para salvaguardar los datos y la privacidad.</w:t>
      </w:r>
    </w:p>
    <w:p w:rsidR="00D93BCE" w:rsidRPr="00F2605B" w:rsidRDefault="00D93BCE" w:rsidP="00D93BCE">
      <w:pPr>
        <w:pStyle w:val="NormalWeb"/>
        <w:jc w:val="both"/>
      </w:pPr>
      <w:r w:rsidRPr="00F2605B">
        <w:rPr>
          <w:noProof/>
        </w:rPr>
        <w:drawing>
          <wp:inline distT="0" distB="0" distL="0" distR="0" wp14:anchorId="18C1846D" wp14:editId="53021640">
            <wp:extent cx="5632450" cy="3727450"/>
            <wp:effectExtent l="0" t="0" r="6350" b="6350"/>
            <wp:docPr id="109" name="Imagen 109" descr="Comparando">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mparando">
                      <a:hlinkClick r:id="rId86"/>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32450" cy="3727450"/>
                    </a:xfrm>
                    <a:prstGeom prst="rect">
                      <a:avLst/>
                    </a:prstGeom>
                    <a:noFill/>
                    <a:ln>
                      <a:noFill/>
                    </a:ln>
                  </pic:spPr>
                </pic:pic>
              </a:graphicData>
            </a:graphic>
          </wp:inline>
        </w:drawing>
      </w:r>
    </w:p>
    <w:p w:rsidR="00D93BCE" w:rsidRPr="00F2605B" w:rsidRDefault="00D93BCE" w:rsidP="00D93BCE">
      <w:pPr>
        <w:pStyle w:val="NormalWeb"/>
        <w:jc w:val="both"/>
      </w:pPr>
      <w:r w:rsidRPr="00BE016D">
        <w:rPr>
          <w:u w:val="single"/>
        </w:rPr>
        <w:t>Más partes del mundo corren el riesgo de convertirse en una base desde la cual los ciberdelincuentes puedan atacar globalmente, lo que podría profundizar las brechas digitales si dichos países luego enfrentan restricciones en su acceso a las tecnologías digitales</w:t>
      </w:r>
      <w:r w:rsidRPr="00F2605B">
        <w:t xml:space="preserve">. La </w:t>
      </w:r>
      <w:r w:rsidRPr="00F2605B">
        <w:lastRenderedPageBreak/>
        <w:t>rápida digitalización en las economías avanzadas durante el COVID-19 también ha dado lugar a nuevas vulnerabilidades cibernéticas. Los encuestados de GRPS identificaron la “falla de la seguridad cibernética” como una amenaza crítica a corto plazo para el mundo y obtuvo una puntuación especialmente alta con los encuestados de EOS en países de ingresos altos (consulte la Figura 1.4). Existe el riesgo de que las preocupaciones sobre la ciberseguridad obstaculicen aún más los intentos de promover una digitalización rápida e inclusiva a nivel mundial.</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El espacio como nueva frontera de divergencia</w:t>
      </w:r>
    </w:p>
    <w:p w:rsidR="00D93BCE" w:rsidRPr="00BE016D" w:rsidRDefault="00D93BCE" w:rsidP="00D93BCE">
      <w:pPr>
        <w:pStyle w:val="NormalWeb"/>
        <w:jc w:val="both"/>
        <w:rPr>
          <w:u w:val="single"/>
        </w:rPr>
      </w:pPr>
      <w:r w:rsidRPr="00BE016D">
        <w:rPr>
          <w:u w:val="single"/>
        </w:rPr>
        <w:t>El espacio es otra área donde las divergencias globales corren el riesgo de complicar la colaboración necesaria para gestionar el desarrollo de un bien común</w:t>
      </w:r>
      <w:r w:rsidRPr="00F2605B">
        <w:t>. La competencia en el espacio está aumentando y es una preocupación cada vez mayor para los principales ejércitos del mundo, como lo demuestran las recientes pruebas antisatélite (ASAT) y de armas hipersónicas.</w:t>
      </w:r>
      <w:r>
        <w:rPr>
          <w:b/>
          <w:bCs/>
          <w:vertAlign w:val="superscript"/>
        </w:rPr>
        <w:t xml:space="preserve"> </w:t>
      </w:r>
      <w:r w:rsidRPr="00F2605B">
        <w:t>Las trayectorias económicas y tecnológicas dispares corren el riesgo de impedir que muchos países accedan a las oportunidades que ofrece el espacio para abordar el cambio climático y ampliar la conectividad, y de garantizar que sus intereses se tengan en cuenta en la toma de decisiones mundiales sobre la gobernanza y la comercialización del espacio. </w:t>
      </w:r>
      <w:r w:rsidRPr="00BE016D">
        <w:rPr>
          <w:u w:val="single"/>
        </w:rPr>
        <w:t>Mientras tanto, una mayor participación del sector privado en el espacio y un mayor riesgo de congestión están creando nuevos desafíos para la gobernanza del espacio. Sin embargo, todavía hay tiempo para que los países se unan para garantizar beneficios comunes y una gestión sostenible de lo que debería ser un recurso universal.</w:t>
      </w:r>
    </w:p>
    <w:p w:rsidR="00D93BCE" w:rsidRPr="00F2605B" w:rsidRDefault="00D93BCE" w:rsidP="00D93BCE">
      <w:pPr>
        <w:pStyle w:val="Ttulo3"/>
        <w:jc w:val="both"/>
        <w:rPr>
          <w:sz w:val="24"/>
          <w:szCs w:val="24"/>
        </w:rPr>
      </w:pPr>
      <w:r w:rsidRPr="00F2605B">
        <w:rPr>
          <w:sz w:val="24"/>
          <w:szCs w:val="24"/>
        </w:rPr>
        <w:t>Tensiones emergentes en la cooperación global</w:t>
      </w:r>
    </w:p>
    <w:p w:rsidR="00D93BCE" w:rsidRPr="00DB18F0" w:rsidRDefault="00D93BCE" w:rsidP="00D93BCE">
      <w:pPr>
        <w:pStyle w:val="NormalWeb"/>
        <w:jc w:val="both"/>
        <w:rPr>
          <w:u w:val="single"/>
        </w:rPr>
      </w:pPr>
      <w:r w:rsidRPr="00DB18F0">
        <w:rPr>
          <w:u w:val="single"/>
        </w:rPr>
        <w:t>La divergencia global que corre el riesgo de resultar de las rupturas dentro de la economía mundial, una competencia más fuerte por la ventaja geopolítica y las presiones internas para priorizar los objetivos nacionales crearán complejos desafíos para la cooperación global en los próximos años. Cuatro de estas áreas se analizan en los siguientes capítulos de inmersión profunda:</w:t>
      </w:r>
    </w:p>
    <w:p w:rsidR="00D93BCE" w:rsidRPr="00DE6AA4" w:rsidRDefault="00D93BCE" w:rsidP="00D93BCE">
      <w:pPr>
        <w:pStyle w:val="NormalWeb"/>
        <w:jc w:val="both"/>
        <w:rPr>
          <w:color w:val="FF0000"/>
        </w:rPr>
      </w:pPr>
      <w:r w:rsidRPr="00DB18F0">
        <w:rPr>
          <w:color w:val="FF0000"/>
        </w:rPr>
        <w:t xml:space="preserve">• </w:t>
      </w:r>
      <w:r w:rsidRPr="00A10B44">
        <w:rPr>
          <w:color w:val="FF0000"/>
          <w:u w:val="single"/>
        </w:rPr>
        <w:t xml:space="preserve">Una creciente convicción de una transición climática rápida pero desordenada, frenada por complejidades sociales, políticas y económicas, corre el riesgo de crear un caleidoscopio de trayectorias netas cero, cada una con diferentes velocidades y complicaciones </w:t>
      </w:r>
      <w:r w:rsidRPr="00DE6AA4">
        <w:rPr>
          <w:color w:val="FF0000"/>
        </w:rPr>
        <w:t>(consulte el Capítulo 2).</w:t>
      </w:r>
    </w:p>
    <w:p w:rsidR="00D93BCE" w:rsidRPr="00DE6AA4" w:rsidRDefault="00D93BCE" w:rsidP="00D93BCE">
      <w:pPr>
        <w:pStyle w:val="NormalWeb"/>
        <w:jc w:val="both"/>
        <w:rPr>
          <w:color w:val="FF0000"/>
        </w:rPr>
      </w:pPr>
      <w:r w:rsidRPr="00A10B44">
        <w:rPr>
          <w:color w:val="FF0000"/>
        </w:rPr>
        <w:t xml:space="preserve">• </w:t>
      </w:r>
      <w:r w:rsidRPr="00A10B44">
        <w:rPr>
          <w:color w:val="FF0000"/>
          <w:u w:val="single"/>
        </w:rPr>
        <w:t xml:space="preserve">La rápida digitalización corre el riesgo de exponer las economías a vulnerabilidades cibernéticas nuevas y más intensas, ya que las nuevas tecnologías y una superficie de ataque en constante expansión permiten una gama más peligrosa y diversa de delitos cibernéticos </w:t>
      </w:r>
      <w:r w:rsidRPr="00DE6AA4">
        <w:rPr>
          <w:color w:val="FF0000"/>
        </w:rPr>
        <w:t>(consulte el Capítulo 3).</w:t>
      </w:r>
    </w:p>
    <w:p w:rsidR="00D93BCE" w:rsidRPr="00DE6AA4" w:rsidRDefault="00D93BCE" w:rsidP="00D93BCE">
      <w:pPr>
        <w:pStyle w:val="NormalWeb"/>
        <w:jc w:val="both"/>
        <w:rPr>
          <w:color w:val="FF0000"/>
        </w:rPr>
      </w:pPr>
      <w:r w:rsidRPr="00A10B44">
        <w:rPr>
          <w:color w:val="FF0000"/>
        </w:rPr>
        <w:t xml:space="preserve">• </w:t>
      </w:r>
      <w:r w:rsidRPr="00A10B44">
        <w:rPr>
          <w:color w:val="FF0000"/>
          <w:u w:val="single"/>
        </w:rPr>
        <w:t xml:space="preserve">Mayor presión para la migración desde los países de origen a medida que se vuelven más inseguros y corren el riesgo de entrar en conflicto con barreras más altas en los países de destino </w:t>
      </w:r>
      <w:r w:rsidRPr="00DE6AA4">
        <w:rPr>
          <w:color w:val="FF0000"/>
        </w:rPr>
        <w:t>(ver Capítulo 4).</w:t>
      </w:r>
    </w:p>
    <w:p w:rsidR="00D93BCE" w:rsidRPr="00DE6AA4" w:rsidRDefault="00D93BCE" w:rsidP="00D93BCE">
      <w:pPr>
        <w:pStyle w:val="NormalWeb"/>
        <w:jc w:val="both"/>
        <w:rPr>
          <w:color w:val="FF0000"/>
        </w:rPr>
      </w:pPr>
      <w:r w:rsidRPr="00A10B44">
        <w:rPr>
          <w:color w:val="FF0000"/>
        </w:rPr>
        <w:t xml:space="preserve">• </w:t>
      </w:r>
      <w:r w:rsidRPr="00A10B44">
        <w:rPr>
          <w:color w:val="FF0000"/>
          <w:u w:val="single"/>
        </w:rPr>
        <w:t xml:space="preserve">Una nueva carrera espacial marcada por una actividad comercial y militar acelerada corre el riesgo de exacerbar las tensiones y la sobresaturación de esta frontera común, destacando la necesidad de fortalecer la gobernanza internacional del espacio </w:t>
      </w:r>
      <w:r w:rsidRPr="00DE6AA4">
        <w:rPr>
          <w:color w:val="FF0000"/>
        </w:rPr>
        <w:t>(ver Capítulo 5).</w:t>
      </w:r>
    </w:p>
    <w:p w:rsidR="00D93BCE" w:rsidRPr="00F2605B" w:rsidRDefault="00D93BCE" w:rsidP="00D93BCE">
      <w:pPr>
        <w:pStyle w:val="NormalWeb"/>
        <w:jc w:val="both"/>
      </w:pPr>
      <w:r w:rsidRPr="00DB18F0">
        <w:rPr>
          <w:color w:val="FF0000"/>
          <w:u w:val="single"/>
        </w:rPr>
        <w:lastRenderedPageBreak/>
        <w:t>La pandemia de COVID-19 expuso las deficiencias de la cooperación global, pero el camino a seguir no está claro. Existe la necesidad de una gobernanza global más sólida y esfuerzos internacionales de mitigación de riesgos más efectivos, ya que los desafíos globales e interconectados que se destacan en este informe no pueden ser resueltos por los gobiernos nacionales por sí solos. Sin embargo, unirse con el propósito común de lograr resultados duraderos será un desafío: la gobernanza global efectiva depende de la cooperación internacional,</w:t>
      </w:r>
      <w:r w:rsidRPr="00DB18F0">
        <w:rPr>
          <w:b/>
          <w:bCs/>
          <w:color w:val="FF0000"/>
          <w:u w:val="single"/>
          <w:vertAlign w:val="superscript"/>
        </w:rPr>
        <w:t xml:space="preserve"> </w:t>
      </w:r>
      <w:r w:rsidRPr="00DB18F0">
        <w:rPr>
          <w:color w:val="FF0000"/>
          <w:u w:val="single"/>
        </w:rPr>
        <w:t>y será difícil asegurar la tracción, aprovechar las capacidades necesarias y lograr la resolución de problemas críticos en un contexto de relaciones internacionales caracterizado por la divergencia económica, el escepticismo en torno a la globalización, un enfoque más estrecho en los intereses nacionales y una competencia geopolítica intensificada. Las instituciones existentes de gobernanza global están bajo presión, como lo demuestran, por ejemplo, los desafíos que sigue enfrentando una Organización Mundial de la Salud (OMS) con recursos insuficientes para responder de manera efectiva a la pandemia de COVID-19</w:t>
      </w:r>
      <w:r w:rsidRPr="00F2605B">
        <w:t>.</w:t>
      </w:r>
      <w:r>
        <w:rPr>
          <w:b/>
          <w:bCs/>
          <w:vertAlign w:val="superscript"/>
        </w:rPr>
        <w:t xml:space="preserve"> </w:t>
      </w:r>
      <w:r w:rsidRPr="00F2605B">
        <w:t>Al apreciar este desafío, el capítulo final del informe reflexiona sobre cómo los gobiernos pueden protegerse contra las limitaciones prevalecientes del multilateralismo mediante la adopción de un enfoque de toda la sociedad para reforzar la resiliencia nacional (ver Capítulo 6).</w:t>
      </w:r>
    </w:p>
    <w:p w:rsidR="00D93BCE" w:rsidRPr="00F2605B" w:rsidRDefault="00D93BCE" w:rsidP="00D93BCE">
      <w:pPr>
        <w:pStyle w:val="Ttulo3"/>
        <w:jc w:val="both"/>
        <w:rPr>
          <w:sz w:val="24"/>
          <w:szCs w:val="24"/>
        </w:rPr>
      </w:pPr>
      <w:r w:rsidRPr="00F2605B">
        <w:rPr>
          <w:sz w:val="24"/>
          <w:szCs w:val="24"/>
        </w:rPr>
        <w:t>Reflexionando sobre el futuro</w:t>
      </w:r>
    </w:p>
    <w:p w:rsidR="00D93BCE" w:rsidRPr="00F2605B" w:rsidRDefault="00D93BCE" w:rsidP="00D93BCE">
      <w:pPr>
        <w:pStyle w:val="NormalWeb"/>
        <w:jc w:val="both"/>
      </w:pPr>
      <w:r w:rsidRPr="00DB18F0">
        <w:rPr>
          <w:u w:val="single"/>
        </w:rPr>
        <w:t>Las crisis impulsan caminos inesperados. Diferentes puntos ciegos, factores desencadenantes y shocks pueden tener una amplia gama de resultados, todos con diferentes probabilidades e impactos</w:t>
      </w:r>
      <w:r w:rsidRPr="00F2605B">
        <w:t>. Mientras los lectores consideran los resultados de la encuesta GRPS, revisan el contexto global emergente y leen las inmersiones profundas, este informe los invita a considerar los comportamientos y acciones de partes interesadas específicas y a considerar las consecuencias para una variedad de resultados de riesgo, de probable a improbable. y manejable a severo.</w:t>
      </w:r>
    </w:p>
    <w:p w:rsidR="00D93BCE" w:rsidRPr="00F2605B" w:rsidRDefault="00D93BCE" w:rsidP="00D93BCE">
      <w:pPr>
        <w:pStyle w:val="NormalWeb"/>
        <w:jc w:val="both"/>
      </w:pPr>
      <w:r w:rsidRPr="00DB18F0">
        <w:rPr>
          <w:color w:val="FF0000"/>
          <w:u w:val="single"/>
        </w:rPr>
        <w:t>Entre las áreas más notables de preocupación socioeconómica se encuentran la recuperación divergente, las dificultades económicas y la creciente desigualdad, junto con su interacción con la polarización ideológica y la sensación de privación de derechos de grandes sectores de la población mundial</w:t>
      </w:r>
      <w:r w:rsidRPr="00F2605B">
        <w:t>. Las luchas de los gobiernos para contener la pandemia y la falta de colaboración global sobre el COVID-19 ofrecen una visión aleccionadora de las perspectivas para gestionar futuros riesgos globales como el clima extremo y para emprender una acción climática más audaz. Cuando se trata de negocios e industria, incluso las empresas con margen de maniobra financiero a veces tienen dificultades para cumplir con los compromisos ambientales, sociales y de gobernanza (ESG) al mismo tiempo que fortalecen la resiliencia de sus cadenas de suministro, se adaptan al cambio socia</w:t>
      </w:r>
      <w:r>
        <w:t xml:space="preserve">l y tecnológico y se mantienen </w:t>
      </w:r>
      <w:r w:rsidRPr="00F2605B">
        <w:t>atentos a amenazas como los ciberataques.</w:t>
      </w:r>
    </w:p>
    <w:p w:rsidR="00D93BCE" w:rsidRPr="00F2605B" w:rsidRDefault="00D93BCE" w:rsidP="00D93BCE">
      <w:pPr>
        <w:pStyle w:val="NormalWeb"/>
        <w:jc w:val="both"/>
      </w:pPr>
      <w:r w:rsidRPr="00F2605B">
        <w:t>Dos años después del comienzo de esta crisis sin precedentes, las acciones y los comportamientos de todas las partes interesadas determinarán la rapidez con que el mundo se recupere e incorpore la resiliencia necesaria para prepararse para el próximo gran impacto.</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121C6820" wp14:editId="66D3430D">
            <wp:extent cx="5562600" cy="6381750"/>
            <wp:effectExtent l="0" t="0" r="0" b="0"/>
            <wp:docPr id="3" name="Imagen 3" descr="Resultados de la Encuesta de Percepción de Riesgos Globales 2021-2022 - Informe de Riesgos Globales 2022">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sultados de la Encuesta de Percepción de Riesgos Globales 2021-2022 - Informe de Riesgos Globales 2022">
                      <a:hlinkClick r:id="rId86"/>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62600" cy="6381750"/>
                    </a:xfrm>
                    <a:prstGeom prst="rect">
                      <a:avLst/>
                    </a:prstGeom>
                    <a:noFill/>
                    <a:ln>
                      <a:noFill/>
                    </a:ln>
                  </pic:spPr>
                </pic:pic>
              </a:graphicData>
            </a:graphic>
          </wp:inline>
        </w:drawing>
      </w:r>
    </w:p>
    <w:p w:rsidR="00D93BCE" w:rsidRPr="00F2605B" w:rsidRDefault="00D93BCE" w:rsidP="00D93BCE">
      <w:pPr>
        <w:pStyle w:val="Ttulo1"/>
        <w:spacing w:before="0" w:beforeAutospacing="0" w:after="161" w:afterAutospacing="0"/>
        <w:jc w:val="both"/>
        <w:rPr>
          <w:sz w:val="24"/>
          <w:szCs w:val="24"/>
        </w:rPr>
      </w:pPr>
    </w:p>
    <w:p w:rsidR="00D93BCE" w:rsidRPr="00F2605B" w:rsidRDefault="00D93BCE" w:rsidP="00D93BCE">
      <w:pPr>
        <w:pStyle w:val="Ttulo1"/>
        <w:spacing w:before="0" w:beforeAutospacing="0" w:after="161" w:afterAutospacing="0"/>
        <w:jc w:val="both"/>
        <w:rPr>
          <w:sz w:val="24"/>
          <w:szCs w:val="24"/>
        </w:rPr>
      </w:pPr>
      <w:r w:rsidRPr="00F2605B">
        <w:rPr>
          <w:sz w:val="24"/>
          <w:szCs w:val="24"/>
        </w:rPr>
        <w:t>Capítulo 2. Transición climática desordenada</w:t>
      </w:r>
    </w:p>
    <w:p w:rsidR="00D93BCE" w:rsidRPr="00F2605B" w:rsidRDefault="00D93BCE" w:rsidP="00D93BCE">
      <w:pPr>
        <w:pStyle w:val="Ttulo3"/>
        <w:jc w:val="both"/>
        <w:rPr>
          <w:sz w:val="24"/>
          <w:szCs w:val="24"/>
        </w:rPr>
      </w:pPr>
      <w:r w:rsidRPr="00F2605B">
        <w:rPr>
          <w:sz w:val="24"/>
          <w:szCs w:val="24"/>
        </w:rPr>
        <w:t>Clima (en) acción</w:t>
      </w:r>
    </w:p>
    <w:p w:rsidR="00D93BCE" w:rsidRPr="00F2605B" w:rsidRDefault="00D93BCE" w:rsidP="00D93BCE">
      <w:pPr>
        <w:pStyle w:val="NormalWeb"/>
        <w:spacing w:before="0" w:beforeAutospacing="0"/>
        <w:jc w:val="both"/>
      </w:pPr>
      <w:r w:rsidRPr="00F2605B">
        <w:t>El cambio climático acelerado y generalizado se manifiesta en consecuencias irreversibles.</w:t>
      </w:r>
      <w:r>
        <w:rPr>
          <w:b/>
          <w:bCs/>
          <w:vertAlign w:val="superscript"/>
        </w:rPr>
        <w:t xml:space="preserve"> </w:t>
      </w:r>
      <w:r w:rsidRPr="00F2605B">
        <w:t>El peso abrumador del análisis científico apunta a ajustes ambientales y bucles de retroalimentación catastróficos que empujarán a los ecosistemas más allá de los puntos de inflexión.</w:t>
      </w:r>
      <w:r>
        <w:rPr>
          <w:b/>
          <w:bCs/>
          <w:vertAlign w:val="superscript"/>
        </w:rPr>
        <w:t xml:space="preserve"> </w:t>
      </w:r>
      <w:r w:rsidRPr="00F2605B">
        <w:t>En ese momento, los esfuerzos de descarbonización serían silenciados.</w:t>
      </w:r>
    </w:p>
    <w:p w:rsidR="00D93BCE" w:rsidRPr="00F2605B" w:rsidRDefault="00D93BCE" w:rsidP="00D93BCE">
      <w:pPr>
        <w:pStyle w:val="NormalWeb"/>
        <w:jc w:val="both"/>
      </w:pPr>
      <w:r w:rsidRPr="00F2605B">
        <w:t xml:space="preserve">Las últimas contribuciones determinadas a nivel nacional (NDC, por sus siglas en inglés) para la descarbonización realizadas en la Conferencia de las Partes sobre el Cambio </w:t>
      </w:r>
      <w:r w:rsidRPr="00F2605B">
        <w:lastRenderedPageBreak/>
        <w:t>Climático de las Naciones Unidas (COP26) de 2021 aún no alcanzan el objetivo de 1,5 °C establecido en el Acuerdo Climático de París (para obtener un resumen extenso de los resultados de la COP26, véase el Capítulo 1, Cuadro 1.1).</w:t>
      </w:r>
      <w:r>
        <w:rPr>
          <w:b/>
          <w:bCs/>
          <w:vertAlign w:val="superscript"/>
        </w:rPr>
        <w:t xml:space="preserve"> </w:t>
      </w:r>
      <w:r w:rsidRPr="00F2605B">
        <w:t>Se espera que la trayectoria actual lleve al mundo hacia un calentamiento de 2,4°C,</w:t>
      </w:r>
      <w:r>
        <w:rPr>
          <w:b/>
          <w:bCs/>
          <w:vertAlign w:val="superscript"/>
        </w:rPr>
        <w:t xml:space="preserve"> </w:t>
      </w:r>
      <w:r w:rsidRPr="00F2605B">
        <w:t>con solo el más optimista de los escenarios manteniéndolo en 1.8°C (ver Figura 2.1).</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51C0491A" wp14:editId="58C13C31">
            <wp:extent cx="5613400" cy="4565650"/>
            <wp:effectExtent l="0" t="0" r="6350" b="6350"/>
            <wp:docPr id="13" name="Imagen 13" descr="Escenarios de temperatura global para 2100: Informe de riesgos globales 2022">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cenarios de temperatura global para 2100: Informe de riesgos globales 2022">
                      <a:hlinkClick r:id="rId93"/>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13400" cy="4565650"/>
                    </a:xfrm>
                    <a:prstGeom prst="rect">
                      <a:avLst/>
                    </a:prstGeom>
                    <a:noFill/>
                    <a:ln>
                      <a:noFill/>
                    </a:ln>
                  </pic:spPr>
                </pic:pic>
              </a:graphicData>
            </a:graphic>
          </wp:inline>
        </w:drawing>
      </w:r>
    </w:p>
    <w:p w:rsidR="00D93BCE" w:rsidRPr="00DB18F0" w:rsidRDefault="00D93BCE" w:rsidP="00D93BCE">
      <w:pPr>
        <w:pStyle w:val="NormalWeb"/>
        <w:jc w:val="both"/>
        <w:rPr>
          <w:color w:val="FF0000"/>
          <w:u w:val="single"/>
        </w:rPr>
      </w:pPr>
      <w:r w:rsidRPr="00DB18F0">
        <w:rPr>
          <w:color w:val="FF0000"/>
          <w:u w:val="single"/>
        </w:rPr>
        <w:t>Sin una acción más fuerte, la capacidad global para mitigar y adaptarse se verá disminuida, lo que eventualment</w:t>
      </w:r>
      <w:r>
        <w:rPr>
          <w:color w:val="FF0000"/>
          <w:u w:val="single"/>
        </w:rPr>
        <w:t>e conducirá a una situación de “</w:t>
      </w:r>
      <w:r w:rsidRPr="00DB18F0">
        <w:rPr>
          <w:color w:val="FF0000"/>
          <w:u w:val="single"/>
        </w:rPr>
        <w:t>demasiad</w:t>
      </w:r>
      <w:r>
        <w:rPr>
          <w:color w:val="FF0000"/>
          <w:u w:val="single"/>
        </w:rPr>
        <w:t>o poco, demasiado tarde” y, en última instancia, a un “</w:t>
      </w:r>
      <w:r w:rsidRPr="00DB18F0">
        <w:rPr>
          <w:color w:val="FF0000"/>
          <w:u w:val="single"/>
        </w:rPr>
        <w:t>e</w:t>
      </w:r>
      <w:r>
        <w:rPr>
          <w:color w:val="FF0000"/>
          <w:u w:val="single"/>
        </w:rPr>
        <w:t>scenario mundial de invernadero”</w:t>
      </w:r>
      <w:r w:rsidRPr="00DB18F0">
        <w:rPr>
          <w:color w:val="FF0000"/>
          <w:u w:val="single"/>
        </w:rPr>
        <w:t xml:space="preserve"> con un cambio climático desbocado que hace que el mundo sea casi inhabitable.</w:t>
      </w:r>
      <w:r w:rsidRPr="00DB18F0">
        <w:rPr>
          <w:b/>
          <w:bCs/>
          <w:color w:val="FF0000"/>
          <w:u w:val="single"/>
          <w:vertAlign w:val="superscript"/>
        </w:rPr>
        <w:t xml:space="preserve"> </w:t>
      </w:r>
      <w:r w:rsidRPr="00DB18F0">
        <w:rPr>
          <w:color w:val="FF0000"/>
          <w:u w:val="single"/>
        </w:rPr>
        <w:t>El mundo enfrentará altos costos si colectivamente no logramos el objetivo de cero neto para 2050.</w:t>
      </w:r>
      <w:r w:rsidRPr="00DB18F0">
        <w:rPr>
          <w:b/>
          <w:bCs/>
          <w:color w:val="FF0000"/>
          <w:u w:val="single"/>
          <w:vertAlign w:val="superscript"/>
        </w:rPr>
        <w:t xml:space="preserve"> </w:t>
      </w:r>
      <w:r w:rsidRPr="00DB18F0">
        <w:rPr>
          <w:color w:val="FF0000"/>
          <w:u w:val="single"/>
        </w:rPr>
        <w:t>La inacción climática total</w:t>
      </w:r>
      <w:r w:rsidRPr="00DB18F0">
        <w:rPr>
          <w:color w:val="FF0000"/>
        </w:rPr>
        <w:t xml:space="preserve"> </w:t>
      </w:r>
      <w:r w:rsidRPr="00DB18F0">
        <w:rPr>
          <w:color w:val="FF0000"/>
          <w:u w:val="single"/>
        </w:rPr>
        <w:t>conducirá a pérdidas proyectadas entre el 4% y el 18% del PIB mundial, con diferentes impactos en las regiones.</w:t>
      </w:r>
    </w:p>
    <w:p w:rsidR="00D93BCE" w:rsidRPr="00F2605B" w:rsidRDefault="00D93BCE" w:rsidP="00D93BCE">
      <w:pPr>
        <w:pStyle w:val="NormalWeb"/>
        <w:jc w:val="both"/>
      </w:pPr>
      <w:r w:rsidRPr="00F2605B">
        <w:t>La transición a cero neto: el estado en el que los gases de efecto invernadero (GEI) emitidos a la atmósfera se equilibran con</w:t>
      </w:r>
      <w:r>
        <w:t xml:space="preserve"> su eliminación de la atmósfera- </w:t>
      </w:r>
      <w:r w:rsidRPr="00F2605B">
        <w:t>podría ser tan transformadora para las economías y las sociedades como las revoluciones industriales pasadas. Sin embargo, las complejidades de los cambios tecnológicos, económicos y sociales necesarios para la descarbonización, junto con la naturaleza lenta e insuficiente de los compromisos actuales, conducirán inevitablemente a diversos grados de desorden.</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082F042A" wp14:editId="0EBF6300">
            <wp:extent cx="5778500" cy="1638300"/>
            <wp:effectExtent l="0" t="0" r="0" b="0"/>
            <wp:docPr id="12" name="Imagen 12" descr="Emisiones netas de carbono cero o definición de neutralidad de carbono - Informe de riesgos globales 2022">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misiones netas de carbono cero o definición de neutralidad de carbono - Informe de riesgos globales 2022">
                      <a:hlinkClick r:id="rId93"/>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78500" cy="1638300"/>
                    </a:xfrm>
                    <a:prstGeom prst="rect">
                      <a:avLst/>
                    </a:prstGeom>
                    <a:noFill/>
                    <a:ln>
                      <a:noFill/>
                    </a:ln>
                  </pic:spPr>
                </pic:pic>
              </a:graphicData>
            </a:graphic>
          </wp:inline>
        </w:drawing>
      </w:r>
    </w:p>
    <w:p w:rsidR="00D93BCE" w:rsidRPr="00F2605B" w:rsidRDefault="00D93BCE" w:rsidP="00D93BCE">
      <w:pPr>
        <w:pStyle w:val="NormalWeb"/>
        <w:jc w:val="both"/>
      </w:pPr>
      <w:r w:rsidRPr="00F2605B">
        <w:t xml:space="preserve">A medida que el cambio climático se intensifica y algunas economías se recuperan más rápidamente que otras de la COVID-19, </w:t>
      </w:r>
      <w:r w:rsidRPr="00DB18F0">
        <w:rPr>
          <w:color w:val="FF0000"/>
          <w:u w:val="single"/>
        </w:rPr>
        <w:t>una transición desordenada podría dividir a las sociedades y separar aún más a los países, y una transición demasiado lenta solo generará daños y trastornos en múltiples dimensiones a largo plazo (ver Recuadro 2.1)</w:t>
      </w:r>
      <w:r w:rsidRPr="00F2605B">
        <w:t>. Dentro de los países, el potencial disruptivo de la transición podría verse amplificado por las desconexiones entre los gobiernos, las empresas y los hogares con respecto a los compromisos políticos, los incentivos financieros, las reglamentaciones y las necesidades inmediatas. </w:t>
      </w:r>
      <w:r w:rsidRPr="00DB18F0">
        <w:rPr>
          <w:color w:val="FF0000"/>
          <w:u w:val="single"/>
        </w:rPr>
        <w:t>Una falta sostenida de coordinación entre países probablemente tendría profundas implicaciones geopolíticas</w:t>
      </w:r>
      <w:r w:rsidRPr="00F2605B">
        <w:t>,</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5F45C320" wp14:editId="125B9172">
            <wp:extent cx="5715000" cy="2501900"/>
            <wp:effectExtent l="0" t="0" r="0" b="0"/>
            <wp:docPr id="11" name="Imagen 11" descr="https://assets.weforum.org/editor/ySFHZ63EP8BMQd5UYrAjD3cKqKWppJORyQzEgNGPulM.jpg">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assets.weforum.org/editor/ySFHZ63EP8BMQd5UYrAjD3cKqKWppJORyQzEgNGPulM.jpg">
                      <a:hlinkClick r:id="rId93"/>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15000" cy="2501900"/>
                    </a:xfrm>
                    <a:prstGeom prst="rect">
                      <a:avLst/>
                    </a:prstGeom>
                    <a:noFill/>
                    <a:ln>
                      <a:noFill/>
                    </a:ln>
                  </pic:spPr>
                </pic:pic>
              </a:graphicData>
            </a:graphic>
          </wp:inline>
        </w:drawing>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Vientos de cola para una transición rápida, pero desordenada</w:t>
      </w:r>
    </w:p>
    <w:p w:rsidR="00D93BCE" w:rsidRPr="00F2605B" w:rsidRDefault="00D93BCE" w:rsidP="00D93BCE">
      <w:pPr>
        <w:pStyle w:val="NormalWeb"/>
        <w:jc w:val="both"/>
      </w:pPr>
      <w:r w:rsidRPr="00F2605B">
        <w:t>Evidencia clara de riesgos físicos crecientes, como el derretimiento del hielo terrestre, el aumento del nivel del mar y períodos prolo</w:t>
      </w:r>
      <w:r>
        <w:t>ngados de calor y frío extremos,</w:t>
      </w:r>
      <w:r>
        <w:rPr>
          <w:b/>
          <w:bCs/>
          <w:vertAlign w:val="superscript"/>
        </w:rPr>
        <w:t xml:space="preserve"> </w:t>
      </w:r>
      <w:r w:rsidRPr="00F2605B">
        <w:t>así como sus consecuencias asociadas para los sistemas humanos y económicos,</w:t>
      </w:r>
      <w:r>
        <w:rPr>
          <w:b/>
          <w:bCs/>
          <w:vertAlign w:val="superscript"/>
        </w:rPr>
        <w:t xml:space="preserve"> </w:t>
      </w:r>
      <w:r w:rsidRPr="00F2605B">
        <w:t>están intensificando el impulso para la transición. Y aunque los bloqueos de COVID-19 vieron una caída global en las emisiones de GEI, pronto se reanudaron las trayectorias ascendentes:</w:t>
      </w:r>
      <w:r>
        <w:rPr>
          <w:b/>
          <w:bCs/>
          <w:vertAlign w:val="superscript"/>
        </w:rPr>
        <w:t xml:space="preserve"> </w:t>
      </w:r>
      <w:r w:rsidRPr="00F2605B">
        <w:t>Las tasas de emisiones de GEI aumentaron más rápido en 2020 que su promedio durante la última década,</w:t>
      </w:r>
      <w:r>
        <w:rPr>
          <w:b/>
          <w:bCs/>
          <w:vertAlign w:val="superscript"/>
        </w:rPr>
        <w:t xml:space="preserve"> </w:t>
      </w:r>
      <w:r w:rsidRPr="00F2605B">
        <w:t>ilustrando cómo la economía global todavía depende en gran medida de los combustibles fósiles.</w:t>
      </w:r>
    </w:p>
    <w:p w:rsidR="00D93BCE" w:rsidRPr="00F2605B" w:rsidRDefault="00D93BCE" w:rsidP="00D93BCE">
      <w:pPr>
        <w:pStyle w:val="NormalWeb"/>
        <w:jc w:val="both"/>
      </w:pPr>
      <w:r w:rsidRPr="00DB18F0">
        <w:rPr>
          <w:u w:val="single"/>
        </w:rPr>
        <w:t>Los gobiernos, las empresas, los inversionistas y las comunidades están convergiendo cada vez más en la necesidad de una transición más rápida: cada grupo establece expectativas más altas para el otro</w:t>
      </w:r>
      <w:r w:rsidRPr="00F2605B">
        <w:t>. Partidos verdes y políticas verdes, como un impuesto de ajuste fronterizo de carbono</w:t>
      </w:r>
      <w:r>
        <w:rPr>
          <w:b/>
          <w:bCs/>
          <w:vertAlign w:val="superscript"/>
        </w:rPr>
        <w:t xml:space="preserve"> </w:t>
      </w:r>
      <w:r>
        <w:t>-</w:t>
      </w:r>
      <w:r w:rsidRPr="00F2605B">
        <w:t>han ganado terreno en muchos países, regiones e industrias, al igual que ideas multilaterales como los clubes climáticos.</w:t>
      </w:r>
      <w:r>
        <w:rPr>
          <w:b/>
          <w:bCs/>
          <w:vertAlign w:val="superscript"/>
        </w:rPr>
        <w:t xml:space="preserve"> </w:t>
      </w:r>
      <w:r w:rsidRPr="00F2605B">
        <w:t xml:space="preserve">Las NIIF ahora combinan una gran cantidad de </w:t>
      </w:r>
      <w:r w:rsidRPr="00F2605B">
        <w:lastRenderedPageBreak/>
        <w:t>marcos de divulgación de riesgos climáticos y estándares de medición dentro de un nuevo Consejo de Normas Internacionales de Sostenibilidad (ISSB). Esto ayudará a aclarar qué se debe hacer y por quién, para resaltar y prevenir el lavado verde y el estancamiento de la acción climática.</w:t>
      </w:r>
    </w:p>
    <w:p w:rsidR="00D93BCE" w:rsidRPr="00F2605B" w:rsidRDefault="00D93BCE" w:rsidP="00D93BCE">
      <w:pPr>
        <w:pStyle w:val="NormalWeb"/>
        <w:jc w:val="both"/>
      </w:pPr>
      <w:r w:rsidRPr="00DB18F0">
        <w:rPr>
          <w:u w:val="single"/>
        </w:rPr>
        <w:t>El auge del capitalismo de las partes interesadas, el activismo de los accionistas y el mayor apetito de las empresas por utilizar objetivos y métricas ambientales, sociales y de gobierno corporativo (ESG),</w:t>
      </w:r>
      <w:r w:rsidRPr="00DB18F0">
        <w:rPr>
          <w:b/>
          <w:bCs/>
          <w:u w:val="single"/>
          <w:vertAlign w:val="superscript"/>
        </w:rPr>
        <w:t xml:space="preserve"> </w:t>
      </w:r>
      <w:r w:rsidRPr="00DB18F0">
        <w:rPr>
          <w:u w:val="single"/>
        </w:rPr>
        <w:t>junto con inversiones basadas en ESG, está remodelando el panorama financiero y económico</w:t>
      </w:r>
      <w:r w:rsidRPr="00DB18F0">
        <w:rPr>
          <w:b/>
          <w:bCs/>
          <w:u w:val="single"/>
          <w:vertAlign w:val="superscript"/>
        </w:rPr>
        <w:t xml:space="preserve"> </w:t>
      </w:r>
      <w:r w:rsidRPr="00DB18F0">
        <w:rPr>
          <w:u w:val="single"/>
        </w:rPr>
        <w:t>y un número cada vez mayor de organizaciones se están comprometiendo a descarbonizar sus operaciones</w:t>
      </w:r>
      <w:r w:rsidRPr="00E91920">
        <w:rPr>
          <w:u w:val="single"/>
        </w:rPr>
        <w:t>. A medida que los bancos, las aseguradoras y los inversionistas institucionales están dirigiendo el capital hacia el cero neto, los sistemas financieros están emergiendo rápidamente como facilitadores críticos de la transición</w:t>
      </w:r>
      <w:r w:rsidRPr="00F2605B">
        <w:t>. Una parte cada vez mayor del mercado de bonos de 100 billones de dólares se moviliza para soluciones al cambio climático, y se espera que alcance el hito de 1 billón de dólares en emisiones anuales para 2022.</w:t>
      </w:r>
      <w:r>
        <w:rPr>
          <w:b/>
          <w:bCs/>
          <w:vertAlign w:val="superscript"/>
        </w:rPr>
        <w:t xml:space="preserve"> </w:t>
      </w:r>
      <w:r w:rsidRPr="00F2605B">
        <w:t>Además, durante la COP26, la Alianza Financiera de Glasgow para el Cero Neto (GFANZ, por sus siglas en inglés) anunció que se han comprometido más de 130 billones de dólares en capital privado para lograr la neutralidad de carbono, suficiente para lograr el cero neto para 2050.</w:t>
      </w:r>
      <w:r>
        <w:rPr>
          <w:b/>
          <w:bCs/>
          <w:vertAlign w:val="superscript"/>
        </w:rPr>
        <w:t xml:space="preserve"> </w:t>
      </w:r>
      <w:r w:rsidRPr="00F2605B">
        <w:t>De manera similar, las partes en la COP26 acordaron el marco para el Artículo 6 del Acuerdo de París, que permite la puesta en funcionamiento inmediata de los mercados mundiales de carbono, poniendo fin a la incertidumbre sobre el Mecanismo de Desarrollo Limpio (MDL) y estableciendo aún más un nuevo organismo central de supervisión de la ONU para comercializar créditos de carbono en proyectos específicos.</w:t>
      </w:r>
    </w:p>
    <w:p w:rsidR="00D93BCE" w:rsidRPr="00F2605B" w:rsidRDefault="00D93BCE" w:rsidP="00D93BCE">
      <w:pPr>
        <w:pStyle w:val="NormalWeb"/>
        <w:jc w:val="both"/>
      </w:pPr>
      <w:r w:rsidRPr="00F2605B">
        <w:t>Estos compromisos de empresas y gobiernos están siendo monitoreados de cerca por organizaciones de la sociedad civil e inversores,</w:t>
      </w:r>
      <w:r>
        <w:rPr>
          <w:b/>
          <w:bCs/>
          <w:vertAlign w:val="superscript"/>
        </w:rPr>
        <w:t xml:space="preserve"> </w:t>
      </w:r>
      <w:r w:rsidRPr="00F2605B">
        <w:t>que temen que se hagan promesas populistas insostenibles para obtener ganancias políticas o financieras a corto plazo.</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Vientos en contra que ralentizan la transición</w:t>
      </w:r>
    </w:p>
    <w:p w:rsidR="00D93BCE" w:rsidRPr="00E91920" w:rsidRDefault="00D93BCE" w:rsidP="00D93BCE">
      <w:pPr>
        <w:pStyle w:val="NormalWeb"/>
        <w:jc w:val="both"/>
        <w:rPr>
          <w:color w:val="FF0000"/>
          <w:u w:val="single"/>
        </w:rPr>
      </w:pPr>
      <w:r w:rsidRPr="00E91920">
        <w:rPr>
          <w:color w:val="FF0000"/>
          <w:u w:val="single"/>
        </w:rPr>
        <w:t>El riesgo de una transición desordenada se ve agravado por las interdependencias y la naturaleza distribuida de los sistemas económicos y financieros, la protección histórica de las externalidades del cambio climático por parte de ciudadanos y empresas, los costos de descarbonización y los muchos intereses divergentes en juego que complicarán la transición. A corto plazo, es probable que estas complejidades hagan que muchos actores eviten o pospongan la acción.</w:t>
      </w:r>
    </w:p>
    <w:p w:rsidR="00D93BCE" w:rsidRPr="00E91920" w:rsidRDefault="00D93BCE" w:rsidP="00D93BCE">
      <w:pPr>
        <w:pStyle w:val="NormalWeb"/>
        <w:jc w:val="both"/>
        <w:rPr>
          <w:u w:val="single"/>
        </w:rPr>
      </w:pPr>
      <w:r w:rsidRPr="00E91920">
        <w:rPr>
          <w:u w:val="single"/>
        </w:rPr>
        <w:t>Algunos actores nacionales y empresariales todavía están maniobrando deliberadamente para detener o reducir la transición verde. Los gobiernos deben equilibrar las necesidades de las poblaciones que dependen de industrias intensivas en carbono con compromisos internacionales. Sin embargo, algunos de estos compromisos son elevados y carecen de credibilidad científica,</w:t>
      </w:r>
      <w:r w:rsidRPr="00E91920">
        <w:rPr>
          <w:b/>
          <w:bCs/>
          <w:u w:val="single"/>
          <w:vertAlign w:val="superscript"/>
        </w:rPr>
        <w:t xml:space="preserve"> </w:t>
      </w:r>
      <w:r w:rsidRPr="00E91920">
        <w:rPr>
          <w:u w:val="single"/>
        </w:rPr>
        <w:t>las legislaturas están bloqueando preventivamente nuevas leyes climáticas,</w:t>
      </w:r>
      <w:r w:rsidRPr="00E91920">
        <w:rPr>
          <w:b/>
          <w:bCs/>
          <w:u w:val="single"/>
          <w:vertAlign w:val="superscript"/>
        </w:rPr>
        <w:t xml:space="preserve"> </w:t>
      </w:r>
      <w:r w:rsidRPr="00E91920">
        <w:rPr>
          <w:u w:val="single"/>
        </w:rPr>
        <w:t>y las regulaciones están siendo impugnadas en los tribunales tanto por los defensores que presionan por más acción climática como por aquellos que abogan por menos.</w:t>
      </w:r>
      <w:r w:rsidRPr="00E91920">
        <w:rPr>
          <w:b/>
          <w:bCs/>
          <w:u w:val="single"/>
          <w:vertAlign w:val="superscript"/>
        </w:rPr>
        <w:t xml:space="preserve"> </w:t>
      </w:r>
      <w:r w:rsidRPr="00E91920">
        <w:rPr>
          <w:u w:val="single"/>
        </w:rPr>
        <w:t>Las tensiones geopolíticas y la creciente competencia por las materias primas amigables con el clima también amenazan con socavar aún más la cooperación internacional en el progreso de la transición verde.</w:t>
      </w:r>
      <w:r w:rsidRPr="00E91920">
        <w:rPr>
          <w:b/>
          <w:bCs/>
          <w:u w:val="single"/>
          <w:vertAlign w:val="superscript"/>
        </w:rPr>
        <w:t xml:space="preserve"> </w:t>
      </w:r>
      <w:r w:rsidRPr="00E91920">
        <w:rPr>
          <w:u w:val="single"/>
        </w:rPr>
        <w:t>Algunos actores muestran poco interés en las plataformas multilaterales en las que se desarrolla la acción climática;</w:t>
      </w:r>
      <w:r w:rsidRPr="00E91920">
        <w:rPr>
          <w:b/>
          <w:bCs/>
          <w:u w:val="single"/>
          <w:vertAlign w:val="superscript"/>
        </w:rPr>
        <w:t xml:space="preserve"> </w:t>
      </w:r>
      <w:r w:rsidRPr="00E91920">
        <w:rPr>
          <w:u w:val="single"/>
        </w:rPr>
        <w:t>otros continúan dando prioridad a las industrias importantes a nivel nacional y podrían, a raíz del aumento de las tensiones globales, pasar a las preocupaciones de seguridad nacional sobre la acción en las transiciones.</w:t>
      </w:r>
    </w:p>
    <w:p w:rsidR="00D93BCE" w:rsidRPr="00E91920" w:rsidRDefault="00D93BCE" w:rsidP="00D93BCE">
      <w:pPr>
        <w:pStyle w:val="NormalWeb"/>
        <w:jc w:val="both"/>
        <w:rPr>
          <w:color w:val="FF0000"/>
          <w:u w:val="single"/>
        </w:rPr>
      </w:pPr>
      <w:r w:rsidRPr="00E91920">
        <w:rPr>
          <w:color w:val="FF0000"/>
          <w:u w:val="single"/>
        </w:rPr>
        <w:lastRenderedPageBreak/>
        <w:t>Con las finanzas del gobierno bajo presión, las obligaciones regulatorias no van lo suficientemente lejos o rápido, y se supone que las fuerzas del mercado vendrán al rescate. En muchos países, los incentivos para que los hogares y las empresas inviertan en tecnologías netas cero son insuficientes y hay pocas sanciones por no hacerlo. Adopción lenta de nuevas tecnologías, como la generación de energía con bajas emisiones de carbono y la captura y el almacenamiento de carbono, consumo excesivo continuo de productos y servicios intensivos en carbono en los hogares,</w:t>
      </w:r>
      <w:r w:rsidRPr="00E91920">
        <w:rPr>
          <w:b/>
          <w:bCs/>
          <w:color w:val="FF0000"/>
          <w:u w:val="single"/>
          <w:vertAlign w:val="superscript"/>
        </w:rPr>
        <w:t xml:space="preserve"> </w:t>
      </w:r>
      <w:r w:rsidRPr="00E91920">
        <w:rPr>
          <w:color w:val="FF0000"/>
          <w:u w:val="single"/>
        </w:rPr>
        <w:t>y la falta de comprensión de la gravedad de las amenazas climáticas apuntan a una transición más lenta que preserva el “orden” a corto plazo.</w:t>
      </w:r>
      <w:r w:rsidRPr="00E91920">
        <w:rPr>
          <w:b/>
          <w:bCs/>
          <w:color w:val="FF0000"/>
          <w:u w:val="single"/>
          <w:vertAlign w:val="superscript"/>
        </w:rPr>
        <w:t xml:space="preserve"> </w:t>
      </w:r>
      <w:r w:rsidRPr="00E91920">
        <w:rPr>
          <w:color w:val="FF0000"/>
          <w:u w:val="single"/>
        </w:rPr>
        <w:t>Nuevas innovaciones que requieren grandes cantidades de energía durante la producción y el uso, como criptominería o criptocomercio,</w:t>
      </w:r>
      <w:r w:rsidRPr="00E91920">
        <w:rPr>
          <w:b/>
          <w:bCs/>
          <w:color w:val="FF0000"/>
          <w:u w:val="single"/>
          <w:vertAlign w:val="superscript"/>
        </w:rPr>
        <w:t xml:space="preserve"> </w:t>
      </w:r>
      <w:r w:rsidRPr="00E91920">
        <w:rPr>
          <w:color w:val="FF0000"/>
          <w:u w:val="single"/>
        </w:rPr>
        <w:t>a menudo provenientes de fuentes de energía de combustibles fósiles, también pueden contrarrestar los esfuerzos para reducir la huella ecológica.</w:t>
      </w:r>
    </w:p>
    <w:p w:rsidR="00D93BCE" w:rsidRPr="00F2605B" w:rsidRDefault="00D93BCE" w:rsidP="00D93BCE">
      <w:pPr>
        <w:pStyle w:val="NormalWeb"/>
        <w:jc w:val="both"/>
      </w:pPr>
      <w:r w:rsidRPr="00F2605B">
        <w:t>Las medidas de recuperación post-COVID-19 en su mayoría descuidan la transición verde a favor de la estabilidad a corto plazo,</w:t>
      </w:r>
      <w:r>
        <w:rPr>
          <w:b/>
          <w:bCs/>
          <w:vertAlign w:val="superscript"/>
        </w:rPr>
        <w:t xml:space="preserve"> </w:t>
      </w:r>
      <w:r w:rsidRPr="00F2605B">
        <w:t>mientras que las políticas monetarias laxas distorsionan aún más las soluciones o inversiones ecológicas basadas en el mercado;</w:t>
      </w:r>
      <w:r>
        <w:rPr>
          <w:b/>
          <w:bCs/>
          <w:vertAlign w:val="superscript"/>
        </w:rPr>
        <w:t xml:space="preserve"> </w:t>
      </w:r>
      <w:r w:rsidRPr="00F2605B">
        <w:t>también exacerban el problema de las empresas zombis.</w:t>
      </w:r>
      <w:r>
        <w:rPr>
          <w:b/>
          <w:bCs/>
          <w:vertAlign w:val="superscript"/>
        </w:rPr>
        <w:t xml:space="preserve"> </w:t>
      </w:r>
      <w:r w:rsidRPr="00F2605B">
        <w:t>Las tecnologías intensivas en carbono continúan recibiendo subsidios públicos,</w:t>
      </w:r>
      <w:r>
        <w:rPr>
          <w:b/>
          <w:bCs/>
          <w:vertAlign w:val="superscript"/>
        </w:rPr>
        <w:t xml:space="preserve"> </w:t>
      </w:r>
      <w:r w:rsidRPr="00F2605B">
        <w:t>con más de 50 economías desarrolladas</w:t>
      </w:r>
      <w:r>
        <w:t xml:space="preserve"> y emergentes comprometiendo US</w:t>
      </w:r>
      <w:r w:rsidRPr="00F2605B">
        <w:t>$ 345 mil millones para combustibles fósiles en 2020, una cifra más baja que en años anteriores en gran parte debido a la depresión del consumo y los precios durante la pandemia.</w:t>
      </w:r>
      <w:r>
        <w:rPr>
          <w:b/>
          <w:bCs/>
          <w:vertAlign w:val="superscript"/>
        </w:rPr>
        <w:t xml:space="preserve"> </w:t>
      </w:r>
      <w:r w:rsidRPr="00F2605B">
        <w:t>En el momento de escribir este artículo, el repunte económico tras el impacto de la COVID-19 ha hecho que la demanda de e</w:t>
      </w:r>
      <w:r>
        <w:t>nergía (fósil) supere la oferta,</w:t>
      </w:r>
      <w:r>
        <w:rPr>
          <w:b/>
          <w:bCs/>
          <w:vertAlign w:val="superscript"/>
        </w:rPr>
        <w:t xml:space="preserve"> </w:t>
      </w:r>
      <w:r w:rsidRPr="00F2605B">
        <w:t>lo que resulta en un fuerte aumento de los precios de la energía, incluso cuando el mundo se vuelve contra los combustibles fósiles.</w:t>
      </w:r>
      <w:r>
        <w:rPr>
          <w:b/>
          <w:bCs/>
          <w:vertAlign w:val="superscript"/>
        </w:rPr>
        <w:t xml:space="preserve"> </w:t>
      </w:r>
      <w:r w:rsidRPr="00F2605B">
        <w:t>Además, algunos actores empresariales continúan sus esfuerzos para frenar la transición. Cabildeo escéptico del clima,</w:t>
      </w:r>
      <w:r>
        <w:rPr>
          <w:b/>
          <w:bCs/>
          <w:vertAlign w:val="superscript"/>
        </w:rPr>
        <w:t xml:space="preserve"> </w:t>
      </w:r>
      <w:r>
        <w:t>e</w:t>
      </w:r>
      <w:r w:rsidRPr="00F2605B">
        <w:t>l lavado verde y la siembra de desinformación y desconfianza sobre la ciencia del clima siguen siendo omnipresentes en muchos países.</w:t>
      </w:r>
    </w:p>
    <w:p w:rsidR="00D93BCE" w:rsidRPr="00F2605B" w:rsidRDefault="00D93BCE" w:rsidP="00D93BCE">
      <w:pPr>
        <w:pStyle w:val="NormalWeb"/>
        <w:jc w:val="both"/>
      </w:pPr>
      <w:r w:rsidRPr="00F2605B">
        <w:t>Algunos incentivos económicos también complican los intentos de coordinar medidas que podrían internalizar los costos en industrias y países con altas emisiones, minimizar las interrupciones del mercado y redistribuir las cargas y las recompensas de manera más justa. En lugar de fomentar la descarbonización, la falta de precios de emisiones globales y requisitos de informes continúa protegiendo a los consumidores y productores del costo de la inacción.</w:t>
      </w:r>
      <w:r>
        <w:rPr>
          <w:b/>
          <w:bCs/>
          <w:vertAlign w:val="superscript"/>
        </w:rPr>
        <w:t xml:space="preserve"> </w:t>
      </w:r>
      <w:r w:rsidRPr="00F2605B">
        <w:t>Esto incentiva a los países y las empresas a no reducir las emisiones, sino a jugar con el sistema y evitar la responsabilidad mediante la deslocalización de actividades intensivas en carbono o el comercio de sus emisiones a países con regulaciones menos estrictas.</w:t>
      </w:r>
      <w:r>
        <w:rPr>
          <w:b/>
          <w:bCs/>
          <w:vertAlign w:val="superscript"/>
        </w:rPr>
        <w:t xml:space="preserve"> </w:t>
      </w:r>
      <w:r w:rsidRPr="00F2605B">
        <w:t>Los países en desarrollo atraídos por los esquemas de ahorro de emisiones a corto plazo nuevamente desperdician la oportunidad de utilizar los derechos de emisión de carbono para su propio desarrollo y corren el riesgo de socavar su acceso futuro a los flujos comerciales y la financiación necesaria para la mitigación y la adaptación.</w:t>
      </w:r>
    </w:p>
    <w:p w:rsidR="00D93BCE" w:rsidRDefault="00D93BCE" w:rsidP="00D93BCE">
      <w:pPr>
        <w:pStyle w:val="NormalWeb"/>
        <w:jc w:val="both"/>
        <w:rPr>
          <w:color w:val="FF0000"/>
          <w:u w:val="single"/>
        </w:rPr>
      </w:pPr>
      <w:r w:rsidRPr="00E91920">
        <w:rPr>
          <w:color w:val="FF0000"/>
          <w:u w:val="single"/>
        </w:rPr>
        <w:t>Es posible que las empresas no estén preparadas para los riesgos de la transición, como cambios rápidos en las políticas y regulaciones, la necesidad de desarrollar tecnologías bajas en carbono y cambios en el comportamiento de los consumidores y las preferencias de los inversores.</w:t>
      </w:r>
      <w:r w:rsidRPr="00E91920">
        <w:rPr>
          <w:b/>
          <w:bCs/>
          <w:color w:val="FF0000"/>
          <w:u w:val="single"/>
          <w:vertAlign w:val="superscript"/>
        </w:rPr>
        <w:t xml:space="preserve"> </w:t>
      </w:r>
      <w:r w:rsidRPr="00E91920">
        <w:rPr>
          <w:color w:val="FF0000"/>
          <w:u w:val="single"/>
        </w:rPr>
        <w:t>Estos riesgos tienen el potencial de desestabilizar el sistema financiero,</w:t>
      </w:r>
      <w:r w:rsidRPr="00E91920">
        <w:rPr>
          <w:b/>
          <w:bCs/>
          <w:color w:val="FF0000"/>
          <w:u w:val="single"/>
          <w:vertAlign w:val="superscript"/>
        </w:rPr>
        <w:t xml:space="preserve"> </w:t>
      </w:r>
      <w:r w:rsidRPr="00E91920">
        <w:rPr>
          <w:color w:val="FF0000"/>
          <w:u w:val="single"/>
        </w:rPr>
        <w:t>ya que en conjunto pueden aumentar las tasas de incumplimiento y la volatilidad de los activos. Se amplifican aún más en economías con baja capacidad de inversión, alta dependencia de los combustibles fósiles y sistemas políticos menos inclusivos.</w:t>
      </w:r>
    </w:p>
    <w:p w:rsidR="00D93BCE" w:rsidRPr="00E91920" w:rsidRDefault="00D93BCE" w:rsidP="00D93BCE">
      <w:pPr>
        <w:pStyle w:val="NormalWeb"/>
        <w:jc w:val="both"/>
        <w:rPr>
          <w:color w:val="FF0000"/>
          <w:u w:val="single"/>
        </w:rPr>
      </w:pPr>
    </w:p>
    <w:p w:rsidR="00D93BCE" w:rsidRPr="00F2605B" w:rsidRDefault="00D93BCE" w:rsidP="00D93BCE">
      <w:pPr>
        <w:pStyle w:val="Ttulo3"/>
        <w:jc w:val="both"/>
        <w:rPr>
          <w:sz w:val="24"/>
          <w:szCs w:val="24"/>
        </w:rPr>
      </w:pPr>
      <w:r w:rsidRPr="00F2605B">
        <w:rPr>
          <w:sz w:val="24"/>
          <w:szCs w:val="24"/>
        </w:rPr>
        <w:lastRenderedPageBreak/>
        <w:t>Consecuencias</w:t>
      </w:r>
    </w:p>
    <w:p w:rsidR="00D93BCE" w:rsidRPr="00E91920" w:rsidRDefault="00D93BCE" w:rsidP="00D93BCE">
      <w:pPr>
        <w:pStyle w:val="NormalWeb"/>
        <w:jc w:val="both"/>
        <w:rPr>
          <w:color w:val="FF0000"/>
          <w:u w:val="single"/>
        </w:rPr>
      </w:pPr>
      <w:r w:rsidRPr="00E91920">
        <w:rPr>
          <w:color w:val="FF0000"/>
          <w:u w:val="single"/>
        </w:rPr>
        <w:t>Las consecuencias y repercusiones de la transición necesariamente reflejarán la velocidad a la que se produzca; los esfuerzos que se dedican a ello; y si es lento o agresivo, concertado o arraigado, y se centra más en la mitigación o la adaptación. La meta de 1,5°C es tan fundamental que las sociedades deben estar preparadas para asumir las consecuencias negativas de las políticas que toman los gobiernos hoy para evitar las peores consecuencias mañana. Esto incluye la pérdida de empleos, el aumento de los costos y la inseguridad geopolítica asociada con una transición desordenada. Solo una transición socialmente justa hará que las consecuencias sean soportables para gran parte de las sociedades, y los gobiernos necesitarán crear políticas y sistemas de protección social que ayuden a reducir los impactos para los afectados. Una rápida descarbonización aumentaría la disrupción económica y social a corto plazo,</w:t>
      </w:r>
    </w:p>
    <w:p w:rsidR="00D93BCE" w:rsidRPr="00E91920" w:rsidRDefault="00D93BCE" w:rsidP="00D93BCE">
      <w:pPr>
        <w:pStyle w:val="NormalWeb"/>
        <w:jc w:val="both"/>
        <w:rPr>
          <w:color w:val="FF0000"/>
          <w:u w:val="single"/>
        </w:rPr>
      </w:pPr>
      <w:r w:rsidRPr="00E91920">
        <w:rPr>
          <w:color w:val="FF0000"/>
          <w:u w:val="single"/>
        </w:rPr>
        <w:t>Los encuestados de GRPS llamaron la atención sobre las consecuencias sociales de la degradación ambiental a</w:t>
      </w:r>
      <w:r>
        <w:rPr>
          <w:color w:val="FF0000"/>
          <w:u w:val="single"/>
        </w:rPr>
        <w:t xml:space="preserve"> escala global. Identifican el “fracaso de la acción climática” y el “clima extremo”</w:t>
      </w:r>
      <w:r w:rsidRPr="00E91920">
        <w:rPr>
          <w:color w:val="FF0000"/>
          <w:u w:val="single"/>
        </w:rPr>
        <w:t xml:space="preserve"> como fuertes agravantes de la</w:t>
      </w:r>
      <w:r>
        <w:rPr>
          <w:color w:val="FF0000"/>
          <w:u w:val="single"/>
        </w:rPr>
        <w:t xml:space="preserve"> “migración involuntaria”, las “</w:t>
      </w:r>
      <w:r w:rsidRPr="00E91920">
        <w:rPr>
          <w:color w:val="FF0000"/>
          <w:u w:val="single"/>
        </w:rPr>
        <w:t>crisi</w:t>
      </w:r>
      <w:r>
        <w:rPr>
          <w:color w:val="FF0000"/>
          <w:u w:val="single"/>
        </w:rPr>
        <w:t>s de los medios de subsistencia” y la “erosión de la cohesión social”</w:t>
      </w:r>
      <w:r w:rsidRPr="00E91920">
        <w:rPr>
          <w:color w:val="FF0000"/>
          <w:u w:val="single"/>
        </w:rPr>
        <w:t>. En contraste, quienes respondieron a la Encuesta de Opinión Ejecutiva (EOS, por sus siglas en inglés) ven los impactos del “fracaso de la acción climática” como los principales riesgos a corto plazo a nivel de país: el “daño ambiental humano” y el “clima extremo” se consideran los 10 riesgos principales en 90 economías y 60 países, respectivamente. Todos los países que clasifican alto estos riesgos son particularmente propensos a incendios forestales, sequías, inundaciones, deforestación y contaminación.</w:t>
      </w:r>
    </w:p>
    <w:p w:rsidR="00D93BCE" w:rsidRPr="00F2605B" w:rsidRDefault="00D93BCE" w:rsidP="00D93BCE">
      <w:pPr>
        <w:pStyle w:val="Ttulo3"/>
        <w:jc w:val="both"/>
        <w:rPr>
          <w:sz w:val="24"/>
          <w:szCs w:val="24"/>
        </w:rPr>
      </w:pPr>
      <w:r w:rsidRPr="00F2605B">
        <w:rPr>
          <w:sz w:val="24"/>
          <w:szCs w:val="24"/>
        </w:rPr>
        <w:t>Velocidades variables</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Un ritmo apresurado</w:t>
      </w:r>
    </w:p>
    <w:p w:rsidR="00D93BCE" w:rsidRPr="00F2605B" w:rsidRDefault="00D93BCE" w:rsidP="00D93BCE">
      <w:pPr>
        <w:pStyle w:val="NormalWeb"/>
        <w:jc w:val="both"/>
      </w:pPr>
      <w:r w:rsidRPr="00E91920">
        <w:rPr>
          <w:u w:val="single"/>
        </w:rPr>
        <w:t>Debido a la escala del esfuerzo, la acción concertada y agresiva ahora traerá discontinuidades y, por lo tanto, interrupciones, ya que los esfuerzos dentro y entre las industrias, las empresas y los gobiernos no logran alinearse. </w:t>
      </w:r>
      <w:r w:rsidRPr="00F2605B">
        <w:t>Aliviaría las consecuencias ambientales a largo plazo, pero podría tener graves impactos económicos y sociales a corto plazo. Es probable que los pasos en falso amenacen la seguridad energética nacional, por ejemplo, y resulten en precios volátiles de la energía. A más largo plazo, los países se enfrentarán a preguntas sobre la viabilidad de los acuerdos de suministro de gas y combustible para vehículos cuando gran parte de la población se haya alejado de los motores de combustión, las calderas de gas y la calefacción.</w:t>
      </w:r>
    </w:p>
    <w:p w:rsidR="00D93BCE" w:rsidRPr="00F2605B" w:rsidRDefault="00D93BCE" w:rsidP="00D93BCE">
      <w:pPr>
        <w:pStyle w:val="NormalWeb"/>
        <w:jc w:val="both"/>
      </w:pPr>
      <w:r w:rsidRPr="00E91920">
        <w:rPr>
          <w:u w:val="single"/>
        </w:rPr>
        <w:t>Dado que las industrias intensivas en carbono emplean a millones de trabajadores, su rápida terminación podría desencadenar volatilidad económica y aumentar las tensiones sociales y geopolíticas</w:t>
      </w:r>
      <w:r w:rsidRPr="00F2605B">
        <w:t>. Se podrían perder hasta 8,5 millones de puestos de trabajo en el sector energético (casi el 30 %) en combustibles fósiles y energía nuclear para 2050, aunque con la reconversión se podrían crear hasta 40 millones de nuevos puestos de trabajo, la mayoría en energías renovables.</w:t>
      </w:r>
      <w:r>
        <w:rPr>
          <w:b/>
          <w:bCs/>
          <w:vertAlign w:val="superscript"/>
        </w:rPr>
        <w:t xml:space="preserve"> </w:t>
      </w:r>
      <w:r w:rsidRPr="00F2605B">
        <w:t>Las inversiones anteriores o actuales en tecnologías intensivas en carbono podrían resultar en activos bloqueados. Estos, incluso si son el resultado de inversiones intencionales en tecnologías intensivas en carbono para obtener ganancias a corto plazo en lugar de inversiones a largo pla</w:t>
      </w:r>
      <w:r>
        <w:t xml:space="preserve">zo en tecnologías limpias, </w:t>
      </w:r>
      <w:r w:rsidRPr="00F2605B">
        <w:t>podría afectar al sector financiero,</w:t>
      </w:r>
      <w:r>
        <w:rPr>
          <w:b/>
          <w:bCs/>
          <w:vertAlign w:val="superscript"/>
        </w:rPr>
        <w:t xml:space="preserve"> </w:t>
      </w:r>
      <w:r w:rsidRPr="00F2605B">
        <w:t>así como la transición, cuando quedan atrapados en industrias como las que extraen los recursos necesarios para las tecnologías bajas en carbono.</w:t>
      </w:r>
      <w:r>
        <w:rPr>
          <w:b/>
          <w:bCs/>
          <w:vertAlign w:val="superscript"/>
        </w:rPr>
        <w:t xml:space="preserve"> </w:t>
      </w:r>
      <w:r w:rsidRPr="00F2605B">
        <w:t xml:space="preserve">A pesar de estas </w:t>
      </w:r>
      <w:r w:rsidRPr="00F2605B">
        <w:lastRenderedPageBreak/>
        <w:t>interrupciones a corto plazo, las consecuencias sociales y económicas del calentamiento global no mitigado y la inundación o desaparición de naciones enteras serían aún más cataclísmicas: las economías y los activos completos de los países quedarían varados.</w:t>
      </w:r>
    </w:p>
    <w:p w:rsidR="00D93BCE" w:rsidRPr="00325006" w:rsidRDefault="00D93BCE" w:rsidP="00D93BCE">
      <w:pPr>
        <w:pStyle w:val="NormalWeb"/>
        <w:jc w:val="both"/>
        <w:rPr>
          <w:u w:val="single"/>
        </w:rPr>
      </w:pPr>
      <w:r w:rsidRPr="00325006">
        <w:rPr>
          <w:u w:val="single"/>
        </w:rPr>
        <w:t>Los enfoques gubernamentales no holísticos también presentan riesgos. Adoptar tecnologías bajas en carbono y más sostenibles demasiado rápido, de una manera que descuide las interdependencias sistémicas, como la transición de un sistema antes de que otro vinculado o dependiente esté listo, podría provocar escasez de producción e interrumpir los ciclos económicos secundarios si no se cuenta con sistemas redundantes, para evitar que los suministros de energía colapsen. La mala regulación de los nuevos mercados verdes podría crear monopolios no deseados en industrias disputadas geopolíticamente, como la extracción de elementos de tierras raras.</w:t>
      </w:r>
    </w:p>
    <w:p w:rsidR="00D93BCE" w:rsidRPr="00325006" w:rsidRDefault="00D93BCE" w:rsidP="00D93BCE">
      <w:pPr>
        <w:pStyle w:val="NormalWeb"/>
        <w:jc w:val="both"/>
        <w:rPr>
          <w:u w:val="single"/>
        </w:rPr>
      </w:pPr>
      <w:r w:rsidRPr="00325006">
        <w:rPr>
          <w:u w:val="single"/>
        </w:rPr>
        <w:t>Algunos enfoques de la transición verde reflejan puntos ciegos que corren el riesgo de resultados perjudiciales para los trabajadores y el medio ambiente.</w:t>
      </w:r>
      <w:r w:rsidRPr="00325006">
        <w:rPr>
          <w:b/>
          <w:bCs/>
          <w:u w:val="single"/>
          <w:vertAlign w:val="superscript"/>
        </w:rPr>
        <w:t xml:space="preserve"> </w:t>
      </w:r>
      <w:r w:rsidRPr="00325006">
        <w:rPr>
          <w:u w:val="single"/>
        </w:rPr>
        <w:t>Estos incluyen centrarse únicamente en las emisiones de dióxido de carbono (CO2) e ignorar el metano,</w:t>
      </w:r>
      <w:r w:rsidRPr="00325006">
        <w:rPr>
          <w:b/>
          <w:bCs/>
          <w:u w:val="single"/>
          <w:vertAlign w:val="superscript"/>
        </w:rPr>
        <w:t xml:space="preserve"> </w:t>
      </w:r>
      <w:r w:rsidRPr="00325006">
        <w:rPr>
          <w:u w:val="single"/>
        </w:rPr>
        <w:t>o el mayor uso de recursos para tecnologías bajas en carbono. También corren el riesgo de establecer requisitos regulatorios para eliminar tecnologías antes de que existan sustitutos o, en otras palabras, un enfoque en la restricción de la oferta de combustibles fósiles en lugar de un énfasis igual en la destrucción de la demanda en las industrias más intensivas en carbono.</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Transición lenta</w:t>
      </w:r>
    </w:p>
    <w:p w:rsidR="00D93BCE" w:rsidRPr="00325006" w:rsidRDefault="00D93BCE" w:rsidP="00D93BCE">
      <w:pPr>
        <w:pStyle w:val="NormalWeb"/>
        <w:jc w:val="both"/>
        <w:rPr>
          <w:color w:val="FF0000"/>
          <w:u w:val="single"/>
        </w:rPr>
      </w:pPr>
      <w:r w:rsidRPr="00325006">
        <w:rPr>
          <w:color w:val="FF0000"/>
          <w:u w:val="single"/>
        </w:rPr>
        <w:t xml:space="preserve">Por el contrario, una transición más lenta pero más ordenada podría ser más manejable a corto plazo, pero daría lugar a la necesidad de cambios más profundos y rápidos para 2050. Esto conduciría a un desorden más pronunciado a largo plazo, amplificado al mismo </w:t>
      </w:r>
      <w:r>
        <w:rPr>
          <w:color w:val="FF0000"/>
          <w:u w:val="single"/>
        </w:rPr>
        <w:t xml:space="preserve">tiempo por cambios más dañinos para la </w:t>
      </w:r>
      <w:r w:rsidRPr="00325006">
        <w:rPr>
          <w:color w:val="FF0000"/>
          <w:u w:val="single"/>
        </w:rPr>
        <w:t>actividad económica como el cierre de oportunidades, impactos dañinos a través de la degradación ambiental que afectan el bienestar social y fragilidades infraestructurales.</w:t>
      </w:r>
    </w:p>
    <w:p w:rsidR="00D93BCE" w:rsidRPr="00F2605B" w:rsidRDefault="00D93BCE" w:rsidP="00D93BCE">
      <w:pPr>
        <w:pStyle w:val="NormalWeb"/>
        <w:jc w:val="both"/>
      </w:pPr>
      <w:r w:rsidRPr="00F2605B">
        <w:t>Los impactos financieros a largo plazo afectarían de manera desproporcionada a los países grandes y/o en desarrollo.</w:t>
      </w:r>
      <w:r>
        <w:rPr>
          <w:b/>
          <w:bCs/>
          <w:vertAlign w:val="superscript"/>
        </w:rPr>
        <w:t xml:space="preserve"> </w:t>
      </w:r>
      <w:r w:rsidRPr="00F2605B">
        <w:t>Algunos de estos países enfrentan barreras políticas y financieras para reducir rápidamente su dependencia de la producción de energía de combustibles fósiles, como reducir el uso de carbón;</w:t>
      </w:r>
      <w:r>
        <w:rPr>
          <w:b/>
          <w:bCs/>
          <w:vertAlign w:val="superscript"/>
        </w:rPr>
        <w:t xml:space="preserve"> </w:t>
      </w:r>
      <w:r w:rsidRPr="00F2605B">
        <w:t>otros confían en el gas natural para alcanzar un mayor nivel de industrialización antes de la descarbonización,</w:t>
      </w:r>
      <w:r>
        <w:rPr>
          <w:b/>
          <w:bCs/>
          <w:vertAlign w:val="superscript"/>
        </w:rPr>
        <w:t xml:space="preserve"> </w:t>
      </w:r>
      <w:r w:rsidRPr="00F2605B">
        <w:t>a pesar de que estas políticas agravan aún más la destrucción de los ecosistemas. En consecuencia, la pérdida de tierra (cultivable) aumentaría la presión migratoria y el número de refugiados climáticos (ver Capítulo 4). Este camino lento puede llevar a los países a priorizar la adaptación sobre los esfuerzos de mitigación. Sin embargo, una vez que los precios del carbono aumentan y la destrucción de la demanda termina haciendo que la inversión en energía fósil sea una apuesta perdida, dar el salto a las energías renovables más temprano que tarde podría resultar una inversión a largo plazo más efectiva para esos países en desarrollo.</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Ritmos divergentes</w:t>
      </w:r>
    </w:p>
    <w:p w:rsidR="00D93BCE" w:rsidRPr="00F2605B" w:rsidRDefault="00D93BCE" w:rsidP="00D93BCE">
      <w:pPr>
        <w:pStyle w:val="NormalWeb"/>
        <w:jc w:val="both"/>
      </w:pPr>
      <w:r w:rsidRPr="00325006">
        <w:rPr>
          <w:u w:val="single"/>
        </w:rPr>
        <w:t xml:space="preserve">Lo más probable es que los programas nacionales de transición avancen a diferentes ritmos como resultado de las diferencias en la voluntad política (ambiciones de descarbonización e interés político), la estructura económica (servicio frente a la fabricación) y las capacidades (conocimiento tecnológico y medios financieros). Los países que se muevan más rápido podrán consolidar sus propias capacidades nacionales e industrias de tecnología </w:t>
      </w:r>
      <w:r w:rsidRPr="00325006">
        <w:rPr>
          <w:u w:val="single"/>
        </w:rPr>
        <w:lastRenderedPageBreak/>
        <w:t>limpia; aquellos que se mueven más lentamente carecerán de competitividad en esta área pero podrán aprovechar lo mejor que se ha desarrollado en otros lugares</w:t>
      </w:r>
      <w:r w:rsidRPr="00F2605B">
        <w:t>. Iniciativas que prestan más atención a las emisiones de alcance 3</w:t>
      </w:r>
      <w:r>
        <w:rPr>
          <w:b/>
          <w:bCs/>
          <w:vertAlign w:val="superscript"/>
        </w:rPr>
        <w:t xml:space="preserve"> </w:t>
      </w:r>
      <w:r w:rsidRPr="00F2605B">
        <w:t>destacará las cadenas de valor mundiales y perjudicará cada vez más a las exportaciones de los países rezagados. Además, la heterogeneidad de la acción climática a nivel mundial será un riesgo para los flujos comerciales en el futuro, especialmente para las economías menos desarrolladas. Al enfrentarse a un acceso más limitado a la financiación del comercio, corren el riesgo de ser excluidos de las oportunidades para la mitigación y adaptación climáticas ordenadas.</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5DE78EB1" wp14:editId="1759F2B2">
            <wp:extent cx="5702300" cy="1536700"/>
            <wp:effectExtent l="0" t="0" r="0" b="6350"/>
            <wp:docPr id="10" name="Imagen 10" descr="Emisiones de alcance 1, alcance 2 y alcance 3 - Informe de riesgos globales 2022">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misiones de alcance 1, alcance 2 y alcance 3 - Informe de riesgos globales 2022">
                      <a:hlinkClick r:id="rId93"/>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02300" cy="1536700"/>
                    </a:xfrm>
                    <a:prstGeom prst="rect">
                      <a:avLst/>
                    </a:prstGeom>
                    <a:noFill/>
                    <a:ln>
                      <a:noFill/>
                    </a:ln>
                  </pic:spPr>
                </pic:pic>
              </a:graphicData>
            </a:graphic>
          </wp:inline>
        </w:drawing>
      </w:r>
    </w:p>
    <w:p w:rsidR="00D93BCE" w:rsidRPr="00325006" w:rsidRDefault="00D93BCE" w:rsidP="00D93BCE">
      <w:pPr>
        <w:pStyle w:val="NormalWeb"/>
        <w:jc w:val="both"/>
        <w:rPr>
          <w:color w:val="FF0000"/>
          <w:u w:val="single"/>
        </w:rPr>
      </w:pPr>
      <w:r w:rsidRPr="00325006">
        <w:rPr>
          <w:color w:val="FF0000"/>
          <w:u w:val="single"/>
        </w:rPr>
        <w:t>Los daños a la reputación y los problemas de responsabilidad de los gobiernos y las empresas considerados cómplices, si no responsables, del cambio climático podrían provocar rupturas en la confianza entre las naciones, mayores tensiones globales y la posibilidad de que se introduzcan sanciones contra las naciones rezagadas, o multas/aranceles comerciales contra negocios reincidentes.</w:t>
      </w:r>
    </w:p>
    <w:p w:rsidR="00D93BCE" w:rsidRPr="00325006" w:rsidRDefault="00D93BCE" w:rsidP="00D93BCE">
      <w:pPr>
        <w:pStyle w:val="NormalWeb"/>
        <w:jc w:val="both"/>
        <w:rPr>
          <w:u w:val="single"/>
        </w:rPr>
      </w:pPr>
      <w:r w:rsidRPr="00325006">
        <w:rPr>
          <w:u w:val="single"/>
        </w:rPr>
        <w:t>Las políticas de transición corren el riesgo de perder el apoyo público si descuidan los impactos (en el uso de la tierra, los recursos o la naturaleza) de las instalaciones de energía eólica y de agua a gran escala.</w:t>
      </w:r>
      <w:r w:rsidRPr="00325006">
        <w:rPr>
          <w:b/>
          <w:bCs/>
          <w:u w:val="single"/>
          <w:vertAlign w:val="superscript"/>
        </w:rPr>
        <w:t xml:space="preserve"> </w:t>
      </w:r>
      <w:r w:rsidRPr="00325006">
        <w:rPr>
          <w:u w:val="single"/>
        </w:rPr>
        <w:t>o emanar de la falta de creación de esquemas de precios justos para las comunidades dispuestas a invertir en energía verde, como un cambio de combustible fósil a subsidios de energía renovable o tarifas de alimentación iguales para individuos y proveedores a gran escala.</w:t>
      </w:r>
      <w:r w:rsidRPr="00325006">
        <w:rPr>
          <w:b/>
          <w:bCs/>
          <w:u w:val="single"/>
          <w:vertAlign w:val="superscript"/>
        </w:rPr>
        <w:t xml:space="preserve"> </w:t>
      </w:r>
      <w:r w:rsidRPr="00325006">
        <w:rPr>
          <w:u w:val="single"/>
        </w:rPr>
        <w:t>Mala estabilidad de la red debido a la intermitencia de las fuentes de energía renovable, la escasez de capacidad de almacenamiento y la eliminación gradual de las tecnologías energéticas de carga base existentes que tienen una baja intensidad de carbono pero que son políticamente muy controvertidas, como la energía nuclear,</w:t>
      </w:r>
      <w:r w:rsidRPr="00325006">
        <w:rPr>
          <w:b/>
          <w:bCs/>
          <w:u w:val="single"/>
          <w:vertAlign w:val="superscript"/>
        </w:rPr>
        <w:t xml:space="preserve"> </w:t>
      </w:r>
      <w:r w:rsidRPr="00325006">
        <w:rPr>
          <w:u w:val="single"/>
        </w:rPr>
        <w:t>también podría disminuir el apoyo público a las fuentes de energía más limpias.</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Soluciones biotécnicas y de geoingeniería</w:t>
      </w:r>
    </w:p>
    <w:p w:rsidR="00D93BCE" w:rsidRPr="00F2605B" w:rsidRDefault="00D93BCE" w:rsidP="00D93BCE">
      <w:pPr>
        <w:pStyle w:val="NormalWeb"/>
        <w:jc w:val="both"/>
      </w:pPr>
      <w:r w:rsidRPr="00F2605B">
        <w:t>Si bien las tecnologías de emisión negativa son un componente esencial de todos los escenarios de 1,5 °C del IPCC, las soluciones de geoingeniería podrían ser soluciones mágicas, pero es posible que no exploren adecuadamente las interdependencias y las implicaciones sistémicas.</w:t>
      </w:r>
      <w:r>
        <w:rPr>
          <w:b/>
          <w:bCs/>
          <w:vertAlign w:val="superscript"/>
        </w:rPr>
        <w:t xml:space="preserve"> </w:t>
      </w:r>
      <w:r w:rsidRPr="00F2605B">
        <w:t>Además, el despliegue de tales tecnologías no probadas conlleva riesgos desconocidos. Algunos enfoques de geoingeniería, como la modificación del clima o la gestión de la radiación solar (SRM), podrían salirse de control o crear fricciones si se utilizan para obtener ventajas geopolíticas en ausencia de un marco de gobernanza.</w:t>
      </w:r>
      <w:r>
        <w:rPr>
          <w:b/>
          <w:bCs/>
          <w:vertAlign w:val="superscript"/>
        </w:rPr>
        <w:t xml:space="preserve"> </w:t>
      </w:r>
      <w:r w:rsidRPr="00F2605B">
        <w:t>ya que la efectividad podría variar regionalmente.</w:t>
      </w:r>
      <w:r>
        <w:rPr>
          <w:b/>
          <w:bCs/>
          <w:vertAlign w:val="superscript"/>
        </w:rPr>
        <w:t xml:space="preserve"> </w:t>
      </w:r>
      <w:r w:rsidRPr="00F2605B">
        <w:t>Podrían exacerbar las tensiones geopolíticas entre países donde el clima local está mejorando y aquellos que están sufriendo las consecuencias no deseadas.</w:t>
      </w:r>
    </w:p>
    <w:p w:rsidR="00D93BCE" w:rsidRPr="00F2605B" w:rsidRDefault="00D93BCE" w:rsidP="00D93BCE">
      <w:pPr>
        <w:pStyle w:val="NormalWeb"/>
        <w:jc w:val="both"/>
      </w:pPr>
      <w:r w:rsidRPr="00F2605B">
        <w:lastRenderedPageBreak/>
        <w:t>Por otro lado, las soluciones biotécnicas, como la eliminación de dióxido de carbono (CDR) de la atmósfera, deben ampliarse para estar cerca de mantener el escenario de 1,5 °C al alcance de todos los escenarios del IPCC.</w:t>
      </w:r>
      <w:r>
        <w:rPr>
          <w:b/>
          <w:bCs/>
          <w:vertAlign w:val="superscript"/>
        </w:rPr>
        <w:t xml:space="preserve"> </w:t>
      </w:r>
      <w:r w:rsidRPr="00F2605B">
        <w:t>La solidez de cualquier estrategia de cero neto que se base en CDR depende tanto de la efectividad de los proyectos subyacentes que impulsan la eliminación de CO2 como, especialmente, de la permanencia del carbono almacenado.</w:t>
      </w:r>
      <w:r>
        <w:rPr>
          <w:b/>
          <w:bCs/>
          <w:vertAlign w:val="superscript"/>
        </w:rPr>
        <w:t xml:space="preserve"> </w:t>
      </w:r>
      <w:r w:rsidRPr="00F2605B">
        <w:t>Otras soluciones, como la captura, utilización y almacenamiento de carbono (CCUS), ya están fuertemente subsidiadas,</w:t>
      </w:r>
      <w:r>
        <w:rPr>
          <w:b/>
          <w:bCs/>
          <w:vertAlign w:val="superscript"/>
        </w:rPr>
        <w:t xml:space="preserve"> </w:t>
      </w:r>
      <w:r w:rsidRPr="00F2605B">
        <w:t>pero corren el riesgo de ser utilizados para el lavado verde ya que las industrias pesadas en carbono finalmente no logran cambiar estructuralmente sus cadenas de valor para reducir sus emisiones.</w:t>
      </w:r>
      <w:r>
        <w:rPr>
          <w:b/>
          <w:bCs/>
          <w:vertAlign w:val="superscript"/>
        </w:rPr>
        <w:t xml:space="preserve"> </w:t>
      </w:r>
      <w:r w:rsidRPr="00F2605B">
        <w:t>Del mismo modo, las soluciones de captura y almacenamiento de carbono bioenergético (BECCS) podrían crear consecuencias geopolíticas no deseadas o resultar contraproducentes.</w:t>
      </w:r>
    </w:p>
    <w:p w:rsidR="00D93BCE" w:rsidRPr="00F2605B" w:rsidRDefault="00D93BCE" w:rsidP="00D93BCE">
      <w:pPr>
        <w:pStyle w:val="Ttulo3"/>
        <w:jc w:val="both"/>
        <w:rPr>
          <w:sz w:val="24"/>
          <w:szCs w:val="24"/>
        </w:rPr>
      </w:pPr>
      <w:r w:rsidRPr="00F2605B">
        <w:rPr>
          <w:sz w:val="24"/>
          <w:szCs w:val="24"/>
        </w:rPr>
        <w:t>Consecuencias para las partes interesadas</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Pérdida de agencia: Consecuencias para los individuos</w:t>
      </w:r>
    </w:p>
    <w:p w:rsidR="00D93BCE" w:rsidRPr="00F2605B" w:rsidRDefault="00D93BCE" w:rsidP="00D93BCE">
      <w:pPr>
        <w:pStyle w:val="NormalWeb"/>
        <w:jc w:val="both"/>
      </w:pPr>
      <w:r w:rsidRPr="00325006">
        <w:rPr>
          <w:u w:val="single"/>
        </w:rPr>
        <w:t>El tipo de transición tendrá implicaciones socioeconómicas de gran alcance para las personas. Cuando las políticas, los incentivos y las innovaciones no logran estimular soluciones de mercado efectivas, los hogares verán aumentos en su costo de vida debido a los crecientes requisitos de descarbonización para los hogares, el aumento de los precios de los combustibles fósiles y los impactos climáticos físicos, entre otros problemas</w:t>
      </w:r>
      <w:r w:rsidRPr="00F2605B">
        <w:t>. También pueden enfrentar una mayor interrupción del servicio de los servicios públicos donde los participantes no han anticipado adecuadamente las dependencias y discontinuidades del sistema. Están especialmente en riesgo los trabajadores no calificados, aquellos que no pueden hacer la transición de sus conjuntos de habilidades y aquellos que actualmente están empleados en industrias intensivas en carbono que experimentan una transformación radical.</w:t>
      </w:r>
      <w:r>
        <w:rPr>
          <w:b/>
          <w:bCs/>
          <w:vertAlign w:val="superscript"/>
        </w:rPr>
        <w:t xml:space="preserve"> </w:t>
      </w:r>
      <w:r w:rsidRPr="00F2605B">
        <w:t>Muchos de estos trabajadores ya enfrentan desafíos relacionados con la automatización y la hiperglobalización de la era anterior a la COVID-19, cuando las industrias pesadas clave, como el carbón y el acero, se deslocalizaron hacia mercados emergentes.</w:t>
      </w:r>
      <w:r>
        <w:rPr>
          <w:b/>
          <w:bCs/>
          <w:vertAlign w:val="superscript"/>
        </w:rPr>
        <w:t xml:space="preserve"> </w:t>
      </w:r>
      <w:r w:rsidRPr="00F2605B">
        <w:t>Los hogares de clase media también podrían quedarse atrás si las medidas de transición agresivas impactan sus finanzas y su poder adquisitivo disminuye sustancialmente.</w:t>
      </w:r>
    </w:p>
    <w:p w:rsidR="00D93BCE" w:rsidRPr="00F2605B" w:rsidRDefault="00D93BCE" w:rsidP="00D93BCE">
      <w:pPr>
        <w:pStyle w:val="NormalWeb"/>
        <w:jc w:val="both"/>
      </w:pPr>
      <w:r w:rsidRPr="00325006">
        <w:rPr>
          <w:u w:val="single"/>
        </w:rPr>
        <w:t xml:space="preserve">La pérdida de ingresos inhibiría el acceso de las personas a las nuevas tecnologías y la movilidad ascendente, afianzando las desigualdades durante generaciones. Las velocidades de transición desiguales podrían ampliar las desigualdades entre las economías y crear presión sobre los trabajadores para que emigren a países donde todavía hay demanda por sus habilidades </w:t>
      </w:r>
      <w:r w:rsidRPr="00DE6AA4">
        <w:t>(consulte el Capítulo 4).</w:t>
      </w:r>
      <w:r w:rsidRPr="00F2605B">
        <w:t> La acción climática fallida o lenta podría empeorar las desigualdades de género ya que, en muchas economías de bajos ingresos, las mujeres son responsables de recolectar y producir alimentos, asegurar el agua y recolectar fuentes de bioenergía como leña y desechos de cultivos. Juntas, estas consecuencias podrían desencadenar la desilusión con la acción climática y conducir a la radicalización de los grupos socioeconómicos marginados en todo el espectro político.</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Pérdida de control: Consecuencias para los gobiernos</w:t>
      </w:r>
    </w:p>
    <w:p w:rsidR="00D93BCE" w:rsidRPr="00F2605B" w:rsidRDefault="00D93BCE" w:rsidP="00D93BCE">
      <w:pPr>
        <w:pStyle w:val="NormalWeb"/>
        <w:jc w:val="both"/>
      </w:pPr>
      <w:r w:rsidRPr="00325006">
        <w:rPr>
          <w:u w:val="single"/>
        </w:rPr>
        <w:t xml:space="preserve">Los gobiernos se enfrentarán a una reacción violenta ya sea que la acción climática sea lenta o agresiva. Los costos de transición más pronunciados, como un aumento alto y rápido en el precio del carbono y los combustibles fósiles, podrían debilitar el apoyo público para una acción rápida; por el contrario, la acción lenta podría desencadenar una mayor radicalización de aquellos que sienten que las autoridades en todos los niveles no actúan con la suficiente </w:t>
      </w:r>
      <w:r w:rsidRPr="00325006">
        <w:rPr>
          <w:u w:val="single"/>
        </w:rPr>
        <w:lastRenderedPageBreak/>
        <w:t>rapidez, con un posible aumento de la fricción intergeneracional y más drenaje fiscal debido al aumento de los fondos de recuperación</w:t>
      </w:r>
      <w:r w:rsidRPr="00F2605B">
        <w:t>. Invertir en una economía neta cero podría crear niveles insostenibles de deuda para las economías que carecen de los medios para una inversión a gran escala, o la pérdida de rentas/ingresos fiscales para las economías que dependen en gran medida de la producción de recursos intensivos en carbono, lo que paralizaría las finanzas públicas ya vulnerables a los impactos económicos de las consecuencias de COVID-19 (consulte el Capítulo 1). Especialmente en riesgo están los países más vulnerables al clima; dicha inversión verde podría verse como una desviación de los programas de recuperación relacionados con la pandemia y la mejora de la infraestructura y los servicios públicos básicos. El acceso desigual a las innovaciones con bajas o cero emisiones de carbono podría socavar el apoyo a los gobiernos en algunos países.</w:t>
      </w:r>
    </w:p>
    <w:p w:rsidR="00D93BCE" w:rsidRPr="00325006" w:rsidRDefault="00D93BCE" w:rsidP="00D93BCE">
      <w:pPr>
        <w:pStyle w:val="NormalWeb"/>
        <w:jc w:val="both"/>
        <w:rPr>
          <w:u w:val="single"/>
        </w:rPr>
      </w:pPr>
      <w:r w:rsidRPr="00325006">
        <w:rPr>
          <w:u w:val="single"/>
        </w:rPr>
        <w:t>Una transición socialmente injusta exacerbaría las fricciones geopolíticas y económicas y las desigualdades entre países y regiones. Las economías rezagadas, especialmente aquellas que dependen de sectores intensivos en carbono y que no logran mantenerse al día con la innovación tecnológica, corren el riesgo de perder ventaja competitiva y apalancamiento en acuerdos comerciales, disturbios civiles, cambios de régimen y trastornos económicos y sociales masivos. El acceso desigual a los materiales y la financiación para permitir la transición podría aumentar las tensiones, al igual que las consecuencias no deseadas, como la destrucción de los ecosistemas en los países en desarrollo para extraer recursos para la electrificación de la movilidad al siguiente nivel en las economías desarrolladas.</w:t>
      </w:r>
    </w:p>
    <w:p w:rsidR="00D93BCE" w:rsidRPr="00F2605B" w:rsidRDefault="00D93BCE" w:rsidP="00D93BCE">
      <w:pPr>
        <w:pStyle w:val="NormalWeb"/>
        <w:jc w:val="both"/>
      </w:pPr>
      <w:r w:rsidRPr="00F2605B">
        <w:t>Promesas financieras fallidas o retrasadas por parte de las economías avanzadas, como una disminución de la inversión extranjera directa (IED) prometida,</w:t>
      </w:r>
      <w:r>
        <w:rPr>
          <w:b/>
          <w:bCs/>
          <w:vertAlign w:val="superscript"/>
        </w:rPr>
        <w:t xml:space="preserve"> </w:t>
      </w:r>
      <w:r>
        <w:t>o deficiencias en los 100.</w:t>
      </w:r>
      <w:r w:rsidRPr="00F2605B">
        <w:t>000 millones de dólares anuales acordados a nivel mundial para que los países emergentes y en desarrollo financien su transición a emisiones más bajas y medidas de adaptación a las consecuencias físicas del cambio climático</w:t>
      </w:r>
      <w:r>
        <w:rPr>
          <w:b/>
          <w:bCs/>
          <w:vertAlign w:val="superscript"/>
        </w:rPr>
        <w:t xml:space="preserve"> </w:t>
      </w:r>
      <w:r>
        <w:t>-</w:t>
      </w:r>
      <w:r w:rsidRPr="00F2605B">
        <w:t>podría dejar a los países en desarrollo varados con planes de transición agresivos y costosos, incapaces de atender a las poblaciones vulnerables.</w:t>
      </w:r>
    </w:p>
    <w:p w:rsidR="00D93BCE" w:rsidRPr="00F2605B" w:rsidRDefault="00D93BCE" w:rsidP="00D93BCE">
      <w:pPr>
        <w:pStyle w:val="NormalWeb"/>
        <w:jc w:val="both"/>
      </w:pPr>
      <w:r w:rsidRPr="00F2605B">
        <w:t>Un juego político de su</w:t>
      </w:r>
      <w:r>
        <w:t>ma cero, con una mentalidad de “</w:t>
      </w:r>
      <w:r w:rsidRPr="00F2605B">
        <w:t xml:space="preserve">primero en </w:t>
      </w:r>
      <w:r>
        <w:t>llegar, primero en ser atendido”</w:t>
      </w:r>
      <w:r w:rsidRPr="00F2605B">
        <w:t>, agravado por la falta de solidaridad y combinado con la ausencia de una gobernanza climática clara o medidas de rendición de cuentas exigibles aumentaría las tensiones entre las economías en transición rápida y aquellas que prefieren o necesitan una transición más lenta.</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Pérdida de cuota de mercado: Consecuencias para las empresas</w:t>
      </w:r>
    </w:p>
    <w:p w:rsidR="00D93BCE" w:rsidRPr="0027081D" w:rsidRDefault="00D93BCE" w:rsidP="00D93BCE">
      <w:pPr>
        <w:pStyle w:val="NormalWeb"/>
        <w:jc w:val="both"/>
        <w:rPr>
          <w:u w:val="single"/>
        </w:rPr>
      </w:pPr>
      <w:r w:rsidRPr="0027081D">
        <w:rPr>
          <w:u w:val="single"/>
        </w:rPr>
        <w:t>Las políticas que desencadenan la terminación prematura de industrias a gran escala perturbarían los mercados, afectarían los mecanismos de financiación y limitarían las oportunidades de inversión.</w:t>
      </w:r>
    </w:p>
    <w:p w:rsidR="00D93BCE" w:rsidRPr="00F2605B" w:rsidRDefault="00D93BCE" w:rsidP="00D93BCE">
      <w:pPr>
        <w:pStyle w:val="NormalWeb"/>
        <w:jc w:val="both"/>
      </w:pPr>
      <w:r w:rsidRPr="00F2605B">
        <w:t>Las señales políticas inconsistentes, las opciones que paralizan la competitividad y la retórica, las regulaciones y los incentivos contradictorios generarían descontento entre las empresas. La transición podría conducir a activos varados en industrias intensivas en carbono,</w:t>
      </w:r>
      <w:r>
        <w:rPr>
          <w:b/>
          <w:bCs/>
          <w:vertAlign w:val="superscript"/>
        </w:rPr>
        <w:t xml:space="preserve"> </w:t>
      </w:r>
      <w:r w:rsidRPr="00F2605B">
        <w:t>mientras que las devaluaciones podrían afectar potencialmente al sistema financiero,</w:t>
      </w:r>
      <w:r>
        <w:rPr>
          <w:b/>
          <w:bCs/>
          <w:vertAlign w:val="superscript"/>
        </w:rPr>
        <w:t xml:space="preserve"> </w:t>
      </w:r>
      <w:r w:rsidRPr="00F2605B">
        <w:t>lo que conduce a la pérdida de liquidez y al aumento de los riesgos de responsabilidad, crédito y mercado.</w:t>
      </w:r>
      <w:r>
        <w:rPr>
          <w:b/>
          <w:bCs/>
          <w:vertAlign w:val="superscript"/>
        </w:rPr>
        <w:t xml:space="preserve"> </w:t>
      </w:r>
      <w:r w:rsidRPr="00F2605B">
        <w:t>Las empresas percibidas como rezagadas o cómplices de la ralentización de la acción climática,</w:t>
      </w:r>
      <w:r>
        <w:rPr>
          <w:b/>
          <w:bCs/>
          <w:vertAlign w:val="superscript"/>
        </w:rPr>
        <w:t xml:space="preserve"> </w:t>
      </w:r>
      <w:r w:rsidRPr="00F2605B">
        <w:t>podría</w:t>
      </w:r>
      <w:r>
        <w:t>n</w:t>
      </w:r>
      <w:r w:rsidRPr="00F2605B">
        <w:t xml:space="preserve"> perder la confianza de los consumidores y los inversores y enfrentar una intervención estatal adicional y un riesgo de responsabilidad a través de </w:t>
      </w:r>
      <w:r w:rsidRPr="00F2605B">
        <w:lastRenderedPageBreak/>
        <w:t>acciones judiciales.</w:t>
      </w:r>
      <w:r>
        <w:rPr>
          <w:b/>
          <w:bCs/>
          <w:vertAlign w:val="superscript"/>
        </w:rPr>
        <w:t xml:space="preserve"> </w:t>
      </w:r>
      <w:r w:rsidRPr="00F2605B">
        <w:t>En general, las empresas también podrían perder oportunidades de invertir en tecnologías netas cero y en los profe</w:t>
      </w:r>
      <w:r>
        <w:t>sionales calificados del futuro,</w:t>
      </w:r>
      <w:r>
        <w:rPr>
          <w:b/>
          <w:bCs/>
          <w:vertAlign w:val="superscript"/>
        </w:rPr>
        <w:t xml:space="preserve"> </w:t>
      </w:r>
      <w:r w:rsidRPr="00F2605B">
        <w:t>afectando su viabilidad a largo plazo.</w:t>
      </w:r>
    </w:p>
    <w:p w:rsidR="00D93BCE" w:rsidRPr="0027081D" w:rsidRDefault="00D93BCE" w:rsidP="00D93BCE">
      <w:pPr>
        <w:pStyle w:val="NormalWeb"/>
        <w:jc w:val="both"/>
        <w:rPr>
          <w:u w:val="single"/>
        </w:rPr>
      </w:pPr>
      <w:r w:rsidRPr="0027081D">
        <w:rPr>
          <w:u w:val="single"/>
        </w:rPr>
        <w:t>Una transición desordenada podría generar interrupciones más frecuentes y graves en la cadena de suministro debido a la escasez de mano de obra y productos, especialmente a medida que los sectores y las empresas cambian de modelo operativo o simplemente cierran. Estas interrupciones presentan desafíos para el silencio de los modelos comerciales en todas las industrias.</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i w:val="0"/>
          <w:iCs w:val="0"/>
          <w:color w:val="auto"/>
          <w:sz w:val="24"/>
          <w:szCs w:val="24"/>
        </w:rPr>
        <w:t>Pérdida de la naturaleza</w:t>
      </w:r>
    </w:p>
    <w:p w:rsidR="00D93BCE" w:rsidRPr="00F2605B" w:rsidRDefault="00D93BCE" w:rsidP="00D93BCE">
      <w:pPr>
        <w:pStyle w:val="NormalWeb"/>
        <w:jc w:val="both"/>
      </w:pPr>
      <w:r w:rsidRPr="00F2605B">
        <w:t>La forma en que la velocidad y el grado de la transición impacta en los ecosistemas naturales, a su vez, ayudarán o dificultará</w:t>
      </w:r>
      <w:r>
        <w:t>n</w:t>
      </w:r>
      <w:r w:rsidRPr="00F2605B">
        <w:t xml:space="preserve"> su eficacia. Algunas acciones tomadas para mitigar el cambio climático incurrirán en costos para la naturaleza. En la prisa por aumentar el uso de biomasa para BECCS, usar más tierras agrícolas para crear biocombustibles para industrias como la aviación y extraer los minerales necesarios para la descarbonización de la economía mundial,</w:t>
      </w:r>
      <w:r>
        <w:rPr>
          <w:b/>
          <w:bCs/>
          <w:vertAlign w:val="superscript"/>
        </w:rPr>
        <w:t xml:space="preserve"> </w:t>
      </w:r>
      <w:r>
        <w:t>l</w:t>
      </w:r>
      <w:r w:rsidRPr="00F2605B">
        <w:t>os impactos negativos adicionales sobre los ecosistemas y las sociedades indígenas en las economías emergentes son difíciles de evitar. Las soluciones utilizadas para la compensación de carbono, como la restauración o reforestación de la tierra, los llamados bosques de compensación, podrían destruirse si esa tierra es dañada por un clima más severo, como incendios forestales o inundaciones, liberando eventualmente el carbono almacenado. Los parques eólicos o las represas hidroeléctricas mal ubicados pueden afectar los ecosistemas y la vida silvestre a gran escala, y también presentan riesgos sociales (como la reubicación forzosa de los residentes locales) y riesgos políticos (como el control del acceso al agua corriente abajo a los países vecinos). La continua degradación de la naturaleza aumentará el estrés para los residentes locales, la salud pública, las empresas y, en última instancia, la estabilidad de la sociedad.</w:t>
      </w:r>
    </w:p>
    <w:p w:rsidR="00D93BCE"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70C05AB2" wp14:editId="1E645C2C">
            <wp:extent cx="5651500" cy="3289300"/>
            <wp:effectExtent l="0" t="0" r="6350" b="6350"/>
            <wp:docPr id="9" name="Imagen 9" descr="Crisis Climáticas - Informe de Riesgos Globales 2022">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risis Climáticas - Informe de Riesgos Globales 2022">
                      <a:hlinkClick r:id="rId93"/>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51500" cy="3289300"/>
                    </a:xfrm>
                    <a:prstGeom prst="rect">
                      <a:avLst/>
                    </a:prstGeom>
                    <a:noFill/>
                    <a:ln>
                      <a:noFill/>
                    </a:ln>
                  </pic:spPr>
                </pic:pic>
              </a:graphicData>
            </a:graphic>
          </wp:inline>
        </w:drawing>
      </w:r>
    </w:p>
    <w:p w:rsidR="00D93BCE" w:rsidRPr="00F2605B" w:rsidRDefault="00D93BCE" w:rsidP="00D93BCE">
      <w:pPr>
        <w:spacing w:line="240" w:lineRule="auto"/>
        <w:jc w:val="both"/>
        <w:rPr>
          <w:rFonts w:ascii="Times New Roman" w:hAnsi="Times New Roman" w:cs="Times New Roman"/>
          <w:sz w:val="24"/>
          <w:szCs w:val="24"/>
        </w:rPr>
      </w:pPr>
    </w:p>
    <w:p w:rsidR="00D93BCE" w:rsidRPr="00F2605B" w:rsidRDefault="00D93BCE" w:rsidP="00D93BCE">
      <w:pPr>
        <w:pStyle w:val="Ttulo3"/>
        <w:jc w:val="both"/>
        <w:rPr>
          <w:sz w:val="24"/>
          <w:szCs w:val="24"/>
        </w:rPr>
      </w:pPr>
      <w:r w:rsidRPr="00F2605B">
        <w:rPr>
          <w:sz w:val="24"/>
          <w:szCs w:val="24"/>
        </w:rPr>
        <w:lastRenderedPageBreak/>
        <w:t>Hacia una transición más secuenciada</w:t>
      </w:r>
    </w:p>
    <w:p w:rsidR="00D93BCE" w:rsidRPr="0027081D" w:rsidRDefault="00D93BCE" w:rsidP="00D93BCE">
      <w:pPr>
        <w:pStyle w:val="NormalWeb"/>
        <w:jc w:val="both"/>
        <w:rPr>
          <w:color w:val="FF0000"/>
          <w:u w:val="single"/>
        </w:rPr>
      </w:pPr>
      <w:r w:rsidRPr="0027081D">
        <w:rPr>
          <w:color w:val="FF0000"/>
          <w:u w:val="single"/>
        </w:rPr>
        <w:t>Más allá de la escala, la complejidad y la interdependencia de los cambios necesarios, la transición climática será desordenada porque décadas de inacción y vacilante implementación de medidas de transición a nivel local y global han llevado al planeta por un camino que será difícil de cambiar.</w:t>
      </w:r>
    </w:p>
    <w:p w:rsidR="00D93BCE" w:rsidRPr="0027081D" w:rsidRDefault="00D93BCE" w:rsidP="00D93BCE">
      <w:pPr>
        <w:pStyle w:val="NormalWeb"/>
        <w:jc w:val="both"/>
        <w:rPr>
          <w:color w:val="FF0000"/>
          <w:u w:val="single"/>
        </w:rPr>
      </w:pPr>
      <w:r w:rsidRPr="0027081D">
        <w:rPr>
          <w:color w:val="FF0000"/>
          <w:u w:val="single"/>
        </w:rPr>
        <w:t>En una economía global en recuperación pero divergente, los países deberán realizar la transición a ritmos diferentes para evitar que las interrupciones a corto plazo compensen las ganancias a largo plazo, pero las consecuencias de las transiciones dispares se sentirán en todo el mundo. Las medidas de transición climática menos disruptivas serán aquellas que integren holísticamente las necesidades de las personas, las sociedades, las empresas y el planeta. La colaboración nacional e internacional debe centrarse en educar al público sobre el valor y la necesidad de la acción climática, incluido un cambio en el comportamiento del consumidor y la destrucción de la demanda de bienes intensivos en carbono. Es necesario incentivar a las empresas de todos los tamaños para que tengan en cuenta de forma proactiva los riesgos de la transición y pasen a modelos de economía circular.</w:t>
      </w:r>
    </w:p>
    <w:p w:rsidR="00D93BCE" w:rsidRPr="0027081D" w:rsidRDefault="00D93BCE" w:rsidP="00D93BCE">
      <w:pPr>
        <w:pStyle w:val="NormalWeb"/>
        <w:jc w:val="both"/>
        <w:rPr>
          <w:color w:val="FF0000"/>
          <w:u w:val="single"/>
        </w:rPr>
      </w:pPr>
      <w:r w:rsidRPr="0027081D">
        <w:rPr>
          <w:color w:val="FF0000"/>
          <w:u w:val="single"/>
        </w:rPr>
        <w:t>Cualquier transición de esta escala será disruptiva. Todas las partes interesadas deben centrarse en acciones que impulsarán una transición innovadora, decidida e inclusiva para minimizar los impactos del desorden, facilitar la adaptación y maximizar las oportunidades.</w:t>
      </w:r>
    </w:p>
    <w:p w:rsidR="00D93BCE" w:rsidRPr="00F2605B" w:rsidRDefault="00D93BCE" w:rsidP="00D93BCE">
      <w:pPr>
        <w:pStyle w:val="Ttulo1"/>
        <w:spacing w:before="0" w:beforeAutospacing="0" w:after="161" w:afterAutospacing="0"/>
        <w:jc w:val="both"/>
        <w:rPr>
          <w:sz w:val="24"/>
          <w:szCs w:val="24"/>
        </w:rPr>
      </w:pPr>
      <w:r w:rsidRPr="00F2605B">
        <w:rPr>
          <w:sz w:val="24"/>
          <w:szCs w:val="24"/>
        </w:rPr>
        <w:t>Capítulo 3. Dependencias digitales y vulnerabilidades cibernéticas</w:t>
      </w:r>
    </w:p>
    <w:p w:rsidR="00D93BCE" w:rsidRPr="00F2605B" w:rsidRDefault="00D93BCE" w:rsidP="00D93BCE">
      <w:pPr>
        <w:pStyle w:val="Ttulo3"/>
        <w:jc w:val="both"/>
        <w:rPr>
          <w:sz w:val="24"/>
          <w:szCs w:val="24"/>
        </w:rPr>
      </w:pPr>
      <w:r w:rsidRPr="00F2605B">
        <w:rPr>
          <w:sz w:val="24"/>
          <w:szCs w:val="24"/>
        </w:rPr>
        <w:t>Angustia digital</w:t>
      </w:r>
    </w:p>
    <w:p w:rsidR="00D93BCE" w:rsidRPr="0027081D" w:rsidRDefault="00D93BCE" w:rsidP="00D93BCE">
      <w:pPr>
        <w:pStyle w:val="NormalWeb"/>
        <w:spacing w:before="0" w:beforeAutospacing="0"/>
        <w:jc w:val="both"/>
        <w:rPr>
          <w:u w:val="single"/>
        </w:rPr>
      </w:pPr>
      <w:r w:rsidRPr="00F2605B">
        <w:t>Los gobiernos, las sociedades y las empresas confían cada vez más en la tecnología para administrar todo, desde los servicios públicos hasta los procesos comerciales, incluso las compras rutinarias de comestibles.</w:t>
      </w:r>
      <w:r>
        <w:rPr>
          <w:b/>
          <w:bCs/>
          <w:vertAlign w:val="superscript"/>
        </w:rPr>
        <w:t xml:space="preserve"> </w:t>
      </w:r>
      <w:r w:rsidRPr="00F2605B">
        <w:t>Las plataformas, herramientas e interfaces tecnológicas convergentes conectadas a través de Internet que está cambiando rápidamente a una versión 3.0 más descentralizada están creando a la vez un panorama de ciberamenazas más complejo y un número creciente de puntos críticos de falla. </w:t>
      </w:r>
      <w:r w:rsidRPr="0027081D">
        <w:rPr>
          <w:u w:val="single"/>
        </w:rPr>
        <w:t>A medida que la sociedad continúa migrando hacia el mundo digital, la amenaza del delito cibernético se cierne sobre ellos y les cuesta a las organizaciones decenas, incluso cientos, de millones de dólares. Los costos no son solo financieros: la infraestructura crítica, la cohesión social y el bienestar mental también están en peligro.</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Digital todo</w:t>
      </w:r>
    </w:p>
    <w:p w:rsidR="00D93BCE" w:rsidRPr="0027081D" w:rsidRDefault="00D93BCE" w:rsidP="00D93BCE">
      <w:pPr>
        <w:pStyle w:val="NormalWeb"/>
        <w:jc w:val="both"/>
        <w:rPr>
          <w:u w:val="single"/>
        </w:rPr>
      </w:pPr>
      <w:r w:rsidRPr="00F2605B">
        <w:t>La creciente dependencia de los sistemas digitales durante los últimos 20 años ha cambiado drásticamente la forma en que funcionan muchas sociedades.</w:t>
      </w:r>
      <w:r>
        <w:rPr>
          <w:b/>
          <w:bCs/>
          <w:vertAlign w:val="superscript"/>
        </w:rPr>
        <w:t xml:space="preserve"> </w:t>
      </w:r>
      <w:r w:rsidRPr="00F2605B">
        <w:t>El cambio al trabajo remoto inducido por COVID-19 ha acelerado la adopción de plataformas y dispositivos que permiten compartir datos confidenciales con terceros: proveedores de servicios en la nube, agregadores de datos, interfaces de programación de aplicaciones (API) y otros intermediarios relacionados con la tecnología.</w:t>
      </w:r>
      <w:r>
        <w:rPr>
          <w:b/>
          <w:bCs/>
          <w:vertAlign w:val="superscript"/>
        </w:rPr>
        <w:t xml:space="preserve"> </w:t>
      </w:r>
      <w:r w:rsidRPr="00F2605B">
        <w:t xml:space="preserve">Estos sistemas, si bien son poderosas herramientas para datos y procesamiento, agregan una capa adicional de dependencia de los proveedores de servicios. El trabajo remoto también ha trasladado los intercambios digitales de las redes de oficina a las residenciales, que tienen una mayor variedad de dispositivos conectados con menos protección contra la intrusión cibernética. Paralelamente, el apetito por las capacidades basadas en el uso de múltiples tecnologías que trabajan en concierto, incluida la </w:t>
      </w:r>
      <w:r w:rsidRPr="00F2605B">
        <w:lastRenderedPageBreak/>
        <w:t>inteligencia artificial (IA), Internet de las cosas (IoT)/dispositivos habilitados para Internet de las cosas robóticas, computación perimetral, blockchain y 5G, solo está creciendo.</w:t>
      </w:r>
      <w:r>
        <w:rPr>
          <w:b/>
          <w:bCs/>
          <w:vertAlign w:val="superscript"/>
        </w:rPr>
        <w:t xml:space="preserve"> </w:t>
      </w:r>
      <w:r w:rsidRPr="0027081D">
        <w:rPr>
          <w:u w:val="single"/>
        </w:rPr>
        <w:t>Si bien estas capacidades brindan enormes oportunidades para que las empresas y las sociedades usen la tecnología de manera que puedan mejorar drásticamente la eficiencia, la calidad y la productividad, estas mismas capacidades también exponen a los usuarios a formas elevadas y más perniciosas de riesgo digital y cibernético.</w:t>
      </w:r>
    </w:p>
    <w:p w:rsidR="00D93BCE" w:rsidRPr="0027081D" w:rsidRDefault="00D93BCE" w:rsidP="00D93BCE">
      <w:pPr>
        <w:pStyle w:val="NormalWeb"/>
        <w:jc w:val="both"/>
        <w:rPr>
          <w:u w:val="single"/>
        </w:rPr>
      </w:pPr>
      <w:r w:rsidRPr="0027081D">
        <w:rPr>
          <w:u w:val="single"/>
        </w:rPr>
        <w:t>En el futuro, la interconexión y la convergencia de estas herramientas digitales seguirán aumentando a medida que la sociedad adopte la próxima versión de Internet basada en la tecnología blockchain. Una manifestación de esta migración será el metaverso: una red de espacios virtuales 3D, habilitados por criptomonedas y tokens no fungibles (NFT), entre otras tecnologías, con una interoperabilidad socioeconómica sin precedentes y experiencias de realidad virtual inmersivas.</w:t>
      </w:r>
      <w:r w:rsidRPr="0027081D">
        <w:rPr>
          <w:b/>
          <w:bCs/>
          <w:u w:val="single"/>
          <w:vertAlign w:val="superscript"/>
        </w:rPr>
        <w:t xml:space="preserve"> </w:t>
      </w:r>
      <w:r w:rsidRPr="0027081D">
        <w:rPr>
          <w:u w:val="single"/>
        </w:rPr>
        <w:t>Se requerirá que los usuarios naveguen por las vulnerabilidades de seguridad inherentes tanto a la mayor dependencia como a la creciente fragmentación en este tipo de tecnologías complejas, a menudo caracterizadas por la descentralización y la falta de barandas estructuradas o una infraestructura de incorporación sofisticada.</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Vulnerabilidades cibernéticas</w:t>
      </w:r>
    </w:p>
    <w:p w:rsidR="00D93BCE" w:rsidRPr="00F2605B" w:rsidRDefault="00D93BCE" w:rsidP="00D93BCE">
      <w:pPr>
        <w:pStyle w:val="NormalWeb"/>
        <w:jc w:val="both"/>
      </w:pPr>
      <w:r w:rsidRPr="0027081D">
        <w:rPr>
          <w:color w:val="FF0000"/>
          <w:u w:val="single"/>
        </w:rPr>
        <w:t>En el contexto de una dependencia generalizada de sistemas digitales cada vez más complejos, las crecientes ciberamenazas están superando la capacidad de las sociedades para prevenirlas y gestionarlas con eficacia</w:t>
      </w:r>
      <w:r w:rsidRPr="00F2605B">
        <w:t>. Por ejemplo, la digitalización de las cadenas de suministro físicas crea nuevas vulnerabilidades porque esas cadenas de suministro dependen de proveedores de tecnología y otros terceros, que también están expuestos a amenazas similares y potencialmente contagiosas.</w:t>
      </w:r>
      <w:r>
        <w:rPr>
          <w:b/>
          <w:bCs/>
          <w:vertAlign w:val="superscript"/>
        </w:rPr>
        <w:t xml:space="preserve"> </w:t>
      </w:r>
      <w:r w:rsidRPr="00F2605B">
        <w:t>En diciembre de 2021, solo una semana después de descubrir una falla de seguridad crítica en una biblioteca de software ampliamente utilizada (Log4j), se detectaron más de 100 intentos de explotar la vulnerabilidad cada minuto, lo que ilustra cómo la codificación de libre acceso puede propagar vulnerabilidades ampliamente.</w:t>
      </w:r>
      <w:r>
        <w:rPr>
          <w:b/>
          <w:bCs/>
          <w:vertAlign w:val="superscript"/>
        </w:rPr>
        <w:t xml:space="preserve"> </w:t>
      </w:r>
      <w:r w:rsidRPr="00F2605B">
        <w:t>El software de administración y monitoreo de tecnología de la información (TI) también ilustra el potencial de exposición contagiosa, que puede romper las defensas de las cadenas de suministro de ciberseguridad críticas, como lo demostró el ataque Solar Winds Orion que ocurrió a fines de 2020.</w:t>
      </w:r>
      <w:r>
        <w:rPr>
          <w:b/>
          <w:bCs/>
          <w:vertAlign w:val="superscript"/>
        </w:rPr>
        <w:t xml:space="preserve"> </w:t>
      </w:r>
      <w:r w:rsidRPr="00F2605B">
        <w:t>Si bien una institución estatal con capacidades altamente sofisticadas probablemente realizó este ataque, otras organizaciones criminales ciertamente intentarán replicar este enfoque.</w:t>
      </w:r>
      <w:r>
        <w:rPr>
          <w:b/>
          <w:bCs/>
          <w:vertAlign w:val="superscript"/>
        </w:rPr>
        <w:t xml:space="preserve"> </w:t>
      </w:r>
      <w:r w:rsidRPr="00F2605B">
        <w:t>Al mismo tiempo, las vulnerabilidades más antiguas persisten y muchas organizaciones aún dependen de sistemas o tecnologías obsoletas.</w:t>
      </w:r>
    </w:p>
    <w:p w:rsidR="00D93BCE" w:rsidRPr="003336E9" w:rsidRDefault="00D93BCE" w:rsidP="00D93BCE">
      <w:pPr>
        <w:pStyle w:val="NormalWeb"/>
        <w:jc w:val="both"/>
        <w:rPr>
          <w:color w:val="FF0000"/>
          <w:u w:val="single"/>
        </w:rPr>
      </w:pPr>
      <w:r w:rsidRPr="003336E9">
        <w:rPr>
          <w:color w:val="FF0000"/>
          <w:u w:val="single"/>
        </w:rPr>
        <w:t>La actividad maliciosa está proliferando, en parte debido a las crecientes vulnerabilidades, pero también porque hay pocas barreras de entrada para los participantes en la industria del ransomware y poco riesgo de extradición, enjuiciamiento o sanción.</w:t>
      </w:r>
      <w:r w:rsidRPr="003336E9">
        <w:rPr>
          <w:b/>
          <w:bCs/>
          <w:color w:val="FF0000"/>
          <w:u w:val="single"/>
          <w:vertAlign w:val="superscript"/>
        </w:rPr>
        <w:t xml:space="preserve"> </w:t>
      </w:r>
      <w:r w:rsidRPr="003336E9">
        <w:rPr>
          <w:color w:val="FF0000"/>
          <w:u w:val="single"/>
        </w:rPr>
        <w:t>El malware aumentó un 358 % en 2020, mientras que el ransomware aumentó un 435 %,</w:t>
      </w:r>
      <w:r w:rsidRPr="003336E9">
        <w:rPr>
          <w:b/>
          <w:bCs/>
          <w:color w:val="FF0000"/>
          <w:u w:val="single"/>
          <w:vertAlign w:val="superscript"/>
        </w:rPr>
        <w:t xml:space="preserve"> </w:t>
      </w:r>
      <w:r w:rsidRPr="003336E9">
        <w:rPr>
          <w:color w:val="FF0000"/>
          <w:u w:val="single"/>
        </w:rPr>
        <w:t>con un aumento de cuatro veces en el valor total de la criptomoneda recibida por las direcciones de ransomware (consulte la Figura 4.1).</w:t>
      </w:r>
      <w:r w:rsidRPr="003336E9">
        <w:rPr>
          <w:b/>
          <w:bCs/>
          <w:color w:val="FF0000"/>
          <w:u w:val="single"/>
          <w:vertAlign w:val="superscript"/>
        </w:rPr>
        <w:t xml:space="preserve"> </w:t>
      </w:r>
      <w:r>
        <w:rPr>
          <w:color w:val="FF0000"/>
          <w:u w:val="single"/>
        </w:rPr>
        <w:t>El “ransomware como servicio”</w:t>
      </w:r>
      <w:r w:rsidRPr="003336E9">
        <w:rPr>
          <w:color w:val="FF0000"/>
          <w:u w:val="single"/>
        </w:rPr>
        <w:t xml:space="preserve"> permite que incluso los delincuentes no técnicos ejecuten ataques, una tendencia que podría intensificarse con la llegada del malware impulsado por inteligencia artificial (IA).</w:t>
      </w:r>
      <w:r w:rsidRPr="003336E9">
        <w:rPr>
          <w:b/>
          <w:bCs/>
          <w:color w:val="FF0000"/>
          <w:u w:val="single"/>
          <w:vertAlign w:val="superscript"/>
        </w:rPr>
        <w:t xml:space="preserve"> </w:t>
      </w:r>
      <w:r w:rsidRPr="003336E9">
        <w:rPr>
          <w:color w:val="FF0000"/>
          <w:u w:val="single"/>
        </w:rPr>
        <w:t>De hecho, los grupos de mercenarios cibernéticos que buscan ganancias están listos para brindar acceso a herramientas sofisticadas de intrusión cibernética para facilitar tales ataques. Además, las criptomonedas también han permitido a los ciberdelincuentes cobrar pagos con solo un riesgo modesto de detección o recuperación monetaria.</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0B30C10E" wp14:editId="686AEAFC">
            <wp:extent cx="5645150" cy="3600450"/>
            <wp:effectExtent l="0" t="0" r="0" b="0"/>
            <wp:docPr id="16" name="Imagen 16" descr="Valor total de criptomoneda recibido por direcciones de Ransomeware, 2013-2020 - Informe de riesgos globales 2022">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Valor total de criptomoneda recibido por direcciones de Ransomeware, 2013-2020 - Informe de riesgos globales 2022">
                      <a:hlinkClick r:id="rId99"/>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45150" cy="3600450"/>
                    </a:xfrm>
                    <a:prstGeom prst="rect">
                      <a:avLst/>
                    </a:prstGeom>
                    <a:noFill/>
                    <a:ln>
                      <a:noFill/>
                    </a:ln>
                  </pic:spPr>
                </pic:pic>
              </a:graphicData>
            </a:graphic>
          </wp:inline>
        </w:drawing>
      </w:r>
    </w:p>
    <w:p w:rsidR="00D93BCE" w:rsidRPr="00F2605B" w:rsidRDefault="00D93BCE" w:rsidP="00D93BCE">
      <w:pPr>
        <w:pStyle w:val="NormalWeb"/>
        <w:jc w:val="both"/>
      </w:pPr>
      <w:r w:rsidRPr="00F2605B">
        <w:t>Los propios ataques también se están volviendo más agresivos y generalizados.</w:t>
      </w:r>
      <w:r>
        <w:rPr>
          <w:b/>
          <w:bCs/>
          <w:vertAlign w:val="superscript"/>
        </w:rPr>
        <w:t xml:space="preserve"> </w:t>
      </w:r>
      <w:r w:rsidRPr="00F2605B">
        <w:t>Los actores de amenazas cibernéticas que usan ransomware están aprovechando tácticas de presión más duras, además de perseguir objetivos más vulnerables, lo que afecta a los servicios públicos, los sistemas de atención médica y las empresas ricas en datos.</w:t>
      </w:r>
      <w:r>
        <w:rPr>
          <w:b/>
          <w:bCs/>
          <w:vertAlign w:val="superscript"/>
        </w:rPr>
        <w:t xml:space="preserve"> </w:t>
      </w:r>
      <w:r w:rsidRPr="00F2605B">
        <w:t>Por ejemplo</w:t>
      </w:r>
      <w:r>
        <w:t>, antes de disolverse, DarkSide -</w:t>
      </w:r>
      <w:r w:rsidRPr="00F2605B">
        <w:t>el grupo acusado de ser responsable d</w:t>
      </w:r>
      <w:r>
        <w:t xml:space="preserve">el ataque al Oleoducto Colonial- </w:t>
      </w:r>
      <w:r w:rsidRPr="00F2605B">
        <w:t>ofrecía un conjunto de servicios (extorsión “triple” o “cuádruple”) a los clientes más allá del simple cifrado de archivos; estos incluyeron fugas de datos y ataques de denegación de servicio distribuido (DDoS). Los grupos de piratas informáticos también contactarán a los clientes o socios de las víctimas para que insten a las víctimas a pagar rescates. Entre los servicios que ofrece se encuentra la recopilación de información de altos ejecutivos para el chantaje.</w:t>
      </w:r>
    </w:p>
    <w:p w:rsidR="00D93BCE" w:rsidRPr="003336E9" w:rsidRDefault="00D93BCE" w:rsidP="00D93BCE">
      <w:pPr>
        <w:pStyle w:val="NormalWeb"/>
        <w:jc w:val="both"/>
        <w:rPr>
          <w:u w:val="single"/>
        </w:rPr>
      </w:pPr>
      <w:r w:rsidRPr="003336E9">
        <w:rPr>
          <w:u w:val="single"/>
        </w:rPr>
        <w:t>Las herramientas cibernéticas sofisticadas también permiten a los actores de amenazas cibernéticas atacar objetivos de elección de manera más eficiente, en lugar de conformarse con objetivos de oportunidad, lo que destaca el potencial para llevar a cabo ataques más orientados a objetivos que podrían conducir a un futuro daño financiero, social y reputacional aún mayor</w:t>
      </w:r>
      <w:r>
        <w:t>.</w:t>
      </w:r>
      <w:r w:rsidRPr="00F2605B">
        <w:t> El uso cada vez más sofisticado de tecnologías de spyware, por ejemplo, ha permitido ataques dirigidos contra periodistas y activistas de derechos civiles en todas las geografías, lo que ha provocado una ola de retroceso político e industrial en forma de sanciones y demandas gubernamentales.</w:t>
      </w:r>
      <w:r>
        <w:rPr>
          <w:b/>
          <w:bCs/>
          <w:vertAlign w:val="superscript"/>
        </w:rPr>
        <w:t xml:space="preserve"> </w:t>
      </w:r>
      <w:r w:rsidRPr="00F2605B">
        <w:t>La capacidad de adaptar los ataques a voluntad incluye programarlos para cuando los equipos de ciberseguridad y el liderazgo puedan distraerse con otras prioridades, como durante los picos de brotes de COVID-19 o un desastre natural. </w:t>
      </w:r>
      <w:r w:rsidRPr="003336E9">
        <w:rPr>
          <w:u w:val="single"/>
        </w:rPr>
        <w:t>Los actores de ciberamenazas también están accediendo a información más sensible y de mayor calidad de las víctimas. Y la tecnología deepfake está permitiendo a los actores de amenazas cibernéticas mejorar las tácticas de ingeniería social, proliferar la desinformación y causar estragos en la sociedad, especialmente en momentos de alta volatilidad.</w:t>
      </w:r>
    </w:p>
    <w:p w:rsidR="00D93BCE" w:rsidRPr="00F2605B" w:rsidRDefault="00D93BCE" w:rsidP="00D93BCE">
      <w:pPr>
        <w:pStyle w:val="NormalWeb"/>
        <w:jc w:val="both"/>
      </w:pPr>
      <w:r w:rsidRPr="003336E9">
        <w:rPr>
          <w:color w:val="FF0000"/>
          <w:u w:val="single"/>
        </w:rPr>
        <w:lastRenderedPageBreak/>
        <w:t>Los encuestados de la Encuesta de Percepción de Riesgos Globales (GRPS, por sus siglas en inglés) reflejan est</w:t>
      </w:r>
      <w:r>
        <w:rPr>
          <w:color w:val="FF0000"/>
          <w:u w:val="single"/>
        </w:rPr>
        <w:t>as tendencias, clasificando la “falla de ciberseguridad”</w:t>
      </w:r>
      <w:r w:rsidRPr="003336E9">
        <w:rPr>
          <w:color w:val="FF0000"/>
          <w:u w:val="single"/>
        </w:rPr>
        <w:t xml:space="preserve"> entre los 10 principales riesgos que más han empeorado desde el comienzo de la crisis de COVID-19. Además, el 85 % de la Comunidad de Liderazgo en Seguridad Cibernética del Foro Económico Mundial ha subrayado que el ransomware se está convirtiendo en una amenaza que crece peligrosamente y representa una gran preocupación para la seguridad pública</w:t>
      </w:r>
      <w:r w:rsidRPr="00F2605B">
        <w:t>.</w:t>
      </w:r>
      <w:r>
        <w:rPr>
          <w:b/>
          <w:bCs/>
          <w:vertAlign w:val="superscript"/>
        </w:rPr>
        <w:t xml:space="preserve"> </w:t>
      </w:r>
      <w:r w:rsidRPr="00F2605B">
        <w:t>A nivel regional, la “falla de la seguridad cibernética” se clasifica como uno de los cinco riesgos principales en el este de Asia y el Pacífico, así como en Europa, mientras que cuatro países (Australia, Gran Bretaña, Irlanda y Nueva Zelanda) lo clasificar</w:t>
      </w:r>
      <w:r>
        <w:t xml:space="preserve">on como el riesgo número uno. </w:t>
      </w:r>
      <w:r w:rsidRPr="00F2605B">
        <w:t>Muchas economías pequeñas y altamente digitalizadas, como Dinamarca, Israel, Japón, Taiwán (China), Singapur y los Emiratos Árabes Unidos, también clasificaron el riesgo como una de las cinco principales preocupaciones.</w:t>
      </w:r>
    </w:p>
    <w:p w:rsidR="00D93BCE" w:rsidRPr="00F2605B" w:rsidRDefault="00D93BCE" w:rsidP="00D93BCE">
      <w:pPr>
        <w:pStyle w:val="NormalWeb"/>
        <w:jc w:val="both"/>
      </w:pPr>
      <w:r w:rsidRPr="00F2605B">
        <w:t>Los profesionales de ciberseguridad y TI ya sobrecargados se encuentran bajo una carga cada vez mayor, no solo por la expansión del trabajo remoto, sino también por la creciente complejidad de las regulaciones de datos y privacidad, aunque dichas regulaciones son fundamentales para garantizar la confianza pública en los sistemas digitales.</w:t>
      </w:r>
      <w:r>
        <w:rPr>
          <w:b/>
          <w:bCs/>
          <w:vertAlign w:val="superscript"/>
        </w:rPr>
        <w:t xml:space="preserve"> </w:t>
      </w:r>
      <w:r w:rsidRPr="00F2605B">
        <w:t>Hay una escasez de ciberprofesionales: una brecha de más de 3 millones en todo el mundo</w:t>
      </w:r>
      <w:r>
        <w:rPr>
          <w:b/>
          <w:bCs/>
          <w:vertAlign w:val="superscript"/>
        </w:rPr>
        <w:t xml:space="preserve"> </w:t>
      </w:r>
      <w:r>
        <w:t>-</w:t>
      </w:r>
      <w:r w:rsidRPr="00F2605B">
        <w:t>quien puede proporcionar liderazgo cibernético, sistemas de prueba y seguridad, y capacitar a las personas en higiene digital.</w:t>
      </w:r>
      <w:r>
        <w:rPr>
          <w:b/>
          <w:bCs/>
          <w:vertAlign w:val="superscript"/>
        </w:rPr>
        <w:t xml:space="preserve"> </w:t>
      </w:r>
      <w:r w:rsidRPr="00F2605B">
        <w:t>Al igual que con otros productos clave, la continua falta de profesionales de la ciberseguridad podría, en última instancia, obstac</w:t>
      </w:r>
      <w:r>
        <w:t xml:space="preserve">ulizar el crecimiento económico, </w:t>
      </w:r>
      <w:r w:rsidRPr="00F2605B">
        <w:t>aunque las nuevas iniciativas para “democratizar” la seguridad cibernética, por ejemplo, proporcionando herramientas gratuitas de gestión de riesgos de seguridad cibernética, podrían ayudar a llenar algunos de los vacíos para las pequeñas empresas u otras instituciones.</w:t>
      </w:r>
    </w:p>
    <w:p w:rsidR="00D93BCE" w:rsidRPr="003336E9" w:rsidRDefault="00D93BCE" w:rsidP="00D93BCE">
      <w:pPr>
        <w:pStyle w:val="NormalWeb"/>
        <w:jc w:val="both"/>
        <w:rPr>
          <w:color w:val="FF0000"/>
          <w:u w:val="single"/>
        </w:rPr>
      </w:pPr>
      <w:r w:rsidRPr="003336E9">
        <w:rPr>
          <w:color w:val="FF0000"/>
          <w:u w:val="single"/>
        </w:rPr>
        <w:t>Existe la preocupación de que la computación cuántica pueda ser lo suficientemente poderosa como para descifrar las claves de encriptación, lo que representa un riesgo de seguridad significativo debido a la sensibilidad y la criticidad de los datos financieros, personales y de otro tipo protegidos por estas claves. El surgimiento del metaverso también podría expandir la superficie de ataque de los actores maliciosos al crear más puntos de entrada para el malware y las filtraciones de datos.</w:t>
      </w:r>
      <w:r w:rsidRPr="003336E9">
        <w:rPr>
          <w:b/>
          <w:bCs/>
          <w:color w:val="FF0000"/>
          <w:u w:val="single"/>
          <w:vertAlign w:val="superscript"/>
        </w:rPr>
        <w:t xml:space="preserve"> </w:t>
      </w:r>
      <w:r w:rsidRPr="003336E9">
        <w:rPr>
          <w:color w:val="FF0000"/>
          <w:u w:val="single"/>
        </w:rPr>
        <w:t xml:space="preserve">A medida que el valor del comercio digital en el metaverso crece en alcance y escala (según algunas estimaciones, se prevé que supere los </w:t>
      </w:r>
      <w:r>
        <w:rPr>
          <w:color w:val="FF0000"/>
          <w:u w:val="single"/>
        </w:rPr>
        <w:t>800.</w:t>
      </w:r>
      <w:r w:rsidRPr="003336E9">
        <w:rPr>
          <w:color w:val="FF0000"/>
          <w:u w:val="single"/>
        </w:rPr>
        <w:t>000 millones de USD para 2024), estos tipos de ataques aumentarán en frecuencia y agresividad.</w:t>
      </w:r>
      <w:r>
        <w:rPr>
          <w:b/>
          <w:bCs/>
          <w:color w:val="FF0000"/>
          <w:u w:val="single"/>
          <w:vertAlign w:val="superscript"/>
        </w:rPr>
        <w:t xml:space="preserve"> </w:t>
      </w:r>
      <w:r w:rsidRPr="003336E9">
        <w:rPr>
          <w:color w:val="FF0000"/>
          <w:u w:val="single"/>
        </w:rPr>
        <w:t>Las innumerables formas de propiedad digital, como las colecciones de arte NFT y los bienes inmuebles digitales, podrían atraer aún más la actividad delictiva.</w:t>
      </w:r>
    </w:p>
    <w:p w:rsidR="00D93BCE" w:rsidRPr="003336E9" w:rsidRDefault="00D93BCE" w:rsidP="00D93BCE">
      <w:pPr>
        <w:pStyle w:val="NormalWeb"/>
        <w:jc w:val="both"/>
        <w:rPr>
          <w:color w:val="FF0000"/>
          <w:u w:val="single"/>
        </w:rPr>
      </w:pPr>
      <w:r w:rsidRPr="003336E9">
        <w:rPr>
          <w:color w:val="FF0000"/>
          <w:u w:val="single"/>
        </w:rPr>
        <w:t>Para los gobiernos que intentan prevenir fallas en la seguridad cibernética, los mecanismos de cumplimiento fragmentados en todas las jurisdicciones continúan obstaculizando los esfuerzos para controlar el delito cibernético.</w:t>
      </w:r>
      <w:r w:rsidRPr="003336E9">
        <w:rPr>
          <w:b/>
          <w:bCs/>
          <w:color w:val="FF0000"/>
          <w:u w:val="single"/>
          <w:vertAlign w:val="superscript"/>
        </w:rPr>
        <w:t xml:space="preserve"> </w:t>
      </w:r>
      <w:r w:rsidRPr="003336E9">
        <w:rPr>
          <w:color w:val="FF0000"/>
          <w:u w:val="single"/>
        </w:rPr>
        <w:t>Las fisuras geopolíticas dificultan la posible colaboración transfronteriza, y algunos gobiernos no quieren o no pueden regular las intrusiones cibernéticas que se originan dentro y tienen un impacto fuera de sus fronteras. Como era de esperar, dadas las tensiones geopolíticas en torno a la soberanía digital, segú</w:t>
      </w:r>
      <w:r>
        <w:rPr>
          <w:color w:val="FF0000"/>
          <w:u w:val="single"/>
        </w:rPr>
        <w:t>n los encuestados de GRPS, los “</w:t>
      </w:r>
      <w:r w:rsidRPr="003336E9">
        <w:rPr>
          <w:color w:val="FF0000"/>
          <w:u w:val="single"/>
        </w:rPr>
        <w:t xml:space="preserve">ataques cibernéticos y la </w:t>
      </w:r>
      <w:r>
        <w:rPr>
          <w:color w:val="FF0000"/>
          <w:u w:val="single"/>
        </w:rPr>
        <w:t>desinformación transfronterizos” y la “inteligencia artificial”</w:t>
      </w:r>
      <w:r w:rsidRPr="003336E9">
        <w:rPr>
          <w:color w:val="FF0000"/>
          <w:u w:val="single"/>
        </w:rPr>
        <w:t xml:space="preserve"> se encontraban entre las áreas con los esfuerzos internacionales </w:t>
      </w:r>
      <w:r>
        <w:rPr>
          <w:color w:val="FF0000"/>
          <w:u w:val="single"/>
        </w:rPr>
        <w:t>de mitigación de riesgos menos “</w:t>
      </w:r>
      <w:r w:rsidRPr="003336E9">
        <w:rPr>
          <w:color w:val="FF0000"/>
          <w:u w:val="single"/>
        </w:rPr>
        <w:t>establecido</w:t>
      </w:r>
      <w:r>
        <w:rPr>
          <w:color w:val="FF0000"/>
          <w:u w:val="single"/>
        </w:rPr>
        <w:t>s” o “efectivos”</w:t>
      </w:r>
      <w:r w:rsidRPr="003336E9">
        <w:rPr>
          <w:color w:val="FF0000"/>
          <w:u w:val="single"/>
        </w:rPr>
        <w:t>.</w:t>
      </w:r>
    </w:p>
    <w:p w:rsidR="00D93BCE" w:rsidRPr="00F2605B" w:rsidRDefault="00D93BCE" w:rsidP="00D93BCE">
      <w:pPr>
        <w:pStyle w:val="NormalWeb"/>
        <w:jc w:val="both"/>
      </w:pPr>
      <w:r w:rsidRPr="00F2605B">
        <w:t xml:space="preserve">Las empresas también deben actuar antes de los nuevos cambios regulatorios, ya que las corrientes políticas subyacentes/tensiones geopolíticas entre varios países pueden afectar los flujos de datos transfronterizos. Esto podría significar trasladar el procesamiento de datos a </w:t>
      </w:r>
      <w:r w:rsidRPr="00F2605B">
        <w:lastRenderedPageBreak/>
        <w:t>jurisdicciones que podrían permitir una mejor protección del cliente en torno a problemas de privacidad de datos.</w:t>
      </w:r>
    </w:p>
    <w:p w:rsidR="00D93BCE" w:rsidRPr="00F2605B" w:rsidRDefault="00D93BCE" w:rsidP="00D93BCE">
      <w:pPr>
        <w:pStyle w:val="Ttulo3"/>
        <w:jc w:val="both"/>
        <w:rPr>
          <w:sz w:val="24"/>
          <w:szCs w:val="24"/>
        </w:rPr>
      </w:pPr>
      <w:r w:rsidRPr="00F2605B">
        <w:rPr>
          <w:sz w:val="24"/>
          <w:szCs w:val="24"/>
        </w:rPr>
        <w:t>Consecuencias</w:t>
      </w:r>
    </w:p>
    <w:p w:rsidR="00D93BCE" w:rsidRPr="00F2605B" w:rsidRDefault="00D93BCE" w:rsidP="00D93BCE">
      <w:pPr>
        <w:pStyle w:val="NormalWeb"/>
        <w:jc w:val="both"/>
      </w:pPr>
      <w:r w:rsidRPr="00F2605B">
        <w:t>Vale la pena volver a examinar los ejemplos repetidos a menudo de intrusiones cibernéticas pasadas, ya que estos casos demuestran cuán dañinos pueden ser los ataques en sistemas grandes y estratégicamente significativos, como bancos, hospitales, sistemas de posicionamiento global (GPS) o sistemas de control de tráfico aéreo.</w:t>
      </w:r>
      <w:r>
        <w:rPr>
          <w:b/>
          <w:bCs/>
          <w:vertAlign w:val="superscript"/>
        </w:rPr>
        <w:t xml:space="preserve"> </w:t>
      </w:r>
      <w:r w:rsidRPr="00F2605B">
        <w:t>A medida que los recursos se digitalizan cada vez más, también es notable el mayor riesgo de ataques de espionaje cibernético que generalmente tienen como objetivo la propiedad intelectual y generan altos costos de desarrollo y reputación para las organizaciones del sector público y privado.</w:t>
      </w:r>
    </w:p>
    <w:p w:rsidR="00D93BCE" w:rsidRPr="00F2605B" w:rsidRDefault="00D93BCE" w:rsidP="00D93BCE">
      <w:pPr>
        <w:pStyle w:val="NormalWeb"/>
        <w:jc w:val="both"/>
      </w:pPr>
      <w:r w:rsidRPr="00F2605B">
        <w:t xml:space="preserve">La interacción entre la digitalización y las crecientes amenazas cibernéticas también tiene consecuencias intangibles. Es probable que el crecimiento de las </w:t>
      </w:r>
      <w:r>
        <w:t>falsificaciones profundas y la “desinformación a sueldo”</w:t>
      </w:r>
      <w:r w:rsidRPr="00F2605B">
        <w:t xml:space="preserve"> profundice la desconfianza entre las sociedades, las empresas y los gobiernos.</w:t>
      </w:r>
      <w:r>
        <w:rPr>
          <w:b/>
          <w:bCs/>
          <w:vertAlign w:val="superscript"/>
        </w:rPr>
        <w:t xml:space="preserve"> </w:t>
      </w:r>
      <w:r w:rsidRPr="00F2605B">
        <w:t>Por ejemplo, los deepfakes podrían usarse para influir en las elecciones o los resultados políticos.</w:t>
      </w:r>
      <w:r>
        <w:rPr>
          <w:b/>
          <w:bCs/>
          <w:vertAlign w:val="superscript"/>
        </w:rPr>
        <w:t xml:space="preserve"> </w:t>
      </w:r>
      <w:r w:rsidRPr="00F2605B">
        <w:t>Más concretamente, en un caso reciente, los ciberdelincuentes clonaron la voz del director de una empresa para autorizar la transferencia de US$</w:t>
      </w:r>
      <w:r>
        <w:t xml:space="preserve"> </w:t>
      </w:r>
      <w:r w:rsidRPr="00F2605B">
        <w:t>35 millones a cuentas fraudulentas.</w:t>
      </w:r>
      <w:r>
        <w:rPr>
          <w:b/>
          <w:bCs/>
          <w:vertAlign w:val="superscript"/>
        </w:rPr>
        <w:t xml:space="preserve"> </w:t>
      </w:r>
      <w:r w:rsidRPr="00F2605B">
        <w:t>También hay un mercado en auge para los servicios diseñados para manipular la opinión pública a favor de los clientes, públicos o privados, o para dañar a los rivales.</w:t>
      </w:r>
      <w:r>
        <w:rPr>
          <w:b/>
          <w:bCs/>
          <w:vertAlign w:val="superscript"/>
        </w:rPr>
        <w:t xml:space="preserve"> </w:t>
      </w:r>
      <w:r w:rsidRPr="00F2605B">
        <w:t>El fraude también será más fácil y, por lo tanto, más frecuente con los procesos bancarios, de salud y cívicos que se vuelven remotos. En 2021, el fraude bancario por Internet en el Reino Unido aumentó un 117 % en volumen y un 43 % en valor en comparación con los niveles de 2020, ya que las personas pasaron más tiempo comprando en línea.</w:t>
      </w:r>
      <w:r>
        <w:rPr>
          <w:b/>
          <w:bCs/>
          <w:vertAlign w:val="superscript"/>
        </w:rPr>
        <w:t xml:space="preserve"> </w:t>
      </w:r>
      <w:r w:rsidRPr="00F2605B">
        <w:t>La seguridad digital en general, desde la información errónea sobre la salud y el extremismo hasta la explotación infantil, enfrenta nuevos desafíos con poblaciones sin experiencia y más vulnerables que se conectan.</w:t>
      </w:r>
    </w:p>
    <w:p w:rsidR="00D93BCE" w:rsidRPr="00F2605B" w:rsidRDefault="00D93BCE" w:rsidP="00D93BCE">
      <w:pPr>
        <w:pStyle w:val="NormalWeb"/>
        <w:jc w:val="both"/>
      </w:pPr>
      <w:r w:rsidRPr="003336E9">
        <w:rPr>
          <w:color w:val="FF0000"/>
          <w:u w:val="single"/>
        </w:rPr>
        <w:t>Incluso en el mejor de los casos de defensas contra amenazas digitales agresivas, habrá aumentos significativos en el costo de las operaciones para todas las partes interesadas. Esto podría ser particularmente desafiante para las pequeñas o medianas empresas que podrían gastar el 4 % o más de su presupuesto operativo en seguridad, en comparación con las organizaciones más grandes que podrían gastar cerca del 1 o 2 %.</w:t>
      </w:r>
      <w:r w:rsidRPr="003336E9">
        <w:rPr>
          <w:b/>
          <w:bCs/>
          <w:color w:val="FF0000"/>
          <w:vertAlign w:val="superscript"/>
        </w:rPr>
        <w:t xml:space="preserve"> </w:t>
      </w:r>
      <w:r w:rsidRPr="00F2605B">
        <w:t>De hecho, en medio de la creciente frecuencia y gravedad de las reclamaciones de ransomware, los precios de los seguros cibernéticos en los Estados Unidos aumentaron un 96 % en el tercer trimestre de 2021, lo que marca el aumento más significativo desde 2015 y un aumento interanual del 204 %.</w:t>
      </w:r>
      <w:r>
        <w:rPr>
          <w:b/>
          <w:bCs/>
          <w:vertAlign w:val="superscript"/>
        </w:rPr>
        <w:t xml:space="preserve"> </w:t>
      </w:r>
      <w:r w:rsidRPr="00F2605B">
        <w:t>Los encuestados del GRPS indican una preocupación a largo pl</w:t>
      </w:r>
      <w:r>
        <w:t>azo con estos desarrollos, con “avances tecnológicos adversos”</w:t>
      </w:r>
      <w:r w:rsidRPr="00F2605B">
        <w:t xml:space="preserve"> que aparecen como uno de los 10 principales riesgos en un horizonte de 5 a 10 años.</w:t>
      </w:r>
    </w:p>
    <w:p w:rsidR="00D93BCE" w:rsidRPr="00F2605B" w:rsidRDefault="00D93BCE" w:rsidP="00D93BCE">
      <w:pPr>
        <w:pStyle w:val="NormalWeb"/>
        <w:jc w:val="both"/>
      </w:pPr>
      <w:r w:rsidRPr="003336E9">
        <w:rPr>
          <w:color w:val="FF0000"/>
          <w:u w:val="single"/>
        </w:rPr>
        <w:t>Las amenazas cibernéticas también continúan separando a los estados, y los gobiernos siguen caminos cada vez más unilaterales para controlar los riesgos. A medida que los ataques se vuelvan más severos y tengan un impacto amplio, las tensiones ya agudas entre los gobiernos afectados por el delito cibernético y los gobiernos cómplices en su comisión aumentarán a medida que la seguridad cibernética se convierta en otra cuña para la divergencia, en lugar de la cooperación, entre los estados nacionales</w:t>
      </w:r>
      <w:r w:rsidRPr="00F2605B">
        <w:t>.</w:t>
      </w:r>
      <w:r>
        <w:rPr>
          <w:b/>
          <w:bCs/>
          <w:vertAlign w:val="superscript"/>
        </w:rPr>
        <w:t xml:space="preserve"> </w:t>
      </w:r>
      <w:r w:rsidRPr="00F2605B">
        <w:t>Particularmente en una era de crecientes tensiones entre las superpotencias, los ataques cibernéticos son otro frente de batalla en el que la escalada es un riesgo clave (consulte el Capítulo 1).</w:t>
      </w:r>
      <w:r>
        <w:rPr>
          <w:b/>
          <w:bCs/>
          <w:vertAlign w:val="superscript"/>
        </w:rPr>
        <w:t xml:space="preserve"> </w:t>
      </w:r>
      <w:r w:rsidRPr="00F2605B">
        <w:t xml:space="preserve">Si las amenazas cibernéticas continúan </w:t>
      </w:r>
      <w:r w:rsidRPr="00F2605B">
        <w:lastRenderedPageBreak/>
        <w:t>sin mitigación, los gobiernos continuarán tomando represalias contra los perpetradores (reales o percibidos), lo que conducirá a una guerra cibernética abierta, más perturbaciones para las sociedades y pérdida de confianza en la capacidad de los gobiernos para actuar como administradores digitales.</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Brechas de seguridad digital: Consecuencias para las personas</w:t>
      </w:r>
    </w:p>
    <w:p w:rsidR="00D93BCE" w:rsidRDefault="00D93BCE" w:rsidP="00D93BCE">
      <w:pPr>
        <w:pStyle w:val="NormalWeb"/>
        <w:jc w:val="both"/>
      </w:pPr>
      <w:r w:rsidRPr="00F2605B">
        <w:t>Entre los más vulnerables se encuentran aquellos que recién ahora se están conectando o lo estarán pronto. Alrededor del 40% de la población mundial aún no está conectada a Internet.</w:t>
      </w:r>
      <w:r>
        <w:rPr>
          <w:b/>
          <w:bCs/>
          <w:vertAlign w:val="superscript"/>
        </w:rPr>
        <w:t xml:space="preserve"> </w:t>
      </w:r>
      <w:r w:rsidRPr="00F2605B">
        <w:t>Estas personas ya enfrentan desigualdades en la seguridad digital, que solo se ampliarán con la llegada de Internet 3.0 y el metaverso.</w:t>
      </w:r>
      <w:r>
        <w:rPr>
          <w:b/>
          <w:bCs/>
          <w:vertAlign w:val="superscript"/>
        </w:rPr>
        <w:t xml:space="preserve"> </w:t>
      </w:r>
      <w:r w:rsidRPr="00F2605B">
        <w:t>Dentro de las sociedades digitalmente avanzadas, las poblaciones vulnerables también suelen estar en mayor riesgo digital: por ejemplo, un estudio reciente encuentra que los residentes de bajos ingresos de San Francisco, el corazón cultural de Silicon Valley, tienen más probabilidades que los residentes más ricos de ser víctimas de delitos cibernéticos.</w:t>
      </w:r>
      <w:r>
        <w:rPr>
          <w:b/>
          <w:bCs/>
          <w:vertAlign w:val="superscript"/>
        </w:rPr>
        <w:t xml:space="preserve"> </w:t>
      </w:r>
      <w:r w:rsidRPr="00F2605B">
        <w:t>En otras situaciones, los marcadores de identidad digital obligatorios podrían presentar nuevos riesgos para los ciudadanos, particularmente evidentes en el riesgo creciente de que las falsificaciones profundas puedan comprometer la autenticación biométrica.</w:t>
      </w:r>
    </w:p>
    <w:p w:rsidR="00D93BCE" w:rsidRPr="00F2605B" w:rsidRDefault="00D93BCE" w:rsidP="00D93BCE">
      <w:pPr>
        <w:pStyle w:val="NormalWeb"/>
        <w:jc w:val="both"/>
      </w:pPr>
      <w:r w:rsidRPr="00F2605B">
        <w:rPr>
          <w:noProof/>
        </w:rPr>
        <w:drawing>
          <wp:inline distT="0" distB="0" distL="0" distR="0" wp14:anchorId="68C5A886" wp14:editId="01DF1ADD">
            <wp:extent cx="5727700" cy="5111750"/>
            <wp:effectExtent l="0" t="0" r="6350" b="0"/>
            <wp:docPr id="110" name="Imagen 110" descr="Emociones vividas tras detectar un acceso no autorizado - Informe Global de Riesgos 2022">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mociones vividas tras detectar un acceso no autorizado - Informe Global de Riesgos 2022">
                      <a:hlinkClick r:id="rId99"/>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27700" cy="5111750"/>
                    </a:xfrm>
                    <a:prstGeom prst="rect">
                      <a:avLst/>
                    </a:prstGeom>
                    <a:noFill/>
                    <a:ln>
                      <a:noFill/>
                    </a:ln>
                  </pic:spPr>
                </pic:pic>
              </a:graphicData>
            </a:graphic>
          </wp:inline>
        </w:drawing>
      </w:r>
    </w:p>
    <w:p w:rsidR="00D93BCE" w:rsidRPr="00F2605B" w:rsidRDefault="00D93BCE" w:rsidP="00D93BCE">
      <w:pPr>
        <w:pStyle w:val="NormalWeb"/>
        <w:jc w:val="both"/>
      </w:pPr>
      <w:r w:rsidRPr="00F2605B">
        <w:lastRenderedPageBreak/>
        <w:t>Las personas experimentarán cada vez más ansiedad a medida que el control sobre sus datos se vuelva más precario y estén sujetos a ataques personales, fraude, ciberacos</w:t>
      </w:r>
      <w:r>
        <w:t>o y acecho (consulte la Figura 3</w:t>
      </w:r>
      <w:r w:rsidRPr="00F2605B">
        <w:t>.2).</w:t>
      </w:r>
      <w:r>
        <w:rPr>
          <w:b/>
          <w:bCs/>
          <w:vertAlign w:val="superscript"/>
        </w:rPr>
        <w:t xml:space="preserve"> </w:t>
      </w:r>
      <w:r w:rsidRPr="00F2605B">
        <w:t>Una percepción de falta de agencia también podría llevar a la apatía a la hora de asumir la responsabilidad de proteger la propia huella digital, como lo demuestra el continuo dominio del mercado de las aplicaciones de mensajería instantánea plagado de controversias sobre privacidad.</w:t>
      </w:r>
      <w:r>
        <w:rPr>
          <w:b/>
          <w:bCs/>
          <w:vertAlign w:val="superscript"/>
        </w:rPr>
        <w:t xml:space="preserve"> </w:t>
      </w:r>
      <w:r w:rsidRPr="00F2605B">
        <w:t xml:space="preserve">Incluso con </w:t>
      </w:r>
      <w:r>
        <w:t>las opciones más extendidas de “rechazar todo”</w:t>
      </w:r>
      <w:r w:rsidRPr="00F2605B">
        <w:t xml:space="preserve"> en los sitios web destinados a simplificar la privacidad de los datos personales, existen inconvenientes y advertencias, como la limitación de la funcionalidad y otras opciones. Es importante destacar que estas características son solo una pequeña parte de la ecuación de privacidad más grande. Los sitios web todavía están llenos de píxeles de seguimiento y scripts de terceros que siguen siendo formas poderosas de tomar huellas dactilares e</w:t>
      </w:r>
      <w:r>
        <w:t>n los comportamientos en línea.</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Exceso de alcance o entrega insuficiente: Consecuencias para los gobiernos</w:t>
      </w:r>
    </w:p>
    <w:p w:rsidR="00D93BCE" w:rsidRPr="00F2605B" w:rsidRDefault="00D93BCE" w:rsidP="00D93BCE">
      <w:pPr>
        <w:pStyle w:val="NormalWeb"/>
        <w:jc w:val="both"/>
      </w:pPr>
      <w:r w:rsidRPr="00F2605B">
        <w:t>El gobierno en todos los niveles enfrenta responsabilidades cada vez mayores y muchos luchan por mantener su parte del contrato social digital: asegurar la infraestructura crít</w:t>
      </w:r>
      <w:r>
        <w:t>ica; abordar las amenazas a la “seguridad epistémica”</w:t>
      </w:r>
      <w:r w:rsidRPr="00F2605B">
        <w:t xml:space="preserve"> de la desinformación; proteger la integridad de los procesos cívicos y los servicios públicos; legislar contra el ciberdelito; capacitar y educar a las poblaciones en torno a la alfabetización cibernética; regular a los proveedores de servicios digitales; y garantizar la disponibilidad de recursos, como minerales de tierras raras, para la economía digital. La supervisión necesaria podría conducir a una extralimitación a medida que los gobiernos se mueven para cerrar sistemas, erigir barreras digitales más altas o embarcarse en la colonización digital (monopolizando los sistemas digitales) con fines geopolíticos.</w:t>
      </w:r>
      <w:r>
        <w:rPr>
          <w:b/>
          <w:bCs/>
          <w:vertAlign w:val="superscript"/>
        </w:rPr>
        <w:t xml:space="preserve"> </w:t>
      </w:r>
      <w:r w:rsidRPr="00F2605B">
        <w:t>Si bien tales acciones pueden tener el objetivo ostensible de reducir los ataques y la interrupción, estas políticas podrían convertirse rápidamente en un vehículo para la opresión. Los gobiernos, que ya sufren una pérdida de confianza pública como resultado de la crisis de la COVID-19, pueden enfrentar más enojo social si no pueden mantenerse al día con el panorama cambiante de amenazas y manejar estos desafíos de manera responsable.</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Pagar, asegurar o perecer: Consecuencias para las empresas</w:t>
      </w:r>
    </w:p>
    <w:p w:rsidR="00D93BCE" w:rsidRPr="00F2605B" w:rsidRDefault="00D93BCE" w:rsidP="00D93BCE">
      <w:pPr>
        <w:pStyle w:val="NormalWeb"/>
        <w:jc w:val="both"/>
      </w:pPr>
      <w:r w:rsidRPr="00F2605B">
        <w:t>A medida que las amenazas cibernéticas continúen creciendo, los seguros contra tales riesgos serán cada vez más precarios, y las propias aseguradoras enfrentarán ataques de represalia por intentar frenar los pagos de ransomware.</w:t>
      </w:r>
      <w:r>
        <w:rPr>
          <w:b/>
          <w:bCs/>
          <w:vertAlign w:val="superscript"/>
        </w:rPr>
        <w:t xml:space="preserve"> </w:t>
      </w:r>
      <w:r w:rsidRPr="00F2605B">
        <w:t>Por lo tanto, cuando ocurre un ataque, las empresas se verán obligadas a pagar rescates cada vez más altos o sufrir las consecuencias reputacionales, financieras, regulatorias y legales de los ciberataques. Como han demostrado incursiones anteriores (como SolarWinds), la exposición a proveedores y socios de la cadena de suministro también debe evaluarse y gestionarse. El impacto de los ciberataques disruptivos podría ser financieramente devastador para las empresas que no invierten en la protección de su infraestructura digital, particularmente en un escenario en el que los gobiernos comienzan a prohibir los pagos de rescate o sancionar las malas prácticas de ciberseguridad.</w:t>
      </w:r>
      <w:r>
        <w:rPr>
          <w:b/>
          <w:bCs/>
          <w:vertAlign w:val="superscript"/>
        </w:rPr>
        <w:t xml:space="preserve"> </w:t>
      </w:r>
      <w:r w:rsidRPr="00F2605B">
        <w:t>Además, a medida que las preocupaciones ambientales, sociales y de gobierno corporativo (ESG, por sus siglas en inglés) cobran cada vez más importancia (consulte el Capítulo 2), las empresas que no logran demostrar un gobierno corporativo sólido en torno a la ciberseguridad, por ejemplo, implementan sistemas sólidos y protocolos de supervisión de procesos, y practican la rendición de cuentas y la transparencia. en caso de incumplimiento, podría sufrir daños a la reputación a los ojos de los inversores centrados en ESG.</w:t>
      </w:r>
    </w:p>
    <w:p w:rsidR="00D93BCE" w:rsidRPr="00F2605B" w:rsidRDefault="00D93BCE" w:rsidP="00D93BCE">
      <w:pPr>
        <w:pStyle w:val="NormalWeb"/>
        <w:jc w:val="both"/>
      </w:pPr>
      <w:r w:rsidRPr="00F2605B">
        <w:lastRenderedPageBreak/>
        <w:t>Las empresas también operan en un mundo en el que el 95 % de los problemas de ciberseguridad se pueden atribuir a un error humano,</w:t>
      </w:r>
      <w:r>
        <w:rPr>
          <w:b/>
          <w:bCs/>
          <w:vertAlign w:val="superscript"/>
        </w:rPr>
        <w:t xml:space="preserve"> </w:t>
      </w:r>
      <w:r w:rsidRPr="00F2605B">
        <w:t>y donde las amenazas internas (intencionales o accidentales) representan el 43 % de todas las infracciones.</w:t>
      </w:r>
      <w:r>
        <w:rPr>
          <w:b/>
          <w:bCs/>
          <w:vertAlign w:val="superscript"/>
        </w:rPr>
        <w:t xml:space="preserve"> </w:t>
      </w:r>
      <w:r w:rsidRPr="00F2605B">
        <w:t>Algunas empresas inevitablemente pasarán a una mayor segmentación de los sistemas digitales para dar mejor cuenta del riesgo interno. Las empresas podrían comenzar o continuar bloqueando datos clave como resultado de problemas de ciberseguridad. La eficiencia de la fuerza laboral también podría verse afectada si el acceso a los datos y la información es menos fluido.</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67163F43" wp14:editId="5B85E946">
            <wp:extent cx="5670550" cy="3822700"/>
            <wp:effectExtent l="0" t="0" r="6350" b="6350"/>
            <wp:docPr id="14" name="Imagen 14" descr="Choques digitales - Informe de riesgos globales 2022">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oques digitales - Informe de riesgos globales 2022">
                      <a:hlinkClick r:id="rId99"/>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70550" cy="3822700"/>
                    </a:xfrm>
                    <a:prstGeom prst="rect">
                      <a:avLst/>
                    </a:prstGeom>
                    <a:noFill/>
                    <a:ln>
                      <a:noFill/>
                    </a:ln>
                  </pic:spPr>
                </pic:pic>
              </a:graphicData>
            </a:graphic>
          </wp:inline>
        </w:drawing>
      </w:r>
    </w:p>
    <w:p w:rsidR="00D93BCE" w:rsidRPr="00F2605B" w:rsidRDefault="00D93BCE" w:rsidP="00D93BCE">
      <w:pPr>
        <w:pStyle w:val="Ttulo3"/>
        <w:jc w:val="both"/>
        <w:rPr>
          <w:sz w:val="24"/>
          <w:szCs w:val="24"/>
        </w:rPr>
      </w:pPr>
      <w:r w:rsidRPr="00F2605B">
        <w:rPr>
          <w:sz w:val="24"/>
          <w:szCs w:val="24"/>
        </w:rPr>
        <w:t>Hacia una mayor resiliencia cibernética</w:t>
      </w:r>
    </w:p>
    <w:p w:rsidR="00D93BCE" w:rsidRPr="00A73494" w:rsidRDefault="00D93BCE" w:rsidP="00D93BCE">
      <w:pPr>
        <w:pStyle w:val="NormalWeb"/>
        <w:jc w:val="both"/>
        <w:rPr>
          <w:color w:val="FF0000"/>
          <w:u w:val="single"/>
        </w:rPr>
      </w:pPr>
      <w:r w:rsidRPr="00A73494">
        <w:rPr>
          <w:color w:val="FF0000"/>
          <w:u w:val="single"/>
        </w:rPr>
        <w:t xml:space="preserve">A medida que crece nuestra dependencia de las tecnologías digitales e Internet 3.0 se hace realidad, se intensifican los esfuerzos destinados a crear normas y definir reglas de comportamiento para todas las partes interesadas en el ciberespacio. Si bien los diálogos internacionales de múltiples partes interesadas pueden ayudar a fortalecer los vínculos entre los actores que operan en el ámbito de la seguridad digital, la cooperación entre organizaciones podría desbloquear las mejores prácticas que se pueden replicar en todas las industrias y economías. Las iniciativas deben centrarse en tecnologías emergentes, como blockchain, inteligencia cuántica y artificial, así como en los modos de intercambio digital que facilitan, como el metaverso. Los líderes también deben permanecer atentos a las preocupaciones perennes como el cibercrimen y los ataques de ransomware. A nivel organizacional, mejorar las habilidades de los líderes en temas de seguridad cibernética y elevar los riesgos cibernéticos emergentes a las conversaciones a nivel de directorio fortalecerá la resiliencia cibernética. En una sociedad profundamente conectada, la confianza digital es la moneda que facilita la innovación y la prosperidad futuras. Las tecnologías confiables, a su vez, representan la base sobre la cual se construye el andamiaje de una sociedad justa y cohesionada. A menos que actuemos para mejorar la confianza digital con iniciativas de fomento de la confianza intencionales y persistentes, el mundo digital seguirá a </w:t>
      </w:r>
      <w:r w:rsidRPr="00A73494">
        <w:rPr>
          <w:color w:val="FF0000"/>
          <w:u w:val="single"/>
        </w:rPr>
        <w:lastRenderedPageBreak/>
        <w:t>la deriva hacia la fragmentación y la promesa de una de las eras más dinámicas del progreso humano puede perderse, representan la base sobre la que se construye el andamiaje de una sociedad justa y cohesionada. A menos que actuemos para mejorar la confianza digital con iniciativas de fomento de la confianza intencionales y persistentes, el mundo digital seguirá a la deriva hacia la fragmentación y la promesa de una de las eras más dinámicas del progreso humano puede perderse, representan la base sobre la que se construye el andamiaje de una sociedad justa y cohesionada. </w:t>
      </w:r>
    </w:p>
    <w:p w:rsidR="00D93BCE" w:rsidRPr="00F2605B" w:rsidRDefault="00D93BCE" w:rsidP="00D93BCE">
      <w:pPr>
        <w:pStyle w:val="Ttulo1"/>
        <w:spacing w:before="0" w:beforeAutospacing="0" w:after="161" w:afterAutospacing="0"/>
        <w:jc w:val="both"/>
        <w:rPr>
          <w:sz w:val="24"/>
          <w:szCs w:val="24"/>
        </w:rPr>
      </w:pPr>
      <w:r w:rsidRPr="00F2605B">
        <w:rPr>
          <w:sz w:val="24"/>
          <w:szCs w:val="24"/>
        </w:rPr>
        <w:t>Capítulo 4. Barreras a la migración</w:t>
      </w:r>
    </w:p>
    <w:p w:rsidR="00D93BCE" w:rsidRPr="00F2605B" w:rsidRDefault="00297184" w:rsidP="00D93BCE">
      <w:pPr>
        <w:pStyle w:val="Ttulo3"/>
        <w:jc w:val="both"/>
        <w:rPr>
          <w:sz w:val="24"/>
          <w:szCs w:val="24"/>
        </w:rPr>
      </w:pPr>
      <w:r w:rsidRPr="00F2605B">
        <w:rPr>
          <w:sz w:val="24"/>
          <w:szCs w:val="24"/>
        </w:rPr>
        <w:t>Ningún</w:t>
      </w:r>
      <w:r w:rsidR="00D93BCE" w:rsidRPr="00F2605B">
        <w:rPr>
          <w:sz w:val="24"/>
          <w:szCs w:val="24"/>
        </w:rPr>
        <w:t xml:space="preserve"> lugar a donde ir</w:t>
      </w:r>
    </w:p>
    <w:p w:rsidR="00D93BCE" w:rsidRPr="00F2605B" w:rsidRDefault="00D93BCE" w:rsidP="00D93BCE">
      <w:pPr>
        <w:pStyle w:val="NormalWeb"/>
        <w:spacing w:before="0" w:beforeAutospacing="0"/>
        <w:jc w:val="both"/>
      </w:pPr>
      <w:r w:rsidRPr="00F2605B">
        <w:t xml:space="preserve">Gran parte de la población mundial se enfrenta a una perspectiva cada vez más insegura (ver Capítulo 1). Los encuestados de la Encuesta de Percepción de Riesgos Globales (GRPS, por sus </w:t>
      </w:r>
      <w:r>
        <w:t>siglas en inglés) perciben las “crisis de medios de vida”</w:t>
      </w:r>
      <w:r w:rsidRPr="00F2605B">
        <w:t xml:space="preserve"> como uno de los riesgos potencialmente más graves durante la próxima década. Millones de personas ya buscan cruzar fronteras en busca de mejores oportunidades económicas.</w:t>
      </w:r>
    </w:p>
    <w:p w:rsidR="00D93BCE" w:rsidRPr="00A73494" w:rsidRDefault="00D93BCE" w:rsidP="00D93BCE">
      <w:pPr>
        <w:pStyle w:val="NormalWeb"/>
        <w:jc w:val="both"/>
        <w:rPr>
          <w:u w:val="single"/>
        </w:rPr>
      </w:pPr>
      <w:r w:rsidRPr="00A73494">
        <w:rPr>
          <w:u w:val="single"/>
        </w:rPr>
        <w:t>Durante la última década, el número de migrantes internacionales ha crecido constantemente, de 221 millones de personas en 2010 a 281 millones en 2020.</w:t>
      </w:r>
      <w:r w:rsidRPr="00A73494">
        <w:rPr>
          <w:b/>
          <w:bCs/>
          <w:u w:val="single"/>
          <w:vertAlign w:val="superscript"/>
        </w:rPr>
        <w:t xml:space="preserve"> </w:t>
      </w:r>
      <w:r w:rsidRPr="00A73494">
        <w:rPr>
          <w:u w:val="single"/>
        </w:rPr>
        <w:t>Las dificultades económicas, el cambio climático, los conflictos y la inestabilidad política están obligando a millones de personas más a abandonar sus hogares. Estas tendencias se reflejan en la GRPS, donde la “migración involuntaria” se clasifica como una de las principales preocupaciones a largo plazo.</w:t>
      </w:r>
    </w:p>
    <w:p w:rsidR="00D93BCE" w:rsidRPr="00F2605B" w:rsidRDefault="00D93BCE" w:rsidP="00D93BCE">
      <w:pPr>
        <w:pStyle w:val="NormalWeb"/>
        <w:jc w:val="both"/>
      </w:pPr>
      <w:r w:rsidRPr="00A73494">
        <w:rPr>
          <w:color w:val="FF0000"/>
          <w:u w:val="single"/>
        </w:rPr>
        <w:t>Se requiere una mejor colaboración internacional para gestionar estos flujos para garantizar que los migrantes económicos no estén expuestos a la explotación y que los migrantes involuntarios (refugiados) que cruzan a otros países reciban la asistencia y el refugio que necesitan</w:t>
      </w:r>
      <w:r w:rsidRPr="00F2605B">
        <w:t>. La escala del desafío ha ejercido una presión significativa sobre los marcos existentes para la protección de la migración y los refugiados, como la Convención de Refugiados de 1951 y el Protocolo de 1967;</w:t>
      </w:r>
      <w:r>
        <w:rPr>
          <w:b/>
          <w:bCs/>
          <w:vertAlign w:val="superscript"/>
        </w:rPr>
        <w:t xml:space="preserve"> </w:t>
      </w:r>
      <w:r w:rsidRPr="00F2605B">
        <w:t>esta presión se ve agravada por las fracturas dentro de la comunidad internacional y las posturas de interés nacional que ponen en riesgo la capacidad global para abordar este desafío. Alrededor del 60 % de los encuestados de GRPS creen que la “migración y los refugiados” es un área en la que los esfuerzos internacionales de mitigación se están quedando cortos (es decir, “no han comenzado” o están en “desarrollo temprano”).</w:t>
      </w:r>
    </w:p>
    <w:p w:rsidR="00D93BCE" w:rsidRPr="00F2605B" w:rsidRDefault="00D93BCE" w:rsidP="00D93BCE">
      <w:pPr>
        <w:pStyle w:val="NormalWeb"/>
        <w:jc w:val="both"/>
      </w:pPr>
      <w:r w:rsidRPr="00A73494">
        <w:rPr>
          <w:u w:val="single"/>
        </w:rPr>
        <w:t>La migración económica a menudo tiene beneficios considerables tanto para los países de origen como para los de destino</w:t>
      </w:r>
      <w:r w:rsidRPr="00F2605B">
        <w:t>. Es “la forma más eficaz de reducir la pobreza y compartir la prosperidad”, según un informe del Banco Mundial,</w:t>
      </w:r>
      <w:r>
        <w:rPr>
          <w:b/>
          <w:bCs/>
          <w:vertAlign w:val="superscript"/>
        </w:rPr>
        <w:t xml:space="preserve"> </w:t>
      </w:r>
      <w:r w:rsidRPr="00F2605B">
        <w:t>y puede apoyar el crecimiento económico ayudando a abordar la escasez de mano de obra en los países de destino. Si bien la mayor parte de la migración transfronteriza tiene lugar entre países de ingresos bajos y medianos, el 83 % de los residentes no migrantes en los 22 países más ricos de la Organización para la Cooperación y el Desarrollo Económicos (OCDE) han obtenido ganancias económicas netas gracia</w:t>
      </w:r>
      <w:r>
        <w:t xml:space="preserve">s a la afluencia de migrantes. </w:t>
      </w:r>
      <w:r w:rsidRPr="00F2605B">
        <w:t>Por otro lado, algunos emprendimientos de migración basados ​​en proyectos para mejorar la infraestructura transfronteriza han tenido impactos negativos en los países de destino, donde la tendencia a emplear trabajadores de los países de origen ha reducido las oportunidades de transferencia de ingresos y habilidades para los trabajadores nativos del país de destino.</w:t>
      </w:r>
    </w:p>
    <w:p w:rsidR="00D93BCE" w:rsidRPr="00F2605B" w:rsidRDefault="00D93BCE" w:rsidP="00D93BCE">
      <w:pPr>
        <w:pStyle w:val="NormalWeb"/>
        <w:jc w:val="both"/>
      </w:pPr>
      <w:r w:rsidRPr="00F2605B">
        <w:lastRenderedPageBreak/>
        <w:t>En última instancia, los refugiados también pueden hacer una contribución positiva a las economías de los países de destino, dependiendo en parte de una entrada equilibrada entre los países que tienen la capacidad de acogerlos. Su capacidad de contribuir a menudo depende de si reciben apoyo para hacer frente</w:t>
      </w:r>
      <w:r>
        <w:t xml:space="preserve"> a los efectos secundarios del</w:t>
      </w:r>
      <w:r w:rsidRPr="00F2605B">
        <w:t xml:space="preserve"> desplazamiento, por ejemplo, asesoramiento para el estrés postraumático, que normalmente no se ofrece a los migrantes económicos. En cambio, millones de refugiados permanecen hacinados en campamentos al margen de la sociedad, a menudo en países del Sur Global que no tienen la capacidad económica para absorberlos.</w:t>
      </w:r>
    </w:p>
    <w:p w:rsidR="00D93BCE" w:rsidRPr="00A73494" w:rsidRDefault="00D93BCE" w:rsidP="00D93BCE">
      <w:pPr>
        <w:pStyle w:val="NormalWeb"/>
        <w:jc w:val="both"/>
        <w:rPr>
          <w:color w:val="FF0000"/>
          <w:u w:val="single"/>
        </w:rPr>
      </w:pPr>
      <w:r w:rsidRPr="00A73494">
        <w:rPr>
          <w:color w:val="FF0000"/>
          <w:u w:val="single"/>
        </w:rPr>
        <w:t>Sin embargo, las barreras a nivel nacional para el movimiento de personas están aumentando. La desilusión con la globalización ha alimentado los discursos nativistas y las políticas de interés nacional en muchos países de destino en los últimos años, y la COVID-19 ha acelerado esta tendencia. Una encuesta de IPSOS-Foro Económico Mundial de abril de 2021 encontró que las opiniones positivas sobre la globalización cayeron durante la pandemia en un promedio de 10 puntos porcentuales en 25 países.</w:t>
      </w:r>
      <w:r>
        <w:rPr>
          <w:b/>
          <w:bCs/>
          <w:color w:val="FF0000"/>
          <w:u w:val="single"/>
          <w:vertAlign w:val="superscript"/>
        </w:rPr>
        <w:t xml:space="preserve"> </w:t>
      </w:r>
      <w:r w:rsidRPr="00A73494">
        <w:rPr>
          <w:color w:val="FF0000"/>
          <w:u w:val="single"/>
        </w:rPr>
        <w:t>Muchos gobiernos, reflejando las actitudes populares, han expresado su preocupación por las presiones sobre los servicios de educación y salud, la capacidad de vivienda y el empleo local; para otros, las preocupaciones de integración han sido una prioridad.</w:t>
      </w:r>
    </w:p>
    <w:p w:rsidR="00D93BCE" w:rsidRPr="00F2605B" w:rsidRDefault="00D93BCE" w:rsidP="00D93BCE">
      <w:pPr>
        <w:pStyle w:val="NormalWeb"/>
        <w:jc w:val="both"/>
      </w:pPr>
      <w:r w:rsidRPr="00F2605B">
        <w:t>Las barreras más altas para la migración tanto ordenada como desordenada elevan el riesgo de renunciar a vías potenciales para restaurar los medios de vida, cerrar las brechas laborales y de ingresos y mantener la inestabilidad política. En cambio, el choque entre el aumento de la inseguridad en los países de origen y las barreras migratorias en los países de destino exacerbará la divergencia global (consulte el Capítulo 1), lo que agravará las tensiones dentro y entre los países que podrían complicar una recuperación equitativa y conducir a medidas cada vez más desesperadas por parte de quienes se sienten obligados para mover.</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Creciente inseguridad en los países de origen</w:t>
      </w:r>
    </w:p>
    <w:p w:rsidR="00D93BCE" w:rsidRPr="00F2605B" w:rsidRDefault="00D93BCE" w:rsidP="00D93BCE">
      <w:pPr>
        <w:pStyle w:val="NormalWeb"/>
        <w:jc w:val="both"/>
      </w:pPr>
      <w:r w:rsidRPr="00F2605B">
        <w:t>Las restricciones de movimiento relacionadas con el COVID-19 interrumpieron algunos flujos migratorios;</w:t>
      </w:r>
      <w:r>
        <w:rPr>
          <w:b/>
          <w:bCs/>
          <w:vertAlign w:val="superscript"/>
        </w:rPr>
        <w:t xml:space="preserve"> </w:t>
      </w:r>
      <w:r w:rsidRPr="00F2605B">
        <w:t>a medida que se levanten estas restricciones, es probable que las recuperaciones económicas divergentes amplifiquen las presiones para migrar que se han visto restringidas durante la pandemia.</w:t>
      </w:r>
      <w:r>
        <w:rPr>
          <w:b/>
          <w:bCs/>
          <w:vertAlign w:val="superscript"/>
        </w:rPr>
        <w:t xml:space="preserve"> </w:t>
      </w:r>
      <w:r w:rsidRPr="00F2605B">
        <w:t>Muchos países de origen, en su mayoría los menos avanzados y menos vacunados (ver el Capítulo 1), enfrentan perspectivas económicas altamente inseguras a medida que el crecimiento se estanca, las finanzas públicas continúan siendo presionadas y los estímulos relacionados con la pandemia, de los cuales han dependido los grupos vulnerables, se reducen.</w:t>
      </w:r>
      <w:r>
        <w:rPr>
          <w:b/>
          <w:bCs/>
          <w:vertAlign w:val="superscript"/>
        </w:rPr>
        <w:t xml:space="preserve"> </w:t>
      </w:r>
      <w:r w:rsidRPr="00F2605B">
        <w:t>El empleo en estos países también puede disminuir si la pandemia persiste, exacerbada por una tendencia mundial de automatización del lugar de trabajo, reasignación de operaciones comerciales y acortamiento de las cadenas de suministro que pueden afectar las entradas, las exportaciones y el crecimiento de la inversión extranjera directa (IED).</w:t>
      </w:r>
      <w:r>
        <w:rPr>
          <w:b/>
          <w:bCs/>
          <w:vertAlign w:val="superscript"/>
        </w:rPr>
        <w:t xml:space="preserve"> </w:t>
      </w:r>
      <w:r w:rsidRPr="00F2605B">
        <w:t>En muchos países de bajos ingresos, donde prevalece el trabajo informal, los trabajadores migrantes informales están particularmente expuestos a las consecuencias económicas de la pandemia debido a sus bajos ingresos y la falta de acceso al apoyo estatal.</w:t>
      </w:r>
    </w:p>
    <w:p w:rsidR="00D93BCE" w:rsidRDefault="00D93BCE" w:rsidP="00D93BCE">
      <w:pPr>
        <w:pStyle w:val="NormalWeb"/>
        <w:jc w:val="both"/>
      </w:pPr>
      <w:r w:rsidRPr="00A73494">
        <w:rPr>
          <w:u w:val="single"/>
        </w:rPr>
        <w:t>El cambio climático es un factor clave de la migración. Desplaza a las personas directamente debido a los desastres naturales y puede desplazarlas indirectamente fomentando la migración económica desde economías debilitadas y vulnerables a los impactos adversos del cambio climático. La incapacidad para adaptarse o mitigar los impactos del cambio climático amenaza con hacer que ciertas partes del mundo densamente pobladas sean inhabitables</w:t>
      </w:r>
      <w:r w:rsidRPr="00F2605B">
        <w:t>.</w:t>
      </w:r>
      <w:r>
        <w:rPr>
          <w:b/>
          <w:bCs/>
          <w:vertAlign w:val="superscript"/>
        </w:rPr>
        <w:t xml:space="preserve"> </w:t>
      </w:r>
      <w:r w:rsidRPr="00F2605B">
        <w:t xml:space="preserve">Los </w:t>
      </w:r>
      <w:r w:rsidRPr="00F2605B">
        <w:lastRenderedPageBreak/>
        <w:t>fenómenos meteorológicos más frecuentes y extremos, como incendios, inundaciones y sequías, podrían desplazar a más de 200 millones de personas para 2050.</w:t>
      </w:r>
      <w:r>
        <w:rPr>
          <w:b/>
          <w:bCs/>
          <w:vertAlign w:val="superscript"/>
        </w:rPr>
        <w:t xml:space="preserve"> </w:t>
      </w:r>
      <w:r w:rsidRPr="00F2605B">
        <w:t>La escasez de agua es un factor clave de la migración debido a su impacto en la salud y los medios de subsistencia, así como a los conflictos que puede desencadenar.</w:t>
      </w:r>
      <w:r>
        <w:rPr>
          <w:b/>
          <w:bCs/>
          <w:vertAlign w:val="superscript"/>
        </w:rPr>
        <w:t xml:space="preserve"> </w:t>
      </w:r>
      <w:r w:rsidRPr="00A73494">
        <w:rPr>
          <w:color w:val="FF0000"/>
          <w:u w:val="single"/>
        </w:rPr>
        <w:t>Los encu</w:t>
      </w:r>
      <w:r>
        <w:rPr>
          <w:color w:val="FF0000"/>
          <w:u w:val="single"/>
        </w:rPr>
        <w:t>estados de GRPS calificaron el “clima extremo” y el “fracaso de la acción climática” como fuertes agravantes de la “migración involuntaria”</w:t>
      </w:r>
      <w:r w:rsidRPr="00A73494">
        <w:rPr>
          <w:color w:val="FF0000"/>
          <w:u w:val="single"/>
        </w:rPr>
        <w:t>.</w:t>
      </w:r>
      <w:r w:rsidRPr="00F2605B">
        <w:t> Países densamente poblados que dependen en gran medida de la agricultura, como India</w:t>
      </w:r>
      <w:r>
        <w:t>, Nigeria, Pakistán y Filipinas, -</w:t>
      </w:r>
      <w:r w:rsidRPr="00F2605B">
        <w:t>son especialmente vulnerables a la inseguridad climática. El empeoramiento del clima extremo provocará migraciones y desplazamientos a gran escala, pero la renuencia de la comunidad i</w:t>
      </w:r>
      <w:r>
        <w:t>nternacional a reconocer a los “refugiados climáticos” y los “migrantes ambientales”</w:t>
      </w:r>
      <w:r w:rsidRPr="00F2605B">
        <w:t xml:space="preserve"> está ampliando su brecha de protección legal.</w:t>
      </w:r>
      <w:r>
        <w:rPr>
          <w:b/>
          <w:bCs/>
          <w:vertAlign w:val="superscript"/>
        </w:rPr>
        <w:t xml:space="preserve"> </w:t>
      </w:r>
      <w:r w:rsidRPr="00F2605B">
        <w:t>Los marcos legislativos y de gobernanza siguen estando mal equipados para proteger a millones en riesgo de desplazamiento que no califican como refugiados tradicionales.</w:t>
      </w:r>
      <w:r>
        <w:rPr>
          <w:b/>
          <w:bCs/>
          <w:vertAlign w:val="superscript"/>
        </w:rPr>
        <w:t xml:space="preserve"> </w:t>
      </w:r>
      <w:r w:rsidRPr="00F2605B">
        <w:t>Estos vacíos de gobernanza podrían dejar a los gobiernos sorprendidos en caso de un impacto ambiental repentino y de alto impacto. Además, el hecho de no lograr transiciones inclusivas hacia economías netas cero (ver el Capítulo 2) podría empeorar la inseguridad económica para las empresas y los hogares en los países de origen que quedan atrás.</w:t>
      </w:r>
    </w:p>
    <w:p w:rsidR="00D93BCE" w:rsidRPr="00F2605B" w:rsidRDefault="00D93BCE" w:rsidP="00D93BCE">
      <w:pPr>
        <w:pStyle w:val="NormalWeb"/>
        <w:jc w:val="both"/>
      </w:pPr>
      <w:r w:rsidRPr="00F2605B">
        <w:rPr>
          <w:noProof/>
        </w:rPr>
        <w:drawing>
          <wp:inline distT="0" distB="0" distL="0" distR="0" wp14:anchorId="3B52FD8B" wp14:editId="79D59289">
            <wp:extent cx="5676900" cy="4927600"/>
            <wp:effectExtent l="0" t="0" r="0" b="6350"/>
            <wp:docPr id="111" name="Imagen 111" descr="Refugiados, solicitantes de asilo y venezolanos desplazados en el exterior, 2020-2022 - Informe de Riesgos Globales 2022">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fugiados, solicitantes de asilo y venezolanos desplazados en el exterior, 2020-2022 - Informe de Riesgos Globales 2022">
                      <a:hlinkClick r:id="rId103"/>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676900" cy="4927600"/>
                    </a:xfrm>
                    <a:prstGeom prst="rect">
                      <a:avLst/>
                    </a:prstGeom>
                    <a:noFill/>
                    <a:ln>
                      <a:noFill/>
                    </a:ln>
                  </pic:spPr>
                </pic:pic>
              </a:graphicData>
            </a:graphic>
          </wp:inline>
        </w:drawing>
      </w:r>
    </w:p>
    <w:p w:rsidR="00D93BCE" w:rsidRPr="00F2605B" w:rsidRDefault="00D93BCE" w:rsidP="00D93BCE">
      <w:pPr>
        <w:pStyle w:val="NormalWeb"/>
        <w:jc w:val="both"/>
      </w:pPr>
      <w:r w:rsidRPr="00F2605B">
        <w:t xml:space="preserve">Los conflictos y la inseguridad política también son importantes impulsores de la migración involuntaria. En 2020, hubo más de 34 millones de personas desplazadas en el extranjero en todo el mundo solo por conflictos, un máximo histórico (consulte la Figura 4.1), </w:t>
      </w:r>
      <w:r w:rsidRPr="00F2605B">
        <w:lastRenderedPageBreak/>
        <w:t>principalmente debido a conflictos de larga data y agitación política en Afganistán, Myanmar, Sudán del Sur, Siria y Venezuela.</w:t>
      </w:r>
      <w:r>
        <w:rPr>
          <w:b/>
          <w:bCs/>
          <w:vertAlign w:val="superscript"/>
        </w:rPr>
        <w:t xml:space="preserve"> </w:t>
      </w:r>
      <w:r w:rsidRPr="00F2605B">
        <w:t>ya la expansión de los conflictos dentro y más allá de las fronteras de Etiopía.</w:t>
      </w:r>
      <w:r>
        <w:rPr>
          <w:b/>
          <w:bCs/>
          <w:vertAlign w:val="superscript"/>
        </w:rPr>
        <w:t xml:space="preserve"> </w:t>
      </w:r>
      <w:r w:rsidRPr="00F2605B">
        <w:t>Según la Encuesta de Opinión Ejecutiva (EOS), la “migración involuntaria” es una de las principales amenazas a corto plazo en Armenia, Ucrania y Venezuela, que han experimentado conflictos e inestabilidad política.</w:t>
      </w:r>
      <w:r>
        <w:rPr>
          <w:b/>
          <w:bCs/>
          <w:vertAlign w:val="superscript"/>
        </w:rPr>
        <w:t xml:space="preserve"> </w:t>
      </w:r>
      <w:r w:rsidRPr="00F2605B">
        <w:t>La agitación política bien puede empeorar después de la pandemia de COVID-19, agravada por la reducción de las fuerzas de seguridad internacionales de zonas de conflicto como Afganistán y la región del Sahel de África. Además, algunos líderes políticos han reaccionado a las crisis económicas y el malestar social con autoritarismo, políticas discriminatorias o discursos extremistas que ponen a las minorías étnicas o religiosas en riesgo de marginación o violencia.</w:t>
      </w:r>
    </w:p>
    <w:p w:rsidR="00D93BCE" w:rsidRPr="00F2605B" w:rsidRDefault="00D93BCE" w:rsidP="00D93BCE">
      <w:pPr>
        <w:pStyle w:val="NormalWeb"/>
        <w:jc w:val="both"/>
      </w:pPr>
      <w:r w:rsidRPr="00F2605B">
        <w:t>La cooperación global para resolver o mitigar las crisis humanitarias en curso está siendo desafiada por las presiones financieras en las economías avanzadas, un mayor enfoque en las prioridades nacionales y un contexto geopolítico más tenso (ver el Capítulo 1). La pandemia ya ha disminuido el financiamiento externo a los países en desarrollo en US$</w:t>
      </w:r>
      <w:r>
        <w:t xml:space="preserve"> </w:t>
      </w:r>
      <w:r w:rsidRPr="00F2605B">
        <w:t>700 mil millones, equivalente al PIB combinado de 36 de las economías más pobres del mundo (ver Figura 4.2).</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11639832" wp14:editId="34D2648C">
            <wp:extent cx="5562600" cy="5359400"/>
            <wp:effectExtent l="0" t="0" r="0" b="0"/>
            <wp:docPr id="18" name="Imagen 18" descr="Pérdida de financiamiento de los países en desarrollo frente al PIB, 2020 - Informe de riesgos globales 2022">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érdida de financiamiento de los países en desarrollo frente al PIB, 2020 - Informe de riesgos globales 2022">
                      <a:hlinkClick r:id="rId103"/>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62600" cy="5359400"/>
                    </a:xfrm>
                    <a:prstGeom prst="rect">
                      <a:avLst/>
                    </a:prstGeom>
                    <a:noFill/>
                    <a:ln>
                      <a:noFill/>
                    </a:ln>
                  </pic:spPr>
                </pic:pic>
              </a:graphicData>
            </a:graphic>
          </wp:inline>
        </w:drawing>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lastRenderedPageBreak/>
        <w:t>Barreras a la movilidad en los países de destino</w:t>
      </w:r>
    </w:p>
    <w:p w:rsidR="00D93BCE" w:rsidRPr="002E3277" w:rsidRDefault="00D93BCE" w:rsidP="00D93BCE">
      <w:pPr>
        <w:pStyle w:val="NormalWeb"/>
        <w:jc w:val="both"/>
        <w:rPr>
          <w:u w:val="single"/>
        </w:rPr>
      </w:pPr>
      <w:r w:rsidRPr="002E3277">
        <w:rPr>
          <w:u w:val="single"/>
        </w:rPr>
        <w:t>Hay tres barreras potenciales para la migración transfronteriza: los efectos posteriores a la pandemia en la movilidad internacional, las tendencias futuras del empleo y el aumento de las posturas de interés nacional de muchos países.</w:t>
      </w:r>
    </w:p>
    <w:p w:rsidR="00D93BCE" w:rsidRPr="00F2605B" w:rsidRDefault="00D93BCE" w:rsidP="00D93BCE">
      <w:pPr>
        <w:pStyle w:val="NormalWeb"/>
        <w:jc w:val="both"/>
      </w:pPr>
      <w:r w:rsidRPr="00F2605B">
        <w:t>La pandemia de COVID-19 y sus ramificaciones económicas han envalentonado a algunos grupos y líderes políticos a adoptar posturas más hostiles contra la migración, los extranjeros o las comunidades con raíces extranjeras. Las restricciones a la circulación internacional como resultado de la pandemia seguían vigentes en 32 países en el momento de redactar este informe.</w:t>
      </w:r>
      <w:r>
        <w:rPr>
          <w:b/>
          <w:bCs/>
          <w:vertAlign w:val="superscript"/>
        </w:rPr>
        <w:t xml:space="preserve"> </w:t>
      </w:r>
      <w:r w:rsidRPr="00F2605B">
        <w:t>Estos incluyen países críticos de destino y corredores como China, India, Rusia, los Emiratos Árabes Unidos y los Estados Unidos. La futura flexibilización de las restricciones dependerá del progreso de la vacunación y la evolución de la COVID-19, pero las brechas de vacunación persistentes a nivel mundial, y particularmente dentro de los países de origen, significa que la movilidad internacional seguirá estando restringida para muchos.</w:t>
      </w:r>
    </w:p>
    <w:p w:rsidR="00D93BCE" w:rsidRPr="00F2605B" w:rsidRDefault="00D93BCE" w:rsidP="00D93BCE">
      <w:pPr>
        <w:pStyle w:val="NormalWeb"/>
        <w:jc w:val="both"/>
      </w:pPr>
      <w:r w:rsidRPr="00F2605B">
        <w:t>La pandemia también puede reducir las futuras oportunidades de empleo para los trabajadores migrantes en los países de destino, tanto por la perturbación económica que creó como por la aceleración de la automatización y digitalización de tareas y servicios. El Informe sobre el futuro de los empleos del Foro Económico Mundial reveló que el</w:t>
      </w:r>
      <w:r w:rsidRPr="00F2605B">
        <w:br/>
        <w:t>50 % de los empleadores en todo el mundo planeó automatizar tareas en respuesta a la COVID-19, a menudo en sectores que han dependido de trabajadores migrantes.</w:t>
      </w:r>
      <w:r>
        <w:rPr>
          <w:b/>
          <w:bCs/>
          <w:vertAlign w:val="superscript"/>
        </w:rPr>
        <w:t xml:space="preserve"> </w:t>
      </w:r>
      <w:r w:rsidRPr="00F2605B">
        <w:t>El informe también estima que la automatización destruirá 85 millones de puestos de trabajo para 2025, y aunque</w:t>
      </w:r>
      <w:r>
        <w:t xml:space="preserve"> </w:t>
      </w:r>
      <w:r w:rsidRPr="00F2605B">
        <w:t>surgirán 97 millones de nuevos puestos de trabajo, es posible que estos puestos de trabajo no coincidan necesariamente con las habilidades de muchos inmigrantes.</w:t>
      </w:r>
      <w:r>
        <w:rPr>
          <w:b/>
          <w:bCs/>
          <w:vertAlign w:val="superscript"/>
        </w:rPr>
        <w:t xml:space="preserve"> </w:t>
      </w:r>
      <w:r w:rsidRPr="00F2605B">
        <w:t>El repunte económico a corto plazo de la pandemia ha resultado en un aumento en la contratación en algunos sectores clave para los migrantes, como la hospitalidad y la atención médica, pero a largo plazo, nuevos patrones de consumo en los países de destino, como m</w:t>
      </w:r>
      <w:r>
        <w:t>ás comercio electrónico y menos viajes de negocios -</w:t>
      </w:r>
      <w:r w:rsidRPr="00F2605B">
        <w:t>se espera que reduzcan la demanda de puestos de trabajo en industrias con un uso intensivo de inmigrantes, como la agricultura, los servicios alimentarios y el almacenamiento.</w:t>
      </w:r>
    </w:p>
    <w:p w:rsidR="00D93BCE" w:rsidRPr="00F2605B" w:rsidRDefault="00D93BCE" w:rsidP="00D93BCE">
      <w:pPr>
        <w:pStyle w:val="NormalWeb"/>
        <w:jc w:val="both"/>
      </w:pPr>
      <w:r w:rsidRPr="00F2605B">
        <w:t>Las posturas de interés nacional también se han arraigado más en las economías en desarrollo y avanzadas. Por ejemplo, Chile y Perú han reformulado sus mecanismos de gobernanza migratoria, lo que complica el acceso de las poblaciones de migrantes y refugiados a servicios financieros y de salud esenciales.</w:t>
      </w:r>
      <w:r>
        <w:rPr>
          <w:b/>
          <w:bCs/>
          <w:vertAlign w:val="superscript"/>
        </w:rPr>
        <w:t xml:space="preserve"> </w:t>
      </w:r>
      <w:r w:rsidRPr="00F2605B">
        <w:t xml:space="preserve">Mientras tanto, las políticas restrictivas originalmente basadas en preocupaciones de salud pública no se han revertido, como lo indican las disminuciones sostenidas en las visas emitidas para el Reino Unido y la perpetuación de las expulsiones del </w:t>
      </w:r>
      <w:r>
        <w:t>Título 42 en la frontera de EE</w:t>
      </w:r>
      <w:r w:rsidRPr="00F2605B">
        <w:t>UU.</w:t>
      </w:r>
      <w:r>
        <w:rPr>
          <w:b/>
          <w:bCs/>
          <w:vertAlign w:val="superscript"/>
        </w:rPr>
        <w:t xml:space="preserve"> </w:t>
      </w:r>
      <w:r w:rsidRPr="00F2605B">
        <w:t>Otros países de destino han buscado endurecer las fronteras para evitar la llegada de inmigrantes involuntarios, como lo demuestran las nuevas ambiciones de construir muros en Europa y Turquía.</w:t>
      </w:r>
    </w:p>
    <w:p w:rsidR="00D93BCE" w:rsidRPr="00F2605B" w:rsidRDefault="00D93BCE" w:rsidP="00D93BCE">
      <w:pPr>
        <w:pStyle w:val="Ttulo3"/>
        <w:jc w:val="both"/>
        <w:rPr>
          <w:sz w:val="24"/>
          <w:szCs w:val="24"/>
        </w:rPr>
      </w:pPr>
      <w:r w:rsidRPr="00F2605B">
        <w:rPr>
          <w:sz w:val="24"/>
          <w:szCs w:val="24"/>
        </w:rPr>
        <w:t>Consecuencias</w:t>
      </w:r>
    </w:p>
    <w:p w:rsidR="00D93BCE" w:rsidRPr="002E3277" w:rsidRDefault="00D93BCE" w:rsidP="00D93BCE">
      <w:pPr>
        <w:pStyle w:val="NormalWeb"/>
        <w:jc w:val="both"/>
        <w:rPr>
          <w:color w:val="FF0000"/>
          <w:u w:val="single"/>
        </w:rPr>
      </w:pPr>
      <w:r w:rsidRPr="002E3277">
        <w:rPr>
          <w:color w:val="FF0000"/>
          <w:u w:val="single"/>
        </w:rPr>
        <w:t>Las barreras a la migración ordenada podrían tener consecuencias globales negativas, como la ampliación de las brechas laborales y la disparidad de ingresos, el desencadenamiento o el empeoramiento de crisis humanitarias y el aumento de la polarización social.</w:t>
      </w:r>
    </w:p>
    <w:p w:rsidR="00D93BCE" w:rsidRPr="00F2605B" w:rsidRDefault="00D93BCE" w:rsidP="00D93BCE">
      <w:pPr>
        <w:pStyle w:val="NormalWeb"/>
        <w:jc w:val="both"/>
      </w:pPr>
      <w:r w:rsidRPr="00F2605B">
        <w:rPr>
          <w:b/>
          <w:bCs/>
          <w:i/>
          <w:iCs/>
        </w:rPr>
        <w:t>Consecuencias económicas. </w:t>
      </w:r>
      <w:r w:rsidRPr="00F2605B">
        <w:t xml:space="preserve">El repunte económico de COVID-19 ha creado escasez de mano de obra en industrias específicas, aunque algunas pueden ser temporales, al interrumpir la </w:t>
      </w:r>
      <w:r w:rsidRPr="00F2605B">
        <w:lastRenderedPageBreak/>
        <w:t xml:space="preserve">dinámica del mercado y las cadenas de suministro, y ha llevado a los trabajadores a reevaluar sus opciones personales y profesionales. En el momento de escribir este artículo, Estados Unidos se enfrentaba a más de 11 millones de puestos de trabajo vacantes en general y la Unión </w:t>
      </w:r>
      <w:r w:rsidR="008E5798">
        <w:t>Europea tenía un déficit de 400.</w:t>
      </w:r>
      <w:r w:rsidRPr="00F2605B">
        <w:t>000 conductores solo en la industria del transporte por carretera.</w:t>
      </w:r>
      <w:r>
        <w:rPr>
          <w:b/>
          <w:bCs/>
          <w:vertAlign w:val="superscript"/>
        </w:rPr>
        <w:t xml:space="preserve"> </w:t>
      </w:r>
      <w:r w:rsidRPr="00F2605B">
        <w:t>El sector de la hostelería, uno de los más afectados por la pandemia, es especialmente vulnerable a la escasez de mano de obra a largo plazo que la migración podría cerrar. En los Estados Unidos, una encuesta encontró que más del 50 % de los ex empleados de la hostelería no volverían a sus trabajos anteriores, y el 60 % de los trabajadores que buscan empleo no considerarían el sector de la hostelería.</w:t>
      </w:r>
    </w:p>
    <w:p w:rsidR="00D93BCE" w:rsidRPr="00F2605B" w:rsidRDefault="00D93BCE" w:rsidP="00D93BCE">
      <w:pPr>
        <w:pStyle w:val="NormalWeb"/>
        <w:jc w:val="both"/>
      </w:pPr>
      <w:r w:rsidRPr="00F2605B">
        <w:t>Una disminución en el empleo migrante podría debilitar el flujo global de remesas de tal manera que el crecimiento de los ingresos no siga el ritmo de la inflación, lo que limitaría la movilidad social en los países de origen. Las remesas también respaldan el consumo privado, el ahorro y la inversión en los países de origen y pueden equivaler a una proporción significativa del PIB (desde casi una cuarta parte del PIB en El Salvador y Honduras hasta más de un tercio en Somalia).</w:t>
      </w:r>
      <w:r>
        <w:rPr>
          <w:b/>
          <w:bCs/>
          <w:vertAlign w:val="superscript"/>
        </w:rPr>
        <w:t xml:space="preserve"> </w:t>
      </w:r>
      <w:r w:rsidRPr="00F2605B">
        <w:t>Demostraron ser resistentes durante la pandemia, cayendo un 2% anual en países de ingresos bajos y medianos en 2020</w:t>
      </w:r>
      <w:r>
        <w:rPr>
          <w:b/>
          <w:bCs/>
          <w:vertAlign w:val="superscript"/>
        </w:rPr>
        <w:t xml:space="preserve"> </w:t>
      </w:r>
      <w:r>
        <w:t>-</w:t>
      </w:r>
      <w:r w:rsidRPr="00F2605B">
        <w:t>mucho menos que la caída del 30% en la IED</w:t>
      </w:r>
      <w:r>
        <w:rPr>
          <w:b/>
          <w:bCs/>
          <w:vertAlign w:val="superscript"/>
        </w:rPr>
        <w:t xml:space="preserve">- </w:t>
      </w:r>
      <w:r w:rsidRPr="00F2605B">
        <w:t>y recuperándose rápidamente para aumentar un 7,3 % en 2021.</w:t>
      </w:r>
      <w:r>
        <w:rPr>
          <w:b/>
          <w:bCs/>
          <w:vertAlign w:val="superscript"/>
        </w:rPr>
        <w:t xml:space="preserve"> </w:t>
      </w:r>
      <w:r w:rsidRPr="00F2605B">
        <w:t>Combinado con el turismo estancado y las presiones sobre las exportaciones,</w:t>
      </w:r>
      <w:r>
        <w:rPr>
          <w:b/>
          <w:bCs/>
          <w:vertAlign w:val="superscript"/>
        </w:rPr>
        <w:t xml:space="preserve"> </w:t>
      </w:r>
      <w:r w:rsidRPr="00F2605B">
        <w:t>una caída en las remesas debilitaría otra importante fuente de financiamiento para muchos países en desarrollo.</w:t>
      </w:r>
    </w:p>
    <w:p w:rsidR="00D93BCE" w:rsidRPr="00F2605B" w:rsidRDefault="00D93BCE" w:rsidP="00D93BCE">
      <w:pPr>
        <w:pStyle w:val="NormalWeb"/>
        <w:jc w:val="both"/>
      </w:pPr>
      <w:r w:rsidRPr="00F2605B">
        <w:rPr>
          <w:b/>
          <w:bCs/>
          <w:i/>
          <w:iCs/>
        </w:rPr>
        <w:t>Consecuencias humanitarias. </w:t>
      </w:r>
      <w:r w:rsidRPr="00F2605B">
        <w:t>Las crisis humanitarias podrían empeorar cuando las barreras de salida impidan que los grupos vulnerables escapen de la persecución o la violencia. En algunos estados frágiles, los gobiernos podrían bloquear la salida de sus ciudadanos para detener la despoblación y la fuga de capitales. En Afganistán y Myanmar, los gobiernos supuestamente han impedido que los ciudadanos abandonen el país.</w:t>
      </w:r>
      <w:r>
        <w:rPr>
          <w:b/>
          <w:bCs/>
          <w:vertAlign w:val="superscript"/>
        </w:rPr>
        <w:t xml:space="preserve"> </w:t>
      </w:r>
      <w:r w:rsidRPr="00F2605B">
        <w:t>El bloqueo de la emigración impide que las personas busquen medios de vida más seguros y que las diásporas se reúnan con sus familias. Puede exacerbar las fracturas sociales al cerrar un mecanismo para reducir la pobreza y reducir la desigualdad, alimentando la animosidad de los ciudadanos hacia el gobierno y potencialmente empoderando a los grupos criminales o incluso terroristas que ofrecen esperanza a las personas descontentas.</w:t>
      </w:r>
    </w:p>
    <w:p w:rsidR="00D93BCE" w:rsidRPr="00F2605B" w:rsidRDefault="00D93BCE" w:rsidP="00D93BCE">
      <w:pPr>
        <w:pStyle w:val="NormalWeb"/>
        <w:jc w:val="both"/>
      </w:pPr>
      <w:r w:rsidRPr="00F2605B">
        <w:t>Las oportunidades de movilidad internacional más limitadas empujarán a los migrantes a embarcarse en viajes más peligrosos y corren el riesgo de empeorar o desencadenar crisis humanitarias en países vecinos y corredores. Uno de esos casos es la crisis siria, que para 2021 ya había desplazado a casi 6 millones de sirios en el extranjero, principalmente a Turquía, Líbano y Jordania, pero podría empeorar aún más.</w:t>
      </w:r>
      <w:r>
        <w:rPr>
          <w:b/>
          <w:bCs/>
          <w:vertAlign w:val="superscript"/>
        </w:rPr>
        <w:t xml:space="preserve"> </w:t>
      </w:r>
      <w:r w:rsidRPr="00F2605B">
        <w:t>Se estima que 700.000 migrantes centroamericanos transitaron por México en 2021, un rápido retorno a los niveles previos a la pandemia</w:t>
      </w:r>
      <w:r>
        <w:rPr>
          <w:b/>
          <w:bCs/>
          <w:vertAlign w:val="superscript"/>
        </w:rPr>
        <w:t xml:space="preserve"> </w:t>
      </w:r>
      <w:r>
        <w:t>-</w:t>
      </w:r>
      <w:r w:rsidRPr="00F2605B">
        <w:t>y aquellos que no pueden ingresar a los Estados Unidos es poco probable que regresen a sus países de origen.</w:t>
      </w:r>
      <w:r>
        <w:rPr>
          <w:b/>
          <w:bCs/>
          <w:vertAlign w:val="superscript"/>
        </w:rPr>
        <w:t xml:space="preserve"> </w:t>
      </w:r>
      <w:r w:rsidRPr="00F2605B">
        <w:t>En un momento, 15.000 refugiados centroamericanos quedaron varados durante días en condiciones precarias bajo un puente en la frontera entre México y Estados Unidos.</w:t>
      </w:r>
      <w:r>
        <w:rPr>
          <w:b/>
          <w:bCs/>
          <w:vertAlign w:val="superscript"/>
        </w:rPr>
        <w:t xml:space="preserve"> </w:t>
      </w:r>
      <w:r w:rsidRPr="00F2605B">
        <w:t>Según la EOS, la “migración involuntaria” es una de las principales amenazas a corto plazo en El Salvador, Guatemala, Honduras y Nicaragua.</w:t>
      </w:r>
    </w:p>
    <w:p w:rsidR="00D93BCE" w:rsidRPr="00F2605B" w:rsidRDefault="00D93BCE" w:rsidP="00D93BCE">
      <w:pPr>
        <w:pStyle w:val="NormalWeb"/>
        <w:jc w:val="both"/>
      </w:pPr>
      <w:r w:rsidRPr="00F2605B">
        <w:t>Estos viajes peligrosos también pueden conducir a la trágica pérdida de vidas, como cuando las personas se pierden en el mar o enfrentan condiciones climáticas adversas mientras están atrapadas en las fronteras.</w:t>
      </w:r>
      <w:r>
        <w:rPr>
          <w:b/>
          <w:bCs/>
          <w:vertAlign w:val="superscript"/>
        </w:rPr>
        <w:t xml:space="preserve"> </w:t>
      </w:r>
      <w:r w:rsidRPr="00F2605B">
        <w:t>En el momento de escribir este artículo, se estimaba que casi 4.800 migrantes habían muerto o desaparecido en 2021, la mayoría de ellos tratando de llegar a Europa desde África.</w:t>
      </w:r>
      <w:r>
        <w:rPr>
          <w:b/>
          <w:bCs/>
          <w:vertAlign w:val="superscript"/>
        </w:rPr>
        <w:t xml:space="preserve"> </w:t>
      </w:r>
      <w:r w:rsidRPr="00F2605B">
        <w:t xml:space="preserve">Aunque existe un consenso mundial sobre la urgente necesidad de </w:t>
      </w:r>
      <w:r w:rsidRPr="00F2605B">
        <w:lastRenderedPageBreak/>
        <w:t>combatir la trata de personas, la Organización Internacional para las Migraciones estima que en todos los países operan grupos organizados de trata de personas.</w:t>
      </w:r>
    </w:p>
    <w:p w:rsidR="00D93BCE" w:rsidRPr="00F2605B" w:rsidRDefault="00D93BCE" w:rsidP="00D93BCE">
      <w:pPr>
        <w:pStyle w:val="NormalWeb"/>
        <w:jc w:val="both"/>
      </w:pPr>
      <w:r w:rsidRPr="00F2605B">
        <w:rPr>
          <w:b/>
          <w:bCs/>
          <w:i/>
          <w:iCs/>
        </w:rPr>
        <w:t>Consecuencias geopolíticas. </w:t>
      </w:r>
      <w:r w:rsidRPr="00F2605B">
        <w:t>Las presiones migratorias podrían exacerbar las tensiones geopolíticas e incluso alimentar los conflictos transfronterizos. Por ejemplo, en Medio Oriente, se espera que medio millón de afganos tomen medidas cada vez más drásticas para eludir las restricciones migr</w:t>
      </w:r>
      <w:r>
        <w:t>atorias y huir a países vecinos, -</w:t>
      </w:r>
      <w:r w:rsidRPr="00F2605B">
        <w:t>incluido Irán, que ha ampliado su presencia militar a lo largo de la frontera para disuadir una posible incursión talibán.</w:t>
      </w:r>
      <w:r>
        <w:rPr>
          <w:b/>
          <w:bCs/>
          <w:vertAlign w:val="superscript"/>
        </w:rPr>
        <w:t xml:space="preserve"> </w:t>
      </w:r>
      <w:r w:rsidRPr="00F2605B">
        <w:t>La gestión de los flujos migratorios se ha convertido en un tema tenso entre Turquía, que alberga a unos 3,6 millones de refugiados sirios,</w:t>
      </w:r>
      <w:r>
        <w:rPr>
          <w:b/>
          <w:bCs/>
          <w:vertAlign w:val="superscript"/>
        </w:rPr>
        <w:t xml:space="preserve"> </w:t>
      </w:r>
      <w:r w:rsidRPr="00F2605B">
        <w:t>y la Unión Europea.</w:t>
      </w:r>
    </w:p>
    <w:p w:rsidR="00D93BCE" w:rsidRPr="00F2605B" w:rsidRDefault="00D93BCE" w:rsidP="00D93BCE">
      <w:pPr>
        <w:pStyle w:val="NormalWeb"/>
        <w:jc w:val="both"/>
      </w:pPr>
      <w:r w:rsidRPr="00F2605B">
        <w:t>Las divisiones geopolíticas también podrían empeorar, y surgir otras nuevas, si la migración del país de origen se utiliza cada vez más como instrumento geopolítico. El cruce de inmigrantes desde Marruecos hacia el enclave español de Ceuta agravó las tensiones que se originaron en la falta de apoyo de la Unión Europea a las reivindicaciones de Marruecos sobre el Sáhara Occidental.</w:t>
      </w:r>
      <w:r>
        <w:rPr>
          <w:b/>
          <w:bCs/>
          <w:vertAlign w:val="superscript"/>
        </w:rPr>
        <w:t xml:space="preserve"> </w:t>
      </w:r>
      <w:r w:rsidRPr="00F2605B">
        <w:t>Las tensiones políticas entre Bielorrusia y la Unión Europea aumentaron considerablemente cuando Bielorrusia alentó los viajes desde Medio Oriente, trasladó a los inmigrantes a campamentos a lo largo de su frontera con Polonia y los empujó a cruzar, lo que llevó a Polonia a desplegar tropas en respuesta.</w:t>
      </w:r>
      <w:r>
        <w:rPr>
          <w:b/>
          <w:bCs/>
          <w:vertAlign w:val="superscript"/>
        </w:rPr>
        <w:t xml:space="preserve"> </w:t>
      </w:r>
      <w:r w:rsidRPr="00F2605B">
        <w:t>En tales casos, los gobiernos de los países de destino que busquen cumplir con las leyes internacionales sobre el trato de los refugiados, preservando así su reputación entre la comunidad global en las esferas del desarrollo global y los derechos humanos, tendrán que manejar cuidadosamente las relaciones diplomáticas con los v</w:t>
      </w:r>
      <w:r>
        <w:t>ecinos para llegar a un acuerdo,</w:t>
      </w:r>
      <w:r w:rsidRPr="00F2605B">
        <w:t xml:space="preserve"> un camino a seguir mientras responde al escepticismo de los inmigrantes entre una proporción significativa de sus poblaciones.</w:t>
      </w:r>
    </w:p>
    <w:p w:rsidR="00D93BCE" w:rsidRPr="00F2605B" w:rsidRDefault="00D93BCE" w:rsidP="00D93BCE">
      <w:pPr>
        <w:pStyle w:val="NormalWeb"/>
        <w:jc w:val="both"/>
      </w:pPr>
      <w:r w:rsidRPr="00F2605B">
        <w:rPr>
          <w:b/>
          <w:bCs/>
          <w:i/>
          <w:iCs/>
        </w:rPr>
        <w:t>Consecuencias para las partes interesadas. </w:t>
      </w:r>
      <w:r w:rsidRPr="00F2605B">
        <w:t>Las personas, los gobiernos y las empresas en los países de origen y de destino se enfrentan a distintos desafíos desde perspectivas divergentes sobre la migración. Pero las partes interesadas en ambas geografías también enfrentan desafíos comunes: malestar social si la migración se usa para discriminar y marginar a ciertos grupos; endurecimiento de los contextos políticos si los gobiernos explotan los desafíos migratorios para justificar un mayor control sobre los ciudadanos y los mercados; y algunas consecuencias económicas negativas si se socavan las redes legítimas de la diáspora en los países de destino creadas por la migración.</w:t>
      </w:r>
    </w:p>
    <w:p w:rsidR="00D93BCE" w:rsidRPr="00F2605B" w:rsidRDefault="00D93BCE" w:rsidP="00D93BCE">
      <w:pPr>
        <w:pStyle w:val="NormalWeb"/>
        <w:jc w:val="both"/>
      </w:pPr>
      <w:r w:rsidRPr="00F2605B">
        <w:rPr>
          <w:b/>
          <w:bCs/>
          <w:i/>
          <w:iCs/>
        </w:rPr>
        <w:t>Solos: Consecuencias para las personas. </w:t>
      </w:r>
      <w:r w:rsidRPr="00F2605B">
        <w:t>Para 2020, había más de 4 millones de apátridas en el mundo, la cifra más alta en una década;</w:t>
      </w:r>
      <w:r>
        <w:rPr>
          <w:b/>
          <w:bCs/>
          <w:vertAlign w:val="superscript"/>
        </w:rPr>
        <w:t xml:space="preserve"> </w:t>
      </w:r>
      <w:r w:rsidRPr="00F2605B">
        <w:t>pero este número corre el riesgo de aumentar debido a la mayor polarización social y la limitada capacidad del gobierno. Las opciones limitadas para que los migrantes obtengan la admisión a los países de destino al ingresar, incluso temporalmente, podrían verse agravadas por los países corredores que se niegan a permitirles permanecer dentro de sus fronteras. Las personas en esta situación, que no quieren o no pueden regresar a casa y cuyos gobiernos no se hacen responsables de su bienestar, corren el riesgo de quedar varadas en asentamientos o instalaciones irregulares con acceso mínimo a bienes y servicios básicos, apoyo financiero o asistencia diplomática. Otros, incapaces de escapar de la inseguridad, corren el riesgo de sufrir violencia o ser víctimas de ideologías y organizaciones extremistas. Los refugiados se enfrentarían a malas condiciones e incluso a la violencia en tránsito y en los campamentos si faltara la cooperación internacional para gestionar la migración involuntaria. Incluso más inmigrantes económicos podrían recurrir a medidas desesperadas y volverse vulnerables a la explotación por parte de los cárteles de contrabando de personas.</w:t>
      </w:r>
    </w:p>
    <w:p w:rsidR="00D93BCE" w:rsidRPr="00F2605B" w:rsidRDefault="00D93BCE" w:rsidP="00D93BCE">
      <w:pPr>
        <w:pStyle w:val="NormalWeb"/>
        <w:jc w:val="both"/>
      </w:pPr>
      <w:r w:rsidRPr="00F2605B">
        <w:lastRenderedPageBreak/>
        <w:t>En los países de destino, el creciente extremismo podría crear mayores desafíos para los migrantes que intentan asimilarse.</w:t>
      </w:r>
      <w:r>
        <w:rPr>
          <w:b/>
          <w:bCs/>
          <w:vertAlign w:val="superscript"/>
        </w:rPr>
        <w:t xml:space="preserve"> </w:t>
      </w:r>
      <w:r w:rsidRPr="00F2605B">
        <w:t>Los ciudadanos también podrían ver violadas sus libertades civiles por parte de los gobiernos que utilizan la gestión de la migración para justificar la vigilancia generalizada de la población y las intrusiones en la información personal.</w:t>
      </w:r>
    </w:p>
    <w:p w:rsidR="00D93BCE" w:rsidRPr="00F2605B" w:rsidRDefault="00D93BCE" w:rsidP="00D93BCE">
      <w:pPr>
        <w:pStyle w:val="NormalWeb"/>
        <w:jc w:val="both"/>
      </w:pPr>
      <w:r w:rsidRPr="00F2605B">
        <w:rPr>
          <w:b/>
          <w:bCs/>
          <w:i/>
          <w:iCs/>
        </w:rPr>
        <w:t>Último recurso: Consecuencias para los gobiernos. </w:t>
      </w:r>
      <w:r w:rsidRPr="00F2605B">
        <w:t>Las remesas mejoran el nivel de vida en los países de origen y constituyen una importante fuente de financiación.</w:t>
      </w:r>
      <w:r>
        <w:rPr>
          <w:b/>
          <w:bCs/>
          <w:vertAlign w:val="superscript"/>
        </w:rPr>
        <w:t xml:space="preserve"> </w:t>
      </w:r>
      <w:r w:rsidRPr="00F2605B">
        <w:t>Sin ellos, los gobiernos de los países de origen cuya estabilidad económica depende de las remesas pueden enfrentar graves complicaciones en su capacidad de gobernar; algunos podrían correr el riesgo de degenerar en estados fallidos. Los gobiernos de los países de destino también enfrentan riesgos a nivel nacional por no abordar las preocupaciones de los ciudadanos con respecto a la migración. La adopción de medidas migratorias más estrictas podría encontrar una reacción popular a medida que los defensores de la migración hacen oír sus voces en las calles y en línea, mientras que si no se gestionan de manera efectiva los flujos de entrada se corre el riesgo de avivar el crecimiento del populismo.</w:t>
      </w:r>
    </w:p>
    <w:p w:rsidR="00D93BCE" w:rsidRPr="00F2605B" w:rsidRDefault="00D93BCE" w:rsidP="00D93BCE">
      <w:pPr>
        <w:pStyle w:val="NormalWeb"/>
        <w:jc w:val="both"/>
      </w:pPr>
      <w:r w:rsidRPr="00F2605B">
        <w:rPr>
          <w:b/>
          <w:bCs/>
          <w:i/>
          <w:iCs/>
        </w:rPr>
        <w:t>Poca habitación: Consecuencias para las empresas. </w:t>
      </w:r>
      <w:r w:rsidRPr="00F2605B">
        <w:t>Las empresas en los países de destino corren el riesgo de un déficit global de trabajadores y de los impactos en la demanda que podrían resultar de la migración restringida. Los trabajadores migrantes constituyen un atractivo grupo de consumidores que pueden contribuir al desarrollo de los mercados nacionales y respaldar la expansión internacional al impulsar el conocimiento de la marca en sus países de origen. Pero las empresas que se perciben como favorables a los requisitos más estrictos de mano de obra extranjera, o que no se esfuerzan lo suficiente para apoyar a su personal migrante, podrían enfrentarse a una reacción pública de las comunidades de inmigrantes y sus partidarios. Por otro lado, las empresas que dan la bienvenida a los trabajadores migrantes con miras a una mano de obra barata pueden exponerse al rechazo de los sindicatos.</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0668130C" wp14:editId="61AF7213">
            <wp:extent cx="5791200" cy="3454400"/>
            <wp:effectExtent l="0" t="0" r="0" b="0"/>
            <wp:docPr id="17" name="Imagen 17" descr="Choques Migratorios - Informe de Riesgos Globales 2022">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hoques Migratorios - Informe de Riesgos Globales 2022">
                      <a:hlinkClick r:id="rId103"/>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91200" cy="3454400"/>
                    </a:xfrm>
                    <a:prstGeom prst="rect">
                      <a:avLst/>
                    </a:prstGeom>
                    <a:noFill/>
                    <a:ln>
                      <a:noFill/>
                    </a:ln>
                  </pic:spPr>
                </pic:pic>
              </a:graphicData>
            </a:graphic>
          </wp:inline>
        </w:drawing>
      </w:r>
    </w:p>
    <w:p w:rsidR="00D93BCE" w:rsidRPr="00F2605B" w:rsidRDefault="00D93BCE" w:rsidP="00D93BCE">
      <w:pPr>
        <w:pStyle w:val="Ttulo3"/>
        <w:jc w:val="both"/>
        <w:rPr>
          <w:sz w:val="24"/>
          <w:szCs w:val="24"/>
        </w:rPr>
      </w:pPr>
      <w:r w:rsidRPr="00F2605B">
        <w:rPr>
          <w:sz w:val="24"/>
          <w:szCs w:val="24"/>
        </w:rPr>
        <w:lastRenderedPageBreak/>
        <w:t>Hacia el puente de dos vías</w:t>
      </w:r>
    </w:p>
    <w:p w:rsidR="00D93BCE" w:rsidRPr="00F2605B" w:rsidRDefault="00D93BCE" w:rsidP="00D93BCE">
      <w:pPr>
        <w:pStyle w:val="NormalWeb"/>
        <w:jc w:val="both"/>
      </w:pPr>
      <w:r w:rsidRPr="00F2605B">
        <w:t>En un momento de divergencia mundial, la migración podría fomentar la integración económica. La movilidad internacional podría reducir la desigualdad dentro de los países y entre ellos al unir a los solicitantes de empleo en los países de origen con las vacantes no cubiertas en el extranjero en industrias en crecimiento, como la atención médica, las energías renovables y el transporte.</w:t>
      </w:r>
    </w:p>
    <w:p w:rsidR="00D93BCE" w:rsidRPr="00F2605B" w:rsidRDefault="00D93BCE" w:rsidP="00D93BCE">
      <w:pPr>
        <w:pStyle w:val="NormalWeb"/>
        <w:jc w:val="both"/>
      </w:pPr>
      <w:r w:rsidRPr="00F2605B">
        <w:t xml:space="preserve">Canales más eficientes y ordenados para la migración, incluidos marcos legales y de políticas coherentes, cooperación y alineación transfronteriza y una mejor aplicación de la ley contra las operaciones de contrabando, podrían generar vínculos políticos más estrechos entre los países y fomentar la colaboración en temas de interés mutuo, como la infraestructura compartida </w:t>
      </w:r>
      <w:r>
        <w:t>para el tráfico transfronterizo de los flujos financieros</w:t>
      </w:r>
      <w:r w:rsidRPr="00F2605B">
        <w:t>. La comunidad mundial también podría generar buena voluntad entre las divisiones geopolíticas mediante el fortalecimiento de los mecanismos de colaboración para la admisión de refugiados.</w:t>
      </w:r>
    </w:p>
    <w:p w:rsidR="00D93BCE" w:rsidRPr="00F2605B" w:rsidRDefault="00D93BCE" w:rsidP="00D93BCE">
      <w:pPr>
        <w:pStyle w:val="NormalWeb"/>
        <w:jc w:val="both"/>
      </w:pPr>
      <w:r w:rsidRPr="00F2605B">
        <w:t>La migración ofrece oportunidades, pero también implica desafíos para los países de origen, corredor y destino. Los líderes tienen la oportunidad de identificar conjuntamente dónde se pueden construir nuevos puentes para beneficio mutuo.</w:t>
      </w:r>
    </w:p>
    <w:p w:rsidR="00D93BCE" w:rsidRPr="00F2605B" w:rsidRDefault="00D93BCE" w:rsidP="00D93BCE">
      <w:pPr>
        <w:pStyle w:val="Ttulo1"/>
        <w:spacing w:before="0" w:beforeAutospacing="0" w:after="161" w:afterAutospacing="0"/>
        <w:jc w:val="both"/>
        <w:rPr>
          <w:sz w:val="24"/>
          <w:szCs w:val="24"/>
        </w:rPr>
      </w:pPr>
      <w:r w:rsidRPr="00F2605B">
        <w:rPr>
          <w:sz w:val="24"/>
          <w:szCs w:val="24"/>
        </w:rPr>
        <w:t>Capítulo 5. Hacinamiento y competencia en el espacio</w:t>
      </w:r>
    </w:p>
    <w:p w:rsidR="00D93BCE" w:rsidRPr="00F2605B" w:rsidRDefault="00D93BCE" w:rsidP="00D93BCE">
      <w:pPr>
        <w:pStyle w:val="Ttulo3"/>
        <w:jc w:val="both"/>
        <w:rPr>
          <w:sz w:val="24"/>
          <w:szCs w:val="24"/>
        </w:rPr>
      </w:pPr>
      <w:r w:rsidRPr="00F2605B">
        <w:rPr>
          <w:sz w:val="24"/>
          <w:szCs w:val="24"/>
        </w:rPr>
        <w:t>El espacio está cada vez más ocupado</w:t>
      </w:r>
    </w:p>
    <w:p w:rsidR="00D93BCE" w:rsidRPr="002E3277" w:rsidRDefault="00D93BCE" w:rsidP="00D93BCE">
      <w:pPr>
        <w:pStyle w:val="NormalWeb"/>
        <w:spacing w:before="0" w:beforeAutospacing="0"/>
        <w:jc w:val="both"/>
        <w:rPr>
          <w:color w:val="FF0000"/>
          <w:u w:val="single"/>
        </w:rPr>
      </w:pPr>
      <w:r w:rsidRPr="002E3277">
        <w:rPr>
          <w:color w:val="FF0000"/>
          <w:u w:val="single"/>
        </w:rPr>
        <w:t xml:space="preserve">Los seres humanos se han inspirado en la exploración espacial durante décadas, pero los crecientes intereses comerciales y geopolíticos influyen cada vez más en esta frontera. Si bien la actividad espacial temprana fue realizada o financiada por el sector público, la última década ha visto una creciente inversión privada. Los nuevos participantes comerciales están interrumpiendo el control de los titulares tradicionales en la prestación de servicios satelitales, especialmente en comunicaciones relacionadas con Internet o servicios de lanzamiento. Algunos gobiernos están fomentando la actividad espacial </w:t>
      </w:r>
      <w:r>
        <w:rPr>
          <w:color w:val="FF0000"/>
          <w:u w:val="single"/>
        </w:rPr>
        <w:t>privada para promover reclamos “territoriales”</w:t>
      </w:r>
      <w:r w:rsidRPr="002E3277">
        <w:rPr>
          <w:color w:val="FF0000"/>
          <w:u w:val="single"/>
        </w:rPr>
        <w:t xml:space="preserve"> nacionales o para fomentar el desarrollo de trabajos de alto valor, especialmente en la zona de órbita terrestre baja (LEO) o órbita terrestre media (MEO),</w:t>
      </w:r>
      <w:r w:rsidRPr="002E3277">
        <w:rPr>
          <w:b/>
          <w:bCs/>
          <w:color w:val="FF0000"/>
          <w:u w:val="single"/>
          <w:vertAlign w:val="superscript"/>
        </w:rPr>
        <w:t xml:space="preserve"> </w:t>
      </w:r>
      <w:r w:rsidRPr="002E3277">
        <w:rPr>
          <w:color w:val="FF0000"/>
          <w:u w:val="single"/>
        </w:rPr>
        <w:t>así como potenciar su presencia militar o de defensa. Una mayor explotación de estas órbitas conlleva el riesgo de congestión, un aumento de los desechos y la posibilidad de colisiones en un ámbito con pocas estructuras de gobierno para mitigar nuevas amenazas.</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22B81E04" wp14:editId="0C645480">
            <wp:extent cx="5778500" cy="1123950"/>
            <wp:effectExtent l="0" t="0" r="0" b="0"/>
            <wp:docPr id="25" name="Imagen 25" descr="Órbita terrestre baja (LEO) u Órbita terrestre media (MEO) - Informe de riesgos globales 2022">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Órbita terrestre baja (LEO) u Órbita terrestre media (MEO) - Informe de riesgos globales 2022">
                      <a:hlinkClick r:id="rId107"/>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78500" cy="1123950"/>
                    </a:xfrm>
                    <a:prstGeom prst="rect">
                      <a:avLst/>
                    </a:prstGeom>
                    <a:noFill/>
                    <a:ln>
                      <a:noFill/>
                    </a:ln>
                  </pic:spPr>
                </pic:pic>
              </a:graphicData>
            </a:graphic>
          </wp:inline>
        </w:drawing>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Una carrera espacial LEO/MEO</w:t>
      </w:r>
    </w:p>
    <w:p w:rsidR="00D93BCE" w:rsidRPr="00F2605B" w:rsidRDefault="00D93BCE" w:rsidP="00D93BCE">
      <w:pPr>
        <w:pStyle w:val="NormalWeb"/>
        <w:jc w:val="both"/>
      </w:pPr>
      <w:r w:rsidRPr="00F2605B">
        <w:t>El mercado satelital comercial tradicional de órbita geoestacionaria (GEO), que ha dominado el sector de las comunicaciones durante décadas, ahora está perdiendo valor comercial debido a la competencia de nuevos jugadores que buscan brindar servicios desde LEO o MEO.</w:t>
      </w:r>
      <w:r>
        <w:rPr>
          <w:b/>
          <w:bCs/>
          <w:vertAlign w:val="superscript"/>
        </w:rPr>
        <w:t xml:space="preserve"> </w:t>
      </w:r>
      <w:r w:rsidRPr="00F2605B">
        <w:t xml:space="preserve">Más recientemente, en la última década, la financiación de nuevas aplicaciones para iniciativas </w:t>
      </w:r>
      <w:r w:rsidRPr="00F2605B">
        <w:lastRenderedPageBreak/>
        <w:t>basadas en el espacio ha crecido rápidamente: las empresas, las empresas emergentes y las entidades de investigación están proliferando, recaudando miles de millones de dólares y, por lo tanto, reduciendo el costo de los sistemas de lanzamiento, particularmente en LEO (ver Figura 5.1).</w:t>
      </w:r>
      <w:r>
        <w:rPr>
          <w:b/>
          <w:bCs/>
          <w:vertAlign w:val="superscript"/>
        </w:rPr>
        <w:t xml:space="preserve"> </w:t>
      </w:r>
      <w:r w:rsidRPr="00F2605B">
        <w:t>Los costos más bajos brindan más oportunidades para que una ma</w:t>
      </w:r>
      <w:r w:rsidR="00A367F9">
        <w:t>yor diversidad de actores lance</w:t>
      </w:r>
      <w:r w:rsidRPr="00F2605B">
        <w:t xml:space="preserve"> constelaciones de satélites más pequeños. Con este acceso más rentable al espacio, la atención se está desplazando cada vez más hacia nuevas oportunidades en áreas como la teledetección hiperespectral, la generación de energía, la fabricación, la minería y el turismo.</w:t>
      </w:r>
      <w:r>
        <w:rPr>
          <w:b/>
          <w:bCs/>
          <w:vertAlign w:val="superscript"/>
        </w:rPr>
        <w:t xml:space="preserve"> </w:t>
      </w:r>
      <w:r w:rsidRPr="00F2605B">
        <w:t>Sin embargo, aún se espera que el mayor crecimiento provenga de industrias que ya están expandiendo la conectividad digital en la Tierra, como el acceso de banda ancha directo al consumidor.</w:t>
      </w:r>
      <w:r>
        <w:rPr>
          <w:b/>
          <w:bCs/>
          <w:vertAlign w:val="superscript"/>
        </w:rPr>
        <w:t xml:space="preserve"> </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000A6C33" wp14:editId="2AE58EC2">
            <wp:extent cx="5651500" cy="3638550"/>
            <wp:effectExtent l="0" t="0" r="6350" b="0"/>
            <wp:docPr id="24" name="Imagen 24" descr="Space Investment, Equity Capital por tipo de inversor - Informe de riesgos globales 2022">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pace Investment, Equity Capital por tipo de inversor - Informe de riesgos globales 2022">
                      <a:hlinkClick r:id="rId107"/>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51500" cy="3638550"/>
                    </a:xfrm>
                    <a:prstGeom prst="rect">
                      <a:avLst/>
                    </a:prstGeom>
                    <a:noFill/>
                    <a:ln>
                      <a:noFill/>
                    </a:ln>
                  </pic:spPr>
                </pic:pic>
              </a:graphicData>
            </a:graphic>
          </wp:inline>
        </w:drawing>
      </w:r>
    </w:p>
    <w:p w:rsidR="00D93BCE" w:rsidRPr="00F2605B" w:rsidRDefault="00D93BCE" w:rsidP="00D93BCE">
      <w:pPr>
        <w:pStyle w:val="Ttulo3"/>
        <w:jc w:val="both"/>
        <w:rPr>
          <w:sz w:val="24"/>
          <w:szCs w:val="24"/>
        </w:rPr>
      </w:pPr>
      <w:r w:rsidRPr="00F2605B">
        <w:rPr>
          <w:sz w:val="24"/>
          <w:szCs w:val="24"/>
        </w:rPr>
        <w:t>Ambiciones nacionales</w:t>
      </w:r>
    </w:p>
    <w:p w:rsidR="00D93BCE" w:rsidRPr="00F2605B" w:rsidRDefault="00D93BCE" w:rsidP="00D93BCE">
      <w:pPr>
        <w:pStyle w:val="NormalWeb"/>
        <w:jc w:val="both"/>
      </w:pPr>
      <w:r w:rsidRPr="00F2605B">
        <w:t>Los programas espaciales todavía se consideran un signo de prestigio nacional, ya que proyectan poder geopolítico y militar, además de tener importancia científica y comercial. Potencias como China, la Unión Europea, Francia, Alemania, India, Japón, la OTAN, Rusia, el Reino Unido y los Estados Unidos han anunciado públicamente fuerzas espaciales y continúan construyendo infraestructura espacial, con planes para al menos cinco nuevas estaciones espaciales para 2030 en proceso.</w:t>
      </w:r>
      <w:r>
        <w:rPr>
          <w:b/>
          <w:bCs/>
          <w:vertAlign w:val="superscript"/>
        </w:rPr>
        <w:t xml:space="preserve"> </w:t>
      </w:r>
      <w:r w:rsidRPr="00F2605B">
        <w:t>La primera estación espacial comercial también está programada para completarse en la próxima década.</w:t>
      </w:r>
      <w:r>
        <w:rPr>
          <w:b/>
          <w:bCs/>
          <w:vertAlign w:val="superscript"/>
        </w:rPr>
        <w:t xml:space="preserve"> </w:t>
      </w:r>
      <w:r w:rsidRPr="00F2605B">
        <w:t>Los proyectos de exploración del espacio profundo del próximo paso están en desarrollo, como el programa Artemis liderado por los Estados Unidos, que tiene como objetivo reabrir la exploración de la Luna y eventualmente desarrollar puestos de avanzada en Marte y asteroides.</w:t>
      </w:r>
      <w:r>
        <w:rPr>
          <w:b/>
          <w:bCs/>
          <w:vertAlign w:val="superscript"/>
        </w:rPr>
        <w:t xml:space="preserve"> </w:t>
      </w:r>
      <w:r w:rsidRPr="00F2605B">
        <w:t xml:space="preserve">Además, surgirán nuevos poderes espaciales a medida que más economías comiencen a ver oportunidades para expandir la influencia geopolítica y comercial en este campo. Entre los países que han expresado interés están Argentina, Brasil y México en América Latina; Egipto, Irán, Turquía, Arabia Saudita, Sudáfrica y los Emiratos Árabes Unidos en </w:t>
      </w:r>
      <w:r w:rsidRPr="00F2605B">
        <w:lastRenderedPageBreak/>
        <w:t>África y Medio Oriente; y Australia, Indonesia, Malasia, Nueva Zelanda, Corea del Sur y Vietnam en la región de Asia-Pacífico.</w:t>
      </w:r>
      <w:r>
        <w:rPr>
          <w:b/>
          <w:bCs/>
          <w:vertAlign w:val="superscript"/>
        </w:rPr>
        <w:t xml:space="preserve"> </w:t>
      </w:r>
    </w:p>
    <w:p w:rsidR="00D93BCE" w:rsidRPr="00F2605B" w:rsidRDefault="00D93BCE" w:rsidP="00D93BCE">
      <w:pPr>
        <w:pStyle w:val="NormalWeb"/>
        <w:jc w:val="both"/>
      </w:pPr>
      <w:r w:rsidRPr="00F2605B">
        <w:t>Junto con el desarrollo de nuevos programas, se debe mantener y asegurar la infraestructura crítica de la que dependen muchas entidades civiles y comerciales.</w:t>
      </w:r>
      <w:r>
        <w:rPr>
          <w:b/>
          <w:bCs/>
          <w:vertAlign w:val="superscript"/>
        </w:rPr>
        <w:t xml:space="preserve"> </w:t>
      </w:r>
      <w:r w:rsidRPr="00F2605B">
        <w:t>Los satélites en LEO, así como en MEO y GEO se utilizan para múltiples propósitos que incluyen el monitoreo del clima y los recursos naturales, Internet de banda ancha y transmisión de radio y televisión, así como servicios de posición, navegación y sincronización.</w:t>
      </w:r>
      <w:r>
        <w:rPr>
          <w:b/>
          <w:bCs/>
          <w:vertAlign w:val="superscript"/>
        </w:rPr>
        <w:t xml:space="preserve"> </w:t>
      </w:r>
      <w:r w:rsidRPr="00F2605B">
        <w:t>Si bien esta infraestructura seguirá siendo vital para los gobiernos, las empresas y las sociedades, también está creando oportunidades para las naciones con una industria espacial avanzada, respaldada por una regulación a nivel nacional, para reclamar sectores orbitales específicos en virtud de la ventaja d</w:t>
      </w:r>
      <w:r>
        <w:t xml:space="preserve">e ser los primeros en moverse. </w:t>
      </w:r>
      <w:r w:rsidRPr="00F2605B">
        <w:t>Finalmente, el espacio seguirá teniendo una importancia militar crítica: las fuerzas armadas han confiado durante mucho tiempo en tecnologías basadas en el espacio o respaldadas por el espacio, incluido el Sistema de Posicionamiento Global (GPS) para la navegación, comunicaciones militares dedicadas basadas en satélites para una conectividad d</w:t>
      </w:r>
      <w:r>
        <w:t>igital segura y satélites espía</w:t>
      </w:r>
      <w:r w:rsidRPr="00F2605B">
        <w:t xml:space="preserve"> para la inteligencia, lo que hace que tales sistemas tienten a los objetivos militares y estimulen la necesidad de mejorar las medidas defensivas.</w:t>
      </w:r>
    </w:p>
    <w:p w:rsidR="00D93BCE" w:rsidRPr="00F2605B" w:rsidRDefault="00D93BCE" w:rsidP="00D93BCE">
      <w:pPr>
        <w:pStyle w:val="Ttulo3"/>
        <w:jc w:val="both"/>
        <w:rPr>
          <w:sz w:val="24"/>
          <w:szCs w:val="24"/>
        </w:rPr>
      </w:pPr>
      <w:r w:rsidRPr="00F2605B">
        <w:rPr>
          <w:sz w:val="24"/>
          <w:szCs w:val="24"/>
        </w:rPr>
        <w:t>Consecuencias</w:t>
      </w:r>
    </w:p>
    <w:p w:rsidR="00D93BCE" w:rsidRPr="00F2605B" w:rsidRDefault="00D93BCE" w:rsidP="00D93BCE">
      <w:pPr>
        <w:pStyle w:val="NormalWeb"/>
        <w:jc w:val="both"/>
      </w:pPr>
      <w:r w:rsidRPr="00F2605B">
        <w:t>Un mayor número y diversidad de actores que operan en el espacio podría generar nuevas fricciones o exacerbar viejas si no se gestiona de manera responsable. La tendencia en los sectores comercial, civil y militar es reemplazar los sistemas de satélites geoestacionarios únicos tradicionalmente grandes y costosos con un sistema más distribuido de múltiples satélites más pequeños en LEO. Se han lanzado aproximadamente 11.000 satélites desde el Sputnik 1 en 1957, pero 70.000 más podrían entrar en órbita en las próximas décadas si se cumplen los planes propuestos.</w:t>
      </w:r>
      <w:r>
        <w:rPr>
          <w:b/>
          <w:bCs/>
          <w:vertAlign w:val="superscript"/>
        </w:rPr>
        <w:t xml:space="preserve"> </w:t>
      </w:r>
      <w:r w:rsidRPr="00F2605B">
        <w:t>La gran mayoría de estos nuevos satélites planificados y aprobados serán lanzados por un puñado de operadores que tendrán una influencia cada vez mayor en el panorama regulatorio.</w:t>
      </w:r>
    </w:p>
    <w:p w:rsidR="00D93BCE" w:rsidRPr="00F2605B" w:rsidRDefault="00D93BCE" w:rsidP="00D93BCE">
      <w:pPr>
        <w:pStyle w:val="NormalWeb"/>
        <w:jc w:val="both"/>
      </w:pPr>
      <w:r w:rsidRPr="00F2605B">
        <w:t>Una vez en órbita, ya menos que se desmantelen activamente, muchos de estos satélites podrían permanecer en el espacio durante cientos de años.</w:t>
      </w:r>
      <w:r>
        <w:rPr>
          <w:b/>
          <w:bCs/>
          <w:vertAlign w:val="superscript"/>
        </w:rPr>
        <w:t xml:space="preserve"> </w:t>
      </w:r>
      <w:r w:rsidRPr="00F2605B">
        <w:t>Los satélites más pequeños y de bajo costo también están proliferando debido a costos más bajos y menos barreras de entrada.</w:t>
      </w:r>
      <w:r>
        <w:rPr>
          <w:b/>
          <w:bCs/>
          <w:vertAlign w:val="superscript"/>
        </w:rPr>
        <w:t xml:space="preserve"> </w:t>
      </w:r>
      <w:r w:rsidRPr="00F2605B">
        <w:t>Si bien el riesgo aún es relativamente bajo, un aumento en la cantidad de satélites también aumenta la posibilidad de colisiones o, al menos, la necesidad de realizar maniobras de emergencia para evitar el contacto.</w:t>
      </w:r>
    </w:p>
    <w:p w:rsidR="00D93BCE" w:rsidRPr="00F2605B" w:rsidRDefault="00D93BCE" w:rsidP="00D93BCE">
      <w:pPr>
        <w:pStyle w:val="NormalWeb"/>
        <w:jc w:val="both"/>
      </w:pPr>
      <w:r w:rsidRPr="00F2605B">
        <w:t>Las colisiones podrían obstaculizar el desarrollo espacial futuro o agravar las tensiones internacionales. Esto se debe a que cuando los objetos en el espacio chocan, pueden romperse y producir desechos que, incluso en tamaños de 1 a 5 centímetros de diámetro, podrían causar daños graves.</w:t>
      </w:r>
      <w:r>
        <w:rPr>
          <w:b/>
          <w:bCs/>
          <w:vertAlign w:val="superscript"/>
        </w:rPr>
        <w:t xml:space="preserve"> </w:t>
      </w:r>
      <w:r w:rsidRPr="00F2605B">
        <w:t>Por ejemplo, la Estación Espacial Internacional (ISS) resultó dañada en mayo de 2021 cuando una pieza de escombros penetró en su brazo robótico.</w:t>
      </w:r>
      <w:r>
        <w:rPr>
          <w:b/>
          <w:bCs/>
          <w:vertAlign w:val="superscript"/>
        </w:rPr>
        <w:t xml:space="preserve"> </w:t>
      </w:r>
      <w:r w:rsidRPr="00F2605B">
        <w:t>Este tipo de huelgas se han documentado durante décadas, pero pueden volverse más frecuentes. Una teoría, conocida como el “Efecto Kessler” (ver Cuadro 5.1), postula las posibles consecuencias de un efecto cascada.</w:t>
      </w:r>
      <w:r>
        <w:rPr>
          <w:b/>
          <w:bCs/>
          <w:vertAlign w:val="superscript"/>
        </w:rPr>
        <w:t xml:space="preserve"> </w:t>
      </w:r>
      <w:r w:rsidRPr="00F2605B">
        <w:t>Las estimaciones sitúan el número actual de piezas más pequeñas de escombros (de más de 1 centímetro de tamaño) en casi un millón,</w:t>
      </w:r>
      <w:r>
        <w:rPr>
          <w:b/>
          <w:bCs/>
          <w:vertAlign w:val="superscript"/>
        </w:rPr>
        <w:t xml:space="preserve"> </w:t>
      </w:r>
      <w:r w:rsidRPr="00F2605B">
        <w:t>mientras que los objetos más grandes de más de 10 centímetros se cuentan por miles (ver Figura 5.2). Sin embargo, proporcionar servicio orbital y eliminación de escombros podría ayudar a aliviar algunas de las peores consecuencias.</w:t>
      </w:r>
      <w:r>
        <w:rPr>
          <w:b/>
          <w:bCs/>
          <w:vertAlign w:val="superscript"/>
        </w:rPr>
        <w:t xml:space="preserve"> </w:t>
      </w:r>
      <w:r w:rsidRPr="00F2605B">
        <w:t xml:space="preserve">El seguimiento de los escombros es una herramienta crítica para </w:t>
      </w:r>
      <w:r w:rsidRPr="00F2605B">
        <w:lastRenderedPageBreak/>
        <w:t>prevenir colisiones o daños, pero deberá volverse cada vez más sofisticado para mantener la confiabilidad en un ámbito más congestionado.</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sz w:val="24"/>
          <w:szCs w:val="24"/>
        </w:rPr>
        <w:t xml:space="preserve">                       </w:t>
      </w:r>
      <w:r w:rsidRPr="00F2605B">
        <w:rPr>
          <w:rFonts w:ascii="Times New Roman" w:hAnsi="Times New Roman" w:cs="Times New Roman"/>
          <w:noProof/>
          <w:sz w:val="24"/>
          <w:szCs w:val="24"/>
          <w:lang w:eastAsia="es-ES"/>
        </w:rPr>
        <w:drawing>
          <wp:inline distT="0" distB="0" distL="0" distR="0" wp14:anchorId="43A28517" wp14:editId="4CD897F3">
            <wp:extent cx="4121150" cy="2127250"/>
            <wp:effectExtent l="0" t="0" r="0" b="6350"/>
            <wp:docPr id="23" name="Imagen 23" descr="El efecto Kessler - Informe de riesgos globales 2022">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l efecto Kessler - Informe de riesgos globales 2022">
                      <a:hlinkClick r:id="rId107"/>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21150" cy="2127250"/>
                    </a:xfrm>
                    <a:prstGeom prst="rect">
                      <a:avLst/>
                    </a:prstGeom>
                    <a:noFill/>
                    <a:ln>
                      <a:noFill/>
                    </a:ln>
                  </pic:spPr>
                </pic:pic>
              </a:graphicData>
            </a:graphic>
          </wp:inline>
        </w:drawing>
      </w:r>
    </w:p>
    <w:p w:rsidR="00D93BCE" w:rsidRPr="00F2605B" w:rsidRDefault="00D93BCE" w:rsidP="00D93BCE">
      <w:pPr>
        <w:pStyle w:val="NormalWeb"/>
        <w:jc w:val="both"/>
      </w:pPr>
      <w:r w:rsidRPr="00F2605B">
        <w:t>Dado que tales posibilidades se vuelven más probables en un espacio congestionado, la falta de reglas internacionales actualizadas sobre la actividad espacial aumenta el riesgo de posibles enfrentamientos. El más relevante de los acuerdos espaciales, el Tratado del Espacio Exterior, se concluyó en 1967 y todavía, a través de la Oficina de Asuntos del Espacio Exterior de las Naciones Unidas (UNOOSA), rige gran parte de la actividad que tiene lugar en el espacio. Sin embargo, en los últimos años han surgido pocas herramientas de gobernanza eficaces que reflejen las nuevas realidades, como la necesidad apremiante de una autoridad que gobierne los lanzamientos y servicios de satélites, el control del tráfico espacial y los principios comunes de cumplimiento.</w:t>
      </w:r>
    </w:p>
    <w:p w:rsidR="00D93BCE" w:rsidRPr="00F2605B" w:rsidRDefault="00D93BCE" w:rsidP="00D93BCE">
      <w:pPr>
        <w:pStyle w:val="NormalWeb"/>
        <w:jc w:val="both"/>
      </w:pPr>
      <w:r w:rsidRPr="00F2605B">
        <w:t>Como desafío ejemplar, la Convención de Responsabilidad Espacial de 1972, que rige la responsabilidad internacional por los objetos espaciales lanzados desde la Tierra, carece de precisión en torno a los sistemas híbridos de transporte de aeronaves y cohetes. Por ejemplo, diferentes autoridades legales pueden regir dependiendo de si se considera que un vehículo ha sido lanzado cuando una aeronave despega con un cohete acoplado o cuando el cohete se separa de la aeronave, y si el vehículo híbrido es una aeronave o una nave espacial mientras ambas piezas están adjunto. Es posible que se necesiten nuevos apéndices para aclarar cuándo la ley espacial debe reemplazar la ley de aviación.</w:t>
      </w:r>
      <w:r>
        <w:rPr>
          <w:b/>
          <w:bCs/>
          <w:vertAlign w:val="superscript"/>
        </w:rPr>
        <w:t xml:space="preserve"> </w:t>
      </w:r>
      <w:r w:rsidRPr="00F2605B">
        <w:t>Incluso el ámbito de gobernanza más robusto, la gestión del espectro electromagnético, que se rige por la Unión Internacional de Telecomunicaciones (UIT), enfrenta serias presiones de hacinamiento con los nuevos sistemas satelitales y una mayor competencia en el uso del espectro terrestre de las tecnologías 5G emergentes.</w:t>
      </w:r>
    </w:p>
    <w:p w:rsidR="00D93BCE" w:rsidRPr="005C24CB" w:rsidRDefault="00D93BCE" w:rsidP="00D93BCE">
      <w:pPr>
        <w:pStyle w:val="NormalWeb"/>
        <w:jc w:val="both"/>
        <w:rPr>
          <w:u w:val="single"/>
        </w:rPr>
      </w:pPr>
      <w:r w:rsidRPr="005C24CB">
        <w:rPr>
          <w:u w:val="single"/>
        </w:rPr>
        <w:t>Los encuestados de la Encuesta de Percepción de Riesgos Globales (GRPS) reflejan estas brechas: el 76 por ciento de los encuestados caracterizó el estado actual de los esfuerzos internacionales de mitigación</w:t>
      </w:r>
      <w:r>
        <w:rPr>
          <w:u w:val="single"/>
        </w:rPr>
        <w:t xml:space="preserve"> de riesgos en el espacio como “no iniciado” o en “desarrollo temprano”</w:t>
      </w:r>
      <w:r w:rsidRPr="005C24CB">
        <w:rPr>
          <w:u w:val="single"/>
        </w:rPr>
        <w:t>.</w:t>
      </w:r>
    </w:p>
    <w:p w:rsidR="00D93BCE" w:rsidRPr="00F2605B" w:rsidRDefault="00D93BCE" w:rsidP="00D93BCE">
      <w:pPr>
        <w:pStyle w:val="NormalWeb"/>
        <w:jc w:val="both"/>
      </w:pPr>
      <w:r w:rsidRPr="00F2605B">
        <w:t>Los gobiernos también han desarrollado sus propias políticas espaciales nacionales, con intereses comerciales como un pilar clave de sus estrategias nacionales, junto con la seguridad nacional y la política espacial civil.</w:t>
      </w:r>
      <w:r>
        <w:rPr>
          <w:b/>
          <w:bCs/>
          <w:vertAlign w:val="superscript"/>
        </w:rPr>
        <w:t xml:space="preserve"> </w:t>
      </w:r>
      <w:r w:rsidRPr="00F2605B">
        <w:t>Aunque muchos gobiernos han cooperado entre bastidores históricamente y todavía lo hacen hoy,</w:t>
      </w:r>
      <w:r>
        <w:rPr>
          <w:b/>
          <w:bCs/>
          <w:vertAlign w:val="superscript"/>
        </w:rPr>
        <w:t xml:space="preserve"> </w:t>
      </w:r>
      <w:r w:rsidRPr="00F2605B">
        <w:t>existe una divergencia significativa de políticas entre las 28 naciones con regulación espacial,</w:t>
      </w:r>
      <w:r>
        <w:rPr>
          <w:b/>
          <w:bCs/>
          <w:vertAlign w:val="superscript"/>
        </w:rPr>
        <w:t xml:space="preserve"> </w:t>
      </w:r>
      <w:r w:rsidRPr="00F2605B">
        <w:t>y los países ahora operan a diferentes escalas y con diferentes niveles de ambición.</w:t>
      </w:r>
      <w:r>
        <w:rPr>
          <w:b/>
          <w:bCs/>
          <w:vertAlign w:val="superscript"/>
        </w:rPr>
        <w:t xml:space="preserve"> </w:t>
      </w:r>
      <w:r w:rsidRPr="00F2605B">
        <w:t xml:space="preserve">Tal fragmentación compromete el mayor </w:t>
      </w:r>
      <w:r w:rsidRPr="00F2605B">
        <w:lastRenderedPageBreak/>
        <w:t>desarrollo de actividades espaciales comerciales beneficiosas, que requieren normas compartidas entre los estados para poder funcionar.</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2C4A21E4" wp14:editId="3302EEC9">
            <wp:extent cx="5689600" cy="4565650"/>
            <wp:effectExtent l="0" t="0" r="6350" b="6350"/>
            <wp:docPr id="22" name="Imagen 22" descr="Evolución del número de objetos en todas las órbitas - Informe de riesgos globales 2022">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volución del número de objetos en todas las órbitas - Informe de riesgos globales 2022">
                      <a:hlinkClick r:id="rId107"/>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689600" cy="4565650"/>
                    </a:xfrm>
                    <a:prstGeom prst="rect">
                      <a:avLst/>
                    </a:prstGeom>
                    <a:noFill/>
                    <a:ln>
                      <a:noFill/>
                    </a:ln>
                  </pic:spPr>
                </pic:pic>
              </a:graphicData>
            </a:graphic>
          </wp:inline>
        </w:drawing>
      </w:r>
    </w:p>
    <w:p w:rsidR="00D93BCE" w:rsidRPr="00F2605B" w:rsidRDefault="00D93BCE" w:rsidP="00D93BCE">
      <w:pPr>
        <w:pStyle w:val="NormalWeb"/>
        <w:jc w:val="both"/>
      </w:pPr>
      <w:r w:rsidRPr="00F2605B">
        <w:t xml:space="preserve">Las ambiciones espaciales nacionales también conllevan un riesgo creciente de militarización </w:t>
      </w:r>
      <w:r>
        <w:t>del espacio. El ejército de EEUU</w:t>
      </w:r>
      <w:r w:rsidRPr="00F2605B">
        <w:t xml:space="preserve"> creó una Fuerza Espacial como una rama separada de sus servicios armados en 2019, mientras que el Escuadrón de Operaciones Espaciales de Japón y el Comando Espacial del Reino Unido</w:t>
      </w:r>
      <w:r>
        <w:t>,</w:t>
      </w:r>
      <w:r w:rsidRPr="00F2605B">
        <w:t xml:space="preserve"> se crearon en los últimos dos años. Otras fuerzas armadas líderes ahora también suelen incluir un componente espacial; por ejemplo, en 2021, la Fuerza Aérea Francesa se convirtió en la Fuerza Aérea y Espacial (Armée de l'Air &amp; de l'Espace). En noviembre de 2021, la prueba de un arma antisatélite realizada por Rusia creó una gran cantidad de escombros y amenazó a los astronautas en la ISS.</w:t>
      </w:r>
      <w:r>
        <w:rPr>
          <w:b/>
          <w:bCs/>
          <w:vertAlign w:val="superscript"/>
        </w:rPr>
        <w:t xml:space="preserve"> </w:t>
      </w:r>
      <w:r w:rsidRPr="00F2605B">
        <w:t>Otros países han llevado a cabo pruebas similares, aumentando el espectro de ocurrencias repetidas de otras naciones, lo que aumentaría considerablemente el problema de los desechos espaciales (ver Figura 5.2).</w:t>
      </w:r>
      <w:r>
        <w:rPr>
          <w:b/>
          <w:bCs/>
          <w:vertAlign w:val="superscript"/>
        </w:rPr>
        <w:t xml:space="preserve"> </w:t>
      </w:r>
      <w:r w:rsidRPr="00F2605B">
        <w:t>Una carrera armamentista de armas hipersónicas también corre el riesgo de contribuir a la militarización del espacio: China, Rusia y los Estados Unidos están desarrollando tales armas y las probaron en la segunda mitad de 2021.</w:t>
      </w:r>
      <w:r>
        <w:rPr>
          <w:b/>
          <w:bCs/>
          <w:vertAlign w:val="superscript"/>
        </w:rPr>
        <w:t xml:space="preserve"> </w:t>
      </w:r>
      <w:r w:rsidRPr="00F2605B">
        <w:t>Y con la expansión de la inteligencia geoespacial, toda la Tierra es observable por satélites, lo que podría incitar a algunas naciones a cegar, bloquear o interferir con la observación de la Tierra por satélite.</w:t>
      </w:r>
      <w:r>
        <w:rPr>
          <w:b/>
          <w:bCs/>
          <w:vertAlign w:val="superscript"/>
        </w:rPr>
        <w:t xml:space="preserve"> </w:t>
      </w:r>
      <w:r w:rsidRPr="00F2605B">
        <w:t>A medida que avanza la tecnología, la explotación de minerales espaciales, ya anunciada como parte de algunos programas de exploración del espacio profundo, también podría verse como otra cuña competitiva en un horizonte más lejano.</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128F6F63" wp14:editId="23B0DEB1">
            <wp:extent cx="5746750" cy="1047750"/>
            <wp:effectExtent l="0" t="0" r="6350" b="0"/>
            <wp:docPr id="21" name="Imagen 21" descr="Problema del aumento de los desechos espaciales en todas las órbitas - Informe de riesgos globales 2022">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roblema del aumento de los desechos espaciales en todas las órbitas - Informe de riesgos globales 2022">
                      <a:hlinkClick r:id="rId107"/>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46750" cy="1047750"/>
                    </a:xfrm>
                    <a:prstGeom prst="rect">
                      <a:avLst/>
                    </a:prstGeom>
                    <a:noFill/>
                    <a:ln>
                      <a:noFill/>
                    </a:ln>
                  </pic:spPr>
                </pic:pic>
              </a:graphicData>
            </a:graphic>
          </wp:inline>
        </w:drawing>
      </w:r>
    </w:p>
    <w:p w:rsidR="00D93BCE" w:rsidRPr="00F2605B" w:rsidRDefault="00D93BCE" w:rsidP="00D93BCE">
      <w:pPr>
        <w:pStyle w:val="NormalWeb"/>
        <w:jc w:val="both"/>
      </w:pPr>
      <w:r w:rsidRPr="00F2605B">
        <w:t>Las brechas en la gobernanza espacial hacen que las carreras armamentistas sean aún más probables. Por ejemplo, el Tratado del Espacio Exterior prohíbe las armas nucleares en el espacio, pero no aborda las armas convencionales, lo que es especialmente preocupante en el contexto actual de desarrollo y prueba de armas convencionales en el espacio. Es poco probable que haya nuevas reglas en un futuro cercano, ya que hay poco acuerdo sobre cuestiones clave como los límites, el control de los objetos espaciales o los sistemas de doble uso.</w:t>
      </w:r>
      <w:r>
        <w:rPr>
          <w:b/>
          <w:bCs/>
          <w:vertAlign w:val="superscript"/>
        </w:rPr>
        <w:t xml:space="preserve"> </w:t>
      </w:r>
      <w:r w:rsidRPr="00F2605B">
        <w:t>Cualquier declive adicional en la cooperación sobre la gobernanza espacial solo exacerbará los riesgos.</w:t>
      </w:r>
    </w:p>
    <w:p w:rsidR="00D93BCE" w:rsidRPr="00F2605B" w:rsidRDefault="00D93BCE" w:rsidP="00D93BCE">
      <w:pPr>
        <w:pStyle w:val="NormalWeb"/>
        <w:jc w:val="both"/>
      </w:pPr>
      <w:r w:rsidRPr="00F2605B">
        <w:rPr>
          <w:b/>
          <w:bCs/>
          <w:i/>
          <w:iCs/>
        </w:rPr>
        <w:t>Interrupción del servicio e incógnitas ambientales: Consecuencias para las personas.</w:t>
      </w:r>
    </w:p>
    <w:p w:rsidR="00D93BCE" w:rsidRPr="00F2605B" w:rsidRDefault="00D93BCE" w:rsidP="00D93BCE">
      <w:pPr>
        <w:pStyle w:val="NormalWeb"/>
        <w:jc w:val="both"/>
      </w:pPr>
      <w:r w:rsidRPr="00F2605B">
        <w:t>Las sociedades dependen de la infraestructura espacial en innumerables formas cotidianas. Los satélites GPS no solo permiten una navegación segura por aire, tierra y mar, sino que también respaldan las transacciones financieras, las transmisiones de datos y los sistemas de control de energía. Las amenazas, como una tormenta solar masiva o la interferencia o falsificación de los satélites GPS, podrían hacer que Internet se ralentice, que los sistemas de navegación fallen y que los controles de las redes de energía, el agua o el transporte colapsen. Los efectos dominó en las sociedades podrían ser extensos, incluso durante unos segundos de interrupción.</w:t>
      </w:r>
    </w:p>
    <w:p w:rsidR="00D93BCE" w:rsidRPr="00F2605B" w:rsidRDefault="00D93BCE" w:rsidP="00D93BCE">
      <w:pPr>
        <w:pStyle w:val="NormalWeb"/>
        <w:jc w:val="both"/>
      </w:pPr>
      <w:r w:rsidRPr="00F2605B">
        <w:t>También hay importantes incógnitas sobre los impactos del rápido desarrollo espacial en el medio ambiente de la Tierra, incluido el daño a la capa de ozono, los efectos mariposa de las emisiones de carbono negro (hollín) y las posibles alteraciones de la corriente en chorro polar.</w:t>
      </w:r>
      <w:r>
        <w:t xml:space="preserve"> </w:t>
      </w:r>
      <w:r w:rsidRPr="00F2605B">
        <w:t>Por supuesto, los avances tecnológicos, como el desarrollo de la energía solar basada en el espacio, podrían compensar muchos de los posibles impactos ambientales negativos de la creciente exploración y explotación espacial.</w:t>
      </w:r>
    </w:p>
    <w:p w:rsidR="00D93BCE" w:rsidRPr="00F2605B" w:rsidRDefault="00D93BCE" w:rsidP="00D93BCE">
      <w:pPr>
        <w:pStyle w:val="NormalWeb"/>
        <w:jc w:val="both"/>
      </w:pPr>
      <w:r w:rsidRPr="00F2605B">
        <w:rPr>
          <w:b/>
          <w:bCs/>
          <w:i/>
          <w:iCs/>
        </w:rPr>
        <w:t>Empuje y tirón gravitacional: Consecuencias para los gobiernos.</w:t>
      </w:r>
    </w:p>
    <w:p w:rsidR="00D93BCE" w:rsidRPr="00F2605B" w:rsidRDefault="00D93BCE" w:rsidP="00D93BCE">
      <w:pPr>
        <w:pStyle w:val="NormalWeb"/>
        <w:jc w:val="both"/>
      </w:pPr>
      <w:r w:rsidRPr="00F2605B">
        <w:t>A pesar de los altos niveles de inversión del sector privado, el aumento de la comercialización y la creciente competencia geopolítica exigirán un mayor gasto gubernamental en programas espaciales y defensa en un momento en que las finanzas públicas están bajo una mayor presión debido a la sobrecarga económica de COVID-19 (consulte el Capítulo 1). Por ejemplo, los gobiernos necesitarán competir cada vez más por el talento, con entidades del sector privado que ofrecen paquetes de empleo más lucrativos. Las agencias de defensa necesitarán continuar gastando recursos para defenderse contra armamento más sofisticado basado en el espacio y herramientas cada vez más efectivas basadas en el espacio del arte de gobernar, como la vigilancia mejorada o el espionaje.</w:t>
      </w:r>
    </w:p>
    <w:p w:rsidR="00D93BCE" w:rsidRPr="00F2605B" w:rsidRDefault="00D93BCE" w:rsidP="00D93BCE">
      <w:pPr>
        <w:pStyle w:val="NormalWeb"/>
        <w:jc w:val="both"/>
      </w:pPr>
      <w:r w:rsidRPr="00F2605B">
        <w:t>Sin embargo, para una gran mayoría de gobiernos, la tecnología espacial y el acceso permanecerán fuera del alcance en un momento en que la dependencia de las tecnologías espaciales está creciendo para todos. Cuarenta y un países han registrado agencias espaciales con UNOOSA,</w:t>
      </w:r>
      <w:r>
        <w:rPr>
          <w:b/>
          <w:bCs/>
          <w:vertAlign w:val="superscript"/>
        </w:rPr>
        <w:t xml:space="preserve"> </w:t>
      </w:r>
      <w:r w:rsidRPr="00F2605B">
        <w:t xml:space="preserve">sin embargo, los muchos gobiernos que no están representados seguirán </w:t>
      </w:r>
      <w:r w:rsidRPr="00F2605B">
        <w:lastRenderedPageBreak/>
        <w:t>luchando para desarrollar sus capacidades o ganar un asiento en la mesa de los procesos clave de toma de decisiones. Sin un esfuerzo concertado para facilitar el crecimiento inclusivo en el ámbito espacial, las desigualdades en los beneficios comerciales y geopolíticos que se derivan del desarrollo espacial seguirán aumentando.</w:t>
      </w:r>
    </w:p>
    <w:p w:rsidR="00D93BCE" w:rsidRPr="00F2605B" w:rsidRDefault="00D93BCE" w:rsidP="00D93BCE">
      <w:pPr>
        <w:pStyle w:val="NormalWeb"/>
        <w:jc w:val="both"/>
      </w:pPr>
      <w:r w:rsidRPr="00F2605B">
        <w:rPr>
          <w:b/>
          <w:bCs/>
          <w:i/>
          <w:iCs/>
        </w:rPr>
        <w:t>Bloques de oportunidad: Consecuencias para las empresas.</w:t>
      </w:r>
    </w:p>
    <w:p w:rsidR="00D93BCE" w:rsidRPr="00F2605B" w:rsidRDefault="00D93BCE" w:rsidP="00D93BCE">
      <w:pPr>
        <w:pStyle w:val="NormalWeb"/>
        <w:jc w:val="both"/>
      </w:pPr>
      <w:r w:rsidRPr="00F2605B">
        <w:t>La financiación de riesgo inundó la industria espacial tras los exitosos lanzamientos de vuelos espaciales comerciales. A medida que crece la actividad comercial en el espacio, podrían surgir más empresas que buscan ingresar mientras el interés de los inversores es alto. Sin embargo, si la fabricación, el turismo u otras empresas espaciales no logran despegar, los especuladores y las empresas de la industria espacial podrían ver estallar su burbuja. Del mismo modo, las campañas de base para prohibir la contaminación espacial y evitar la privatización de datos científicos importantes podrían hacer que los inversores se detuvieran, sofocando la financiación de empresas sin paliativos en el campo.</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535BE8D8" wp14:editId="08007752">
            <wp:extent cx="5613400" cy="3117850"/>
            <wp:effectExtent l="0" t="0" r="6350" b="6350"/>
            <wp:docPr id="20" name="Imagen 20" descr="Choques espaciales - Informe de riesgos globales 2022">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hoques espaciales - Informe de riesgos globales 2022">
                      <a:hlinkClick r:id="rId107"/>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613400" cy="3117850"/>
                    </a:xfrm>
                    <a:prstGeom prst="rect">
                      <a:avLst/>
                    </a:prstGeom>
                    <a:noFill/>
                    <a:ln>
                      <a:noFill/>
                    </a:ln>
                  </pic:spPr>
                </pic:pic>
              </a:graphicData>
            </a:graphic>
          </wp:inline>
        </w:drawing>
      </w:r>
    </w:p>
    <w:p w:rsidR="00D93BCE" w:rsidRPr="00F2605B" w:rsidRDefault="00D93BCE" w:rsidP="00D93BCE">
      <w:pPr>
        <w:pStyle w:val="Ttulo3"/>
        <w:jc w:val="both"/>
        <w:rPr>
          <w:sz w:val="24"/>
          <w:szCs w:val="24"/>
        </w:rPr>
      </w:pPr>
      <w:r w:rsidRPr="00F2605B">
        <w:rPr>
          <w:sz w:val="24"/>
          <w:szCs w:val="24"/>
        </w:rPr>
        <w:t>Hacia la cooperación en el Espacio</w:t>
      </w:r>
    </w:p>
    <w:p w:rsidR="00D93BCE" w:rsidRPr="005C24CB" w:rsidRDefault="00D93BCE" w:rsidP="00D93BCE">
      <w:pPr>
        <w:pStyle w:val="NormalWeb"/>
        <w:jc w:val="both"/>
        <w:rPr>
          <w:color w:val="FF0000"/>
          <w:u w:val="single"/>
        </w:rPr>
      </w:pPr>
      <w:r w:rsidRPr="005C24CB">
        <w:rPr>
          <w:color w:val="FF0000"/>
          <w:u w:val="single"/>
        </w:rPr>
        <w:t xml:space="preserve">Aunque el espacio representa otro ámbito en el que se desarrollarán las tensiones geopolíticas y comerciales, no se deben olvidar importantes tradiciones de cooperación en este ámbito. Las normas de comportamiento establecidas a través de medidas voluntarias que no son jurídicamente vinculantes con el objetivo de generar confianza y establecer un entendimiento mutuo han ayudado a mitigar las crecientes tensiones en el pasado. Si bien esta tendencia podría continuar, se requerirá una gobernanza formal más sólida en un espacio más concurrido y competitivo. Los acuerdos bilaterales o multilaterales específicos y funcionales entre las principales potencias espaciales podrían ayudar a crear normas e influir en comportamientos globales más amplios. La conciencia de la situación espacial, la gestión del tráfico espacial y la mitigación de desechos son áreas en las que los acuerdos internacionales basados ​​en normas y eventualmente formales beneficiarían a todos los actores. Críticamente, y al igual que otros ámbitos donde la tecnología se está desarrollando a un ritmo más rápido que su regulación, incorporar a los actores del sector privado a los </w:t>
      </w:r>
      <w:r w:rsidRPr="005C24CB">
        <w:rPr>
          <w:color w:val="FF0000"/>
          <w:u w:val="single"/>
        </w:rPr>
        <w:lastRenderedPageBreak/>
        <w:t>procesos de acuerdos ayudará a garantizar que dichos pactos reflejen las realidades tanto comerciales como técnicas. Aprovechar estas oportunidades para lograr normas ampliamente aceptadas podría ayudar a facilitar las discusiones sobre temas más desafiantes en el espacio, como los límites en el uso de armas, la propiedad y los lugares apropiados desde los cuales gobernar el reino.</w:t>
      </w:r>
    </w:p>
    <w:p w:rsidR="00D93BCE" w:rsidRPr="00F2605B" w:rsidRDefault="00D93BCE" w:rsidP="00D93BCE">
      <w:pPr>
        <w:pStyle w:val="Ttulo1"/>
        <w:spacing w:before="0" w:beforeAutospacing="0" w:after="161" w:afterAutospacing="0"/>
        <w:jc w:val="both"/>
        <w:rPr>
          <w:sz w:val="24"/>
          <w:szCs w:val="24"/>
        </w:rPr>
      </w:pPr>
      <w:r w:rsidRPr="00F2605B">
        <w:rPr>
          <w:sz w:val="24"/>
          <w:szCs w:val="24"/>
        </w:rPr>
        <w:t>Capítulo 6. Resiliencia refrescante: de las lecciones de COVID-19 a una respuesta de toda la sociedad</w:t>
      </w:r>
    </w:p>
    <w:p w:rsidR="00D93BCE" w:rsidRPr="00F2605B" w:rsidRDefault="00D93BCE" w:rsidP="00D93BCE">
      <w:pPr>
        <w:pStyle w:val="Ttulo3"/>
        <w:jc w:val="both"/>
        <w:rPr>
          <w:sz w:val="24"/>
          <w:szCs w:val="24"/>
        </w:rPr>
      </w:pPr>
      <w:r w:rsidRPr="00F2605B">
        <w:rPr>
          <w:sz w:val="24"/>
          <w:szCs w:val="24"/>
        </w:rPr>
        <w:t>Resiliencia adaptativa a la pandemia a nivel nacional</w:t>
      </w:r>
    </w:p>
    <w:p w:rsidR="00D93BCE" w:rsidRPr="00F2605B" w:rsidRDefault="00D93BCE" w:rsidP="00D93BCE">
      <w:pPr>
        <w:pStyle w:val="NormalWeb"/>
        <w:spacing w:before="0" w:beforeAutospacing="0"/>
        <w:jc w:val="both"/>
      </w:pPr>
      <w:r w:rsidRPr="00F2605B">
        <w:rPr>
          <w:i/>
          <w:iCs/>
        </w:rPr>
        <w:t>El Informe de Riesgos Globales</w:t>
      </w:r>
      <w:r w:rsidRPr="00F2605B">
        <w:t> 2021 cerró con una reflexión sobre hasta qué punto las deficiencias en la respuesta a la pandemia podrían atribuirse a complacencias de larga data, las complejidades nuevas y específicas de COVID-19, el entorno (geo)político volátil y divisivo o la simple mala gestión . Este capítulo hace un balance de las estrategias de respuesta nacional implementadas en el segundo año de la pandemia y luego reflexiona sobre las oportunidades de colaboración dentro de los países para mejorar la preparación para futuras crisis y la resiliencia organizacional.</w:t>
      </w:r>
    </w:p>
    <w:p w:rsidR="00D93BCE" w:rsidRDefault="00D93BCE" w:rsidP="00D93BCE">
      <w:pPr>
        <w:pStyle w:val="NormalWeb"/>
        <w:jc w:val="both"/>
      </w:pPr>
      <w:r w:rsidRPr="00F2605B">
        <w:t>Durante 2020, los gobiernos nacionales buscaron proteger vidas y medios de subsistencia contra un nuevo virus que estaba provocando una tasa de mortalidad significativa, con el telón de fondo de importantes deficiencias en la preparación nacional y mundial. En 2021, a medida que el virus evolucionó hacia variantes más contagiosas, los gobiernos buscaron desplegar nuevas respuestas, en consonancia con las medidas desarrolladas el año anterior, para volver a la normalidad social y económica. La mayoría de los países experimentaron varios aumentos durante el año, con el número de casos diarios caracterizados por un crecimiento exponencial y un aumento de 20 a 40 veces entre el pico y el valle (ver Figura 6.1). Según esta medida, la mayoría de los países presentaron tanto historias de éxito como advertencias en diferentes momentos.</w:t>
      </w:r>
    </w:p>
    <w:p w:rsidR="00D93BCE" w:rsidRPr="00F2605B" w:rsidRDefault="00D93BCE" w:rsidP="00D93BCE">
      <w:pPr>
        <w:pStyle w:val="NormalWeb"/>
        <w:jc w:val="both"/>
      </w:pPr>
      <w:r w:rsidRPr="00F2605B">
        <w:t>Dos factores interrelacionados han demostrado ser críticos para la gestión nacional eficaz de la pandemia: primero, la disposición de los gobiernos para ajustar las estrategias de respuesta de acuerdo con las circunstancias cambiantes; y segundo, su capacidad para mantener la confianza y el cumplimiento de la sociedad a través de decisiones basadas en principios y comunicaciones efectivas.</w:t>
      </w:r>
    </w:p>
    <w:p w:rsidR="00D93BCE" w:rsidRPr="00F2605B" w:rsidRDefault="00D93BCE" w:rsidP="00D93BCE">
      <w:pPr>
        <w:pStyle w:val="NormalWeb"/>
        <w:jc w:val="both"/>
      </w:pP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14EE37E5" wp14:editId="11E2FB06">
            <wp:extent cx="5619750" cy="6985000"/>
            <wp:effectExtent l="0" t="0" r="0" b="6350"/>
            <wp:docPr id="29" name="Imagen 29" descr="Casos nuevos diarios de COVID-19: Global y los 6 principales países por infecciones - Informe de riesgos globales 2022">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asos nuevos diarios de COVID-19: Global y los 6 principales países por infecciones - Informe de riesgos globales 2022">
                      <a:hlinkClick r:id="rId114"/>
                    </pic:cNvPr>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19750" cy="6985000"/>
                    </a:xfrm>
                    <a:prstGeom prst="rect">
                      <a:avLst/>
                    </a:prstGeom>
                    <a:noFill/>
                    <a:ln>
                      <a:noFill/>
                    </a:ln>
                  </pic:spPr>
                </pic:pic>
              </a:graphicData>
            </a:graphic>
          </wp:inline>
        </w:drawing>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Estrategias de respuesta flexibles</w:t>
      </w:r>
    </w:p>
    <w:p w:rsidR="00D93BCE" w:rsidRPr="00F2605B" w:rsidRDefault="00D93BCE" w:rsidP="00D93BCE">
      <w:pPr>
        <w:pStyle w:val="NormalWeb"/>
        <w:jc w:val="both"/>
      </w:pPr>
      <w:r w:rsidRPr="00F2605B">
        <w:t>En general, las respuestas nacionales efectivas se caracterizaron por una visión holística del bienestar social, enfoques múltiples para el control de la transmisión y la protección del sistema de salud, una sólida coordinación de políticas y procesos, logística confiable y el despliegue de nuevas intervenciones y cada vez más granular y datos en tiempo real cuando estén disponibles. Países como Chile y Finlandia pudieron administrar mejor los períodos pico que aquellos con enfoques menos completos.</w:t>
      </w:r>
      <w:r>
        <w:rPr>
          <w:b/>
          <w:bCs/>
          <w:vertAlign w:val="superscript"/>
        </w:rPr>
        <w:t xml:space="preserve"> </w:t>
      </w:r>
      <w:r w:rsidRPr="00F2605B">
        <w:t xml:space="preserve">Lo lograron a través de agendas políticas interdepartamentales; redes ampliadas de trabajadores comunitarios de la salud; protecciones </w:t>
      </w:r>
      <w:r w:rsidRPr="00F2605B">
        <w:lastRenderedPageBreak/>
        <w:t>clave para los trabajadores de la salud; una gama de medidas de control de transmisión individualmente imperfectas pero colectivamente efectivas, como pruebas, rastreo y aislamiento; tecnologías de salud digital; y la inversión temprana en previsión de las necesidades futuras.</w:t>
      </w:r>
    </w:p>
    <w:p w:rsidR="00D93BCE" w:rsidRPr="00F2605B" w:rsidRDefault="00D93BCE" w:rsidP="00D93BCE">
      <w:pPr>
        <w:pStyle w:val="NormalWeb"/>
        <w:jc w:val="both"/>
      </w:pPr>
      <w:r w:rsidRPr="00F2605B">
        <w:t>Para muchos países fue fundamental el establecimiento de transiciones políticas bien calculadas entre permitir la interacción social y la actividad económica cuando sea posible y volver, cuando sea necesario, al tipo de restricciones de movilidad que fueron estrategias predeterminadas en las primeras etapas de la crisis. La relajación rápida y generalizada de las restricciones a la actividad social y económica a menudo resultó en un fuerte aumento en el número de casos, aunque el impacto en los sistemas de salud y la mortalidad a menudo se vio mitigado por las altas tasas de vacunación. A algunos países que se enorgullecían de tener números de casos muy bajos durante mucho tiempo les resultó difícil reconocer o cambiar cuando ese ya no era el mejor indicador para medir el estado de la pandemia.</w:t>
      </w:r>
      <w:r>
        <w:rPr>
          <w:b/>
          <w:bCs/>
          <w:vertAlign w:val="superscript"/>
        </w:rPr>
        <w:t xml:space="preserve"> </w:t>
      </w:r>
      <w:r w:rsidRPr="00F2605B">
        <w:t>La variante Omicron, con su mayor infecciosidad, obligará además a los gobiernos a revisar el equilibrio entre mantener la actividad económica y limitar la propagación. Algunos están eligiendo minimizar las interrupciones a la luz de la amenaza evidentemente más leve del virus, aunque deben estar preparados para restablecer las restricciones según sea necesario dado que los sistemas de salud siguen en riesgo de colapsar.</w:t>
      </w:r>
    </w:p>
    <w:p w:rsidR="00D93BCE" w:rsidRPr="00F2605B" w:rsidRDefault="00D93BCE" w:rsidP="00D93BCE">
      <w:pPr>
        <w:pStyle w:val="NormalWeb"/>
        <w:jc w:val="both"/>
      </w:pPr>
      <w:r w:rsidRPr="00F2605B">
        <w:t>La llegada de vacunas y tratamientos antivirales efectivos cambió el juego en términos de gestión del impacto del virus en la salud de los ciudadanos y los sistemas nacionales de salud, lo que permitió una mayor libertad en otras políticas.</w:t>
      </w:r>
      <w:r>
        <w:rPr>
          <w:b/>
          <w:bCs/>
          <w:vertAlign w:val="superscript"/>
        </w:rPr>
        <w:t xml:space="preserve"> </w:t>
      </w:r>
      <w:r w:rsidRPr="00F2605B">
        <w:t>El despliegue masivo de pruebas rápidas asequibles también ayudó a las personas a moverse y mezclarse nuevamente, al mismo tiempo que mitigaba el riesgo de transmisión. Sin embargo, aunque una gama de vacunas estuvo técnicamente disponible desde principios de año, los diferentes poderes de negociación, enfoques de contratación y regímenes de aprobación tuvieron un fuerte impacto en los calendarios de implementación del programa. Muchos países de altos ingresos tenían acceso privilegiado a las vacunas: a principios de diciembre de 2021, todos los países de la Organización para la Cooperación y el Desarrollo Económicos (OCDE), excepto tres, habían vacunado dos veces al menos al 50 % de su población.</w:t>
      </w:r>
      <w:r>
        <w:rPr>
          <w:b/>
          <w:bCs/>
          <w:vertAlign w:val="superscript"/>
        </w:rPr>
        <w:t xml:space="preserve"> </w:t>
      </w:r>
      <w:r w:rsidRPr="00F2605B">
        <w:t>Algunos países de ingresos medios también habían alcanzado altos niveles de vacunación: por ejemplo, la tasa de vacunación del 79 % en Malasia se debió en gran parte a la distribución eficaz,</w:t>
      </w:r>
      <w:r>
        <w:rPr>
          <w:b/>
          <w:bCs/>
          <w:vertAlign w:val="superscript"/>
        </w:rPr>
        <w:t xml:space="preserve"> </w:t>
      </w:r>
      <w:r w:rsidRPr="00F2605B">
        <w:t>mientras que el 65% de Brasil se atribuyó al fuerte entusiasmo por la vacuna.</w:t>
      </w:r>
    </w:p>
    <w:p w:rsidR="00D93BCE" w:rsidRPr="00F2605B" w:rsidRDefault="00D93BCE" w:rsidP="00D93BCE">
      <w:pPr>
        <w:pStyle w:val="NormalWeb"/>
        <w:jc w:val="both"/>
      </w:pPr>
      <w:r w:rsidRPr="00F2605B">
        <w:t xml:space="preserve">Las tasas de vacunación más bajas se encontraron principalmente en países de bajos ingresos (ver Figura 6.2), especialmente en África, que tuvieron </w:t>
      </w:r>
      <w:r>
        <w:t>que depender de iniciativas de “diplomacia de vacunas”</w:t>
      </w:r>
      <w:r w:rsidRPr="00F2605B">
        <w:t xml:space="preserve"> de países individuales y acuerdos multilaterales como el Acceso Global a Vacunas Covid-19 (COVAX) programa. Este último sufrió las bajas contribuciones de los países de altos ingresos, altos niveles de burocracia, suministros impredecibles y desafíos de almacenamiento y distribución.</w:t>
      </w:r>
      <w:r>
        <w:rPr>
          <w:b/>
          <w:bCs/>
          <w:vertAlign w:val="superscript"/>
        </w:rPr>
        <w:t xml:space="preserve"> </w:t>
      </w:r>
      <w:r w:rsidRPr="00F2605B">
        <w:t>Las poblaciones relativamente más jóvenes y un clima favorable pueden haber mitigado la mortalidad del virus en estos países, aunque se estimó un exceso de muertes entre 0 y 2,1 millones en África para mayo de 2021.</w:t>
      </w:r>
      <w:r>
        <w:rPr>
          <w:b/>
          <w:bCs/>
          <w:vertAlign w:val="superscript"/>
        </w:rPr>
        <w:t xml:space="preserve"> </w:t>
      </w:r>
      <w:r w:rsidRPr="00F2605B">
        <w:t>y el Covid prolongado puede surgir como un desafío a más largo plazo dada la gran cantidad de casos no fatales.</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sz w:val="24"/>
          <w:szCs w:val="24"/>
        </w:rPr>
        <w:lastRenderedPageBreak/>
        <w:t xml:space="preserve">                       </w:t>
      </w:r>
      <w:r w:rsidRPr="00F2605B">
        <w:rPr>
          <w:rFonts w:ascii="Times New Roman" w:hAnsi="Times New Roman" w:cs="Times New Roman"/>
          <w:noProof/>
          <w:sz w:val="24"/>
          <w:szCs w:val="24"/>
          <w:lang w:eastAsia="es-ES"/>
        </w:rPr>
        <w:drawing>
          <wp:inline distT="0" distB="0" distL="0" distR="0" wp14:anchorId="4BC4DCD0" wp14:editId="5A57E3EA">
            <wp:extent cx="4038600" cy="3981450"/>
            <wp:effectExtent l="0" t="0" r="0" b="0"/>
            <wp:docPr id="28" name="Imagen 28" descr="Porcentaje de población totalmente vacunada 2021-2022 - Informe de riesgos globales 2022">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orcentaje de población totalmente vacunada 2021-2022 - Informe de riesgos globales 2022">
                      <a:hlinkClick r:id="rId114"/>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38600" cy="3981450"/>
                    </a:xfrm>
                    <a:prstGeom prst="rect">
                      <a:avLst/>
                    </a:prstGeom>
                    <a:noFill/>
                    <a:ln>
                      <a:noFill/>
                    </a:ln>
                  </pic:spPr>
                </pic:pic>
              </a:graphicData>
            </a:graphic>
          </wp:inline>
        </w:drawing>
      </w:r>
    </w:p>
    <w:p w:rsidR="00D93BCE" w:rsidRPr="00F2605B" w:rsidRDefault="00D93BCE" w:rsidP="00D93BCE">
      <w:pPr>
        <w:pStyle w:val="NormalWeb"/>
        <w:jc w:val="both"/>
      </w:pPr>
      <w:r w:rsidRPr="00F2605B">
        <w:t>En general, los programas exitosos de implementación de vacunas lograron un equilibrio entre velocidad y solidez, reconociendo que lo perfecto a veces es enemigo de lo bueno. Se descubrió que la efectividad de la vacuna mejoró después de una segunda dosis, pero disminuyó con el tiempo, lo que llevó a las economías avanzadas a introducir programas de refuerzo en los que la adopción y la velocidad eran prioridades clave.</w:t>
      </w:r>
      <w:r>
        <w:rPr>
          <w:b/>
          <w:bCs/>
          <w:vertAlign w:val="superscript"/>
        </w:rPr>
        <w:t xml:space="preserve"> </w:t>
      </w:r>
      <w:r w:rsidRPr="00F2605B">
        <w:t>Para la última parte del año, el análisis mostró que las personas completamente vacunadas tenían menos probabilidades de transmitir el virus, experimentar síntomas graves o prolongados, ocupar camas de hospital o morir.</w:t>
      </w:r>
    </w:p>
    <w:p w:rsidR="00D93BCE" w:rsidRPr="00F2605B" w:rsidRDefault="00D93BCE" w:rsidP="00D93BCE">
      <w:pPr>
        <w:pStyle w:val="NormalWeb"/>
        <w:jc w:val="both"/>
      </w:pPr>
      <w:r w:rsidRPr="00F2605B">
        <w:t>Aunque la erradicación global de la COVID-19 ya no es una opción viable, la transmisión persistente del SARS-Cov-2 permite la aparición de nuevas variantes que son más contagiosas y pueden ser más virulentas y escapar de la inmunidad conferida por la infección o las vacunas existentes. Por lo tanto, las implementaciones de vacunas relativamente más lentas en los países de ingresos medios y bajos, así como las dudas sobre las vacunas dondequiera que estén presentes, siguen siendo un riesgo pandémico continuo para todos los países y requieren anticipación de más transiciones de políticas. A medida que surjan nuevas variantes, los gobiernos deberán volver a imponer un conjunto apropiado de medidas de control.</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Mantener la confianza de la sociedad</w:t>
      </w:r>
    </w:p>
    <w:p w:rsidR="00D93BCE" w:rsidRPr="00F2605B" w:rsidRDefault="00D93BCE" w:rsidP="00D93BCE">
      <w:pPr>
        <w:pStyle w:val="NormalWeb"/>
        <w:jc w:val="both"/>
      </w:pPr>
      <w:r w:rsidRPr="00F2605B">
        <w:t xml:space="preserve">Mantener la confianza de la sociedad implicó impulsar el cumplimiento y la cooperación entre los ciudadanos y la comunidad empresarial a través de cambios frecuentes en la política gubernamental durante un período prolongado. Esto a menudo resultó ser un desafío ya que, durante 2021, muchos ciudadanos se cansaron más de los encierros y obligaciones como el uso de máscaras. A fines de noviembre, varios países europeos y Australia experimentaron </w:t>
      </w:r>
      <w:r w:rsidRPr="00F2605B">
        <w:lastRenderedPageBreak/>
        <w:t>disturbios cuando los gobiernos endurecieron los regímenes ante el aumento del número de casos.</w:t>
      </w:r>
    </w:p>
    <w:p w:rsidR="00D93BCE" w:rsidRPr="00F2605B" w:rsidRDefault="00D93BCE" w:rsidP="00D93BCE">
      <w:pPr>
        <w:pStyle w:val="NormalWeb"/>
        <w:jc w:val="both"/>
      </w:pPr>
      <w:r w:rsidRPr="00F2605B">
        <w:t>Además, en las economías avanzadas con acceso generalizado a las vacunas, porcentajes significativos de la población adulta seguían sin vacunarse a fines de 2021 debido a preocupaciones fuera de lugar sobre el riesgo de las vacunas en relación con el de contraer el virus, el exceso de confianza en su propia inmunidad natural y adhesión a una serie de teorías que carecen de base científica.</w:t>
      </w:r>
      <w:r>
        <w:rPr>
          <w:b/>
          <w:bCs/>
          <w:vertAlign w:val="superscript"/>
        </w:rPr>
        <w:t xml:space="preserve"> </w:t>
      </w:r>
      <w:r w:rsidRPr="00F2605B">
        <w:t>En otros países, la desconfianza general en el gobierno ha resultado en una vacilación generalizada sobre las vacunas, con fuentes alternativas de autoridad, que incluyen la opinión local y los líderes religiosos, que no son lo suficientemente capaces de ayudar a disipar los temores.</w:t>
      </w:r>
    </w:p>
    <w:p w:rsidR="00D93BCE" w:rsidRPr="00F2605B" w:rsidRDefault="00D93BCE" w:rsidP="00D93BCE">
      <w:pPr>
        <w:pStyle w:val="NormalWeb"/>
        <w:jc w:val="both"/>
      </w:pPr>
      <w:r w:rsidRPr="00F2605B">
        <w:t>El componente de confianza de la gestión de esta crisis a menudo ha dependido de un equilibrio entre la imposición de restricciones o la coerción basada en la ciencia y las políticas que fomentan el buen comportamiento. La comunicación ha tenido que seguir un camino estrecho entre las libertades individuales y la resiliencia colectiva; de hecho, casi el 50% de los expertos en riesgo global del Foro Económico Mundial identificaron esta tensión como una de las más críticas para que las sociedades manejen.</w:t>
      </w:r>
      <w:r>
        <w:rPr>
          <w:b/>
          <w:bCs/>
          <w:vertAlign w:val="superscript"/>
        </w:rPr>
        <w:t xml:space="preserve"> </w:t>
      </w:r>
      <w:r w:rsidRPr="00F2605B">
        <w:t>El desafío solo se intensificará a medida que la pandemia se extienda a su tercer año y el público se canse cada vez más, especialmente durante las temporadas festivas a medida que aumentan las expectativas de actividad social sin restricciones.</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drawing>
          <wp:inline distT="0" distB="0" distL="0" distR="0" wp14:anchorId="78CF655E" wp14:editId="4770AD6D">
            <wp:extent cx="5689600" cy="1174750"/>
            <wp:effectExtent l="0" t="0" r="6350" b="6350"/>
            <wp:docPr id="27" name="Imagen 27" descr="La comunidad de directores de riesgos del Foro Económico Mundial y el Consejo del Futuro Global sobre riesgos fronterizos, sobre el logro de una fuerte resiliencia en las sociedades - Informe de riesgos globales 2022">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La comunidad de directores de riesgos del Foro Económico Mundial y el Consejo del Futuro Global sobre riesgos fronterizos, sobre el logro de una fuerte resiliencia en las sociedades - Informe de riesgos globales 2022">
                      <a:hlinkClick r:id="rId114"/>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89600" cy="1174750"/>
                    </a:xfrm>
                    <a:prstGeom prst="rect">
                      <a:avLst/>
                    </a:prstGeom>
                    <a:noFill/>
                    <a:ln>
                      <a:noFill/>
                    </a:ln>
                  </pic:spPr>
                </pic:pic>
              </a:graphicData>
            </a:graphic>
          </wp:inline>
        </w:drawing>
      </w:r>
    </w:p>
    <w:p w:rsidR="00D93BCE" w:rsidRPr="00F2605B" w:rsidRDefault="00D93BCE" w:rsidP="00D93BCE">
      <w:pPr>
        <w:pStyle w:val="NormalWeb"/>
        <w:jc w:val="both"/>
      </w:pPr>
      <w:r w:rsidRPr="00F2605B">
        <w:t>La distribución más rápida de los kits de prueba, junto con una autoadministración más fácil y una mayor confiabilidad de los resultados, fueron útiles para permitir las interacciones sociales y la movilidad internacional. La disponibilidad generalizada de pruebas asequibles será crucial a medida que se levanten cada vez más las restricciones y una mayor actividad social haga que la demanda supere la oferta, como ya se ha visto en algunos países. Sin embargo, en cuanto a las vacunas, a algunos gobiernos les preocupa que las medidas voluntarias hayan llegado a su límite, especialmente con la llegada de la variante Omicron.</w:t>
      </w:r>
      <w:r>
        <w:rPr>
          <w:b/>
          <w:bCs/>
          <w:vertAlign w:val="superscript"/>
        </w:rPr>
        <w:t xml:space="preserve"> </w:t>
      </w:r>
      <w:r w:rsidRPr="00F2605B">
        <w:t>Los planes para los requisitos de vacunación, con sanciones en el empleo o la movilidad para quienes continúen resistiendo, pondrán a prueba la buena voluntad y el cumplimiento de la sociedad, así como la determinación del gobierno a la luz de las políticas divisivas.</w:t>
      </w:r>
      <w:r>
        <w:rPr>
          <w:b/>
          <w:bCs/>
          <w:vertAlign w:val="superscript"/>
        </w:rPr>
        <w:t xml:space="preserve"> </w:t>
      </w:r>
      <w:r w:rsidRPr="00F2605B">
        <w:t>Además, las estrategias nacionales de resiliencia para futuras pandemias pueden requerir la anticipación de cierto nivel de desconfianza y desafío a las restricciones e intervenciones destinadas a proteger a los segmentos vulnerables de la población.</w:t>
      </w:r>
    </w:p>
    <w:p w:rsidR="00D93BCE" w:rsidRPr="00F2605B" w:rsidRDefault="00D93BCE" w:rsidP="00D93BCE">
      <w:pPr>
        <w:pStyle w:val="Ttulo3"/>
        <w:jc w:val="both"/>
        <w:rPr>
          <w:sz w:val="24"/>
          <w:szCs w:val="24"/>
        </w:rPr>
      </w:pPr>
      <w:r w:rsidRPr="00F2605B">
        <w:rPr>
          <w:sz w:val="24"/>
          <w:szCs w:val="24"/>
        </w:rPr>
        <w:t>Preparación de los ecosistemas nacionales de resiliencia para futuras crisis</w:t>
      </w:r>
    </w:p>
    <w:p w:rsidR="00D93BCE" w:rsidRPr="00F2605B" w:rsidRDefault="00D93BCE" w:rsidP="00D93BCE">
      <w:pPr>
        <w:pStyle w:val="NormalWeb"/>
        <w:jc w:val="both"/>
      </w:pPr>
      <w:r w:rsidRPr="00F2605B">
        <w:t>La crisis de la COVID-19 sorprendió repetidamente a los encargados de anticipar su trayectoria y probablemente dejará más problemas complejos a su paso. La pandemia y su respuesta tampoco es el único desafío al que se enfrentan los gobiernos, las sociedades y las empresas. Como establece el </w:t>
      </w:r>
      <w:r w:rsidRPr="00F2605B">
        <w:rPr>
          <w:i/>
          <w:iCs/>
        </w:rPr>
        <w:t>Informe de riesgos globales</w:t>
      </w:r>
      <w:r w:rsidRPr="00F2605B">
        <w:t xml:space="preserve">, es posible que nuevas crisis se </w:t>
      </w:r>
      <w:r w:rsidRPr="00F2605B">
        <w:lastRenderedPageBreak/>
        <w:t>acerquen en el horizonte. Muchos riesgos críticos exigen una respuesta de toda la sociedad. Esto implica no solo la participación de diferentes sectores que conducen a múltiples acciones individuales, sino también una interacción más efectiva entre diferentes sectores de manera que se incremente el bienestar y la prosperidad.</w:t>
      </w:r>
    </w:p>
    <w:p w:rsidR="00D93BCE" w:rsidRPr="00F2605B" w:rsidRDefault="00D93BCE" w:rsidP="00D93BCE">
      <w:pPr>
        <w:pStyle w:val="NormalWeb"/>
        <w:jc w:val="both"/>
      </w:pPr>
      <w:r w:rsidRPr="00F2605B">
        <w:t>Los países deben distinguir entre diferentes objetivos de resiliencia para aprovechar sus capacidades colectivas de manera más efectiva y navegar por las numerosas e inevitables compensaciones, ya que no apreciar dónde están desalineadas las agendas limitará la tracción que cualquier solución puede ganar. Uno de esos objetivos podría ser la resiliencia de la comunidad ante posibles desastres; otro podría ser una infraestructura económica y social crítica confiable; un tercero podría ser imperativos estratégicos a largo plazo, como la transformación industrial.</w:t>
      </w:r>
      <w:r>
        <w:rPr>
          <w:b/>
          <w:bCs/>
          <w:vertAlign w:val="superscript"/>
        </w:rPr>
        <w:t xml:space="preserve"> </w:t>
      </w:r>
      <w:r w:rsidRPr="00F2605B">
        <w:t>Cada uno de estos objetivos requiere estrategias diferentes, proporcionando un marco para diferentes interacciones intersectoriales.</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Lente del gobierno</w:t>
      </w:r>
    </w:p>
    <w:p w:rsidR="00D93BCE" w:rsidRPr="00F2605B" w:rsidRDefault="00D93BCE" w:rsidP="00D93BCE">
      <w:pPr>
        <w:pStyle w:val="NormalWeb"/>
        <w:jc w:val="both"/>
      </w:pPr>
      <w:r w:rsidRPr="00F2605B">
        <w:t>Las evaluaciones de riesgos nacionales y las revisiones de la estrategia de resiliencia deben usarse para revelar dónde el impulso es insuficiente y se necesita una mayor intervención del gobierno. No es deseable ni factible que los gobiernos busquen llenar todos los vacíos por sí mismos: en su lugar, deben buscar aprovechar las capacidades y energías de otros sectores para complementar las competencias mejoradas que deberían estar en el ámbito público.</w:t>
      </w:r>
      <w:r>
        <w:rPr>
          <w:b/>
          <w:bCs/>
          <w:vertAlign w:val="superscript"/>
        </w:rPr>
        <w:t xml:space="preserve"> </w:t>
      </w:r>
      <w:r w:rsidRPr="00F2605B">
        <w:t>Las estrategias deben establecer lo que se necesita y examinar todas las palancas disponibles con nuevos ojos. Deben identificar dónde los gobiernos pueden necesitar obligar a otros a tomar medidas y dónde pueden ejercer su poder como clientes, estimular nuevas iniciativas, facilitar la colaboración o simplemente actuar como animadores de buenas prácticas.</w:t>
      </w:r>
    </w:p>
    <w:p w:rsidR="00D93BCE" w:rsidRPr="00F2605B" w:rsidRDefault="00D93BCE" w:rsidP="00D93BCE">
      <w:pPr>
        <w:pStyle w:val="NormalWeb"/>
        <w:jc w:val="both"/>
      </w:pPr>
      <w:r w:rsidRPr="00F2605B">
        <w:t>En sus interacciones con el sector privado, los gobiernos que son más dirigistas podrían querer ajustar sus enfoques a los modelos para almacenar bienes críticos, requisar y adquirir en una crisis.</w:t>
      </w:r>
      <w:r>
        <w:rPr>
          <w:b/>
          <w:bCs/>
          <w:vertAlign w:val="superscript"/>
        </w:rPr>
        <w:t xml:space="preserve"> </w:t>
      </w:r>
      <w:r w:rsidRPr="00F2605B">
        <w:t>Todos también podrían buscar mandatos de seguridad cibernética más estrictos y establecer expectativas más sólidas de pruebas de estrés para la infraestructura crítica.</w:t>
      </w:r>
      <w:r>
        <w:rPr>
          <w:b/>
          <w:bCs/>
          <w:vertAlign w:val="superscript"/>
        </w:rPr>
        <w:t xml:space="preserve"> </w:t>
      </w:r>
      <w:r w:rsidRPr="00F2605B">
        <w:t>Podrían buscar generar un ecosistema de investigación y desarrollo para la resiliencia, coordinar ejercicios de gestión de crisis que involucren a los sectores público y privado, y proporcionar un nivel de respaldo para los esquemas de seguros agrupados dirigidos a riesgos catastróficos.</w:t>
      </w:r>
    </w:p>
    <w:p w:rsidR="00D93BCE" w:rsidRPr="00F2605B" w:rsidRDefault="00D93BCE" w:rsidP="00D93BCE">
      <w:pPr>
        <w:pStyle w:val="NormalWeb"/>
        <w:jc w:val="both"/>
      </w:pPr>
      <w:r w:rsidRPr="00F2605B">
        <w:t>En tres cuestiones, encontrar un camino equilibrado es fundamental. En primer lugar, es esencial asignar el riesgo de manera que el contribuyente no pague en última instancia en cada crisis ni que los gobiernos eliminen los riesgos del balance público al sector privado. Las discusiones más transparentes y basadas en el análisis sobre los riesgos y las tolerancias deberían impulsar soluciones más equitativas y creativas sobre el costo y el precio del riesgo, así como amortiguadores fiscales y de mercado que podrían mitigar las consecuencias en caso de crisis.</w:t>
      </w:r>
    </w:p>
    <w:p w:rsidR="00D93BCE" w:rsidRPr="00F2605B" w:rsidRDefault="00D93BCE" w:rsidP="00D93BCE">
      <w:pPr>
        <w:pStyle w:val="NormalWeb"/>
        <w:jc w:val="both"/>
      </w:pPr>
      <w:r w:rsidRPr="00F2605B">
        <w:t>En segundo lugar, la regulación para la resiliencia debe tener en cuenta los cambios rápidos en los activos, las industrias y los sistemas; prioridades en conflicto en los mandatos regulatorios; y retos de aplicación. Podría decirse que los activos, las empresas y los subsectores sistémicamente importantes deberían experimentar una mayor s</w:t>
      </w:r>
      <w:r>
        <w:t>upervisión para evitar activos “ocultos”</w:t>
      </w:r>
      <w:r w:rsidRPr="00F2605B">
        <w:t xml:space="preserve"> en los ecosistemas digitales, las empresas dominantes en industrias de nicho pero críticas y los segmentos en crecimiento de ciertos sectores donde la falla plausible casi simultánea de varios proveedores podría tener consecuencias negativas de largo </w:t>
      </w:r>
      <w:r w:rsidRPr="00F2605B">
        <w:lastRenderedPageBreak/>
        <w:t>alcance.</w:t>
      </w:r>
      <w:r>
        <w:rPr>
          <w:b/>
          <w:bCs/>
          <w:vertAlign w:val="superscript"/>
        </w:rPr>
        <w:t xml:space="preserve"> </w:t>
      </w:r>
      <w:r w:rsidRPr="00F2605B">
        <w:t>Para los regímenes regulatorios que buscan principalmente a los consumidores actuales, la resiliencia a largo plazo debe ser un principio central y una capacidad que sustente el desarrollo y la implementación de los principales planes de inversión de capital en infraestructura crítica.</w:t>
      </w:r>
      <w:r>
        <w:rPr>
          <w:b/>
          <w:bCs/>
          <w:vertAlign w:val="superscript"/>
        </w:rPr>
        <w:t xml:space="preserve"> </w:t>
      </w:r>
      <w:r w:rsidRPr="00F2605B">
        <w:t>Los centros regulatorios intersectoriales más fuertes podrían agudizar el debate y ayudar a reconciliar las diferentes agendas de los organismos con poderes estatutarios separados.</w:t>
      </w:r>
    </w:p>
    <w:p w:rsidR="00D93BCE" w:rsidRPr="00F2605B" w:rsidRDefault="00D93BCE" w:rsidP="00D93BCE">
      <w:pPr>
        <w:pStyle w:val="NormalWeb"/>
        <w:jc w:val="both"/>
      </w:pPr>
      <w:r w:rsidRPr="00F2605B">
        <w:t>En tercer lugar, los arreglos para compartir datos deben ajustarse de manera que permitan tanto la creación de resiliencia preventiva como una gestión de crisis más precisa. Existen buenas razones para restringir algunos flujos de datos e inteligencia, incluida la seguridad nacional, la confidencialidad comercial, las restricciones antimonopolio y la privacidad personal. Reconociendo esto, los gobiernos pueden buscar identificar circunstancias de crisis, como un lapso de seguridad cibernética, en el que deberían obligar a los operadores de infraestructura crítica a proporcionar datos a los organismos gubernamentales. En otras situaciones, como un terremoto, pueden permitir, o incluso alentar, a las empresas competidoras a compartir datos entre sí para garantizar suministros estratégicos para la nación. Antes de las crisis, los gobiernos deberían considerar cómo desarrollar enfoques más colaborativos para los an</w:t>
      </w:r>
      <w:r>
        <w:t>álisis de escenarios e impactos.</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t>Lente de negocios</w:t>
      </w:r>
    </w:p>
    <w:p w:rsidR="00D93BCE" w:rsidRPr="00DE7D52" w:rsidRDefault="00D93BCE" w:rsidP="00D93BCE">
      <w:pPr>
        <w:pStyle w:val="NormalWeb"/>
        <w:jc w:val="both"/>
        <w:rPr>
          <w:u w:val="single"/>
        </w:rPr>
      </w:pPr>
      <w:r w:rsidRPr="00DE7D52">
        <w:rPr>
          <w:u w:val="single"/>
        </w:rPr>
        <w:t>Muchas empresas han tratado de comprender cómo pueden contribuir a la resiliencia de los países en los que operan. Reconocen que una mejor preparación a nivel nacional conduce a eventos impactantes que tienen impactos menores en la economía y la estabilidad de la política gubernamental, creando un mejor entorno para planificar, invertir y ejecutar.</w:t>
      </w:r>
    </w:p>
    <w:p w:rsidR="00D93BCE" w:rsidRPr="00DE7D52" w:rsidRDefault="00D93BCE" w:rsidP="00D93BCE">
      <w:pPr>
        <w:pStyle w:val="NormalWeb"/>
        <w:jc w:val="both"/>
        <w:rPr>
          <w:u w:val="single"/>
        </w:rPr>
      </w:pPr>
      <w:r w:rsidRPr="00DE7D52">
        <w:rPr>
          <w:u w:val="single"/>
        </w:rPr>
        <w:t>Las oportunidades se dividen en cuatro grupos. En primer lugar, las grandes empresas ya analizan intensamente los riesgos de interrupción del negocio en las cadenas de suministro, los proveedores de servicios gestionados, los servicios públicos y los clientes con miras a suavizar el impacto de los cuellos de botella y las interrupciones; las empresas más pequeñas podrían hacer lo mismo con un toque más ligero.</w:t>
      </w:r>
      <w:r w:rsidRPr="00DE7D52">
        <w:rPr>
          <w:b/>
          <w:bCs/>
          <w:u w:val="single"/>
          <w:vertAlign w:val="superscript"/>
        </w:rPr>
        <w:t xml:space="preserve"> </w:t>
      </w:r>
      <w:r w:rsidRPr="00DE7D52">
        <w:rPr>
          <w:u w:val="single"/>
        </w:rPr>
        <w:t>En segundo lugar, las empresas importantes a nivel nacional trabajaron entre sí donde estuvo permitido durante la pandemia; códigos de conducta de alcance más amplio podrían establecer comportamientos de mejores prácticas por industria para futuras crisis.</w:t>
      </w:r>
      <w:r w:rsidRPr="00DE7D52">
        <w:rPr>
          <w:b/>
          <w:bCs/>
          <w:u w:val="single"/>
          <w:vertAlign w:val="superscript"/>
        </w:rPr>
        <w:t xml:space="preserve"> </w:t>
      </w:r>
      <w:r w:rsidRPr="00DE7D52">
        <w:rPr>
          <w:u w:val="single"/>
        </w:rPr>
        <w:t>En tercer lugar, la pandemia impulsó a las empresas a analizar más detenidamente la resiliencia de su fuerza laboral y las comunidades en las que se encuentran; los grandes empleadores podrían incorporar una dimensión de resiliencia en las ofertas de salud y beneficios.</w:t>
      </w:r>
      <w:r w:rsidRPr="00DE7D52">
        <w:rPr>
          <w:b/>
          <w:bCs/>
          <w:u w:val="single"/>
          <w:vertAlign w:val="superscript"/>
        </w:rPr>
        <w:t xml:space="preserve"> </w:t>
      </w:r>
      <w:r w:rsidRPr="00DE7D52">
        <w:rPr>
          <w:u w:val="single"/>
        </w:rPr>
        <w:t>En cuarto lugar, algunas empresas han buscado asumir un papel más activo para abordar los desafíos de política pública a gran escala que afectan su negocio pero que el gobierno no puede resolver por sí solo; una mayor parte de ese esfuerzo podría colocarse directamente en apoyo de los bienes públicos.</w:t>
      </w:r>
    </w:p>
    <w:p w:rsidR="00D93BCE" w:rsidRPr="00DE7D52" w:rsidRDefault="00D93BCE" w:rsidP="00D93BCE">
      <w:pPr>
        <w:pStyle w:val="NormalWeb"/>
        <w:jc w:val="both"/>
        <w:rPr>
          <w:u w:val="single"/>
        </w:rPr>
      </w:pPr>
      <w:r w:rsidRPr="00DE7D52">
        <w:rPr>
          <w:u w:val="single"/>
        </w:rPr>
        <w:t>Si bien los fondos públicos tradicionalmente han dirigido los esfuerzos de resiliencia, existe un imperativo creciente de que las empresas asuman el papel de impulsar la innovación para reducir los puntos ciegos y contrarrestar las tendencias de despilfarro dentro del gobierno. Una mayor participación del sector privado en foros estratégicos puede permitir que expertos y profesionales contribuyan y desafíen las agendas gubernamentales. Las interacciones intersectoriales dinámicas en torno a prioridades, políticas y prácticas operativas también pueden ayudar a descubrir soluciones eficientes y eficaces, así como generar una tracción más amplia para nuevas iniciativas.</w:t>
      </w:r>
    </w:p>
    <w:p w:rsidR="00D93BCE" w:rsidRPr="00F2605B" w:rsidRDefault="00D93BCE" w:rsidP="00D93BCE">
      <w:pPr>
        <w:pStyle w:val="Ttulo4"/>
        <w:spacing w:line="240" w:lineRule="auto"/>
        <w:jc w:val="both"/>
        <w:rPr>
          <w:rFonts w:ascii="Times New Roman" w:hAnsi="Times New Roman" w:cs="Times New Roman"/>
          <w:color w:val="auto"/>
          <w:sz w:val="24"/>
          <w:szCs w:val="24"/>
        </w:rPr>
      </w:pPr>
      <w:r w:rsidRPr="00F2605B">
        <w:rPr>
          <w:rFonts w:ascii="Times New Roman" w:hAnsi="Times New Roman" w:cs="Times New Roman"/>
          <w:color w:val="auto"/>
          <w:sz w:val="24"/>
          <w:szCs w:val="24"/>
        </w:rPr>
        <w:lastRenderedPageBreak/>
        <w:t>Lente comunitaria</w:t>
      </w:r>
    </w:p>
    <w:p w:rsidR="00D93BCE" w:rsidRPr="00DE7D52" w:rsidRDefault="00D93BCE" w:rsidP="00D93BCE">
      <w:pPr>
        <w:pStyle w:val="NormalWeb"/>
        <w:jc w:val="both"/>
        <w:rPr>
          <w:u w:val="single"/>
        </w:rPr>
      </w:pPr>
      <w:r w:rsidRPr="00DE7D52">
        <w:rPr>
          <w:u w:val="single"/>
        </w:rPr>
        <w:t xml:space="preserve">Tanto la pandemia como los fenómenos meteorológicos extremos han destacado áreas en las que los gobiernos centrales y los organismos locales pueden combinarse de forma más eficaz. El hecho de no unir las agendas de políticas en los departamentos gubernamentales nacionales puede tener impactos devastadores a nivel local, donde se desarrollan las crisis y se exponen las desconexiones. De manera similar, las “brechas de aire” entre los gobiernos central y local, a menudo debido a luchas por la autoridad o debilidades en las redes de enlace, han comprometido los flujos de datos, la efectividad de las iniciativas y la confianza </w:t>
      </w:r>
      <w:r w:rsidR="00297184" w:rsidRPr="00DE7D52">
        <w:rPr>
          <w:u w:val="single"/>
        </w:rPr>
        <w:t>local. La</w:t>
      </w:r>
      <w:r w:rsidRPr="00DE7D52">
        <w:rPr>
          <w:u w:val="single"/>
        </w:rPr>
        <w:t xml:space="preserve"> mejora de los procesos de comunicación, una mejor devolución de las autoridades para la toma de decisiones, una mayor coordinación de los esfuerzos sobre el terreno entre las agencias especializadas del gobierno central y las administraciones locales y una mejor creación de capacidad a nivel local y nacional contribuirían en gran medida a apoyar la resiliencia.</w:t>
      </w:r>
    </w:p>
    <w:p w:rsidR="00D93BCE" w:rsidRPr="00DE7D52" w:rsidRDefault="00D93BCE" w:rsidP="00D93BCE">
      <w:pPr>
        <w:pStyle w:val="NormalWeb"/>
        <w:jc w:val="both"/>
        <w:rPr>
          <w:u w:val="single"/>
        </w:rPr>
      </w:pPr>
      <w:r w:rsidRPr="00DE7D52">
        <w:rPr>
          <w:u w:val="single"/>
        </w:rPr>
        <w:t>Hay margen para que los gobiernos centrales y locales hagan más para apoyar los esfuerzos de resiliencia a nivel comunitario, a menudo en asociación con organizaciones no gubernamentales y empresas. Los foros locales de resiliencia pueden impulsar a las comunidades a proporcionar información detallada sobre las vulnerabilidades situacionales y los posibles impactos de los riesgos clave, lo que ayuda a priorizar las medidas de resiliencia. Mejorar la conciencia y la participación, empoderar a los actores locales y desarrollar capacidades son vitales para el cambio cultural que es esencial para sostener los programas de resiliencia a largo plazo.</w:t>
      </w:r>
    </w:p>
    <w:p w:rsidR="00D93BCE" w:rsidRPr="00F2605B" w:rsidRDefault="00D93BCE" w:rsidP="00D93BCE">
      <w:pPr>
        <w:pStyle w:val="NormalWeb"/>
        <w:jc w:val="both"/>
      </w:pPr>
      <w:r w:rsidRPr="00F2605B">
        <w:t>Existen múltiples oportunidades para enriquecer las interfaces entre las comunidades académicas y las agendas gubernamentales a nivel local, nacional e internacional, especialmente para la provisión de experiencia y evidencia en asuntos de ciencia y tecnología.</w:t>
      </w:r>
      <w:r>
        <w:rPr>
          <w:b/>
          <w:bCs/>
          <w:vertAlign w:val="superscript"/>
        </w:rPr>
        <w:t xml:space="preserve"> </w:t>
      </w:r>
      <w:r w:rsidRPr="00F2605B">
        <w:t>La exploración colaborativa de los problemas de riesgo y resiliencia, antes, durante y después de una crisis, se beneficiaría de canales de comunicación más fuertes y flexibles y mayores niveles de confianza (ver Cuadro 6.1).</w:t>
      </w:r>
    </w:p>
    <w:p w:rsidR="00D93BCE" w:rsidRPr="00F2605B" w:rsidRDefault="00D93BCE" w:rsidP="00D93BCE">
      <w:pPr>
        <w:spacing w:line="240" w:lineRule="auto"/>
        <w:jc w:val="both"/>
        <w:rPr>
          <w:rFonts w:ascii="Times New Roman" w:hAnsi="Times New Roman" w:cs="Times New Roman"/>
          <w:sz w:val="24"/>
          <w:szCs w:val="24"/>
        </w:rPr>
      </w:pPr>
      <w:r w:rsidRPr="00F2605B">
        <w:rPr>
          <w:rFonts w:ascii="Times New Roman" w:hAnsi="Times New Roman" w:cs="Times New Roman"/>
          <w:noProof/>
          <w:sz w:val="24"/>
          <w:szCs w:val="24"/>
          <w:lang w:eastAsia="es-ES"/>
        </w:rPr>
        <w:lastRenderedPageBreak/>
        <w:drawing>
          <wp:inline distT="0" distB="0" distL="0" distR="0" wp14:anchorId="48BA0630" wp14:editId="238C463E">
            <wp:extent cx="5695950" cy="8420100"/>
            <wp:effectExtent l="0" t="0" r="0" b="0"/>
            <wp:docPr id="26" name="Imagen 26" descr="5 lecciones prácticas para mejorar la resiliencia organizacional - Informe Global de Riesgos 2022">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5 lecciones prácticas para mejorar la resiliencia organizacional - Informe Global de Riesgos 2022">
                      <a:hlinkClick r:id="rId114"/>
                    </pic:cNvP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695950" cy="8420100"/>
                    </a:xfrm>
                    <a:prstGeom prst="rect">
                      <a:avLst/>
                    </a:prstGeom>
                    <a:noFill/>
                    <a:ln>
                      <a:noFill/>
                    </a:ln>
                  </pic:spPr>
                </pic:pic>
              </a:graphicData>
            </a:graphic>
          </wp:inline>
        </w:drawing>
      </w:r>
    </w:p>
    <w:p w:rsidR="00D93BCE" w:rsidRPr="00F2605B" w:rsidRDefault="00D93BCE" w:rsidP="00D93BCE">
      <w:pPr>
        <w:spacing w:after="161" w:line="240" w:lineRule="auto"/>
        <w:jc w:val="both"/>
        <w:outlineLvl w:val="0"/>
        <w:rPr>
          <w:rFonts w:ascii="Times New Roman" w:eastAsia="Times New Roman" w:hAnsi="Times New Roman" w:cs="Times New Roman"/>
          <w:b/>
          <w:bCs/>
          <w:kern w:val="36"/>
          <w:sz w:val="24"/>
          <w:szCs w:val="24"/>
          <w:lang w:eastAsia="es-ES"/>
        </w:rPr>
      </w:pPr>
    </w:p>
    <w:p w:rsidR="00D93BCE" w:rsidRPr="00F2605B" w:rsidRDefault="00D93BCE" w:rsidP="00D93BCE">
      <w:pPr>
        <w:spacing w:after="161" w:line="240" w:lineRule="auto"/>
        <w:jc w:val="both"/>
        <w:outlineLvl w:val="0"/>
        <w:rPr>
          <w:rFonts w:ascii="Times New Roman" w:eastAsia="Times New Roman" w:hAnsi="Times New Roman" w:cs="Times New Roman"/>
          <w:b/>
          <w:bCs/>
          <w:kern w:val="36"/>
          <w:sz w:val="24"/>
          <w:szCs w:val="24"/>
          <w:lang w:eastAsia="es-ES"/>
        </w:rPr>
      </w:pPr>
      <w:r w:rsidRPr="00F2605B">
        <w:rPr>
          <w:rFonts w:ascii="Times New Roman" w:eastAsia="Times New Roman" w:hAnsi="Times New Roman" w:cs="Times New Roman"/>
          <w:b/>
          <w:bCs/>
          <w:kern w:val="36"/>
          <w:sz w:val="24"/>
          <w:szCs w:val="24"/>
          <w:lang w:eastAsia="es-ES"/>
        </w:rPr>
        <w:lastRenderedPageBreak/>
        <w:t>Apéndice A: Descripciones de riesgos globales 2022</w:t>
      </w:r>
    </w:p>
    <w:p w:rsidR="00D93BCE" w:rsidRPr="00F2605B" w:rsidRDefault="00D93BCE" w:rsidP="00D93BCE">
      <w:pPr>
        <w:spacing w:before="100" w:beforeAutospacing="1" w:after="100" w:afterAutospacing="1" w:line="240" w:lineRule="auto"/>
        <w:jc w:val="both"/>
        <w:outlineLvl w:val="2"/>
        <w:rPr>
          <w:rFonts w:ascii="Times New Roman" w:eastAsia="Times New Roman" w:hAnsi="Times New Roman" w:cs="Times New Roman"/>
          <w:b/>
          <w:bCs/>
          <w:sz w:val="24"/>
          <w:szCs w:val="24"/>
          <w:lang w:eastAsia="es-ES"/>
        </w:rPr>
      </w:pPr>
      <w:r w:rsidRPr="00F2605B">
        <w:rPr>
          <w:rFonts w:ascii="Times New Roman" w:eastAsia="Times New Roman" w:hAnsi="Times New Roman" w:cs="Times New Roman"/>
          <w:b/>
          <w:bCs/>
          <w:sz w:val="24"/>
          <w:szCs w:val="24"/>
          <w:lang w:eastAsia="es-ES"/>
        </w:rPr>
        <w:t>Riesgos Globales</w:t>
      </w:r>
    </w:p>
    <w:p w:rsidR="00D93BCE" w:rsidRPr="00DE7D52" w:rsidRDefault="00D93BCE" w:rsidP="00D93BCE">
      <w:pPr>
        <w:spacing w:after="100" w:afterAutospacing="1" w:line="240" w:lineRule="auto"/>
        <w:jc w:val="both"/>
        <w:rPr>
          <w:rFonts w:ascii="Times New Roman" w:eastAsia="Times New Roman" w:hAnsi="Times New Roman" w:cs="Times New Roman"/>
          <w:color w:val="FF0000"/>
          <w:sz w:val="24"/>
          <w:szCs w:val="24"/>
          <w:u w:val="single"/>
          <w:lang w:eastAsia="es-ES"/>
        </w:rPr>
      </w:pPr>
      <w:r w:rsidRPr="00DE7D52">
        <w:rPr>
          <w:rFonts w:ascii="Times New Roman" w:eastAsia="Times New Roman" w:hAnsi="Times New Roman" w:cs="Times New Roman"/>
          <w:color w:val="FF0000"/>
          <w:sz w:val="24"/>
          <w:szCs w:val="24"/>
          <w:u w:val="single"/>
          <w:lang w:eastAsia="es-ES"/>
        </w:rPr>
        <w:t>Un “riesgo global” es la posibilidad de que ocurra un evento o condición que, de ocurrir, podría causar un impacto negativo significativo para varios países o industrias. Para efectos de este informe, el alcance es durante los próximos 10 años.</w:t>
      </w: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Para garantizar la legibilidad, los nombres de los riesgos globales se han abreviado en las figuras. La parte del nombre completo utilizada en la abreviatura está en negrita.</w:t>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drawing>
          <wp:inline distT="0" distB="0" distL="0" distR="0" wp14:anchorId="576F7417" wp14:editId="69C57FB4">
            <wp:extent cx="5734050" cy="6750050"/>
            <wp:effectExtent l="0" t="0" r="0" b="0"/>
            <wp:docPr id="32" name="Imagen 32" descr="Descripciones de riesgos globales (1) - Informe de riesgos globales 2022">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cripciones de riesgos globales (1) - Informe de riesgos globales 2022">
                      <a:hlinkClick r:id="rId119"/>
                    </pic:cNvPr>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34050" cy="675005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58C10510" wp14:editId="7FEC2D7F">
            <wp:extent cx="5816600" cy="8845550"/>
            <wp:effectExtent l="0" t="0" r="0" b="0"/>
            <wp:docPr id="31" name="Imagen 31" descr="Descripciones de riesgos globales (2) - Informe de riesgos globales 2022">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ciones de riesgos globales (2) - Informe de riesgos globales 2022">
                      <a:hlinkClick r:id="rId119"/>
                    </pic:cNvPr>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816600" cy="884555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229A568D" wp14:editId="15F72AFA">
            <wp:extent cx="5886450" cy="3702050"/>
            <wp:effectExtent l="0" t="0" r="0" b="0"/>
            <wp:docPr id="30" name="Imagen 30" descr="Descripciones de riesgos globales (3) - Informe de riesgos globales 2022">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pciones de riesgos globales (3) - Informe de riesgos globales 2022">
                      <a:hlinkClick r:id="rId119"/>
                    </pic:cNvPr>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886450" cy="3702050"/>
                    </a:xfrm>
                    <a:prstGeom prst="rect">
                      <a:avLst/>
                    </a:prstGeom>
                    <a:noFill/>
                    <a:ln>
                      <a:noFill/>
                    </a:ln>
                  </pic:spPr>
                </pic:pic>
              </a:graphicData>
            </a:graphic>
          </wp:inline>
        </w:drawing>
      </w:r>
    </w:p>
    <w:p w:rsidR="00D93BCE" w:rsidRPr="00F2605B" w:rsidRDefault="00D93BCE" w:rsidP="00D93BCE">
      <w:pPr>
        <w:spacing w:after="161" w:line="240" w:lineRule="auto"/>
        <w:jc w:val="both"/>
        <w:outlineLvl w:val="0"/>
        <w:rPr>
          <w:rFonts w:ascii="Times New Roman" w:eastAsia="Times New Roman" w:hAnsi="Times New Roman" w:cs="Times New Roman"/>
          <w:b/>
          <w:bCs/>
          <w:kern w:val="36"/>
          <w:sz w:val="24"/>
          <w:szCs w:val="24"/>
          <w:lang w:eastAsia="es-ES"/>
        </w:rPr>
      </w:pPr>
      <w:r w:rsidRPr="00F2605B">
        <w:rPr>
          <w:rFonts w:ascii="Times New Roman" w:eastAsia="Times New Roman" w:hAnsi="Times New Roman" w:cs="Times New Roman"/>
          <w:b/>
          <w:bCs/>
          <w:kern w:val="36"/>
          <w:sz w:val="24"/>
          <w:szCs w:val="24"/>
          <w:lang w:eastAsia="es-ES"/>
        </w:rPr>
        <w:t>Apéndice B: Encuesta de Opinión Ejecutiva: Percepciones Nacionales de Riesgo</w:t>
      </w:r>
    </w:p>
    <w:p w:rsidR="00D93BCE" w:rsidRPr="00F2605B" w:rsidRDefault="00D93BCE" w:rsidP="00D93BCE">
      <w:pPr>
        <w:spacing w:after="100" w:afterAutospacing="1" w:line="240" w:lineRule="auto"/>
        <w:jc w:val="both"/>
        <w:rPr>
          <w:rFonts w:ascii="Times New Roman" w:eastAsia="Times New Roman" w:hAnsi="Times New Roman" w:cs="Times New Roman"/>
          <w:sz w:val="24"/>
          <w:szCs w:val="24"/>
          <w:lang w:eastAsia="es-ES"/>
        </w:rPr>
      </w:pPr>
      <w:r w:rsidRPr="00AB345E">
        <w:rPr>
          <w:rFonts w:ascii="Times New Roman" w:eastAsia="Times New Roman" w:hAnsi="Times New Roman" w:cs="Times New Roman"/>
          <w:color w:val="FF0000"/>
          <w:sz w:val="24"/>
          <w:szCs w:val="24"/>
          <w:u w:val="single"/>
          <w:lang w:eastAsia="es-ES"/>
        </w:rPr>
        <w:t>La Tabla B.1 presenta los cinco riesgos principales para cada una de las 124 economías encuestadas por la Encuesta de Opinión Ejecutiva (EOS) del Foro Económico Mundial entre mayo y septiembre de 2021</w:t>
      </w:r>
      <w:r w:rsidR="008E5798">
        <w:rPr>
          <w:rFonts w:ascii="Times New Roman" w:eastAsia="Times New Roman" w:hAnsi="Times New Roman" w:cs="Times New Roman"/>
          <w:sz w:val="24"/>
          <w:szCs w:val="24"/>
          <w:lang w:eastAsia="es-ES"/>
        </w:rPr>
        <w:t>. Más de 12.</w:t>
      </w:r>
      <w:r w:rsidRPr="00F2605B">
        <w:rPr>
          <w:rFonts w:ascii="Times New Roman" w:eastAsia="Times New Roman" w:hAnsi="Times New Roman" w:cs="Times New Roman"/>
          <w:sz w:val="24"/>
          <w:szCs w:val="24"/>
          <w:lang w:eastAsia="es-ES"/>
        </w:rPr>
        <w:t>000 líderes respondieron la siguiente pregunta: “¿Qué cinco riesgos re</w:t>
      </w:r>
      <w:r>
        <w:rPr>
          <w:rFonts w:ascii="Times New Roman" w:eastAsia="Times New Roman" w:hAnsi="Times New Roman" w:cs="Times New Roman"/>
          <w:sz w:val="24"/>
          <w:szCs w:val="24"/>
          <w:lang w:eastAsia="es-ES"/>
        </w:rPr>
        <w:t>presentarán una amenaza crítica</w:t>
      </w:r>
      <w:r w:rsidRPr="00F2605B">
        <w:rPr>
          <w:rFonts w:ascii="Times New Roman" w:eastAsia="Times New Roman" w:hAnsi="Times New Roman" w:cs="Times New Roman"/>
          <w:sz w:val="24"/>
          <w:szCs w:val="24"/>
          <w:lang w:eastAsia="es-ES"/>
        </w:rPr>
        <w:t xml:space="preserve"> a su país en los próximos dos años?” y se les pidió que los seleccionaran de una lista de 35 riesgos, sin ningún orden en particular. El “Riesgo 1” indica el riesgo seleccionado con mayor frecuencia en cada economía. En caso de empate, los riesgos empatados se presentan alfabéticamente en la misma celda, separados por una línea de puntos (“---”) y la siguiente celda de la fila contiene puntos suspensivos (“...”). Por eje</w:t>
      </w:r>
      <w:r>
        <w:rPr>
          <w:rFonts w:ascii="Times New Roman" w:eastAsia="Times New Roman" w:hAnsi="Times New Roman" w:cs="Times New Roman"/>
          <w:sz w:val="24"/>
          <w:szCs w:val="24"/>
          <w:lang w:eastAsia="es-ES"/>
        </w:rPr>
        <w:t>mplo, en Armenia, dos riesgos (“</w:t>
      </w:r>
      <w:r w:rsidRPr="00F2605B">
        <w:rPr>
          <w:rFonts w:ascii="Times New Roman" w:eastAsia="Times New Roman" w:hAnsi="Times New Roman" w:cs="Times New Roman"/>
          <w:sz w:val="24"/>
          <w:szCs w:val="24"/>
          <w:lang w:eastAsia="es-ES"/>
        </w:rPr>
        <w:t xml:space="preserve">daño </w:t>
      </w:r>
      <w:r>
        <w:rPr>
          <w:rFonts w:ascii="Times New Roman" w:eastAsia="Times New Roman" w:hAnsi="Times New Roman" w:cs="Times New Roman"/>
          <w:sz w:val="24"/>
          <w:szCs w:val="24"/>
          <w:lang w:eastAsia="es-ES"/>
        </w:rPr>
        <w:t>ambiental causado por el hombre” y “</w:t>
      </w:r>
      <w:r w:rsidRPr="00F2605B">
        <w:rPr>
          <w:rFonts w:ascii="Times New Roman" w:eastAsia="Times New Roman" w:hAnsi="Times New Roman" w:cs="Times New Roman"/>
          <w:sz w:val="24"/>
          <w:szCs w:val="24"/>
          <w:lang w:eastAsia="es-ES"/>
        </w:rPr>
        <w:t>migra</w:t>
      </w:r>
      <w:r>
        <w:rPr>
          <w:rFonts w:ascii="Times New Roman" w:eastAsia="Times New Roman" w:hAnsi="Times New Roman" w:cs="Times New Roman"/>
          <w:sz w:val="24"/>
          <w:szCs w:val="24"/>
          <w:lang w:eastAsia="es-ES"/>
        </w:rPr>
        <w:t>ción involuntaria a gran escala”</w:t>
      </w:r>
      <w:r w:rsidRPr="00F2605B">
        <w:rPr>
          <w:rFonts w:ascii="Times New Roman" w:eastAsia="Times New Roman" w:hAnsi="Times New Roman" w:cs="Times New Roman"/>
          <w:sz w:val="24"/>
          <w:szCs w:val="24"/>
          <w:lang w:eastAsia="es-ES"/>
        </w:rPr>
        <w:t>) están empatados en el tercer lugar y, por lo tanto, no hay ningún riesgo en el cuarto lugar.</w:t>
      </w:r>
    </w:p>
    <w:p w:rsidR="00D93BCE"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sz w:val="24"/>
          <w:szCs w:val="24"/>
          <w:lang w:eastAsia="es-ES"/>
        </w:rPr>
        <w:t>La pregunta planteada a los encuestados de EOS es comparable a la siguiente pregunta formul</w:t>
      </w:r>
      <w:r>
        <w:rPr>
          <w:rFonts w:ascii="Times New Roman" w:eastAsia="Times New Roman" w:hAnsi="Times New Roman" w:cs="Times New Roman"/>
          <w:sz w:val="24"/>
          <w:szCs w:val="24"/>
          <w:lang w:eastAsia="es-ES"/>
        </w:rPr>
        <w:t>ada a los encuestados de GRPS: “</w:t>
      </w:r>
      <w:r w:rsidRPr="00F2605B">
        <w:rPr>
          <w:rFonts w:ascii="Times New Roman" w:eastAsia="Times New Roman" w:hAnsi="Times New Roman" w:cs="Times New Roman"/>
          <w:sz w:val="24"/>
          <w:szCs w:val="24"/>
          <w:lang w:eastAsia="es-ES"/>
        </w:rPr>
        <w:t>Identifique sus cinco principales ri</w:t>
      </w:r>
      <w:r>
        <w:rPr>
          <w:rFonts w:ascii="Times New Roman" w:eastAsia="Times New Roman" w:hAnsi="Times New Roman" w:cs="Times New Roman"/>
          <w:sz w:val="24"/>
          <w:szCs w:val="24"/>
          <w:lang w:eastAsia="es-ES"/>
        </w:rPr>
        <w:t>esgos globales de preocupación (</w:t>
      </w:r>
      <w:r w:rsidRPr="00F2605B">
        <w:rPr>
          <w:rFonts w:ascii="Times New Roman" w:eastAsia="Times New Roman" w:hAnsi="Times New Roman" w:cs="Times New Roman"/>
          <w:sz w:val="24"/>
          <w:szCs w:val="24"/>
          <w:lang w:eastAsia="es-ES"/>
        </w:rPr>
        <w:t>que se convertirán en un</w:t>
      </w:r>
      <w:r>
        <w:rPr>
          <w:rFonts w:ascii="Times New Roman" w:eastAsia="Times New Roman" w:hAnsi="Times New Roman" w:cs="Times New Roman"/>
          <w:sz w:val="24"/>
          <w:szCs w:val="24"/>
          <w:lang w:eastAsia="es-ES"/>
        </w:rPr>
        <w:t>a amenaza crítica para el mundo) en los próximos 0 a 2 años”</w:t>
      </w:r>
      <w:r w:rsidRPr="00F2605B">
        <w:rPr>
          <w:rFonts w:ascii="Times New Roman" w:eastAsia="Times New Roman" w:hAnsi="Times New Roman" w:cs="Times New Roman"/>
          <w:sz w:val="24"/>
          <w:szCs w:val="24"/>
          <w:lang w:eastAsia="es-ES"/>
        </w:rPr>
        <w:t>. La lista de 35 riesgos para seleccionar en la EOS también es comparable a la lista de riesgos en la Encuesta de percepción de riesgos globales (GRPS), excepto por dos nuevos riesgos que se agregaron a la GRPS des</w:t>
      </w:r>
      <w:r>
        <w:rPr>
          <w:rFonts w:ascii="Times New Roman" w:eastAsia="Times New Roman" w:hAnsi="Times New Roman" w:cs="Times New Roman"/>
          <w:sz w:val="24"/>
          <w:szCs w:val="24"/>
          <w:lang w:eastAsia="es-ES"/>
        </w:rPr>
        <w:t>pués de que se realizó la EOS: “confrontaciones geoeconómicas”</w:t>
      </w:r>
      <w:r w:rsidRPr="00F2605B">
        <w:rPr>
          <w:rFonts w:ascii="Times New Roman" w:eastAsia="Times New Roman" w:hAnsi="Times New Roman" w:cs="Times New Roman"/>
          <w:sz w:val="24"/>
          <w:szCs w:val="24"/>
          <w:lang w:eastAsia="es-ES"/>
        </w:rPr>
        <w:t xml:space="preserve">. y “daños a la salud humana provocados por la contaminación”, y un riesgo que cambió el nombre de “geopolitización de recursos estratégicos” en la EOS a “controversia geopolítica de los recursos estratégicos” en la GRPS (consulte el Apéndice C, Notas técnicas de la Encuesta de </w:t>
      </w:r>
      <w:r>
        <w:rPr>
          <w:rFonts w:ascii="Times New Roman" w:eastAsia="Times New Roman" w:hAnsi="Times New Roman" w:cs="Times New Roman"/>
          <w:sz w:val="24"/>
          <w:szCs w:val="24"/>
          <w:lang w:eastAsia="es-ES"/>
        </w:rPr>
        <w:t>percepción de riesgos globales)</w:t>
      </w:r>
      <w:r w:rsidRPr="00F2605B">
        <w:rPr>
          <w:rFonts w:ascii="Times New Roman" w:eastAsia="Times New Roman" w:hAnsi="Times New Roman" w:cs="Times New Roman"/>
          <w:sz w:val="24"/>
          <w:szCs w:val="24"/>
          <w:lang w:eastAsia="es-ES"/>
        </w:rPr>
        <w:t>.</w:t>
      </w:r>
    </w:p>
    <w:p w:rsidR="00D93BCE"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93BCE" w:rsidRPr="00F2605B" w:rsidRDefault="00D93BCE" w:rsidP="00D93BCE">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463884CC" wp14:editId="014B66FF">
            <wp:extent cx="5480050" cy="3429000"/>
            <wp:effectExtent l="0" t="0" r="6350" b="0"/>
            <wp:docPr id="45" name="Imagen 45" descr="Los 5 principales riesgos identificados por la Encuesta de Opinión Ejecutiva (1)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Los 5 principales riesgos identificados por la Encuesta de Opinión Ejecutiva (1) - Informe de Riesgos Globales 2022">
                      <a:hlinkClick r:id="rId123"/>
                    </pic:cNvPr>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80050" cy="342900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drawing>
          <wp:inline distT="0" distB="0" distL="0" distR="0" wp14:anchorId="44BAF2CB" wp14:editId="53012B64">
            <wp:extent cx="5480050" cy="5276850"/>
            <wp:effectExtent l="0" t="0" r="6350" b="0"/>
            <wp:docPr id="44" name="Imagen 44" descr="Los 5 principales riesgos identificados por la Encuesta de Opinión Ejecutiva (2)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Los 5 principales riesgos identificados por la Encuesta de Opinión Ejecutiva (2) - Informe de Riesgos Globales 2022">
                      <a:hlinkClick r:id="rId123"/>
                    </pic:cNvPr>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80050" cy="527685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6EEA71DE" wp14:editId="331F49FC">
            <wp:extent cx="5518150" cy="7880350"/>
            <wp:effectExtent l="0" t="0" r="6350" b="6350"/>
            <wp:docPr id="43" name="Imagen 43" descr="Los 5 principales riesgos identificados por la Encuesta de Opinión Ejecutiva (3)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Los 5 principales riesgos identificados por la Encuesta de Opinión Ejecutiva (3) - Informe de Riesgos Globales 2022">
                      <a:hlinkClick r:id="rId123"/>
                    </pic:cNvP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18150" cy="788035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52661798" wp14:editId="31A41443">
            <wp:extent cx="5765800" cy="7505700"/>
            <wp:effectExtent l="0" t="0" r="6350" b="0"/>
            <wp:docPr id="42" name="Imagen 42" descr="Los 5 principales riesgos identificados por la Encuesta de Opinión Ejecutiva (4)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Los 5 principales riesgos identificados por la Encuesta de Opinión Ejecutiva (4) - Informe de Riesgos Globales 2022">
                      <a:hlinkClick r:id="rId123"/>
                    </pic:cNvP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65800" cy="750570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7EAA1358" wp14:editId="5DB52255">
            <wp:extent cx="5784850" cy="7366000"/>
            <wp:effectExtent l="0" t="0" r="6350" b="6350"/>
            <wp:docPr id="41" name="Imagen 41" descr="Los 5 principales riesgos identificados por la Encuesta de Opinión Ejecutiva (5)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Los 5 principales riesgos identificados por la Encuesta de Opinión Ejecutiva (5) - Informe de Riesgos Globales 2022">
                      <a:hlinkClick r:id="rId123"/>
                    </pic:cNvPr>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84850" cy="736600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08F31164" wp14:editId="6FEEDC20">
            <wp:extent cx="5619750" cy="7848600"/>
            <wp:effectExtent l="0" t="0" r="0" b="0"/>
            <wp:docPr id="40" name="Imagen 40" descr="Los 5 principales riesgos identificados por la Encuesta de Opinión Ejecutiva (6)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Los 5 principales riesgos identificados por la Encuesta de Opinión Ejecutiva (6) - Informe de Riesgos Globales 2022">
                      <a:hlinkClick r:id="rId123"/>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619750" cy="784860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397FBDAC" wp14:editId="749C47AC">
            <wp:extent cx="5613400" cy="7435850"/>
            <wp:effectExtent l="0" t="0" r="6350" b="0"/>
            <wp:docPr id="39" name="Imagen 39" descr="Los 5 principales riesgos identificados por la Encuesta de Opinión Ejecutiva (7)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Los 5 principales riesgos identificados por la Encuesta de Opinión Ejecutiva (7) - Informe de Riesgos Globales 2022">
                      <a:hlinkClick r:id="rId123"/>
                    </pic:cNvPr>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613400" cy="743585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2A7689AC" wp14:editId="208C4C73">
            <wp:extent cx="5645150" cy="7461250"/>
            <wp:effectExtent l="0" t="0" r="0" b="6350"/>
            <wp:docPr id="38" name="Imagen 38" descr="Los 5 principales riesgos identificados por la Encuesta de Opinión Ejecutiva (8)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Los 5 principales riesgos identificados por la Encuesta de Opinión Ejecutiva (8) - Informe de Riesgos Globales 2022">
                      <a:hlinkClick r:id="rId123"/>
                    </pic:cNvP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45150" cy="746125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415D9DC3" wp14:editId="3F7A0E58">
            <wp:extent cx="5683250" cy="8210550"/>
            <wp:effectExtent l="0" t="0" r="0" b="0"/>
            <wp:docPr id="37" name="Imagen 37" descr="Los 5 principales riesgos identificados por la Encuesta de Opinión Ejecutiva (9)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Los 5 principales riesgos identificados por la Encuesta de Opinión Ejecutiva (9) - Informe de Riesgos Globales 2022">
                      <a:hlinkClick r:id="rId123"/>
                    </pic:cNvPr>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683250" cy="821055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48850AE7" wp14:editId="33001DF4">
            <wp:extent cx="5594350" cy="7874000"/>
            <wp:effectExtent l="0" t="0" r="6350" b="0"/>
            <wp:docPr id="36" name="Imagen 36" descr="Los 5 principales riesgos identificados por la Encuesta de Opinión Ejecutiva (10)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Los 5 principales riesgos identificados por la Encuesta de Opinión Ejecutiva (10) - Informe de Riesgos Globales 2022">
                      <a:hlinkClick r:id="rId123"/>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94350" cy="787400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2689F1E8" wp14:editId="15122A13">
            <wp:extent cx="5670550" cy="6165850"/>
            <wp:effectExtent l="0" t="0" r="6350" b="6350"/>
            <wp:docPr id="35" name="Imagen 35" descr="Los 5 principales riesgos identificados por la Encuesta de Opinión Ejecutiva (11)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Los 5 principales riesgos identificados por la Encuesta de Opinión Ejecutiva (11) - Informe de Riesgos Globales 2022">
                      <a:hlinkClick r:id="rId123"/>
                    </pic:cNvPr>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670550" cy="616585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74E4D7BE" wp14:editId="0A3580BF">
            <wp:extent cx="5645150" cy="6356350"/>
            <wp:effectExtent l="0" t="0" r="0" b="6350"/>
            <wp:docPr id="34" name="Imagen 34" descr="Los 5 principales riesgos identificados por la Encuesta de Opinión Ejecutiva (12)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Los 5 principales riesgos identificados por la Encuesta de Opinión Ejecutiva (12) - Informe de Riesgos Globales 2022">
                      <a:hlinkClick r:id="rId123"/>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645150" cy="6356350"/>
                    </a:xfrm>
                    <a:prstGeom prst="rect">
                      <a:avLst/>
                    </a:prstGeom>
                    <a:noFill/>
                    <a:ln>
                      <a:noFill/>
                    </a:ln>
                  </pic:spPr>
                </pic:pic>
              </a:graphicData>
            </a:graphic>
          </wp:inline>
        </w:drawing>
      </w:r>
    </w:p>
    <w:p w:rsidR="00D93BCE" w:rsidRPr="00F2605B" w:rsidRDefault="00D93BCE" w:rsidP="00D93BCE">
      <w:pPr>
        <w:spacing w:after="0" w:line="240" w:lineRule="auto"/>
        <w:jc w:val="both"/>
        <w:rPr>
          <w:rFonts w:ascii="Times New Roman" w:eastAsia="Times New Roman" w:hAnsi="Times New Roman" w:cs="Times New Roman"/>
          <w:sz w:val="24"/>
          <w:szCs w:val="24"/>
          <w:lang w:eastAsia="es-ES"/>
        </w:rPr>
      </w:pPr>
      <w:r w:rsidRPr="00F2605B">
        <w:rPr>
          <w:rFonts w:ascii="Times New Roman" w:eastAsia="Times New Roman" w:hAnsi="Times New Roman" w:cs="Times New Roman"/>
          <w:noProof/>
          <w:sz w:val="24"/>
          <w:szCs w:val="24"/>
          <w:lang w:eastAsia="es-ES"/>
        </w:rPr>
        <w:lastRenderedPageBreak/>
        <w:drawing>
          <wp:inline distT="0" distB="0" distL="0" distR="0" wp14:anchorId="4198E871" wp14:editId="221A14B7">
            <wp:extent cx="5835650" cy="6540500"/>
            <wp:effectExtent l="0" t="0" r="0" b="0"/>
            <wp:docPr id="33" name="Imagen 33" descr="Los 5 principales riesgos identificados por la Encuesta de Opinión Ejecutiva (13) - Informe de Riesgos Globales 202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Los 5 principales riesgos identificados por la Encuesta de Opinión Ejecutiva (13) - Informe de Riesgos Globales 2022">
                      <a:hlinkClick r:id="rId123"/>
                    </pic:cNvPr>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35650" cy="6540500"/>
                    </a:xfrm>
                    <a:prstGeom prst="rect">
                      <a:avLst/>
                    </a:prstGeom>
                    <a:noFill/>
                    <a:ln>
                      <a:noFill/>
                    </a:ln>
                  </pic:spPr>
                </pic:pic>
              </a:graphicData>
            </a:graphic>
          </wp:inline>
        </w:drawing>
      </w:r>
    </w:p>
    <w:p w:rsidR="00D93BCE" w:rsidRPr="00F2605B" w:rsidRDefault="00D93BCE" w:rsidP="00D93BCE">
      <w:pPr>
        <w:spacing w:line="240" w:lineRule="auto"/>
        <w:jc w:val="both"/>
        <w:rPr>
          <w:rFonts w:ascii="Times New Roman" w:hAnsi="Times New Roman" w:cs="Times New Roman"/>
          <w:sz w:val="24"/>
          <w:szCs w:val="24"/>
        </w:rPr>
      </w:pPr>
    </w:p>
    <w:p w:rsidR="002A0373" w:rsidRDefault="002A0373" w:rsidP="002A0373">
      <w:pPr>
        <w:spacing w:before="100" w:beforeAutospacing="1" w:after="100" w:afterAutospacing="1" w:line="240" w:lineRule="auto"/>
        <w:jc w:val="both"/>
        <w:rPr>
          <w:rFonts w:ascii="Times New Roman" w:hAnsi="Times New Roman" w:cs="Times New Roman"/>
          <w:b/>
          <w:color w:val="FF0000"/>
          <w:sz w:val="24"/>
          <w:szCs w:val="24"/>
        </w:rPr>
      </w:pPr>
    </w:p>
    <w:p w:rsidR="002A0373" w:rsidRDefault="002A0373" w:rsidP="002A0373">
      <w:pPr>
        <w:spacing w:before="100" w:beforeAutospacing="1" w:after="100" w:afterAutospacing="1" w:line="240" w:lineRule="auto"/>
        <w:jc w:val="both"/>
        <w:rPr>
          <w:rFonts w:ascii="Times New Roman" w:hAnsi="Times New Roman" w:cs="Times New Roman"/>
          <w:b/>
          <w:color w:val="FF0000"/>
          <w:sz w:val="24"/>
          <w:szCs w:val="24"/>
        </w:rPr>
      </w:pPr>
    </w:p>
    <w:p w:rsidR="002A0373" w:rsidRDefault="002A0373" w:rsidP="002A0373">
      <w:pPr>
        <w:spacing w:before="100" w:beforeAutospacing="1" w:after="100" w:afterAutospacing="1" w:line="240" w:lineRule="auto"/>
        <w:jc w:val="both"/>
        <w:rPr>
          <w:rFonts w:ascii="Times New Roman" w:hAnsi="Times New Roman" w:cs="Times New Roman"/>
          <w:b/>
          <w:color w:val="FF0000"/>
          <w:sz w:val="24"/>
          <w:szCs w:val="24"/>
        </w:rPr>
      </w:pPr>
    </w:p>
    <w:p w:rsidR="002A0373" w:rsidRDefault="002A0373" w:rsidP="002A0373">
      <w:pPr>
        <w:spacing w:before="100" w:beforeAutospacing="1" w:after="100" w:afterAutospacing="1" w:line="240" w:lineRule="auto"/>
        <w:jc w:val="both"/>
        <w:rPr>
          <w:rFonts w:ascii="Times New Roman" w:hAnsi="Times New Roman" w:cs="Times New Roman"/>
          <w:b/>
          <w:color w:val="FF0000"/>
          <w:sz w:val="24"/>
          <w:szCs w:val="24"/>
        </w:rPr>
      </w:pPr>
    </w:p>
    <w:p w:rsidR="002A0373" w:rsidRDefault="002A0373" w:rsidP="002A0373">
      <w:pPr>
        <w:spacing w:before="100" w:beforeAutospacing="1" w:after="100" w:afterAutospacing="1" w:line="240" w:lineRule="auto"/>
        <w:jc w:val="both"/>
        <w:rPr>
          <w:rFonts w:ascii="Times New Roman" w:hAnsi="Times New Roman" w:cs="Times New Roman"/>
          <w:b/>
          <w:color w:val="FF0000"/>
          <w:sz w:val="24"/>
          <w:szCs w:val="24"/>
        </w:rPr>
      </w:pPr>
    </w:p>
    <w:p w:rsidR="002A0373" w:rsidRDefault="002A0373" w:rsidP="002A0373">
      <w:pPr>
        <w:spacing w:before="100" w:beforeAutospacing="1" w:after="100" w:afterAutospacing="1" w:line="240" w:lineRule="auto"/>
        <w:jc w:val="both"/>
        <w:rPr>
          <w:rFonts w:ascii="Times New Roman" w:hAnsi="Times New Roman" w:cs="Times New Roman"/>
          <w:b/>
          <w:color w:val="FF0000"/>
          <w:sz w:val="24"/>
          <w:szCs w:val="24"/>
        </w:rPr>
      </w:pPr>
    </w:p>
    <w:p w:rsidR="004B4A6B" w:rsidRPr="0064679C" w:rsidRDefault="00337A96" w:rsidP="0064679C">
      <w:pPr>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Lecturas recomendadas </w:t>
      </w:r>
      <w:r w:rsidR="008E5798">
        <w:rPr>
          <w:rFonts w:ascii="Times New Roman" w:hAnsi="Times New Roman" w:cs="Times New Roman"/>
          <w:b/>
          <w:sz w:val="24"/>
          <w:szCs w:val="24"/>
        </w:rPr>
        <w:t>(</w:t>
      </w:r>
      <w:r w:rsidR="009A28FF">
        <w:rPr>
          <w:rFonts w:ascii="Times New Roman" w:hAnsi="Times New Roman" w:cs="Times New Roman"/>
          <w:b/>
          <w:sz w:val="24"/>
          <w:szCs w:val="24"/>
        </w:rPr>
        <w:t>los gozos, y las sombras, del Gran Reseteo)</w:t>
      </w:r>
    </w:p>
    <w:p w:rsidR="002A0373" w:rsidRDefault="002A0373" w:rsidP="002A0373">
      <w:pPr>
        <w:spacing w:before="100" w:beforeAutospacing="1" w:after="100" w:afterAutospacing="1" w:line="240" w:lineRule="auto"/>
        <w:jc w:val="both"/>
        <w:rPr>
          <w:rFonts w:ascii="Times New Roman" w:hAnsi="Times New Roman" w:cs="Times New Roman"/>
          <w:b/>
          <w:color w:val="FF0000"/>
          <w:sz w:val="24"/>
          <w:szCs w:val="24"/>
        </w:rPr>
      </w:pPr>
      <w:r w:rsidRPr="00B5709B">
        <w:rPr>
          <w:rFonts w:ascii="Times New Roman" w:hAnsi="Times New Roman" w:cs="Times New Roman"/>
          <w:b/>
          <w:noProof/>
          <w:color w:val="FF0000"/>
          <w:sz w:val="24"/>
          <w:szCs w:val="24"/>
          <w:lang w:eastAsia="es-ES"/>
        </w:rPr>
        <w:drawing>
          <wp:inline distT="0" distB="0" distL="0" distR="0" wp14:anchorId="3D6D2B95" wp14:editId="202DD344">
            <wp:extent cx="5731510" cy="2545501"/>
            <wp:effectExtent l="0" t="0" r="2540" b="762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2545501"/>
                    </a:xfrm>
                    <a:prstGeom prst="rect">
                      <a:avLst/>
                    </a:prstGeom>
                  </pic:spPr>
                </pic:pic>
              </a:graphicData>
            </a:graphic>
          </wp:inline>
        </w:drawing>
      </w:r>
    </w:p>
    <w:p w:rsidR="00337A96" w:rsidRPr="0064679C" w:rsidRDefault="00CB32B0" w:rsidP="00337A96">
      <w:pPr>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Los </w:t>
      </w:r>
      <w:r w:rsidR="00337A96">
        <w:rPr>
          <w:rFonts w:ascii="Times New Roman" w:hAnsi="Times New Roman" w:cs="Times New Roman"/>
          <w:b/>
          <w:sz w:val="24"/>
          <w:szCs w:val="24"/>
        </w:rPr>
        <w:t>agra</w:t>
      </w:r>
      <w:r>
        <w:rPr>
          <w:rFonts w:ascii="Times New Roman" w:hAnsi="Times New Roman" w:cs="Times New Roman"/>
          <w:b/>
          <w:sz w:val="24"/>
          <w:szCs w:val="24"/>
        </w:rPr>
        <w:t>dadores</w:t>
      </w:r>
      <w:r w:rsidR="00337A96">
        <w:rPr>
          <w:rFonts w:ascii="Times New Roman" w:hAnsi="Times New Roman" w:cs="Times New Roman"/>
          <w:b/>
          <w:sz w:val="24"/>
          <w:szCs w:val="24"/>
        </w:rPr>
        <w:t xml:space="preserve"> de los “davosianos” (mezcla rara de </w:t>
      </w:r>
      <w:r w:rsidR="00337A96" w:rsidRPr="0064679C">
        <w:rPr>
          <w:rFonts w:ascii="Times New Roman" w:hAnsi="Times New Roman" w:cs="Times New Roman"/>
          <w:b/>
          <w:sz w:val="24"/>
          <w:szCs w:val="24"/>
        </w:rPr>
        <w:t>miedo, dogmatismo, y estolidez)</w:t>
      </w:r>
    </w:p>
    <w:p w:rsidR="0096151B" w:rsidRDefault="0096151B" w:rsidP="0096151B">
      <w:pPr>
        <w:pStyle w:val="NormalWeb"/>
        <w:shd w:val="clear" w:color="auto" w:fill="FFFFFF"/>
        <w:spacing w:after="300"/>
        <w:jc w:val="both"/>
      </w:pPr>
      <w:r>
        <w:t xml:space="preserve">- </w:t>
      </w:r>
      <w:r w:rsidRPr="002604E6">
        <w:rPr>
          <w:u w:val="single"/>
        </w:rPr>
        <w:t>Tres vías para el reinicio</w:t>
      </w:r>
      <w:r>
        <w:t xml:space="preserve"> (</w:t>
      </w:r>
      <w:r w:rsidRPr="002604E6">
        <w:rPr>
          <w:b/>
        </w:rPr>
        <w:t>9/7/20</w:t>
      </w:r>
      <w:r>
        <w:t>)</w:t>
      </w:r>
    </w:p>
    <w:p w:rsidR="0096151B" w:rsidRDefault="0096151B" w:rsidP="0096151B">
      <w:pPr>
        <w:pStyle w:val="NormalWeb"/>
        <w:shd w:val="clear" w:color="auto" w:fill="FFFFFF"/>
        <w:spacing w:after="300"/>
        <w:jc w:val="both"/>
      </w:pPr>
      <w:r>
        <w:t>En la carrera para luchar contra COVID-19 y reiniciar la economía, han surgido tres amplias estrategias.</w:t>
      </w:r>
    </w:p>
    <w:p w:rsidR="0096151B" w:rsidRPr="00203C23" w:rsidRDefault="0096151B" w:rsidP="0096151B">
      <w:pPr>
        <w:pStyle w:val="NormalWeb"/>
        <w:shd w:val="clear" w:color="auto" w:fill="FFFFFF"/>
        <w:spacing w:after="300"/>
        <w:jc w:val="both"/>
        <w:rPr>
          <w:lang w:val="en-US"/>
        </w:rPr>
      </w:pPr>
      <w:r w:rsidRPr="00203C23">
        <w:rPr>
          <w:lang w:val="en-US"/>
        </w:rPr>
        <w:t>Autores:</w:t>
      </w:r>
    </w:p>
    <w:p w:rsidR="0096151B" w:rsidRPr="002604E6" w:rsidRDefault="0096151B" w:rsidP="0096151B">
      <w:pPr>
        <w:pStyle w:val="NormalWeb"/>
        <w:shd w:val="clear" w:color="auto" w:fill="FFFFFF"/>
        <w:spacing w:after="300"/>
        <w:jc w:val="both"/>
        <w:rPr>
          <w:lang w:val="en-US"/>
        </w:rPr>
      </w:pPr>
      <w:r>
        <w:rPr>
          <w:lang w:val="en-US"/>
        </w:rPr>
        <w:t xml:space="preserve">Marin Gjaja - </w:t>
      </w:r>
      <w:r w:rsidRPr="002604E6">
        <w:rPr>
          <w:lang w:val="en-US"/>
        </w:rPr>
        <w:t>Managing Director and Senior Partner, BCG Global COVID-19 Response Leader, Boston Consulting Group</w:t>
      </w:r>
    </w:p>
    <w:p w:rsidR="0096151B" w:rsidRPr="002604E6" w:rsidRDefault="0096151B" w:rsidP="0096151B">
      <w:pPr>
        <w:pStyle w:val="NormalWeb"/>
        <w:shd w:val="clear" w:color="auto" w:fill="FFFFFF"/>
        <w:spacing w:after="300"/>
        <w:jc w:val="both"/>
        <w:rPr>
          <w:lang w:val="en-US"/>
        </w:rPr>
      </w:pPr>
      <w:r>
        <w:rPr>
          <w:lang w:val="en-US"/>
        </w:rPr>
        <w:t xml:space="preserve">Rich Hutchinson - </w:t>
      </w:r>
      <w:r w:rsidRPr="002604E6">
        <w:rPr>
          <w:lang w:val="en-US"/>
        </w:rPr>
        <w:t>Managing Director and Senior Partner, Social Impact Practice Leader, Boston Consulting Group</w:t>
      </w:r>
    </w:p>
    <w:p w:rsidR="0096151B" w:rsidRPr="002604E6" w:rsidRDefault="0096151B" w:rsidP="0096151B">
      <w:pPr>
        <w:pStyle w:val="NormalWeb"/>
        <w:shd w:val="clear" w:color="auto" w:fill="FFFFFF"/>
        <w:spacing w:after="300"/>
        <w:jc w:val="both"/>
        <w:rPr>
          <w:lang w:val="en-US"/>
        </w:rPr>
      </w:pPr>
      <w:r>
        <w:rPr>
          <w:lang w:val="en-US"/>
        </w:rPr>
        <w:t xml:space="preserve">Adam Farber - </w:t>
      </w:r>
      <w:r w:rsidRPr="002604E6">
        <w:rPr>
          <w:lang w:val="en-US"/>
        </w:rPr>
        <w:t>Managing Director and Senior Partner, Health Care Practice Leader, Boston Consulting Group</w:t>
      </w:r>
    </w:p>
    <w:p w:rsidR="0096151B" w:rsidRPr="002604E6" w:rsidRDefault="0096151B" w:rsidP="0096151B">
      <w:pPr>
        <w:pStyle w:val="NormalWeb"/>
        <w:shd w:val="clear" w:color="auto" w:fill="FFFFFF"/>
        <w:spacing w:after="300"/>
        <w:jc w:val="both"/>
        <w:rPr>
          <w:lang w:val="en-US"/>
        </w:rPr>
      </w:pPr>
      <w:r>
        <w:rPr>
          <w:lang w:val="en-US"/>
        </w:rPr>
        <w:t xml:space="preserve">Amanda Brimmer - </w:t>
      </w:r>
      <w:r w:rsidRPr="002604E6">
        <w:rPr>
          <w:lang w:val="en-US"/>
        </w:rPr>
        <w:t>Managing Director and Partner, Boston Consulting Group</w:t>
      </w:r>
    </w:p>
    <w:p w:rsidR="0096151B" w:rsidRPr="002604E6" w:rsidRDefault="0096151B" w:rsidP="0096151B">
      <w:pPr>
        <w:pStyle w:val="NormalWeb"/>
        <w:shd w:val="clear" w:color="auto" w:fill="FFFFFF"/>
        <w:spacing w:after="300"/>
        <w:jc w:val="both"/>
        <w:rPr>
          <w:lang w:val="en-US"/>
        </w:rPr>
      </w:pPr>
      <w:r>
        <w:rPr>
          <w:lang w:val="en-US"/>
        </w:rPr>
        <w:t xml:space="preserve">Dan Kahn - </w:t>
      </w:r>
      <w:r w:rsidRPr="002604E6">
        <w:rPr>
          <w:lang w:val="en-US"/>
        </w:rPr>
        <w:t>Principal, Boston Consulting Group</w:t>
      </w:r>
    </w:p>
    <w:p w:rsidR="0096151B" w:rsidRPr="002604E6" w:rsidRDefault="0096151B" w:rsidP="0096151B">
      <w:pPr>
        <w:pStyle w:val="NormalWeb"/>
        <w:shd w:val="clear" w:color="auto" w:fill="FFFFFF"/>
        <w:spacing w:after="300"/>
        <w:jc w:val="both"/>
        <w:rPr>
          <w:lang w:val="en-US"/>
        </w:rPr>
      </w:pPr>
      <w:r>
        <w:rPr>
          <w:lang w:val="en-US"/>
        </w:rPr>
        <w:t xml:space="preserve">Susanne Andreae - </w:t>
      </w:r>
      <w:r w:rsidRPr="002604E6">
        <w:rPr>
          <w:lang w:val="en-US"/>
        </w:rPr>
        <w:t>Head of Health and Healthcare Industry, World Economic Forum</w:t>
      </w:r>
    </w:p>
    <w:p w:rsidR="0096151B" w:rsidRDefault="0096151B" w:rsidP="0096151B">
      <w:pPr>
        <w:pStyle w:val="NormalWeb"/>
        <w:shd w:val="clear" w:color="auto" w:fill="FFFFFF"/>
        <w:spacing w:after="300"/>
        <w:jc w:val="both"/>
      </w:pPr>
      <w:r>
        <w:t>Han surgido tres estrategias generales para combatir el coronavirus y reactivar la economía, pero está claro que necesitamos un esfuerzo global coordinado que incluya el intercambio de datos y mejores prácticas.</w:t>
      </w:r>
    </w:p>
    <w:p w:rsidR="0096151B" w:rsidRDefault="0096151B" w:rsidP="0096151B">
      <w:pPr>
        <w:pStyle w:val="NormalWeb"/>
        <w:shd w:val="clear" w:color="auto" w:fill="FFFFFF"/>
        <w:spacing w:after="300"/>
        <w:jc w:val="both"/>
      </w:pPr>
      <w:r>
        <w:t>Un pequeño subgrupo de gobiernos, como Corea del Sur y Nueva Zelanda, actuaron rápidamente para aplastar y contener la propagación de la COVID-19.</w:t>
      </w:r>
    </w:p>
    <w:p w:rsidR="0096151B" w:rsidRDefault="0096151B" w:rsidP="0096151B">
      <w:pPr>
        <w:pStyle w:val="NormalWeb"/>
        <w:shd w:val="clear" w:color="auto" w:fill="FFFFFF"/>
        <w:spacing w:after="300"/>
        <w:jc w:val="both"/>
      </w:pPr>
      <w:r>
        <w:lastRenderedPageBreak/>
        <w:t>La mayoría de los países fueron incapaces de contener el brote inicial y sus medidas se dirigieron a aplanar la curva de contagios y luchar contra la enfermedad.</w:t>
      </w:r>
    </w:p>
    <w:p w:rsidR="0096151B" w:rsidRDefault="0096151B" w:rsidP="0096151B">
      <w:pPr>
        <w:pStyle w:val="NormalWeb"/>
        <w:shd w:val="clear" w:color="auto" w:fill="FFFFFF"/>
        <w:spacing w:after="300"/>
        <w:jc w:val="both"/>
      </w:pPr>
      <w:r>
        <w:t>Es demasiado pronto para sacar conclusiones sobre el modelo de sostenimiento y apoyo de Suecia.</w:t>
      </w:r>
    </w:p>
    <w:p w:rsidR="0096151B" w:rsidRDefault="0096151B" w:rsidP="0096151B">
      <w:pPr>
        <w:pStyle w:val="NormalWeb"/>
        <w:shd w:val="clear" w:color="auto" w:fill="FFFFFF"/>
        <w:spacing w:after="300"/>
        <w:jc w:val="both"/>
      </w:pPr>
      <w:r>
        <w:t>El mundo está en transición. La pandemia de COVID-19 está agotando los sistemas de asistencia sanitaria, la capacidad fiscal de los gobiernos y la capacidad de numerosas organizaciones para hacer frente a los cambios causados por el virus y la respuesta correspondiente.</w:t>
      </w:r>
    </w:p>
    <w:p w:rsidR="0096151B" w:rsidRPr="00DE1BDE" w:rsidRDefault="0096151B" w:rsidP="0096151B">
      <w:pPr>
        <w:pStyle w:val="NormalWeb"/>
        <w:shd w:val="clear" w:color="auto" w:fill="FFFFFF"/>
        <w:spacing w:after="300"/>
        <w:jc w:val="both"/>
        <w:rPr>
          <w:color w:val="FF0000"/>
          <w:u w:val="single"/>
        </w:rPr>
      </w:pPr>
      <w:r w:rsidRPr="00DE1BDE">
        <w:rPr>
          <w:color w:val="FF0000"/>
          <w:u w:val="single"/>
        </w:rPr>
        <w:t>El nivel de incertidumbre para la mayoría de líderes no tiene precedentes, y gran parte de los contextos para la planificación y la resolución de problemas no permite gestionar la variabilidad geográfica, la incertidumbre y el cambio exponencial provocado por la crisis.</w:t>
      </w:r>
    </w:p>
    <w:p w:rsidR="0096151B" w:rsidRDefault="0096151B" w:rsidP="0096151B">
      <w:pPr>
        <w:pStyle w:val="NormalWeb"/>
        <w:shd w:val="clear" w:color="auto" w:fill="FFFFFF"/>
        <w:spacing w:after="300"/>
        <w:jc w:val="both"/>
      </w:pPr>
      <w:r>
        <w:rPr>
          <w:noProof/>
        </w:rPr>
        <w:drawing>
          <wp:inline distT="0" distB="0" distL="0" distR="0" wp14:anchorId="58CC6314" wp14:editId="3401CB3C">
            <wp:extent cx="5731510" cy="3198183"/>
            <wp:effectExtent l="0" t="0" r="2540" b="2540"/>
            <wp:docPr id="51" name="Imagen 51" descr="Para derrotar a COVID-19, los líderes deben considerar variables como la geografía, la incertidumbre y el cambio exponencial que ha traído la cr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a derrotar a COVID-19, los líderes deben considerar variables como la geografía, la incertidumbre y el cambio exponencial que ha traído la crisis."/>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31510" cy="3198183"/>
                    </a:xfrm>
                    <a:prstGeom prst="rect">
                      <a:avLst/>
                    </a:prstGeom>
                    <a:noFill/>
                    <a:ln>
                      <a:noFill/>
                    </a:ln>
                  </pic:spPr>
                </pic:pic>
              </a:graphicData>
            </a:graphic>
          </wp:inline>
        </w:drawing>
      </w:r>
    </w:p>
    <w:p w:rsidR="0096151B" w:rsidRDefault="0096151B" w:rsidP="0096151B">
      <w:pPr>
        <w:pStyle w:val="NormalWeb"/>
        <w:shd w:val="clear" w:color="auto" w:fill="FFFFFF"/>
        <w:spacing w:after="300"/>
        <w:jc w:val="both"/>
      </w:pPr>
      <w:r>
        <w:t>Para derrotar a COVID-19, los líderes deben considerar variables como la geografía, la incertidumbre y el cambio exponencial que ha traído la crisis.</w:t>
      </w:r>
    </w:p>
    <w:p w:rsidR="0096151B" w:rsidRDefault="0096151B" w:rsidP="0096151B">
      <w:pPr>
        <w:pStyle w:val="NormalWeb"/>
        <w:shd w:val="clear" w:color="auto" w:fill="FFFFFF"/>
        <w:spacing w:after="300"/>
        <w:jc w:val="both"/>
      </w:pPr>
      <w:r>
        <w:t>Imagen: Boston Consulting Group</w:t>
      </w:r>
    </w:p>
    <w:p w:rsidR="0096151B" w:rsidRDefault="0096151B" w:rsidP="0096151B">
      <w:pPr>
        <w:pStyle w:val="NormalWeb"/>
        <w:shd w:val="clear" w:color="auto" w:fill="FFFFFF"/>
        <w:spacing w:after="300"/>
        <w:jc w:val="both"/>
      </w:pPr>
      <w:r>
        <w:t>Muchos países han aplanado -y, rara vez, casi eliminado- la curva de infecciones por coronavirus y han comenzado el trabajo precario de reanudar la actividad económica.</w:t>
      </w:r>
    </w:p>
    <w:p w:rsidR="0096151B" w:rsidRDefault="0096151B" w:rsidP="0096151B">
      <w:pPr>
        <w:pStyle w:val="NormalWeb"/>
        <w:shd w:val="clear" w:color="auto" w:fill="FFFFFF"/>
        <w:spacing w:after="300"/>
        <w:jc w:val="both"/>
      </w:pPr>
      <w:r>
        <w:t>Hasta la fecha han surgido tres estrategias generales para combatir el coronavirus y reactivar la economía, con diferentes enfoques para gestionar los compromisos entre resultados sanitarios y costes económicos y sociales. Son las siguientes:</w:t>
      </w:r>
    </w:p>
    <w:p w:rsidR="0096151B" w:rsidRDefault="0096151B" w:rsidP="0096151B">
      <w:pPr>
        <w:pStyle w:val="NormalWeb"/>
        <w:shd w:val="clear" w:color="auto" w:fill="FFFFFF"/>
        <w:spacing w:after="300"/>
        <w:jc w:val="both"/>
      </w:pPr>
      <w:r>
        <w:t>1. aplastamiento y contención</w:t>
      </w:r>
    </w:p>
    <w:p w:rsidR="0096151B" w:rsidRDefault="0096151B" w:rsidP="0096151B">
      <w:pPr>
        <w:pStyle w:val="NormalWeb"/>
        <w:shd w:val="clear" w:color="auto" w:fill="FFFFFF"/>
        <w:spacing w:after="300"/>
        <w:jc w:val="both"/>
      </w:pPr>
      <w:r>
        <w:t>2. aplanamiento y lucha</w:t>
      </w:r>
    </w:p>
    <w:p w:rsidR="0096151B" w:rsidRDefault="0096151B" w:rsidP="0096151B">
      <w:pPr>
        <w:pStyle w:val="NormalWeb"/>
        <w:shd w:val="clear" w:color="auto" w:fill="FFFFFF"/>
        <w:spacing w:after="300"/>
        <w:jc w:val="both"/>
      </w:pPr>
      <w:r>
        <w:lastRenderedPageBreak/>
        <w:t>3. sostenimiento y apoyo</w:t>
      </w:r>
    </w:p>
    <w:p w:rsidR="0096151B" w:rsidRDefault="0096151B" w:rsidP="0096151B">
      <w:pPr>
        <w:pStyle w:val="NormalWeb"/>
        <w:shd w:val="clear" w:color="auto" w:fill="FFFFFF"/>
        <w:spacing w:after="300"/>
        <w:jc w:val="both"/>
      </w:pPr>
      <w:r>
        <w:rPr>
          <w:noProof/>
        </w:rPr>
        <w:drawing>
          <wp:inline distT="0" distB="0" distL="0" distR="0" wp14:anchorId="43DE95E3" wp14:editId="4D28FE2E">
            <wp:extent cx="5731510" cy="3228222"/>
            <wp:effectExtent l="0" t="0" r="2540" b="0"/>
            <wp:docPr id="53" name="Imagen 53" descr="Hay tres amplias estrategias para combatir el coronavirus y reiniciar la econom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y tres amplias estrategias para combatir el coronavirus y reiniciar la economía."/>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31510" cy="3228222"/>
                    </a:xfrm>
                    <a:prstGeom prst="rect">
                      <a:avLst/>
                    </a:prstGeom>
                    <a:noFill/>
                    <a:ln>
                      <a:noFill/>
                    </a:ln>
                  </pic:spPr>
                </pic:pic>
              </a:graphicData>
            </a:graphic>
          </wp:inline>
        </w:drawing>
      </w:r>
    </w:p>
    <w:p w:rsidR="0096151B" w:rsidRDefault="0096151B" w:rsidP="0096151B">
      <w:pPr>
        <w:pStyle w:val="NormalWeb"/>
        <w:shd w:val="clear" w:color="auto" w:fill="FFFFFF"/>
        <w:spacing w:after="300"/>
        <w:jc w:val="both"/>
      </w:pPr>
      <w:r>
        <w:t>Hay tres amplias estrategias para combatir el coronavirus y reiniciar la economía.</w:t>
      </w:r>
    </w:p>
    <w:p w:rsidR="0096151B" w:rsidRDefault="0096151B" w:rsidP="0096151B">
      <w:pPr>
        <w:pStyle w:val="NormalWeb"/>
        <w:shd w:val="clear" w:color="auto" w:fill="FFFFFF"/>
        <w:spacing w:after="300"/>
        <w:jc w:val="both"/>
      </w:pPr>
      <w:r>
        <w:t>Imagen: Boston Consulting Group</w:t>
      </w:r>
    </w:p>
    <w:p w:rsidR="0096151B" w:rsidRDefault="0096151B" w:rsidP="0096151B">
      <w:pPr>
        <w:pStyle w:val="NormalWeb"/>
        <w:shd w:val="clear" w:color="auto" w:fill="FFFFFF"/>
        <w:spacing w:after="300"/>
        <w:jc w:val="both"/>
      </w:pPr>
      <w:r>
        <w:t>Aplastamiento y contención</w:t>
      </w:r>
    </w:p>
    <w:p w:rsidR="0096151B" w:rsidRDefault="0096151B" w:rsidP="0096151B">
      <w:pPr>
        <w:pStyle w:val="NormalWeb"/>
        <w:shd w:val="clear" w:color="auto" w:fill="FFFFFF"/>
        <w:spacing w:after="300"/>
        <w:jc w:val="both"/>
      </w:pPr>
      <w:r>
        <w:t>Un pequeño subgrupo de gobiernos actuó rápidamente para contener la propagación del coronavirus. En algunos casos, han eliminado prácticamente la transmisión local. Corea del Sur impuso restricciones rápidamente, implantó sistemas integrales de monitorización del virus y puso en cuarentena los focos de infección para evitar un confinamiento total. Nueva Zelanda cerró el país de manera anticipada y desplegó rápidamente la monitorización del virus para limitar la transmisión en la comunidad.</w:t>
      </w:r>
    </w:p>
    <w:p w:rsidR="0096151B" w:rsidRDefault="0096151B" w:rsidP="0096151B">
      <w:pPr>
        <w:pStyle w:val="NormalWeb"/>
        <w:shd w:val="clear" w:color="auto" w:fill="FFFFFF"/>
        <w:spacing w:after="300"/>
        <w:jc w:val="both"/>
      </w:pPr>
      <w:r>
        <w:t>La estrategia de aplastamiento y contención aún puede ser una opción para un número reducido de países. Costa Rica, por ejemplo, se declaró en estado de emergencia a finales de marzo y ha tenido menos de 20 casos nuevos al día desde principios de abril.</w:t>
      </w:r>
    </w:p>
    <w:p w:rsidR="0096151B" w:rsidRDefault="0096151B" w:rsidP="0096151B">
      <w:pPr>
        <w:pStyle w:val="NormalWeb"/>
        <w:shd w:val="clear" w:color="auto" w:fill="FFFFFF"/>
        <w:spacing w:after="300"/>
        <w:jc w:val="both"/>
      </w:pPr>
      <w:r>
        <w:t>Otros países que no pudieron contener por completo la propagación temprana comenzaron a migrar hacia una estrategia de aplastamiento y contención. En Israel, por ejemplo, a mediados de abril surgían en promedio cientos de casos nuevos al día. Después de aumentar considerablemente la capacidad de su sistema de monitorización del virus, la proporción de resultados de prueba positivos del país se redujo a menos del 1 % el 18 de mayo, mientras que su promedio de casos nuevos en siete días disminuyó hasta 20 (menos de 2,5 casos nuevos por 1 millón de personas).</w:t>
      </w:r>
    </w:p>
    <w:p w:rsidR="0096151B" w:rsidRDefault="0096151B" w:rsidP="0096151B">
      <w:pPr>
        <w:pStyle w:val="NormalWeb"/>
        <w:shd w:val="clear" w:color="auto" w:fill="FFFFFF"/>
        <w:spacing w:after="300"/>
        <w:jc w:val="both"/>
      </w:pPr>
      <w:r>
        <w:t>Estos gobiernos, que aplicaron la estrategia de aplastamiento y contención, ahora se centran en aplicar controles fronterizos estrictos y realizar pruebas en los principales puntos de entrada para mantener los casos nuevos en un mínimo absoluto. En efecto, el objetivo de cada gobierno es restaurar su economía dentro de una sociedad amurallada.</w:t>
      </w:r>
    </w:p>
    <w:p w:rsidR="0096151B" w:rsidRDefault="0096151B" w:rsidP="0096151B">
      <w:pPr>
        <w:pStyle w:val="NormalWeb"/>
        <w:shd w:val="clear" w:color="auto" w:fill="FFFFFF"/>
        <w:spacing w:after="300"/>
        <w:jc w:val="both"/>
      </w:pPr>
      <w:r>
        <w:lastRenderedPageBreak/>
        <w:t>Pero la estrategia de aplastamiento y contención aún plantea compromisos relacionados con el comercio internacional, los viajes y el turismo, que constituyen motores económicos importantes para muchos de estos gobiernos. Además, las autoridades públicas deben permanecer atentas a las nuevas oleadas de infección. A principios de mayo, Corea del Sur cerró bares y clubes nocturnos en Seúl tras descubrir 40 casos nuevos vinculados a un cliente. Y a mediados de mayo, tras un brote, China impuso el cierre de toda la ciudad de Shulan, que está cerca de la frontera rusa y donde viven unas 700.000 personas.</w:t>
      </w:r>
    </w:p>
    <w:p w:rsidR="0096151B" w:rsidRDefault="0096151B" w:rsidP="0096151B">
      <w:pPr>
        <w:pStyle w:val="NormalWeb"/>
        <w:shd w:val="clear" w:color="auto" w:fill="FFFFFF"/>
        <w:spacing w:after="300"/>
        <w:jc w:val="both"/>
      </w:pPr>
      <w:r>
        <w:t>Aplanamiento y lucha</w:t>
      </w:r>
    </w:p>
    <w:p w:rsidR="0096151B" w:rsidRDefault="0096151B" w:rsidP="0096151B">
      <w:pPr>
        <w:pStyle w:val="NormalWeb"/>
        <w:shd w:val="clear" w:color="auto" w:fill="FFFFFF"/>
        <w:spacing w:after="300"/>
        <w:jc w:val="both"/>
      </w:pPr>
      <w:r>
        <w:t>La mayoría de los países, gran parte de ellos de Europa, América del Sur y América del Norte, fueron incapaces de contener el brote inicial. En consecuencia, siguieron una estrategia general de aplanamiento y lucha. Ante el crecimiento exponencial de los casos, establecieron el distanciamiento social y los confinamientos para evitar una crisis de salud pública.</w:t>
      </w:r>
    </w:p>
    <w:p w:rsidR="0096151B" w:rsidRDefault="0096151B" w:rsidP="0096151B">
      <w:pPr>
        <w:pStyle w:val="NormalWeb"/>
        <w:shd w:val="clear" w:color="auto" w:fill="FFFFFF"/>
        <w:spacing w:after="300"/>
        <w:jc w:val="both"/>
      </w:pPr>
      <w:r>
        <w:t>El enfoque de aplanamiento y lucha es, por necesidad, prolongado e incierto. El objetivo es reanudar la economía por fases sin sobrecargar el sistema de asistencia sanitaria. Sin embargo, dado que el virus aún no ha sido aplastado, los gobiernos se enfrentan a un riesgo significativo de brotes futuros y a la necesidad de establecer cierres localizados. En efecto, estos países esperan equilibrar los ámbitos de la salud y la economía y desarrollar la capacidad de monitorización del virus</w:t>
      </w:r>
      <w:r w:rsidR="004B4A6B">
        <w:t>,</w:t>
      </w:r>
      <w:r>
        <w:t xml:space="preserve"> mientras esperan tratamientos y vacunas efectivos. Hasta ahora, solo algunos países, como Alemania, han creado con éxito las infraestructuras necesarias, y muchos mercados en desarrollo carecen de las infraestructuras sanitarias o de monitorización del virus, así como de los ingresos o la seguridad alimentaria necesarios para sobrevivir al coronavirus.</w:t>
      </w:r>
    </w:p>
    <w:p w:rsidR="0096151B" w:rsidRDefault="0096151B" w:rsidP="0096151B">
      <w:pPr>
        <w:pStyle w:val="NormalWeb"/>
        <w:shd w:val="clear" w:color="auto" w:fill="FFFFFF"/>
        <w:spacing w:after="300"/>
        <w:jc w:val="both"/>
      </w:pPr>
      <w:r>
        <w:t>Las estrategias de aplanamiento y lucha también son esencialmente caras. Los resultados sanitarios son una preocupación constante, mientras que el desempleo y la actividad económica se ven enormemente afectados. Los países que siguen la estrategia de aplanar y luchar deben desarrollar políticas a la medida de regiones, estados e incluso municipios específicos para minimizar los compromisos económicos y sanitarios; esto constituye una estrategia diferenciada que pondrá a prueba la resolución y los recursos de los gobiernos y la sociedad.</w:t>
      </w:r>
    </w:p>
    <w:p w:rsidR="0096151B" w:rsidRDefault="0096151B" w:rsidP="0096151B">
      <w:pPr>
        <w:pStyle w:val="NormalWeb"/>
        <w:shd w:val="clear" w:color="auto" w:fill="FFFFFF"/>
        <w:spacing w:after="300"/>
        <w:jc w:val="both"/>
      </w:pPr>
      <w:r>
        <w:t>Sostenimiento y apoyo</w:t>
      </w:r>
    </w:p>
    <w:p w:rsidR="0096151B" w:rsidRDefault="0096151B" w:rsidP="0096151B">
      <w:pPr>
        <w:pStyle w:val="NormalWeb"/>
        <w:shd w:val="clear" w:color="auto" w:fill="FFFFFF"/>
        <w:spacing w:after="300"/>
        <w:jc w:val="both"/>
      </w:pPr>
      <w:r>
        <w:t>La experiencia de Suecia sugiere un modelo alternativo: sostenimiento y apoyo. El enfoque sueco se basa en las restricciones selectivas y en gran medida voluntarias para proteger a los segmentos vulnerables de la población, como las personas de edad avanzada, mientras se mantiene abierta gran parte de la sociedad y la economía. El objetivo no es tanto limitar la transmisión en la comunidad, sino controlarla para desarrollar la inmunidad colectiva entre los jóvenes y las personas sanas.</w:t>
      </w:r>
    </w:p>
    <w:p w:rsidR="0096151B" w:rsidRDefault="0096151B" w:rsidP="0096151B">
      <w:pPr>
        <w:pStyle w:val="NormalWeb"/>
        <w:shd w:val="clear" w:color="auto" w:fill="FFFFFF"/>
        <w:spacing w:after="300"/>
        <w:jc w:val="both"/>
      </w:pPr>
      <w:r>
        <w:t>Es muy pronto para sacar conclusiones definitivas sobre este modelo. A principios de mayo, Suecia tenía de tres a siete veces más muertes per cápita que sus homólogos nórdicos, aunque es posible que esa disparidad desaparezca con el tiempo. Suecia también ha luchado por contener el coronavirus en las residencias con asistencia médica. El porcentaje de casos de COVID-19 en Suecia en personas de 70 años o más es el doble que el de Dinamarca y el triple que el de Finlandia y Noruega.</w:t>
      </w:r>
    </w:p>
    <w:p w:rsidR="0096151B" w:rsidRDefault="0096151B" w:rsidP="0096151B">
      <w:pPr>
        <w:pStyle w:val="NormalWeb"/>
        <w:shd w:val="clear" w:color="auto" w:fill="FFFFFF"/>
        <w:spacing w:after="300"/>
        <w:jc w:val="both"/>
      </w:pPr>
      <w:r>
        <w:lastRenderedPageBreak/>
        <w:t>Los beneficios económicos de este enfoque siguen siendo inciertos. Los datos de movilidad indican que los residentes de Suecia viajan, compran y utilizan el transporte público aproximadamente un 15 % menos, en promedio, una cifra que iguala a la de Noruega pero es muy inferior a la de Dinamarca y Finlandia.</w:t>
      </w:r>
    </w:p>
    <w:p w:rsidR="0096151B" w:rsidRDefault="0096151B" w:rsidP="0096151B">
      <w:pPr>
        <w:pStyle w:val="NormalWeb"/>
        <w:shd w:val="clear" w:color="auto" w:fill="FFFFFF"/>
        <w:spacing w:after="300"/>
        <w:jc w:val="both"/>
      </w:pPr>
      <w:r>
        <w:t>A pesar del número de muertos, el coronavirus no ha desbordado el sistema sanitario sueco. Hay datos de estudios que indican que la mayoría de los suecos apoyan el enfoque, lo que puede hacerlo más sostenible con el tiempo.</w:t>
      </w:r>
    </w:p>
    <w:p w:rsidR="0096151B" w:rsidRDefault="0096151B" w:rsidP="0096151B">
      <w:pPr>
        <w:pStyle w:val="NormalWeb"/>
        <w:shd w:val="clear" w:color="auto" w:fill="FFFFFF"/>
        <w:spacing w:after="300"/>
        <w:jc w:val="both"/>
      </w:pPr>
      <w:r>
        <w:t>El camino a seguir</w:t>
      </w:r>
    </w:p>
    <w:p w:rsidR="0096151B" w:rsidRDefault="0096151B" w:rsidP="0096151B">
      <w:pPr>
        <w:pStyle w:val="NormalWeb"/>
        <w:shd w:val="clear" w:color="auto" w:fill="FFFFFF"/>
        <w:spacing w:after="300"/>
        <w:jc w:val="both"/>
      </w:pPr>
      <w:r>
        <w:t>¿Podría el modelo sueco funcionar en otro lugar y, de ser así, cómo podría mejorarse? Las estrategias nacionales no pueden ser la única respuesta, especialmente en países grandes, como India, Rusia y Estados Unidos. Todavía hay oportunidades a nivel estatal o regional para imponer una estrategia de aplastamiento y contención.</w:t>
      </w:r>
    </w:p>
    <w:p w:rsidR="0096151B" w:rsidRDefault="0096151B" w:rsidP="0096151B">
      <w:pPr>
        <w:pStyle w:val="NormalWeb"/>
        <w:shd w:val="clear" w:color="auto" w:fill="FFFFFF"/>
        <w:spacing w:after="300"/>
        <w:jc w:val="both"/>
      </w:pPr>
      <w:r>
        <w:t>Dada la inestabilidad del aplanamiento y la lucha, las próximas semanas y meses son críticos para los países y las regiones que se enfrentan a un público inquieto, a la posibilidad de sucesivas oleadas de infección y al estancamiento de sus economías. Sigue siendo urgente encontrar mejores estrategias y políticas.</w:t>
      </w:r>
    </w:p>
    <w:p w:rsidR="00FE2170" w:rsidRDefault="0096151B" w:rsidP="0096151B">
      <w:pPr>
        <w:pStyle w:val="NormalWeb"/>
        <w:shd w:val="clear" w:color="auto" w:fill="FFFFFF"/>
        <w:spacing w:after="300"/>
        <w:jc w:val="both"/>
      </w:pPr>
      <w:r>
        <w:t>Necesitamos inventar el nuevo campo de la epinómica (el análisis integrado de los resultados sanitarios y los costes económicos y sociales) en tiempo real. Necesitamos crear un sistema de aprendizaje global basado en estándares de datos compartidos y un intercambio rápido de información para averiguar qué funciona, compartir las mejores prácticas y desarrollar un esfuerzo global coordinado para derrotar al coronavirus y reactivar la economía mundial.</w:t>
      </w:r>
    </w:p>
    <w:p w:rsidR="0096151B" w:rsidRDefault="0096151B" w:rsidP="0096151B">
      <w:pPr>
        <w:pStyle w:val="NormalWeb"/>
        <w:shd w:val="clear" w:color="auto" w:fill="FFFFFF"/>
        <w:spacing w:after="300"/>
        <w:jc w:val="both"/>
      </w:pPr>
      <w:r>
        <w:t xml:space="preserve">- </w:t>
      </w:r>
      <w:r w:rsidRPr="00183BFD">
        <w:rPr>
          <w:u w:val="single"/>
        </w:rPr>
        <w:t>COVID-19 ha lanzado a nuestro planeta un salvavidas para luchar contra el cambio climático</w:t>
      </w:r>
      <w:r>
        <w:t xml:space="preserve"> (</w:t>
      </w:r>
      <w:r w:rsidRPr="00183BFD">
        <w:rPr>
          <w:b/>
        </w:rPr>
        <w:t>13/7/20</w:t>
      </w:r>
      <w:r>
        <w:t>)</w:t>
      </w:r>
    </w:p>
    <w:p w:rsidR="0096151B" w:rsidRPr="002604E6" w:rsidRDefault="0096151B" w:rsidP="0096151B">
      <w:pPr>
        <w:pStyle w:val="NormalWeb"/>
        <w:shd w:val="clear" w:color="auto" w:fill="FFFFFF"/>
        <w:spacing w:after="300"/>
        <w:jc w:val="both"/>
        <w:rPr>
          <w:lang w:val="en-US"/>
        </w:rPr>
      </w:pPr>
      <w:r>
        <w:rPr>
          <w:lang w:val="en-US"/>
        </w:rPr>
        <w:t>(</w:t>
      </w:r>
      <w:r w:rsidRPr="002604E6">
        <w:rPr>
          <w:lang w:val="en-US"/>
        </w:rPr>
        <w:t xml:space="preserve">This article is </w:t>
      </w:r>
      <w:r>
        <w:rPr>
          <w:lang w:val="en-US"/>
        </w:rPr>
        <w:t xml:space="preserve">published in collaboration with </w:t>
      </w:r>
      <w:r w:rsidRPr="002604E6">
        <w:rPr>
          <w:lang w:val="en-US"/>
        </w:rPr>
        <w:t>Project Syndicate</w:t>
      </w:r>
      <w:r>
        <w:rPr>
          <w:lang w:val="en-US"/>
        </w:rPr>
        <w:t>)</w:t>
      </w:r>
    </w:p>
    <w:p w:rsidR="0096151B" w:rsidRPr="002604E6" w:rsidRDefault="0096151B" w:rsidP="0096151B">
      <w:pPr>
        <w:pStyle w:val="NormalWeb"/>
        <w:shd w:val="clear" w:color="auto" w:fill="FFFFFF"/>
        <w:spacing w:after="300"/>
        <w:jc w:val="both"/>
        <w:rPr>
          <w:lang w:val="en-US"/>
        </w:rPr>
      </w:pPr>
      <w:r>
        <w:rPr>
          <w:lang w:val="en-US"/>
        </w:rPr>
        <w:t>(Por Mark Lynas - Visiting Fellow)</w:t>
      </w:r>
    </w:p>
    <w:p w:rsidR="0096151B" w:rsidRDefault="0096151B" w:rsidP="0096151B">
      <w:pPr>
        <w:pStyle w:val="NormalWeb"/>
        <w:shd w:val="clear" w:color="auto" w:fill="FFFFFF"/>
        <w:spacing w:after="300"/>
        <w:jc w:val="both"/>
      </w:pPr>
      <w:r>
        <w:t>COVID-19 ha acercado más que nunca los imperativos climáticos y económicos.</w:t>
      </w:r>
    </w:p>
    <w:p w:rsidR="0096151B" w:rsidRPr="00DE1BDE" w:rsidRDefault="0096151B" w:rsidP="0096151B">
      <w:pPr>
        <w:pStyle w:val="NormalWeb"/>
        <w:shd w:val="clear" w:color="auto" w:fill="FFFFFF"/>
        <w:spacing w:after="300"/>
        <w:jc w:val="both"/>
        <w:rPr>
          <w:color w:val="FF0000"/>
          <w:u w:val="single"/>
        </w:rPr>
      </w:pPr>
      <w:r w:rsidRPr="00DE1BDE">
        <w:rPr>
          <w:color w:val="FF0000"/>
          <w:u w:val="single"/>
        </w:rPr>
        <w:t>Si el mundo aprovecha esta oportunidad, las generaciones futuras recordarán el año 2020 como el año en que la humanidad derrotó una pandemia y salvó el planeta.</w:t>
      </w:r>
    </w:p>
    <w:p w:rsidR="0096151B" w:rsidRPr="00DE1BDE" w:rsidRDefault="0096151B" w:rsidP="0096151B">
      <w:pPr>
        <w:pStyle w:val="NormalWeb"/>
        <w:shd w:val="clear" w:color="auto" w:fill="FFFFFF"/>
        <w:spacing w:after="300"/>
        <w:jc w:val="both"/>
        <w:rPr>
          <w:u w:val="single"/>
        </w:rPr>
      </w:pPr>
      <w:r>
        <w:t xml:space="preserve">La COVID-19 llevó a la muerte de más de 500 000 personas en el mundo, enfermó a millones y sigue causando estragos. Pero, como dice el refrán -y sin pretender minimizar esta tragedia humana de manera alguna- no hay mal que por bien no venga. </w:t>
      </w:r>
      <w:r w:rsidRPr="00DE1BDE">
        <w:rPr>
          <w:u w:val="single"/>
        </w:rPr>
        <w:t>Si tomamos las decisiones correctas a medida que los confinamientos se relajen, tal vez la pandemia le haya tendido una mano a la humanidad para lidiar con el desafío mucho mayor del cambio climático.</w:t>
      </w:r>
    </w:p>
    <w:p w:rsidR="0096151B" w:rsidRDefault="0096151B" w:rsidP="0096151B">
      <w:pPr>
        <w:pStyle w:val="NormalWeb"/>
        <w:shd w:val="clear" w:color="auto" w:fill="FFFFFF"/>
        <w:spacing w:after="300"/>
        <w:jc w:val="both"/>
      </w:pPr>
      <w:r>
        <w:t>Antes de que el coronavirus nos golpeara, los activistas como yo habíamos prácticamente renunciado a la esperanza de que el mundo cumpliría la meta del pacto climático de París de limitar el calentamiento global a entre 1,5 y 2 °C sobre los niveles preindustriales, parecía que en lugar de eso el mundo se calentaría entre 3 y 4 °C.</w:t>
      </w:r>
    </w:p>
    <w:p w:rsidR="0096151B" w:rsidRDefault="0096151B" w:rsidP="0096151B">
      <w:pPr>
        <w:pStyle w:val="NormalWeb"/>
        <w:shd w:val="clear" w:color="auto" w:fill="FFFFFF"/>
        <w:spacing w:after="300"/>
        <w:jc w:val="both"/>
      </w:pPr>
      <w:r>
        <w:lastRenderedPageBreak/>
        <w:t>Eso sería una catástrofe planetaria, perderíamos todos los arrecifes de coral del mundo y la mayoría de los bosques tropicales, al tiempo que el calor en muchas de las regiones más densamente pobladas se tornaría insoportable. La producción de alimentos se desplomaría, amenazando con hambrunas e inanición cuando las cosechas fracasaran en los principales graneros del mundo.</w:t>
      </w:r>
    </w:p>
    <w:p w:rsidR="0096151B" w:rsidRDefault="0096151B" w:rsidP="0096151B">
      <w:pPr>
        <w:pStyle w:val="NormalWeb"/>
        <w:shd w:val="clear" w:color="auto" w:fill="FFFFFF"/>
        <w:spacing w:after="300"/>
        <w:jc w:val="both"/>
      </w:pPr>
      <w:r>
        <w:rPr>
          <w:noProof/>
        </w:rPr>
        <w:drawing>
          <wp:inline distT="0" distB="0" distL="0" distR="0" wp14:anchorId="50DB211F" wp14:editId="019291E9">
            <wp:extent cx="5731510" cy="5598219"/>
            <wp:effectExtent l="0" t="0" r="2540" b="2540"/>
            <wp:docPr id="54" name="Imagen 54" descr="https://assets.weforum.org/editor/TlUI9GT1yS9-Z2Zu9cAilW6MqHsmNBIqT2lGT4qhZl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ssets.weforum.org/editor/TlUI9GT1yS9-Z2Zu9cAilW6MqHsmNBIqT2lGT4qhZlw.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31510" cy="5598219"/>
                    </a:xfrm>
                    <a:prstGeom prst="rect">
                      <a:avLst/>
                    </a:prstGeom>
                    <a:noFill/>
                    <a:ln>
                      <a:noFill/>
                    </a:ln>
                  </pic:spPr>
                </pic:pic>
              </a:graphicData>
            </a:graphic>
          </wp:inline>
        </w:drawing>
      </w:r>
    </w:p>
    <w:p w:rsidR="0096151B" w:rsidRDefault="0096151B" w:rsidP="0096151B">
      <w:pPr>
        <w:pStyle w:val="NormalWeb"/>
        <w:shd w:val="clear" w:color="auto" w:fill="FFFFFF"/>
        <w:spacing w:after="300"/>
        <w:jc w:val="both"/>
      </w:pPr>
      <w:r>
        <w:t>Imagen: Carbon Brief</w:t>
      </w:r>
    </w:p>
    <w:p w:rsidR="0096151B" w:rsidRPr="00DE1BDE" w:rsidRDefault="0096151B" w:rsidP="0096151B">
      <w:pPr>
        <w:pStyle w:val="NormalWeb"/>
        <w:shd w:val="clear" w:color="auto" w:fill="FFFFFF"/>
        <w:spacing w:after="300"/>
        <w:jc w:val="both"/>
        <w:rPr>
          <w:color w:val="FF0000"/>
          <w:u w:val="single"/>
        </w:rPr>
      </w:pPr>
      <w:r w:rsidRPr="00DE1BDE">
        <w:rPr>
          <w:color w:val="FF0000"/>
          <w:u w:val="single"/>
        </w:rPr>
        <w:t>Ahora, sin embargo, nada de eso tiene que ocurrir, el coronavirus nos ha obligado a bloquear las economías en tal medida que las emisiones de dióxido de carbono cayeron en picado. Todos vimos la evidencia: cielos más azules, ciudades libres de esmog, y peatones y ciclistas que reemplazan a los automóviles contaminantes. Los científicos estiman que las emisiones mundiales de CO2 caerán hasta el 7 % este año y mantener ese nivel de reducción de las emisiones anuales pondría nuevamente al mundo camino a cumplir la meta de 1,5-2 °C. Eso a su vez salvaría los arrecifes de coral y los bosques tropicales, evitaría crisis mundiales de refugiados, limitaría el elevamiento del nivel del mar y mantendría la mayor parte del casquete glaciar ártico congelado.</w:t>
      </w:r>
    </w:p>
    <w:p w:rsidR="0096151B" w:rsidRPr="00DE1BDE" w:rsidRDefault="0096151B" w:rsidP="0096151B">
      <w:pPr>
        <w:pStyle w:val="NormalWeb"/>
        <w:shd w:val="clear" w:color="auto" w:fill="FFFFFF"/>
        <w:spacing w:after="300"/>
        <w:jc w:val="both"/>
        <w:rPr>
          <w:u w:val="single"/>
        </w:rPr>
      </w:pPr>
      <w:r w:rsidRPr="00DE1BDE">
        <w:rPr>
          <w:u w:val="single"/>
        </w:rPr>
        <w:lastRenderedPageBreak/>
        <w:t>Pero aunque la crisis de la COVID-19 nos dio una oportunidad inesperada para el clima, obviamente no podemos mantener los confinamientos para siempre. Millones de personas están desempleadas y un cierre económico prolongado tendría un efecto catastrófico sobre su sustento, con la carga más pesada principalmente sobre los hombros de los pobres.</w:t>
      </w:r>
    </w:p>
    <w:p w:rsidR="0096151B" w:rsidRPr="00DE1BDE" w:rsidRDefault="0096151B" w:rsidP="0096151B">
      <w:pPr>
        <w:pStyle w:val="NormalWeb"/>
        <w:shd w:val="clear" w:color="auto" w:fill="FFFFFF"/>
        <w:spacing w:after="300"/>
        <w:jc w:val="both"/>
        <w:rPr>
          <w:u w:val="single"/>
        </w:rPr>
      </w:pPr>
      <w:r>
        <w:t xml:space="preserve">Afortunadamente, la opción que enfrentamos no es entre el colapso económico y la crisis climática, </w:t>
      </w:r>
      <w:r w:rsidRPr="00DE1BDE">
        <w:rPr>
          <w:u w:val="single"/>
        </w:rPr>
        <w:t>gracias a una coincidencia extremadamente afortunada el mundo debe invertir con urgencia billones de dólares en descarbonización justo cuando la economía mundial necesita con urgencia un enorme estímulo para que la gente vuelva a trabajar.</w:t>
      </w:r>
    </w:p>
    <w:p w:rsidR="0096151B" w:rsidRPr="00DE1BDE" w:rsidRDefault="0096151B" w:rsidP="0096151B">
      <w:pPr>
        <w:pStyle w:val="NormalWeb"/>
        <w:shd w:val="clear" w:color="auto" w:fill="FFFFFF"/>
        <w:spacing w:after="300"/>
        <w:jc w:val="both"/>
        <w:rPr>
          <w:u w:val="single"/>
        </w:rPr>
      </w:pPr>
      <w:r>
        <w:t>Para contribuir al financiamiento de estas medidas, países como Estados Unidos y el Reino Unido debieran emitir bonos gubernamentales con vencimientos a 50 o incluso 100 años. Como las tasas de interés para la deuda gubernamental en algunas de las economías avanzadas es actualmente negativa, los tesoros nacionales podrían captar grandes cantidades de dinero con un costo muy bajo a corto plazo</w:t>
      </w:r>
      <w:r w:rsidRPr="00DE1BDE">
        <w:rPr>
          <w:u w:val="single"/>
        </w:rPr>
        <w:t>. Y debido a que la deflación es actualmente un riesgo mucho mayor que la inflación, crear dinero adicional a través de emisiones de bonos ayudaría a evitar una posible depresión económica mundial.</w:t>
      </w:r>
    </w:p>
    <w:p w:rsidR="0096151B" w:rsidRDefault="0096151B" w:rsidP="0096151B">
      <w:pPr>
        <w:pStyle w:val="NormalWeb"/>
        <w:shd w:val="clear" w:color="auto" w:fill="FFFFFF"/>
        <w:spacing w:after="300"/>
        <w:jc w:val="both"/>
      </w:pPr>
      <w:r>
        <w:t>Hay quienes pueden objetar la moralidad de que los gobiernos se endeuden y sean nuestros hijos y nietos quienes deban pagarlo, pero emitir deuda pública a largo plazo para lidiar con un desafío que afecta a nuestra civilización dista de ser inaudito. El RU, por ejemplo, recién terminó de pagar la deuda pendiente por la Primera Guerra Mundial en 2014, y los ciudadanos de ese país son hoy cinco veces más ricos en términos per cápita que la generación que combatió en la guerra. Si suponemos que el crecimiento económico continuará durante el próximo siglo, nuestros descendientes estarán aún mejor, lo que aliviará la carga futura de los servicios de la deuda.</w:t>
      </w:r>
    </w:p>
    <w:p w:rsidR="0096151B" w:rsidRPr="005002B9" w:rsidRDefault="0096151B" w:rsidP="0096151B">
      <w:pPr>
        <w:pStyle w:val="NormalWeb"/>
        <w:shd w:val="clear" w:color="auto" w:fill="FFFFFF"/>
        <w:spacing w:after="300"/>
        <w:jc w:val="both"/>
        <w:rPr>
          <w:u w:val="single"/>
        </w:rPr>
      </w:pPr>
      <w:r w:rsidRPr="005002B9">
        <w:rPr>
          <w:u w:val="single"/>
        </w:rPr>
        <w:t>Greta Thunberg y millones de jóvenes huelguistas climáticos en todo el mundo han intentado correctamente la exhortación moral para persuadir a los líderes actuales a que consideren seriamente los intereses de las generaciones futuras, pero en este momento tenemos que hablar en efectivo contante y sonante.</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t>Solucionar el cambio climático exige gigantescas inversiones de capital ahora. En primer lugar, garantizar un clima habitable durante la segunda mitad de este siglo requiere escalar lo suficiente las tecnologías de energías renovables -como la solar y la eólica- para reemplazar los combustibles fósiles como principales proveedores de energía primaria.</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t>Además, tendremos que producir combustibles líquidos, probablemente amoníaco e hidrocarburos sintéticos, a una escala incluso mayor que la energía eléctrica para descarbonizar la navegación, la aviación y procesos industriales como la producción de acero. La nueva generación de tecnologías nucleares, como los reactores modulares avanzados (AMR, por su sigla en inglés), tendrá un papel fundamental en este esfuerzo.</w:t>
      </w:r>
    </w:p>
    <w:p w:rsidR="0096151B" w:rsidRPr="005002B9" w:rsidRDefault="0096151B" w:rsidP="0096151B">
      <w:pPr>
        <w:pStyle w:val="NormalWeb"/>
        <w:shd w:val="clear" w:color="auto" w:fill="FFFFFF"/>
        <w:spacing w:after="300"/>
        <w:jc w:val="both"/>
        <w:rPr>
          <w:u w:val="single"/>
        </w:rPr>
      </w:pPr>
      <w:r w:rsidRPr="005002B9">
        <w:rPr>
          <w:u w:val="single"/>
        </w:rPr>
        <w:t>Las grandes inversiones de infraestructura son por naturaleza proyectos de largo plazo y el costo del capital se debe reducir si queremos que las tecnologías limpias desplacen a los combustibles fósiles. Los gobiernos pueden pedir prestados los montos necesarios a tasas mucho menores que el sector privado y las inversiones resultantes generarán millones puestos de trabajo para reemplazar los que se perdieron en las industrias sucias y contribuir a reactivar la economía mundial después de la pandemia.</w:t>
      </w:r>
    </w:p>
    <w:p w:rsidR="0096151B" w:rsidRDefault="0096151B" w:rsidP="0096151B">
      <w:pPr>
        <w:pStyle w:val="NormalWeb"/>
        <w:shd w:val="clear" w:color="auto" w:fill="FFFFFF"/>
        <w:spacing w:after="300"/>
        <w:jc w:val="both"/>
      </w:pPr>
      <w:r>
        <w:lastRenderedPageBreak/>
        <w:t>El gobierno del RU ya emitió bonos por 72.000 millones de GBP (90.000 millones de USD) con vencimientos a 50 años o más, que comenzarán en 2055. El RU y otros países podrían emitir 50 veces más deuda -entre 3 billones y 4 billones de GBP (de 3,7 billones a 5 billones de USD) rescatables a fines de este siglo para colaborar con el financiamiento de la inversión necesaria para superar el desafío climático.</w:t>
      </w:r>
    </w:p>
    <w:p w:rsidR="0096151B" w:rsidRDefault="0096151B" w:rsidP="0096151B">
      <w:pPr>
        <w:pStyle w:val="NormalWeb"/>
        <w:shd w:val="clear" w:color="auto" w:fill="FFFFFF"/>
        <w:spacing w:after="300"/>
        <w:jc w:val="both"/>
      </w:pPr>
      <w:r>
        <w:t>Esos bonos con vencimientos a largo plazo serían un activo seguro para los fondos de pensiones y otros inversores a largo plazo y además les ofrecerían una alternativa para liquidar permanentemente sus inversiones en combustibles fósiles. Después de todo, no habrá activos “seguros” en un mundo con creciente daño climático.</w:t>
      </w:r>
    </w:p>
    <w:p w:rsidR="0096151B" w:rsidRDefault="0096151B" w:rsidP="0096151B">
      <w:pPr>
        <w:pStyle w:val="NormalWeb"/>
        <w:shd w:val="clear" w:color="auto" w:fill="FFFFFF"/>
        <w:spacing w:after="300"/>
        <w:jc w:val="both"/>
      </w:pPr>
      <w:r>
        <w:t>No sugiero que los gobiernos tengan que prestar apoyo financiero a las tecnologías limpias indefinidamente, sino que el desafío es reducir sus costos -como se logró exitosamente con la energía solar- a través de la investigación, el desarrollo y la implementación temprana a escala, hasta que las tecnologías limpias sean más baratas que los combustibles fósiles y la transición energética sea autosostenible.</w:t>
      </w:r>
    </w:p>
    <w:p w:rsidR="0096151B" w:rsidRDefault="0096151B" w:rsidP="0096151B">
      <w:pPr>
        <w:pStyle w:val="NormalWeb"/>
        <w:shd w:val="clear" w:color="auto" w:fill="FFFFFF"/>
        <w:spacing w:after="300"/>
        <w:jc w:val="both"/>
      </w:pPr>
      <w:r>
        <w:t>La crisis de la COVID-19 alineó más que nunca los imperativos económicos y climáticos. Si aprovechamos esta oportunidad histórica, la generaciones futuras seguramente recordarán 2020 como el año en que la humanidad logró tanto derrotar a la pandemia como salvar al planeta.</w:t>
      </w:r>
    </w:p>
    <w:p w:rsidR="002A0373" w:rsidRDefault="002A0373" w:rsidP="002A0373">
      <w:pPr>
        <w:pStyle w:val="NormalWeb"/>
        <w:shd w:val="clear" w:color="auto" w:fill="FFFFFF"/>
        <w:spacing w:after="300"/>
        <w:jc w:val="both"/>
      </w:pPr>
      <w:r>
        <w:t xml:space="preserve">- </w:t>
      </w:r>
      <w:r w:rsidRPr="00EE63B5">
        <w:rPr>
          <w:u w:val="single"/>
        </w:rPr>
        <w:t>Esta es ahora la mayor amenaza del mundo - y no es el coronavirus</w:t>
      </w:r>
      <w:r>
        <w:t xml:space="preserve"> (</w:t>
      </w:r>
      <w:r w:rsidRPr="00EE63B5">
        <w:rPr>
          <w:b/>
        </w:rPr>
        <w:t>21/7/20</w:t>
      </w:r>
      <w:r>
        <w:t>)</w:t>
      </w:r>
    </w:p>
    <w:p w:rsidR="002A0373" w:rsidRPr="00EE63B5" w:rsidRDefault="002A0373" w:rsidP="002A0373">
      <w:pPr>
        <w:pStyle w:val="NormalWeb"/>
        <w:shd w:val="clear" w:color="auto" w:fill="FFFFFF"/>
        <w:spacing w:after="300"/>
        <w:jc w:val="both"/>
      </w:pPr>
      <w:r w:rsidRPr="00EE63B5">
        <w:t xml:space="preserve"> (Por Sean Fleming)</w:t>
      </w:r>
    </w:p>
    <w:p w:rsidR="002A0373" w:rsidRPr="00E43FC9" w:rsidRDefault="002A0373" w:rsidP="002A0373">
      <w:pPr>
        <w:pStyle w:val="NormalWeb"/>
        <w:shd w:val="clear" w:color="auto" w:fill="FFFFFF"/>
        <w:spacing w:after="300"/>
        <w:jc w:val="both"/>
        <w:rPr>
          <w:color w:val="FF0000"/>
        </w:rPr>
      </w:pPr>
      <w:r w:rsidRPr="00E43FC9">
        <w:rPr>
          <w:color w:val="FF0000"/>
        </w:rPr>
        <w:t>La riqueza es la mayor amenaza para nuestro mundo, según un nuevo informe científico.</w:t>
      </w:r>
    </w:p>
    <w:p w:rsidR="002A0373" w:rsidRPr="00E43FC9" w:rsidRDefault="002A0373" w:rsidP="002A0373">
      <w:pPr>
        <w:pStyle w:val="NormalWeb"/>
        <w:shd w:val="clear" w:color="auto" w:fill="FFFFFF"/>
        <w:spacing w:after="300"/>
        <w:jc w:val="both"/>
        <w:rPr>
          <w:color w:val="FF0000"/>
        </w:rPr>
      </w:pPr>
      <w:r w:rsidRPr="00E43FC9">
        <w:rPr>
          <w:color w:val="FF0000"/>
        </w:rPr>
        <w:t>La verdadera sostenibilidad sólo se logrará a través de cambios drásticos en el estilo de vida, argumenta.</w:t>
      </w:r>
    </w:p>
    <w:p w:rsidR="002A0373" w:rsidRPr="00E43FC9" w:rsidRDefault="002A0373" w:rsidP="002A0373">
      <w:pPr>
        <w:pStyle w:val="NormalWeb"/>
        <w:shd w:val="clear" w:color="auto" w:fill="FFFFFF"/>
        <w:spacing w:after="300"/>
        <w:jc w:val="both"/>
        <w:rPr>
          <w:color w:val="FF0000"/>
        </w:rPr>
      </w:pPr>
      <w:r w:rsidRPr="00E43FC9">
        <w:rPr>
          <w:color w:val="FF0000"/>
        </w:rPr>
        <w:t>El Foro Económico Mundial ha pedido un gran reinicio del capitalismo tras la pandemia.</w:t>
      </w:r>
    </w:p>
    <w:p w:rsidR="002A0373" w:rsidRPr="00E43FC9" w:rsidRDefault="002A0373" w:rsidP="002A0373">
      <w:pPr>
        <w:pStyle w:val="NormalWeb"/>
        <w:shd w:val="clear" w:color="auto" w:fill="FFFFFF"/>
        <w:spacing w:after="300"/>
        <w:jc w:val="both"/>
        <w:rPr>
          <w:color w:val="FF0000"/>
        </w:rPr>
      </w:pPr>
      <w:r w:rsidRPr="00E43FC9">
        <w:rPr>
          <w:color w:val="FF0000"/>
        </w:rPr>
        <w:t>Un análisis detallado de la investigación ambiental ha revelado la mayor amenaza para el mundo: la riqueza.</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Esa es una de las principales conclusiones de un equipo de científicos de Australia, Suiza y el Reino Unido, que han advertido que abordar el consumo excesivo debe convertirse en una prioridad. Su informe, titulado Advertencia de los Científicos sobre la Riqueza, explica que la verdadera sostenibilidad exige cambios significativos en el estilo de vida, en lugar de esperar que baste con un uso más eficiente de los recursos.</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“No podemos depender sólo de la tecnología para resolver problemas ambientales existenciales, como el cambio climático, la pérdida de biodiversidad y la contaminación”, escribe el autor principal del informe, el profesor Tommy Wiedmann, de la Universidad de Ingeniería de Nueva Gales del Sur (Australia), en un artículo en Phys.org. “También tenemos que cambiar nuestros estilos de vida acomodados y reducir el consumo excesivo, en combinación con el cambio estructural”.</w:t>
      </w:r>
    </w:p>
    <w:p w:rsidR="002A0373" w:rsidRDefault="002A0373" w:rsidP="002A0373">
      <w:pPr>
        <w:pStyle w:val="NormalWeb"/>
        <w:shd w:val="clear" w:color="auto" w:fill="FFFFFF"/>
        <w:spacing w:after="300"/>
        <w:jc w:val="both"/>
      </w:pPr>
      <w:r>
        <w:rPr>
          <w:noProof/>
        </w:rPr>
        <w:lastRenderedPageBreak/>
        <w:drawing>
          <wp:inline distT="0" distB="0" distL="0" distR="0" wp14:anchorId="33FF6C7F" wp14:editId="68F201BA">
            <wp:extent cx="5731510" cy="5685007"/>
            <wp:effectExtent l="0" t="0" r="2540" b="0"/>
            <wp:docPr id="47" name="Imagen 47" descr="Los estilos de vida sostenibles se sitúan entre un límite superior 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estilos de vida sostenibles se sitúan entre un límite superior o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31510" cy="5685007"/>
                    </a:xfrm>
                    <a:prstGeom prst="rect">
                      <a:avLst/>
                    </a:prstGeom>
                    <a:noFill/>
                    <a:ln>
                      <a:noFill/>
                    </a:ln>
                  </pic:spPr>
                </pic:pic>
              </a:graphicData>
            </a:graphic>
          </wp:inline>
        </w:drawing>
      </w:r>
    </w:p>
    <w:p w:rsidR="002A0373" w:rsidRDefault="002A0373" w:rsidP="002A0373">
      <w:pPr>
        <w:pStyle w:val="NormalWeb"/>
        <w:shd w:val="clear" w:color="auto" w:fill="FFFFFF"/>
        <w:spacing w:after="300"/>
        <w:jc w:val="both"/>
      </w:pPr>
    </w:p>
    <w:p w:rsidR="002A0373" w:rsidRDefault="002A0373" w:rsidP="002A0373">
      <w:pPr>
        <w:pStyle w:val="NormalWeb"/>
        <w:shd w:val="clear" w:color="auto" w:fill="FFFFFF"/>
        <w:spacing w:after="300"/>
        <w:jc w:val="both"/>
      </w:pPr>
      <w:r>
        <w:t>Un desafío mundial creciente</w:t>
      </w:r>
    </w:p>
    <w:p w:rsidR="002A0373" w:rsidRDefault="002A0373" w:rsidP="002A0373">
      <w:pPr>
        <w:pStyle w:val="NormalWeb"/>
        <w:shd w:val="clear" w:color="auto" w:fill="FFFFFF"/>
        <w:spacing w:after="300"/>
        <w:jc w:val="both"/>
      </w:pPr>
      <w:r>
        <w:t>Hay una aceptación generalizada de que el planeta se enfrenta a un punto de inflexión ecológica. “Para cuidar de la humanidad, debemos cuidar de la naturaleza”, dijo el Secretario General de las Naciones Unidas, António Guterres, en el Día Mundial del Medio Ambiente en junio. Destacó la importancia de hacer cambios a medida que el mundo se recupera de la reciente pandemia: “A medida que trabajamos para reconstruir mejor, pongamos a la naturaleza donde pertenece, en el centro de nuestra toma de decisiones”.</w:t>
      </w:r>
    </w:p>
    <w:p w:rsidR="002A0373" w:rsidRPr="00E43FC9" w:rsidRDefault="002A0373" w:rsidP="002A0373">
      <w:pPr>
        <w:pStyle w:val="NormalWeb"/>
        <w:shd w:val="clear" w:color="auto" w:fill="FFFFFF"/>
        <w:spacing w:after="300"/>
        <w:jc w:val="both"/>
        <w:rPr>
          <w:u w:val="single"/>
        </w:rPr>
      </w:pPr>
      <w:r w:rsidRPr="00E43FC9">
        <w:rPr>
          <w:u w:val="single"/>
        </w:rPr>
        <w:t>Aproximadamente la mitad del PIB mundial está ligado al mundo natural, según la ONU. Además de los muchos millones de empleos que dependen de la naturaleza, también hay miles de millones de personas que están íntimamente relacionadas y dependen totalmente de los remedios y medicinas naturales.</w:t>
      </w:r>
    </w:p>
    <w:p w:rsidR="002A0373" w:rsidRDefault="002A0373" w:rsidP="002A0373">
      <w:pPr>
        <w:pStyle w:val="NormalWeb"/>
        <w:shd w:val="clear" w:color="auto" w:fill="FFFFFF"/>
        <w:spacing w:after="300"/>
        <w:jc w:val="both"/>
      </w:pPr>
      <w:r>
        <w:lastRenderedPageBreak/>
        <w:t>Además, el uso de programas de plantación de árboles y reforestación podría reducir el impacto de las emisiones mundiales y ayudar a cumplir el objetivo del Acuerdo de París de mantener el aumento de la temperatura mundial por debajo de 1,5ºC.</w:t>
      </w:r>
    </w:p>
    <w:p w:rsidR="002A0373" w:rsidRDefault="002A0373" w:rsidP="002A0373">
      <w:pPr>
        <w:pStyle w:val="NormalWeb"/>
        <w:shd w:val="clear" w:color="auto" w:fill="FFFFFF"/>
        <w:spacing w:after="300"/>
        <w:jc w:val="both"/>
      </w:pPr>
      <w:r>
        <w:t>Una llamada para cambios sistémicos</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La amenaza de los daños ambientales causados por el hombre se puso de relieve en el Informe sobre los riesgos mundiales en 2020 del Foro Económico Mundial, en el que figura entre los 10 principales riesgos tanto de mayor probabilidad como de mayor impacto.</w:t>
      </w:r>
    </w:p>
    <w:p w:rsidR="002A0373" w:rsidRPr="00E43FC9" w:rsidRDefault="002A0373" w:rsidP="002A0373">
      <w:pPr>
        <w:pStyle w:val="NormalWeb"/>
        <w:shd w:val="clear" w:color="auto" w:fill="FFFFFF"/>
        <w:spacing w:after="300"/>
        <w:jc w:val="both"/>
        <w:rPr>
          <w:i/>
        </w:rPr>
      </w:pPr>
      <w:r w:rsidRPr="00E43FC9">
        <w:rPr>
          <w:i/>
        </w:rPr>
        <w:t>El principal problema esbozado en el informe es que cualquier ganancia en la eficiencia de los recursos y en la protección del medio ambiente que ofrezcan las soluciones basadas en la tecnología ha sido superada por el crecimiento del consumo. El informe también plantea que podría ser el momento de repensar las ideas tradicionales sobre la oferta y la demanda</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En las sociedades capitalistas, la teoría dice que la necesidad del consumidor impulsa el resto de la economía - las empresas sólo producirán cosas para las que haya demanda. Pero la realidad del capitalismo global del siglo XXI es un poco más compleja que eso: algunos economistas sostienen que el crecimiento en sí mismo es el problema.</w:t>
      </w:r>
    </w:p>
    <w:p w:rsidR="002A0373" w:rsidRDefault="002A0373" w:rsidP="002A0373">
      <w:pPr>
        <w:pStyle w:val="NormalWeb"/>
        <w:shd w:val="clear" w:color="auto" w:fill="FFFFFF"/>
        <w:spacing w:after="300"/>
        <w:jc w:val="both"/>
      </w:pPr>
      <w:r>
        <w:rPr>
          <w:noProof/>
        </w:rPr>
        <w:drawing>
          <wp:inline distT="0" distB="0" distL="0" distR="0" wp14:anchorId="27392240" wp14:editId="55E3B762">
            <wp:extent cx="5731510" cy="5015071"/>
            <wp:effectExtent l="0" t="0" r="2540" b="0"/>
            <wp:docPr id="49" name="Imagen 49" descr="Las emisiones mundiales, que se muestran como la línea punteada verde, siguen el ritmo del aumento de la producción (púrpura) y del PIB mundial (nar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s emisiones mundiales, que se muestran como la línea punteada verde, siguen el ritmo del aumento de la producción (púrpura) y del PIB mundial (naranja)."/>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31510" cy="5015071"/>
                    </a:xfrm>
                    <a:prstGeom prst="rect">
                      <a:avLst/>
                    </a:prstGeom>
                    <a:noFill/>
                    <a:ln>
                      <a:noFill/>
                    </a:ln>
                  </pic:spPr>
                </pic:pic>
              </a:graphicData>
            </a:graphic>
          </wp:inline>
        </w:drawing>
      </w:r>
    </w:p>
    <w:p w:rsidR="002A0373" w:rsidRDefault="002A0373" w:rsidP="002A0373">
      <w:pPr>
        <w:pStyle w:val="NormalWeb"/>
        <w:shd w:val="clear" w:color="auto" w:fill="FFFFFF"/>
        <w:spacing w:after="300"/>
        <w:jc w:val="both"/>
      </w:pPr>
      <w:r>
        <w:lastRenderedPageBreak/>
        <w:t>Las emisiones mundiales, que se muestran como la línea punteada verde, siguen el ritmo del aumento de la producción (púrpura) y del PIB mundial (naranja).</w:t>
      </w:r>
    </w:p>
    <w:p w:rsidR="002A0373" w:rsidRDefault="002A0373" w:rsidP="002A0373">
      <w:pPr>
        <w:pStyle w:val="NormalWeb"/>
        <w:shd w:val="clear" w:color="auto" w:fill="FFFFFF"/>
        <w:spacing w:after="300"/>
        <w:jc w:val="both"/>
      </w:pPr>
      <w:r>
        <w:t>Es hora de un gran reinicio</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Poco antes del Día Mundial del Medio Ambiente, el fundador y presidente ejecutivo del Foro, el profesor Klaus Schwab, hizo un llamamiento a favor de un gran reinicio del capitalismo tras la pandemia del coronavirus. Su visión del gran reinicio incluye la creación de una economía de interesados directos, en la que el mercado persiga resultados más justos para todos, respaldada por cambios en las políticas fiscales, reglamentarias y de impuestos, y nuevos acuerdos comerciales.</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Schwab también pide inversiones que promuevan objetivos compartidos, como la igualdad y la sostenibilidad. Esto es algo que ya está ocurriendo en partes del mundo donde se están promulgando programas de estímulo económico.</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Además, Schwab nos insta a abordar los desafíos sanitarios y sociales con las innovaciones que hizo posible la Cuarta Revolución Industrial. Esto significa más colaboración pública/privada en la búsqueda del bien público.</w:t>
      </w:r>
    </w:p>
    <w:p w:rsidR="002A0373" w:rsidRDefault="002A0373" w:rsidP="002A0373">
      <w:pPr>
        <w:pStyle w:val="NormalWeb"/>
        <w:shd w:val="clear" w:color="auto" w:fill="FFFFFF"/>
        <w:spacing w:after="300"/>
        <w:jc w:val="both"/>
      </w:pPr>
      <w:r>
        <w:t>Muchas otras figuras destacadas de todo el mundo se han unido a este llamamiento, entre ellas Su Alteza Real el Príncipe Carlos, el Príncipe de Gales.</w:t>
      </w:r>
    </w:p>
    <w:p w:rsidR="002A0373" w:rsidRDefault="002A0373" w:rsidP="002A0373">
      <w:pPr>
        <w:pStyle w:val="NormalWeb"/>
        <w:shd w:val="clear" w:color="auto" w:fill="FFFFFF"/>
        <w:spacing w:after="300"/>
        <w:jc w:val="both"/>
      </w:pPr>
      <w:r>
        <w:t>La pandemia ha devastado familias y ha paralizado las principales economías. Pero al dirigir los recursos a sistemas y procesos nuevos y mejorados, en lugar de apuntalar los existentes, Schwab cree que es posible un cambio duradero para mejor.</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Esa creencia se refleja en el informe de los científicos, que muestra que la riqueza “es realmente peligrosa y conduce a la destrucción a escala planetaria”, dice la coautora Julia Steinberger, Profesora de Economía Ecológica de la Universidad de Leeds. “Para protegernos del empeoramiento de la crisis climática, debemos reducir la desigualdad y desafiar la noción de que la riqueza, y quienes la poseen, son inherentemente buenos”.</w:t>
      </w:r>
    </w:p>
    <w:p w:rsidR="002A0373" w:rsidRDefault="002A0373" w:rsidP="002A0373">
      <w:pPr>
        <w:pStyle w:val="NormalWeb"/>
        <w:shd w:val="clear" w:color="auto" w:fill="FFFFFF"/>
        <w:spacing w:after="300"/>
        <w:jc w:val="both"/>
      </w:pPr>
      <w:r>
        <w:t xml:space="preserve">- </w:t>
      </w:r>
      <w:r>
        <w:rPr>
          <w:u w:val="single"/>
        </w:rPr>
        <w:t>Greta Thunberg: El mundo debe “romper”</w:t>
      </w:r>
      <w:r w:rsidRPr="00EE63B5">
        <w:rPr>
          <w:u w:val="single"/>
        </w:rPr>
        <w:t xml:space="preserve"> los viejos contratos y construir nuevos sistemas para salvar el clima</w:t>
      </w:r>
      <w:r>
        <w:t xml:space="preserve"> (</w:t>
      </w:r>
      <w:r w:rsidRPr="00EE63B5">
        <w:rPr>
          <w:b/>
        </w:rPr>
        <w:t>21/7/20</w:t>
      </w:r>
      <w:r>
        <w:t>)</w:t>
      </w:r>
    </w:p>
    <w:p w:rsidR="002A0373" w:rsidRDefault="002A0373" w:rsidP="002A0373">
      <w:pPr>
        <w:pStyle w:val="NormalWeb"/>
        <w:shd w:val="clear" w:color="auto" w:fill="FFFFFF"/>
        <w:spacing w:after="300"/>
        <w:jc w:val="both"/>
      </w:pPr>
      <w:r>
        <w:t>La carta firmada por miles de científicos, actores y activistas del clima fue enviada a todos los líderes y jefes de estado de la UE el 16 de julio de 2020.</w:t>
      </w:r>
    </w:p>
    <w:p w:rsidR="002A0373" w:rsidRPr="00EE63B5" w:rsidRDefault="002A0373" w:rsidP="002A0373">
      <w:pPr>
        <w:pStyle w:val="NormalWeb"/>
        <w:shd w:val="clear" w:color="auto" w:fill="FFFFFF"/>
        <w:spacing w:after="300"/>
        <w:jc w:val="both"/>
      </w:pPr>
      <w:r w:rsidRPr="00EE63B5">
        <w:t>(Por Matthew Green)</w:t>
      </w:r>
    </w:p>
    <w:p w:rsidR="002A0373" w:rsidRDefault="002A0373" w:rsidP="002A0373">
      <w:pPr>
        <w:pStyle w:val="NormalWeb"/>
        <w:shd w:val="clear" w:color="auto" w:fill="FFFFFF"/>
        <w:spacing w:after="300"/>
        <w:jc w:val="both"/>
      </w:pPr>
      <w:r>
        <w:t>La activista sueca de 17 años, Greta Thunberg, ha instado a los líderes europeos a tratar el cambio climático como una “emergencia”.</w:t>
      </w:r>
    </w:p>
    <w:p w:rsidR="002A0373" w:rsidRDefault="002A0373" w:rsidP="002A0373">
      <w:pPr>
        <w:pStyle w:val="NormalWeb"/>
        <w:shd w:val="clear" w:color="auto" w:fill="FFFFFF"/>
        <w:spacing w:after="300"/>
        <w:jc w:val="both"/>
      </w:pPr>
      <w:r>
        <w:t>Una carta abierta ha sido firmada por miles de científicos del clima, activistas y actores de todo el mundo.</w:t>
      </w:r>
    </w:p>
    <w:p w:rsidR="002A0373" w:rsidRDefault="002A0373" w:rsidP="002A0373">
      <w:pPr>
        <w:pStyle w:val="NormalWeb"/>
        <w:shd w:val="clear" w:color="auto" w:fill="FFFFFF"/>
        <w:spacing w:after="300"/>
        <w:jc w:val="both"/>
      </w:pPr>
      <w:r>
        <w:t>La carta fue enviada a todos los líderes de la UE antes de la Cumbre del Consejo Europeo del viernes.</w:t>
      </w:r>
    </w:p>
    <w:p w:rsidR="002A0373" w:rsidRDefault="002A0373" w:rsidP="002A0373">
      <w:pPr>
        <w:pStyle w:val="NormalWeb"/>
        <w:shd w:val="clear" w:color="auto" w:fill="FFFFFF"/>
        <w:spacing w:after="300"/>
        <w:jc w:val="both"/>
      </w:pPr>
      <w:r>
        <w:lastRenderedPageBreak/>
        <w:t>La activista sueca Greta Thunberg dijo el jueves que el mundo necesitaba una revisión económica para tener una oportunidad de vencer el cambio climático y que los países deberían estar preparados para romper viejos acuerdos y contratos para cumplir con los objetivos ecológicos.</w:t>
      </w:r>
    </w:p>
    <w:p w:rsidR="002A0373" w:rsidRDefault="002A0373" w:rsidP="002A0373">
      <w:pPr>
        <w:pStyle w:val="NormalWeb"/>
        <w:shd w:val="clear" w:color="auto" w:fill="FFFFFF"/>
        <w:spacing w:after="300"/>
        <w:jc w:val="both"/>
      </w:pPr>
      <w:r>
        <w:t>La joven de 17 años habló con Reuters TV después de que ella y otros activistas enviaran una carta abierta a los líderes europeos instándoles a tomar medidas de emergencia y diciendo que la gente en el poder prácticamente se había “rendido” en la búsqueda de una solución real.</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“Necesitamos verlo, sobre todo, como una crisis existencial. Y mientras no se trate como una crisis, podemos tener tantas negociaciones y conversaciones sobre el cambio climático, conferencias como sea posible. No cambiará nada”, dijo Thunberg, hablando por video desde su casa en Estocolmo.</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Thunberg, quien arremetió contra los líderes mundiales en una cumbre climática de la ONU el año pasado por creer en “cuentos de hadas” de crecimiento económico eterno, dijo que sólo un cambio fundamental en el sistema existente podría controlar el cambio climático.</w:t>
      </w:r>
    </w:p>
    <w:p w:rsidR="002A0373" w:rsidRPr="00E43FC9" w:rsidRDefault="002A0373" w:rsidP="002A0373">
      <w:pPr>
        <w:pStyle w:val="NormalWeb"/>
        <w:shd w:val="clear" w:color="auto" w:fill="FFFFFF"/>
        <w:spacing w:after="300"/>
        <w:jc w:val="both"/>
        <w:rPr>
          <w:u w:val="single"/>
        </w:rPr>
      </w:pPr>
      <w:r w:rsidRPr="00E43FC9">
        <w:rPr>
          <w:u w:val="single"/>
        </w:rPr>
        <w:t>Citó un estudio de la ONU publicado en noviembre que sugería que las inversiones planificadas para impulsar la producción de combustibles fósiles probablemente pondrían fuera de alcance los objetivos de temperatura consagrados en el Acuerdo de París de 2015.</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“Eso significa que si queremos permanecer por debajo de estos objetivos, tenemos que hacer posible que se rompan y se abandonen los contratos y acuerdos válidos. Y eso no es posible dentro del sistema actual”, dijo Thunberg.</w:t>
      </w:r>
    </w:p>
    <w:p w:rsidR="002A0373" w:rsidRDefault="002A0373" w:rsidP="002A0373">
      <w:pPr>
        <w:pStyle w:val="NormalWeb"/>
        <w:shd w:val="clear" w:color="auto" w:fill="FFFFFF"/>
        <w:spacing w:after="300"/>
        <w:jc w:val="both"/>
      </w:pPr>
      <w:r>
        <w:t>“Así que, sí, entonces obviamente tenemos que pensar de manera diferente. Y, sí, tenemos que pensar fuera de la caja”.</w:t>
      </w:r>
    </w:p>
    <w:p w:rsidR="002A0373" w:rsidRDefault="002A0373" w:rsidP="002A0373">
      <w:pPr>
        <w:pStyle w:val="NormalWeb"/>
        <w:shd w:val="clear" w:color="auto" w:fill="FFFFFF"/>
        <w:spacing w:after="300"/>
        <w:jc w:val="both"/>
      </w:pPr>
      <w:r>
        <w:t>Ecocidio</w:t>
      </w:r>
    </w:p>
    <w:p w:rsidR="002A0373" w:rsidRDefault="002A0373" w:rsidP="002A0373">
      <w:pPr>
        <w:pStyle w:val="NormalWeb"/>
        <w:shd w:val="clear" w:color="auto" w:fill="FFFFFF"/>
        <w:spacing w:after="300"/>
        <w:jc w:val="both"/>
      </w:pPr>
      <w:r>
        <w:t>Las demandas en la carta, publicada antes de la cumbre del Consejo Europeo del viernes, incluían un cese inmediato de todas las inversiones en exploración y extracción de combustibles fósiles, en paralelo con un rápido fin de los subsidios a los combustibles fósiles.</w:t>
      </w:r>
    </w:p>
    <w:p w:rsidR="002A0373" w:rsidRDefault="002A0373" w:rsidP="002A0373">
      <w:pPr>
        <w:pStyle w:val="NormalWeb"/>
        <w:shd w:val="clear" w:color="auto" w:fill="FFFFFF"/>
        <w:spacing w:after="300"/>
        <w:jc w:val="both"/>
      </w:pPr>
      <w:r>
        <w:t>La carta también pedía “presupuestos de carbono” anuales vinculantes para limitar la cantidad de gases de efecto invernadero que pueden emitir los países para maximizar las posibilidades de limitar el aumento de las temperaturas medias mundiales a 1,5C, un objetivo consagrado en el acuerdo climático de París de 2015.</w:t>
      </w:r>
    </w:p>
    <w:p w:rsidR="002A0373" w:rsidRDefault="002A0373" w:rsidP="002A0373">
      <w:pPr>
        <w:pStyle w:val="NormalWeb"/>
        <w:shd w:val="clear" w:color="auto" w:fill="FFFFFF"/>
        <w:spacing w:after="300"/>
        <w:jc w:val="both"/>
      </w:pPr>
      <w:r>
        <w:t>Instó a los gobiernos europeos a respaldar los llamamientos para que la Corte Penal Internacional, con sede en La Haya, adopte un nuevo delito de “ecocidio” para enjuiciar a los responsables de la destrucción a gran escala del mundo natural.</w:t>
      </w:r>
    </w:p>
    <w:p w:rsidR="002A0373" w:rsidRDefault="002A0373" w:rsidP="002A0373">
      <w:pPr>
        <w:pStyle w:val="NormalWeb"/>
        <w:shd w:val="clear" w:color="auto" w:fill="FFFFFF"/>
        <w:spacing w:after="300"/>
        <w:jc w:val="both"/>
      </w:pPr>
      <w:r>
        <w:t>Thunberg surgió como la cara de un creciente movimiento climático liderado por jóvenes después de que una solitaria vigilia que comenzó a celebrar frente al parlamento sueco en 2018 inspiró a niños y adolescentes de todo el mundo a organizar huelgas escolares los viernes por la tarde.</w:t>
      </w:r>
    </w:p>
    <w:p w:rsidR="002A0373" w:rsidRDefault="002A0373" w:rsidP="002A0373">
      <w:pPr>
        <w:pStyle w:val="NormalWeb"/>
        <w:shd w:val="clear" w:color="auto" w:fill="FFFFFF"/>
        <w:spacing w:after="300"/>
        <w:jc w:val="both"/>
      </w:pPr>
      <w:r>
        <w:lastRenderedPageBreak/>
        <w:t>“Al principio, estaba muy preocupada”, dijo Thunberg, describiendo los temores sobre el cambio climático que la motivaron a abrazar el activismo. “Pero cuando empecé a hacer algo, entonces vino la esperanza de eso. Porque la esperanza viene de la acción”.</w:t>
      </w:r>
    </w:p>
    <w:p w:rsidR="002A0373" w:rsidRDefault="002A0373" w:rsidP="002A0373">
      <w:pPr>
        <w:pStyle w:val="NormalWeb"/>
        <w:shd w:val="clear" w:color="auto" w:fill="FFFFFF"/>
        <w:spacing w:after="300"/>
        <w:jc w:val="both"/>
      </w:pPr>
      <w:r>
        <w:t>Con las protestas climáticas impulsadas en gran parte en línea por la pandemia del coronavirus, Thunberg se unió a los científicos del clima, activistas y celebridades como el actor Leonardo DiCaprio y la escritora Margaret Atwood para firmar la carta que se publicó en https://climateemergencyeu.org.</w:t>
      </w:r>
    </w:p>
    <w:p w:rsidR="002A0373" w:rsidRPr="00E43FC9" w:rsidRDefault="002A0373" w:rsidP="002A0373">
      <w:pPr>
        <w:pStyle w:val="NormalWeb"/>
        <w:shd w:val="clear" w:color="auto" w:fill="FFFFFF"/>
        <w:spacing w:after="300"/>
        <w:jc w:val="both"/>
        <w:rPr>
          <w:color w:val="FF0000"/>
          <w:u w:val="single"/>
        </w:rPr>
      </w:pPr>
      <w:r w:rsidRPr="00E43FC9">
        <w:rPr>
          <w:color w:val="FF0000"/>
          <w:u w:val="single"/>
        </w:rPr>
        <w:t>“Cuanto más tiempo sigamos fingiendo que estamos en un camino fiable para reducir las emisiones y que las acciones necesarias para evitar un desastre climático están disponibles en el sistema actual... más tiempo precioso perderemos”, decía la carta.</w:t>
      </w:r>
    </w:p>
    <w:p w:rsidR="002A0373" w:rsidRDefault="002A0373" w:rsidP="002A0373">
      <w:pPr>
        <w:pStyle w:val="NormalWeb"/>
        <w:shd w:val="clear" w:color="auto" w:fill="FFFFFF"/>
        <w:spacing w:after="300"/>
        <w:jc w:val="both"/>
      </w:pPr>
      <w:r>
        <w:t>En ella se pedía que las políticas climáticas se diseñaran para proteger a los trabajadores y a los más vulnerables y reducir las desigualdades económicas, raciales y de género, así como medidas para “salvaguardar y proteger” la democracia.</w:t>
      </w:r>
    </w:p>
    <w:p w:rsidR="0096151B" w:rsidRDefault="0096151B" w:rsidP="0096151B">
      <w:pPr>
        <w:pStyle w:val="NormalWeb"/>
        <w:shd w:val="clear" w:color="auto" w:fill="FFFFFF"/>
        <w:spacing w:after="300"/>
        <w:jc w:val="both"/>
      </w:pPr>
      <w:r>
        <w:t xml:space="preserve">- </w:t>
      </w:r>
      <w:r w:rsidRPr="00183BFD">
        <w:rPr>
          <w:u w:val="single"/>
        </w:rPr>
        <w:t>Reimaginar el futuro de las habilidades: ¿qué piensan los jóvenes</w:t>
      </w:r>
      <w:r>
        <w:t>? (</w:t>
      </w:r>
      <w:r w:rsidRPr="00183BFD">
        <w:rPr>
          <w:b/>
        </w:rPr>
        <w:t>27/7/20</w:t>
      </w:r>
      <w:r>
        <w:t>)</w:t>
      </w:r>
    </w:p>
    <w:p w:rsidR="0096151B" w:rsidRDefault="0096151B" w:rsidP="0096151B">
      <w:pPr>
        <w:pStyle w:val="NormalWeb"/>
        <w:shd w:val="clear" w:color="auto" w:fill="FFFFFF"/>
        <w:spacing w:after="300"/>
        <w:jc w:val="both"/>
      </w:pPr>
      <w:r>
        <w:t>La conectividad digital y el aprendizaje en línea pueden ampliar las oportunidades para los jóvenes de todo el mundo</w:t>
      </w:r>
    </w:p>
    <w:p w:rsidR="0096151B" w:rsidRPr="00183BFD" w:rsidRDefault="0096151B" w:rsidP="0096151B">
      <w:pPr>
        <w:pStyle w:val="NormalWeb"/>
        <w:shd w:val="clear" w:color="auto" w:fill="FFFFFF"/>
        <w:spacing w:after="300"/>
        <w:jc w:val="both"/>
        <w:rPr>
          <w:lang w:val="en-US"/>
        </w:rPr>
      </w:pPr>
      <w:r>
        <w:rPr>
          <w:lang w:val="en-US"/>
        </w:rPr>
        <w:t xml:space="preserve">Henrietta H. Fore - </w:t>
      </w:r>
      <w:r w:rsidRPr="00183BFD">
        <w:rPr>
          <w:lang w:val="en-US"/>
        </w:rPr>
        <w:t>Executive Director, United Nations Children's Fund (UNICEF)</w:t>
      </w:r>
    </w:p>
    <w:p w:rsidR="0096151B" w:rsidRPr="00183BFD" w:rsidRDefault="0096151B" w:rsidP="0096151B">
      <w:pPr>
        <w:pStyle w:val="NormalWeb"/>
        <w:shd w:val="clear" w:color="auto" w:fill="FFFFFF"/>
        <w:spacing w:after="300"/>
        <w:jc w:val="both"/>
        <w:rPr>
          <w:lang w:val="en-US"/>
        </w:rPr>
      </w:pPr>
      <w:r>
        <w:rPr>
          <w:lang w:val="en-US"/>
        </w:rPr>
        <w:t>Robert E. Moritz - Global Chairman, PwC</w:t>
      </w:r>
      <w:r w:rsidRPr="00183BFD">
        <w:rPr>
          <w:lang w:val="en-US"/>
        </w:rPr>
        <w:t xml:space="preserve">  </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t>COVID-19 está proyectando una larga sombra sobre el futuro de los jóvenes de todo el mundo.</w:t>
      </w:r>
    </w:p>
    <w:p w:rsidR="0096151B" w:rsidRDefault="0096151B" w:rsidP="0096151B">
      <w:pPr>
        <w:pStyle w:val="NormalWeb"/>
        <w:shd w:val="clear" w:color="auto" w:fill="FFFFFF"/>
        <w:spacing w:after="300"/>
        <w:jc w:val="both"/>
      </w:pPr>
      <w:r>
        <w:t>En el Día Mundial de las Habilidades de la Juventud, preguntamos a los jóvenes su opinión sobre el rediseño de la educación y las habilidades para la era post-COVID.</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t>Para los niños y jóvenes que buscan obtener una educación y habilidades, COVID-19 ha hecho que una mala situación sea aún peor.</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t>Antes de la pandemia, se enfrentaban a un creciente desajuste entre las habilidades que estaban aprendiendo en la escuela y las necesarias para el empleo.</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t>Ahora, bajo la sombra de COVID-19, más de mil millones de personas están fuera de la escuela en total. Y millones de jóvenes que estaban a punto de incorporarse a la fuerza de trabajo no pueden encontrar trabajo.</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t>Este momento es una oportunidad importante para reimaginar cómo, y qué, se imparte la educación y las habilidades para preparar a los estudiantes para un mundo laboral que cambia rápidamente.</w:t>
      </w:r>
    </w:p>
    <w:p w:rsidR="0096151B" w:rsidRDefault="0096151B" w:rsidP="0096151B">
      <w:pPr>
        <w:pStyle w:val="NormalWeb"/>
        <w:shd w:val="clear" w:color="auto" w:fill="FFFFFF"/>
        <w:spacing w:after="300"/>
        <w:jc w:val="both"/>
      </w:pPr>
      <w:r>
        <w:t>Pero los gobiernos y las empresas no pueden abordar este problema por sí solos.</w:t>
      </w:r>
    </w:p>
    <w:p w:rsidR="0096151B" w:rsidRDefault="0096151B" w:rsidP="0096151B">
      <w:pPr>
        <w:pStyle w:val="NormalWeb"/>
        <w:shd w:val="clear" w:color="auto" w:fill="FFFFFF"/>
        <w:spacing w:after="300"/>
        <w:jc w:val="both"/>
      </w:pPr>
      <w:r>
        <w:lastRenderedPageBreak/>
        <w:t>En este Día Mundial de las Habilidades de la Juventud, decidimos reunir a jóvenes de Argelia, Argentina y Sudáfrica para escuchar sus ideas sobre cómo podemos rediseñar y reimaginar los sistemas educativos y de capacitación para satisfacer sus necesidades.</w:t>
      </w:r>
    </w:p>
    <w:p w:rsidR="0096151B" w:rsidRDefault="0096151B" w:rsidP="0096151B">
      <w:pPr>
        <w:pStyle w:val="NormalWeb"/>
        <w:shd w:val="clear" w:color="auto" w:fill="FFFFFF"/>
        <w:spacing w:after="300"/>
        <w:jc w:val="both"/>
      </w:pPr>
      <w:r>
        <w:t>En el debate virtual, moderado por Mari-Lisa Njenga, una defensora de la juventud de Kenya, se identificaron cuatro principios importantes que deberían guiar el cambio.</w:t>
      </w:r>
    </w:p>
    <w:p w:rsidR="0096151B" w:rsidRPr="005002B9" w:rsidRDefault="0096151B" w:rsidP="0096151B">
      <w:pPr>
        <w:pStyle w:val="NormalWeb"/>
        <w:shd w:val="clear" w:color="auto" w:fill="FFFFFF"/>
        <w:spacing w:after="300"/>
        <w:jc w:val="both"/>
        <w:rPr>
          <w:color w:val="FF0000"/>
          <w:u w:val="single"/>
        </w:rPr>
      </w:pPr>
      <w:r w:rsidRPr="005002B9">
        <w:rPr>
          <w:color w:val="FF0000"/>
        </w:rPr>
        <w:t xml:space="preserve">1. </w:t>
      </w:r>
      <w:r w:rsidRPr="005002B9">
        <w:rPr>
          <w:color w:val="FF0000"/>
          <w:u w:val="single"/>
        </w:rPr>
        <w:t>Habilidades modernas, no planes de estudio anticuados</w:t>
      </w:r>
    </w:p>
    <w:p w:rsidR="0096151B" w:rsidRDefault="0096151B" w:rsidP="0096151B">
      <w:pPr>
        <w:pStyle w:val="NormalWeb"/>
        <w:shd w:val="clear" w:color="auto" w:fill="FFFFFF"/>
        <w:spacing w:after="300"/>
        <w:jc w:val="both"/>
      </w:pPr>
      <w:r w:rsidRPr="00183BFD">
        <w:rPr>
          <w:i/>
        </w:rPr>
        <w:t>Tienes maestros del siglo XX educando a estudiantes del siglo XXI. Es como una brecha de 100 años</w:t>
      </w:r>
      <w:r>
        <w:t>. -Ulises Brengi, 22, Argentina</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t>Había una fuerte sensación de que las escuelas y universidades no están actualmente equipando a los jóvenes con las habilidades adecuadas, y no están enseñando de una manera que aproveche al máximo la tecnología moderna y que resuene con los jóvenes de hoy en día.</w:t>
      </w:r>
    </w:p>
    <w:p w:rsidR="0096151B" w:rsidRDefault="0096151B" w:rsidP="0096151B">
      <w:pPr>
        <w:pStyle w:val="NormalWeb"/>
        <w:shd w:val="clear" w:color="auto" w:fill="FFFFFF"/>
        <w:spacing w:after="300"/>
        <w:jc w:val="both"/>
      </w:pPr>
      <w:r>
        <w:t>“Creo que debemos hacer que los educadores sean conscientes del hecho de que los planes de estudio de la educación están anticuados”, dijo Rafik Amrani, de 20 años, que estudia ciencias empresariales e informáticas en la Universidad Americana de Beirut. Cree que las empresas tienen un papel importante que desempeñar. “Saben cuáles son las habilidades que les faltan a sus reclutas para poder decir a los educadores cuáles son las habilidades relevantes”, añadió.</w:t>
      </w:r>
    </w:p>
    <w:p w:rsidR="0096151B" w:rsidRPr="005002B9" w:rsidRDefault="0096151B" w:rsidP="0096151B">
      <w:pPr>
        <w:pStyle w:val="NormalWeb"/>
        <w:shd w:val="clear" w:color="auto" w:fill="FFFFFF"/>
        <w:spacing w:after="300"/>
        <w:jc w:val="both"/>
        <w:rPr>
          <w:color w:val="FF0000"/>
        </w:rPr>
      </w:pPr>
      <w:r w:rsidRPr="005002B9">
        <w:rPr>
          <w:color w:val="FF0000"/>
        </w:rPr>
        <w:t xml:space="preserve">2. </w:t>
      </w:r>
      <w:r w:rsidRPr="005002B9">
        <w:rPr>
          <w:color w:val="FF0000"/>
          <w:u w:val="single"/>
        </w:rPr>
        <w:t>Las habilidades sociales son la clave</w:t>
      </w:r>
    </w:p>
    <w:p w:rsidR="0096151B" w:rsidRPr="00183BFD" w:rsidRDefault="0096151B" w:rsidP="0096151B">
      <w:pPr>
        <w:pStyle w:val="NormalWeb"/>
        <w:shd w:val="clear" w:color="auto" w:fill="FFFFFF"/>
        <w:spacing w:after="300"/>
        <w:jc w:val="both"/>
        <w:rPr>
          <w:i/>
        </w:rPr>
      </w:pPr>
      <w:r w:rsidRPr="00183BFD">
        <w:rPr>
          <w:i/>
        </w:rPr>
        <w:t xml:space="preserve">Los jóvenes necesitan una fuerte capacidad de comunicación y promoción para poder pedir lo que </w:t>
      </w:r>
      <w:r>
        <w:rPr>
          <w:i/>
        </w:rPr>
        <w:t>necesitan e impulsar el cambio.</w:t>
      </w:r>
      <w:r>
        <w:t xml:space="preserve"> -Maryam Elgoni, 25 años, Sudáfrica</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t>Los jóvenes participantes estuvieron de acuerdo en que para tener éxito en el futuro del trabajo, su generación necesitará fuertes habilidades blandas como la comunicación, el pensamiento crítico y la capacidad de recuperación, y que necesitarán seguir aprendiendo durante toda su vida.</w:t>
      </w:r>
    </w:p>
    <w:p w:rsidR="0096151B" w:rsidRDefault="0096151B" w:rsidP="0096151B">
      <w:pPr>
        <w:pStyle w:val="NormalWeb"/>
        <w:shd w:val="clear" w:color="auto" w:fill="FFFFFF"/>
        <w:spacing w:after="300"/>
        <w:jc w:val="both"/>
      </w:pPr>
      <w:r>
        <w:t>“Cuando una política no existe o una norma está a favor de un grupo específico en su comunidad, es necesario saber cómo se puede cambiar eso”, dijo Maryam Elgoni, estudiante de maestría en relaciones internacionales. “Por ejemplo, cómo iniciar una petición, organizar una marcha, o contribuir eficazmente a una política o al programa de tu empresa”.</w:t>
      </w:r>
    </w:p>
    <w:p w:rsidR="0096151B" w:rsidRDefault="0096151B" w:rsidP="0096151B">
      <w:pPr>
        <w:pStyle w:val="NormalWeb"/>
        <w:shd w:val="clear" w:color="auto" w:fill="FFFFFF"/>
        <w:spacing w:after="300"/>
        <w:jc w:val="both"/>
      </w:pPr>
      <w:r>
        <w:t>Según Ulises Brengi, estudiante de arquitectura paisajística en la Universidad de Buenos Aires, tenemos que dejar de considerar las habilidades como de alto nivel, el conocimiento académico, y más como habilidades humanas. “Espero que esta crisis nos lleve a una nueva economía más responsable, no sólo basada en la obtención de beneficios. Para lograrlo, necesitamos personas con fuertes habilidades sociales”, añadió.</w:t>
      </w:r>
    </w:p>
    <w:p w:rsidR="0096151B" w:rsidRPr="005002B9" w:rsidRDefault="0096151B" w:rsidP="0096151B">
      <w:pPr>
        <w:pStyle w:val="NormalWeb"/>
        <w:shd w:val="clear" w:color="auto" w:fill="FFFFFF"/>
        <w:spacing w:after="300"/>
        <w:jc w:val="both"/>
        <w:rPr>
          <w:color w:val="FF0000"/>
          <w:u w:val="single"/>
        </w:rPr>
      </w:pPr>
      <w:r w:rsidRPr="005002B9">
        <w:rPr>
          <w:color w:val="FF0000"/>
        </w:rPr>
        <w:t xml:space="preserve">3. </w:t>
      </w:r>
      <w:r w:rsidRPr="005002B9">
        <w:rPr>
          <w:color w:val="FF0000"/>
          <w:u w:val="single"/>
        </w:rPr>
        <w:t>Conectividad digital y aprendizaje digital</w:t>
      </w:r>
    </w:p>
    <w:p w:rsidR="0096151B" w:rsidRPr="00183BFD" w:rsidRDefault="0096151B" w:rsidP="0096151B">
      <w:pPr>
        <w:pStyle w:val="NormalWeb"/>
        <w:shd w:val="clear" w:color="auto" w:fill="FFFFFF"/>
        <w:spacing w:after="300"/>
        <w:jc w:val="both"/>
        <w:rPr>
          <w:i/>
        </w:rPr>
      </w:pPr>
      <w:r w:rsidRPr="00183BFD">
        <w:rPr>
          <w:i/>
        </w:rPr>
        <w:t>Esta crisis nos ha enseñado que el aprendizaje en línea es posible. Nos ha enseñado cómo usar las herramientas online para intercambiar h</w:t>
      </w:r>
      <w:r>
        <w:rPr>
          <w:i/>
        </w:rPr>
        <w:t xml:space="preserve">abilidades, enseñar y aprender. </w:t>
      </w:r>
      <w:r>
        <w:t>-Rafik Amrani, 19 años, Argelia</w:t>
      </w:r>
    </w:p>
    <w:p w:rsidR="0096151B" w:rsidRPr="005002B9" w:rsidRDefault="0096151B" w:rsidP="0096151B">
      <w:pPr>
        <w:pStyle w:val="NormalWeb"/>
        <w:shd w:val="clear" w:color="auto" w:fill="FFFFFF"/>
        <w:spacing w:after="300"/>
        <w:jc w:val="both"/>
        <w:rPr>
          <w:color w:val="FF0000"/>
          <w:u w:val="single"/>
        </w:rPr>
      </w:pPr>
      <w:r w:rsidRPr="005002B9">
        <w:rPr>
          <w:color w:val="FF0000"/>
          <w:u w:val="single"/>
        </w:rPr>
        <w:lastRenderedPageBreak/>
        <w:t>Otro tema que se planteó con fuerza fue el potencial de la conectividad digital y el aprendizaje en línea para ampliar el acceso a las oportunidades para los jóvenes de todo el mundo.</w:t>
      </w:r>
    </w:p>
    <w:p w:rsidR="0096151B" w:rsidRDefault="0096151B" w:rsidP="0096151B">
      <w:pPr>
        <w:pStyle w:val="NormalWeb"/>
        <w:shd w:val="clear" w:color="auto" w:fill="FFFFFF"/>
        <w:spacing w:after="300"/>
        <w:jc w:val="both"/>
      </w:pPr>
      <w:r>
        <w:t>“Para reimaginar el futuro de las habilidades, creo que necesitamos programas de intercambio de aprendizaje en línea más diversos. Y si podemos asegurarnos de que todos los jóvenes, en todas partes, tengan acceso a un teléfono móvil y a Internet, es una forma de construir un futuro más justo para las aptitudes”, añadió Brengi.</w:t>
      </w:r>
    </w:p>
    <w:p w:rsidR="0096151B" w:rsidRPr="005002B9" w:rsidRDefault="0096151B" w:rsidP="0096151B">
      <w:pPr>
        <w:pStyle w:val="NormalWeb"/>
        <w:shd w:val="clear" w:color="auto" w:fill="FFFFFF"/>
        <w:spacing w:after="300"/>
        <w:jc w:val="both"/>
        <w:rPr>
          <w:color w:val="FF0000"/>
          <w:u w:val="single"/>
        </w:rPr>
      </w:pPr>
      <w:r w:rsidRPr="005002B9">
        <w:rPr>
          <w:color w:val="FF0000"/>
        </w:rPr>
        <w:t xml:space="preserve">4. </w:t>
      </w:r>
      <w:r w:rsidRPr="005002B9">
        <w:rPr>
          <w:color w:val="FF0000"/>
          <w:u w:val="single"/>
        </w:rPr>
        <w:t>Llegar a las comunidades vulnerables</w:t>
      </w:r>
    </w:p>
    <w:p w:rsidR="0096151B" w:rsidRPr="00183BFD" w:rsidRDefault="0096151B" w:rsidP="0096151B">
      <w:pPr>
        <w:pStyle w:val="NormalWeb"/>
        <w:shd w:val="clear" w:color="auto" w:fill="FFFFFF"/>
        <w:spacing w:after="300"/>
        <w:jc w:val="both"/>
        <w:rPr>
          <w:i/>
        </w:rPr>
      </w:pPr>
      <w:r w:rsidRPr="00183BFD">
        <w:rPr>
          <w:i/>
        </w:rPr>
        <w:t>En Sudán, donde crecí, no necesariamente aspiras a ser ingeniero, aspiras a ser la esposa de algui</w:t>
      </w:r>
      <w:r>
        <w:rPr>
          <w:i/>
        </w:rPr>
        <w:t>en y creo que eso debe cambiar.</w:t>
      </w:r>
      <w:r>
        <w:t xml:space="preserve"> -Maryam Elgoni, 25 años, Sudáfrica</w:t>
      </w:r>
    </w:p>
    <w:p w:rsidR="0096151B" w:rsidRDefault="0096151B" w:rsidP="0096151B">
      <w:pPr>
        <w:pStyle w:val="NormalWeb"/>
        <w:shd w:val="clear" w:color="auto" w:fill="FFFFFF"/>
        <w:spacing w:after="300"/>
        <w:jc w:val="both"/>
      </w:pPr>
      <w:r>
        <w:t>El acceso fue otro tema clave que discutimos durante la sesión. “Es la noción de descentralizar la educación y entender que no sólo ocurre en el aula”, explicó Elgoni. “También se trata específicamente de llegar a los que están en situaciones vulnerables”.</w:t>
      </w:r>
    </w:p>
    <w:p w:rsidR="0096151B" w:rsidRDefault="0096151B" w:rsidP="0096151B">
      <w:pPr>
        <w:pStyle w:val="NormalWeb"/>
        <w:shd w:val="clear" w:color="auto" w:fill="FFFFFF"/>
        <w:spacing w:after="300"/>
        <w:jc w:val="both"/>
      </w:pPr>
      <w:r>
        <w:t>“En el lado de los negocios, se trata de crear oportunidades para las personas en espacios vulnerables”, añadió. “Cuando se piensa en personas que hacen prácticas, a menudo es porque están en los suburbios o pueden acceder a los parques de oficinas. Tenemos que asegurarnos de que los jóvenes de las comunidades vulnerables también tengan acceso a esas oportunidades”.</w:t>
      </w:r>
    </w:p>
    <w:p w:rsidR="0096151B" w:rsidRDefault="0096151B" w:rsidP="0096151B">
      <w:pPr>
        <w:pStyle w:val="NormalWeb"/>
        <w:shd w:val="clear" w:color="auto" w:fill="FFFFFF"/>
        <w:spacing w:after="300"/>
        <w:jc w:val="both"/>
      </w:pPr>
      <w:r>
        <w:t>Elgoni también compartía una poderosa visión del futuro a la que todos deberíamos aspirar: “Espero un futuro en el que cada joven que tenga un sueño nunca sentirá que su sueño está limitado por sus circunstancias”, dijo. “Que no hay ninguna habilidad que sea inalcanzable debido a quién eres o dónde estás”.</w:t>
      </w:r>
    </w:p>
    <w:p w:rsidR="0096151B" w:rsidRDefault="0096151B" w:rsidP="0096151B">
      <w:pPr>
        <w:pStyle w:val="NormalWeb"/>
        <w:shd w:val="clear" w:color="auto" w:fill="FFFFFF"/>
        <w:spacing w:after="300"/>
        <w:jc w:val="both"/>
      </w:pPr>
      <w:r>
        <w:t xml:space="preserve">La sesión fue sólo una expresión de nuestro compromiso compartido de ayudar a abordar la creciente brecha entre las habilidades que tienen las personas y las que se necesitan para el nuevo mundo digital. A principios de este año, PwC y UNICEF se embarcaron en una colaboración global para ayudar a mejorar las habilidades de millones de jóvenes en todo el mundo. Además, como socios fundadores de la Plataforma de la Revolución de la Capacitación del Foro Económico Mundial, nuestras organizaciones están contribuyendo a la iniciativa de proporcionar mejores trabajos, educación y habilidades a mil millones de personas para el año 2030. También apoyamos la iniciativa Great Reset del Foro, destinada a crear un mundo más justo y sostenible después de la pandemia. (PwC se refiere a la red de PwC y/o a una o más de sus firmas miembro, cada una de las cuales es una entidad legal independiente. Para más detalles, véase </w:t>
      </w:r>
      <w:hyperlink r:id="rId143" w:history="1">
        <w:r w:rsidRPr="00CB32B0">
          <w:rPr>
            <w:rStyle w:val="Hipervnculo"/>
            <w:rFonts w:eastAsiaTheme="majorEastAsia"/>
            <w:color w:val="auto"/>
            <w:u w:val="none"/>
          </w:rPr>
          <w:t>www.pwc.com/structure</w:t>
        </w:r>
      </w:hyperlink>
      <w:r>
        <w:t>)</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001F5">
        <w:rPr>
          <w:rFonts w:ascii="Times New Roman" w:hAnsi="Times New Roman" w:cs="Times New Roman"/>
          <w:sz w:val="24"/>
          <w:szCs w:val="24"/>
          <w:u w:val="single"/>
        </w:rPr>
        <w:t>COVID-19: las 4 claves del Gran Reinicio</w:t>
      </w:r>
      <w:r>
        <w:rPr>
          <w:rFonts w:ascii="Times New Roman" w:hAnsi="Times New Roman" w:cs="Times New Roman"/>
          <w:sz w:val="24"/>
          <w:szCs w:val="24"/>
        </w:rPr>
        <w:t xml:space="preserve"> (</w:t>
      </w:r>
      <w:r w:rsidRPr="003001F5">
        <w:rPr>
          <w:rFonts w:ascii="Times New Roman" w:hAnsi="Times New Roman" w:cs="Times New Roman"/>
          <w:b/>
          <w:sz w:val="24"/>
          <w:szCs w:val="24"/>
        </w:rPr>
        <w:t>21/8/20</w:t>
      </w:r>
      <w:r>
        <w:rPr>
          <w:rFonts w:ascii="Times New Roman" w:hAnsi="Times New Roman" w:cs="Times New Roman"/>
          <w:sz w:val="24"/>
          <w:szCs w:val="24"/>
        </w:rPr>
        <w:t>)</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001F5">
        <w:rPr>
          <w:rFonts w:ascii="Times New Roman" w:hAnsi="Times New Roman" w:cs="Times New Roman"/>
          <w:sz w:val="24"/>
          <w:szCs w:val="24"/>
        </w:rPr>
        <w:t>Hilary Sutcliffe</w:t>
      </w:r>
      <w:r>
        <w:rPr>
          <w:rFonts w:ascii="Times New Roman" w:hAnsi="Times New Roman" w:cs="Times New Roman"/>
          <w:sz w:val="24"/>
          <w:szCs w:val="24"/>
        </w:rPr>
        <w:t>)</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rPr>
      </w:pPr>
      <w:r w:rsidRPr="008543B4">
        <w:rPr>
          <w:rFonts w:ascii="Times New Roman" w:hAnsi="Times New Roman" w:cs="Times New Roman"/>
          <w:color w:val="FF0000"/>
          <w:sz w:val="24"/>
          <w:szCs w:val="24"/>
        </w:rPr>
        <w:t>Se necesitan nuevas ideas para catalizar el Gran Reinicio tras la crisis de la COVID-19.</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rPr>
      </w:pPr>
      <w:r w:rsidRPr="008543B4">
        <w:rPr>
          <w:rFonts w:ascii="Times New Roman" w:hAnsi="Times New Roman" w:cs="Times New Roman"/>
          <w:color w:val="FF0000"/>
          <w:sz w:val="24"/>
          <w:szCs w:val="24"/>
        </w:rPr>
        <w:t>El cambio puede ser tan sencillo como un cambio de actitud</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rPr>
      </w:pPr>
      <w:r w:rsidRPr="008543B4">
        <w:rPr>
          <w:rFonts w:ascii="Times New Roman" w:hAnsi="Times New Roman" w:cs="Times New Roman"/>
          <w:color w:val="FF0000"/>
          <w:sz w:val="24"/>
          <w:szCs w:val="24"/>
        </w:rPr>
        <w:t>Una mayor conexión entre líderes y personas puede lograr cambios efectivos</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3001F5">
        <w:rPr>
          <w:rFonts w:ascii="Times New Roman" w:hAnsi="Times New Roman" w:cs="Times New Roman"/>
          <w:sz w:val="24"/>
          <w:szCs w:val="24"/>
        </w:rPr>
        <w:lastRenderedPageBreak/>
        <w:t>La iniciativa del Gran Reinicio del Foro Económico Mundial busca nuevas ideas para aprovechar este momento único en la historia que ofrece la interrupción de la economía, la política y la vida diaria para catalizar un nuevo enfoque en el funcion</w:t>
      </w:r>
      <w:r>
        <w:rPr>
          <w:rFonts w:ascii="Times New Roman" w:hAnsi="Times New Roman" w:cs="Times New Roman"/>
          <w:sz w:val="24"/>
          <w:szCs w:val="24"/>
        </w:rPr>
        <w:t>amiento de nuestras sociedades.</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3001F5">
        <w:rPr>
          <w:rFonts w:ascii="Times New Roman" w:hAnsi="Times New Roman" w:cs="Times New Roman"/>
          <w:sz w:val="24"/>
          <w:szCs w:val="24"/>
        </w:rPr>
        <w:t>A continuación, vemos cuatro claves importantes para lograr este objetivo: actitud, métrica</w:t>
      </w:r>
      <w:r>
        <w:rPr>
          <w:rFonts w:ascii="Times New Roman" w:hAnsi="Times New Roman" w:cs="Times New Roman"/>
          <w:sz w:val="24"/>
          <w:szCs w:val="24"/>
        </w:rPr>
        <w:t>, incentivos y conexión.</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u w:val="single"/>
        </w:rPr>
      </w:pPr>
      <w:r w:rsidRPr="008543B4">
        <w:rPr>
          <w:rFonts w:ascii="Times New Roman" w:hAnsi="Times New Roman" w:cs="Times New Roman"/>
          <w:color w:val="FF0000"/>
          <w:sz w:val="24"/>
          <w:szCs w:val="24"/>
        </w:rPr>
        <w:t>1.</w:t>
      </w:r>
      <w:r w:rsidRPr="008543B4">
        <w:rPr>
          <w:rFonts w:ascii="Times New Roman" w:hAnsi="Times New Roman" w:cs="Times New Roman"/>
          <w:color w:val="FF0000"/>
          <w:sz w:val="24"/>
          <w:szCs w:val="24"/>
          <w:u w:val="single"/>
        </w:rPr>
        <w:t xml:space="preserve"> Cambio de actitud: si lo conseguimos una vez, lo podemos conseguir de nuevo</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8543B4">
        <w:rPr>
          <w:rFonts w:ascii="Times New Roman" w:hAnsi="Times New Roman" w:cs="Times New Roman"/>
          <w:color w:val="FF0000"/>
          <w:sz w:val="24"/>
          <w:szCs w:val="24"/>
          <w:u w:val="single"/>
        </w:rPr>
        <w:t>El primer cambio tendrá que ser un cambio de actitud</w:t>
      </w:r>
      <w:r w:rsidRPr="003001F5">
        <w:rPr>
          <w:rFonts w:ascii="Times New Roman" w:hAnsi="Times New Roman" w:cs="Times New Roman"/>
          <w:sz w:val="24"/>
          <w:szCs w:val="24"/>
        </w:rPr>
        <w:t>. Dos nuevos libros impactantes, Capital and Ideology, de Thomas Piketty</w:t>
      </w:r>
      <w:r>
        <w:rPr>
          <w:rFonts w:ascii="Times New Roman" w:hAnsi="Times New Roman" w:cs="Times New Roman"/>
          <w:sz w:val="24"/>
          <w:szCs w:val="24"/>
        </w:rPr>
        <w:t xml:space="preserve"> y Humankind, de Rutger Bregman</w:t>
      </w:r>
      <w:r w:rsidRPr="003001F5">
        <w:rPr>
          <w:rFonts w:ascii="Times New Roman" w:hAnsi="Times New Roman" w:cs="Times New Roman"/>
          <w:sz w:val="24"/>
          <w:szCs w:val="24"/>
        </w:rPr>
        <w:t>, reflejan cómo nuestra perspectiva actual se basa en hipótesis ampliamente equivocadas y que es posible realizar una transformación drá</w:t>
      </w:r>
      <w:r>
        <w:rPr>
          <w:rFonts w:ascii="Times New Roman" w:hAnsi="Times New Roman" w:cs="Times New Roman"/>
          <w:sz w:val="24"/>
          <w:szCs w:val="24"/>
        </w:rPr>
        <w:t>stica con un cambio de actitud.</w:t>
      </w:r>
    </w:p>
    <w:p w:rsidR="00FE2170" w:rsidRPr="008543B4" w:rsidRDefault="00FE2170" w:rsidP="00FE2170">
      <w:pPr>
        <w:spacing w:before="100" w:beforeAutospacing="1" w:after="100" w:afterAutospacing="1" w:line="240" w:lineRule="auto"/>
        <w:jc w:val="both"/>
        <w:rPr>
          <w:rFonts w:ascii="Times New Roman" w:hAnsi="Times New Roman" w:cs="Times New Roman"/>
          <w:sz w:val="24"/>
          <w:szCs w:val="24"/>
          <w:u w:val="single"/>
        </w:rPr>
      </w:pPr>
      <w:r w:rsidRPr="008543B4">
        <w:rPr>
          <w:rFonts w:ascii="Times New Roman" w:hAnsi="Times New Roman" w:cs="Times New Roman"/>
          <w:sz w:val="24"/>
          <w:szCs w:val="24"/>
          <w:u w:val="single"/>
        </w:rPr>
        <w:t>Piketty desafía una premisa básica del capitalismo: que la desigualdad es simplemente un subproducto desafortunado del progreso. Afirma que la desigualdad es una opción política que se basa en una ideología deficiente -el mercado proveerá- y no en el resultado inevitable de la tecnología y la globalización. Piketty demuestra que ni es verdad ni es algo irreversible.</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8543B4">
        <w:rPr>
          <w:rFonts w:ascii="Times New Roman" w:hAnsi="Times New Roman" w:cs="Times New Roman"/>
          <w:sz w:val="24"/>
          <w:szCs w:val="24"/>
          <w:u w:val="single"/>
        </w:rPr>
        <w:t>Rutger Bregman explota un mito aún más consolidado: que los seres humanos son intrínsecamente egoístas, poco colaborativos y agresivos y, sin la influencia civilizadora de gobiernos y líderes, el orden se fragmentaría y reinaría el caos</w:t>
      </w:r>
      <w:r w:rsidRPr="003001F5">
        <w:rPr>
          <w:rFonts w:ascii="Times New Roman" w:hAnsi="Times New Roman" w:cs="Times New Roman"/>
          <w:sz w:val="24"/>
          <w:szCs w:val="24"/>
        </w:rPr>
        <w:t xml:space="preserve">. </w:t>
      </w:r>
      <w:r w:rsidRPr="008543B4">
        <w:rPr>
          <w:rFonts w:ascii="Times New Roman" w:hAnsi="Times New Roman" w:cs="Times New Roman"/>
          <w:sz w:val="24"/>
          <w:szCs w:val="24"/>
          <w:u w:val="single"/>
        </w:rPr>
        <w:t>Su investigación de más de 200.000 años de historia de la humanidad refleja que en realidad estamos mentalmente programados para ser bondadosos, colaborativos y atentos. Sin embargo, dirigimos nuestros países, nuestras instituciones cívicas, empresas, centros educativos e incluso a menudo nuestras familias asumiendo esta afirmación tan negativa y equivocada sobre el comportamiento humano</w:t>
      </w:r>
      <w:r w:rsidRPr="003001F5">
        <w:rPr>
          <w:rFonts w:ascii="Times New Roman" w:hAnsi="Times New Roman" w:cs="Times New Roman"/>
          <w:sz w:val="24"/>
          <w:szCs w:val="24"/>
        </w:rPr>
        <w:t>. Bregman demuestra que, cambiando esta hipótesis, todo cambia con ejemplos de la vida real tomados de entornos tan dispares como el sistema de cárceles noruego o el mund</w:t>
      </w:r>
      <w:r>
        <w:rPr>
          <w:rFonts w:ascii="Times New Roman" w:hAnsi="Times New Roman" w:cs="Times New Roman"/>
          <w:sz w:val="24"/>
          <w:szCs w:val="24"/>
        </w:rPr>
        <w:t>o real del Señor de las moscas.</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u w:val="single"/>
        </w:rPr>
      </w:pPr>
      <w:r w:rsidRPr="008543B4">
        <w:rPr>
          <w:rFonts w:ascii="Times New Roman" w:hAnsi="Times New Roman" w:cs="Times New Roman"/>
          <w:color w:val="FF0000"/>
          <w:sz w:val="24"/>
          <w:szCs w:val="24"/>
          <w:u w:val="single"/>
        </w:rPr>
        <w:t>Lo que ambos libros afirman es que nuestra visión del mundo es inventada. Inventada por un número de personas sorprendentemente reducido, pero tristemente influyente, de Maquiavelo a Adam Smith pasando por Milton Friedman y William Golding. Pero si lo conseguimos una vez, podemos conseguirlo de nuevo, y hay muchas personas con nuevas y grandes ideas para trabajar si empezamos a tomárnoslo en serio.</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3001F5">
        <w:rPr>
          <w:rFonts w:ascii="Times New Roman" w:hAnsi="Times New Roman" w:cs="Times New Roman"/>
          <w:sz w:val="24"/>
          <w:szCs w:val="24"/>
        </w:rPr>
        <w:t>La pandemia de la COVID-19 ha mostrado la verdad en ambos frentes. Lo importante, como dice Henr</w:t>
      </w:r>
      <w:r>
        <w:rPr>
          <w:rFonts w:ascii="Times New Roman" w:hAnsi="Times New Roman" w:cs="Times New Roman"/>
          <w:sz w:val="24"/>
          <w:szCs w:val="24"/>
        </w:rPr>
        <w:t>y Ford, es darse cuenta de que “</w:t>
      </w:r>
      <w:r w:rsidRPr="003001F5">
        <w:rPr>
          <w:rFonts w:ascii="Times New Roman" w:hAnsi="Times New Roman" w:cs="Times New Roman"/>
          <w:sz w:val="24"/>
          <w:szCs w:val="24"/>
        </w:rPr>
        <w:t xml:space="preserve">tanto si crees que puedes como si </w:t>
      </w:r>
      <w:r>
        <w:rPr>
          <w:rFonts w:ascii="Times New Roman" w:hAnsi="Times New Roman" w:cs="Times New Roman"/>
          <w:sz w:val="24"/>
          <w:szCs w:val="24"/>
        </w:rPr>
        <w:t>no, en ambos casos tienes razón”</w:t>
      </w:r>
      <w:r w:rsidRPr="003001F5">
        <w:rPr>
          <w:rFonts w:ascii="Times New Roman" w:hAnsi="Times New Roman" w:cs="Times New Roman"/>
          <w:sz w:val="24"/>
          <w:szCs w:val="24"/>
        </w:rPr>
        <w:t>.</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rPr>
      </w:pPr>
      <w:r w:rsidRPr="008543B4">
        <w:rPr>
          <w:rFonts w:ascii="Times New Roman" w:hAnsi="Times New Roman" w:cs="Times New Roman"/>
          <w:color w:val="FF0000"/>
          <w:sz w:val="24"/>
          <w:szCs w:val="24"/>
        </w:rPr>
        <w:t xml:space="preserve">2. </w:t>
      </w:r>
      <w:r w:rsidRPr="008543B4">
        <w:rPr>
          <w:rFonts w:ascii="Times New Roman" w:hAnsi="Times New Roman" w:cs="Times New Roman"/>
          <w:color w:val="FF0000"/>
          <w:sz w:val="24"/>
          <w:szCs w:val="24"/>
          <w:u w:val="single"/>
        </w:rPr>
        <w:t>Crear una nueva métrica: medir lo importante lo cambiará todo</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u w:val="single"/>
        </w:rPr>
      </w:pPr>
      <w:r w:rsidRPr="008543B4">
        <w:rPr>
          <w:rFonts w:ascii="Times New Roman" w:hAnsi="Times New Roman" w:cs="Times New Roman"/>
          <w:color w:val="FF0000"/>
          <w:sz w:val="24"/>
          <w:szCs w:val="24"/>
          <w:u w:val="single"/>
        </w:rPr>
        <w:t>El PIB mide los parámetros equivocados. Medir los parámetros correctos proporcionará a los gobiernos, las empresas y los ciudadanos los conocimientos necesarios para adoptar medidas arriesgadas y desafiantes, pero necesarias para cambiar a un modo de vida más centrado en las personas y en el planeta.</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u w:val="single"/>
        </w:rPr>
      </w:pPr>
      <w:r w:rsidRPr="008543B4">
        <w:rPr>
          <w:rFonts w:ascii="Times New Roman" w:hAnsi="Times New Roman" w:cs="Times New Roman"/>
          <w:color w:val="FF0000"/>
          <w:sz w:val="24"/>
          <w:szCs w:val="24"/>
          <w:u w:val="single"/>
        </w:rPr>
        <w:t xml:space="preserve">El PIB falla en muchísimos aspectos: mide la riqueza, pero ignora su distribución. Ni siquiera contempla los costes humanos y financieros del capitalismo, los “factores externos” como el </w:t>
      </w:r>
      <w:r w:rsidRPr="008543B4">
        <w:rPr>
          <w:rFonts w:ascii="Times New Roman" w:hAnsi="Times New Roman" w:cs="Times New Roman"/>
          <w:color w:val="FF0000"/>
          <w:sz w:val="24"/>
          <w:szCs w:val="24"/>
          <w:u w:val="single"/>
        </w:rPr>
        <w:lastRenderedPageBreak/>
        <w:t>bienestar social, la degradación ambiental y los costes sociales, mentales y físicos de las innovaciones.</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8543B4">
        <w:rPr>
          <w:rFonts w:ascii="Times New Roman" w:hAnsi="Times New Roman" w:cs="Times New Roman"/>
          <w:color w:val="FF0000"/>
          <w:sz w:val="24"/>
          <w:szCs w:val="24"/>
          <w:u w:val="single"/>
        </w:rPr>
        <w:t>La insatisfacción con el PIB es generalizada y existen numerosas alternativas que se están probando centradas en el bienestar de las personas y del planeta</w:t>
      </w:r>
      <w:r w:rsidRPr="003001F5">
        <w:rPr>
          <w:rFonts w:ascii="Times New Roman" w:hAnsi="Times New Roman" w:cs="Times New Roman"/>
          <w:sz w:val="24"/>
          <w:szCs w:val="24"/>
        </w:rPr>
        <w:t>: por ejemplo, los índices de desarrollo humano y desarrollo social de las Naciones Unidas, las métricas de bienestar, el índice de progreso real, el índice del planeta feliz y una iniciativa para utiliz</w:t>
      </w:r>
      <w:r>
        <w:rPr>
          <w:rFonts w:ascii="Times New Roman" w:hAnsi="Times New Roman" w:cs="Times New Roman"/>
          <w:sz w:val="24"/>
          <w:szCs w:val="24"/>
        </w:rPr>
        <w:t>ar la felicidad nacional bruta.</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3001F5">
        <w:rPr>
          <w:rFonts w:ascii="Times New Roman" w:hAnsi="Times New Roman" w:cs="Times New Roman"/>
          <w:sz w:val="24"/>
          <w:szCs w:val="24"/>
        </w:rPr>
        <w:t xml:space="preserve">Como </w:t>
      </w:r>
      <w:r>
        <w:rPr>
          <w:rFonts w:ascii="Times New Roman" w:hAnsi="Times New Roman" w:cs="Times New Roman"/>
          <w:sz w:val="24"/>
          <w:szCs w:val="24"/>
        </w:rPr>
        <w:t>dicta el refrán: “lo que se mide se gestiona”</w:t>
      </w:r>
      <w:r w:rsidRPr="003001F5">
        <w:rPr>
          <w:rFonts w:ascii="Times New Roman" w:hAnsi="Times New Roman" w:cs="Times New Roman"/>
          <w:sz w:val="24"/>
          <w:szCs w:val="24"/>
        </w:rPr>
        <w:t>. El Gran Reinicio debe tomarse en serio esta lección e iniciar la transformación adoptando un planteamiento nuevo sobr</w:t>
      </w:r>
      <w:r>
        <w:rPr>
          <w:rFonts w:ascii="Times New Roman" w:hAnsi="Times New Roman" w:cs="Times New Roman"/>
          <w:sz w:val="24"/>
          <w:szCs w:val="24"/>
        </w:rPr>
        <w:t>e lo verdaderamente importante.</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u w:val="single"/>
        </w:rPr>
      </w:pPr>
      <w:r w:rsidRPr="008543B4">
        <w:rPr>
          <w:rFonts w:ascii="Times New Roman" w:hAnsi="Times New Roman" w:cs="Times New Roman"/>
          <w:color w:val="FF0000"/>
          <w:sz w:val="24"/>
          <w:szCs w:val="24"/>
        </w:rPr>
        <w:t xml:space="preserve">3. </w:t>
      </w:r>
      <w:r w:rsidRPr="008543B4">
        <w:rPr>
          <w:rFonts w:ascii="Times New Roman" w:hAnsi="Times New Roman" w:cs="Times New Roman"/>
          <w:color w:val="FF0000"/>
          <w:sz w:val="24"/>
          <w:szCs w:val="24"/>
          <w:u w:val="single"/>
        </w:rPr>
        <w:t>Diseño de nuevos incentivos: obtenemos lo que pagamos</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8543B4">
        <w:rPr>
          <w:rFonts w:ascii="Times New Roman" w:hAnsi="Times New Roman" w:cs="Times New Roman"/>
          <w:color w:val="FF0000"/>
          <w:sz w:val="24"/>
          <w:szCs w:val="24"/>
          <w:u w:val="single"/>
        </w:rPr>
        <w:t>Los incentivos están inexorablemente unidos a las métricas. En 1996, la investigación de Tomorrow’s Company de la Royal Society of Arts del Reino Unido (en la que yo participaba) mostró que el valor de los accionistas como único indicador del éxito de una empresa perjudica tanto a las empresas como a la sociedad, y ni siquiera beneficia a los accionistas.</w:t>
      </w:r>
      <w:r w:rsidRPr="008543B4">
        <w:rPr>
          <w:rFonts w:ascii="Times New Roman" w:hAnsi="Times New Roman" w:cs="Times New Roman"/>
          <w:color w:val="FF0000"/>
          <w:sz w:val="24"/>
          <w:szCs w:val="24"/>
        </w:rPr>
        <w:t xml:space="preserve"> </w:t>
      </w:r>
      <w:r w:rsidRPr="003001F5">
        <w:rPr>
          <w:rFonts w:ascii="Times New Roman" w:hAnsi="Times New Roman" w:cs="Times New Roman"/>
          <w:sz w:val="24"/>
          <w:szCs w:val="24"/>
        </w:rPr>
        <w:t>Aproximadamente cada cinco años hay otra gran iniciativa en algún lugar que afirma más o menos lo mismo, y la más reciente es la conversión damasquinada de la Mesa Redonda Empresarial de los Estados Unidos a un punto de vista que contempla un cambio</w:t>
      </w:r>
      <w:r>
        <w:rPr>
          <w:rFonts w:ascii="Times New Roman" w:hAnsi="Times New Roman" w:cs="Times New Roman"/>
          <w:sz w:val="24"/>
          <w:szCs w:val="24"/>
        </w:rPr>
        <w:t xml:space="preserve"> de objetivo para las empresas “</w:t>
      </w:r>
      <w:r w:rsidRPr="003001F5">
        <w:rPr>
          <w:rFonts w:ascii="Times New Roman" w:hAnsi="Times New Roman" w:cs="Times New Roman"/>
          <w:sz w:val="24"/>
          <w:szCs w:val="24"/>
        </w:rPr>
        <w:t>Para promover una economía que</w:t>
      </w:r>
      <w:r>
        <w:rPr>
          <w:rFonts w:ascii="Times New Roman" w:hAnsi="Times New Roman" w:cs="Times New Roman"/>
          <w:sz w:val="24"/>
          <w:szCs w:val="24"/>
        </w:rPr>
        <w:t xml:space="preserve"> sirva a todos los americanos”.</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u w:val="single"/>
        </w:rPr>
      </w:pPr>
      <w:r w:rsidRPr="008543B4">
        <w:rPr>
          <w:rFonts w:ascii="Times New Roman" w:hAnsi="Times New Roman" w:cs="Times New Roman"/>
          <w:color w:val="FF0000"/>
          <w:sz w:val="24"/>
          <w:szCs w:val="24"/>
          <w:u w:val="single"/>
        </w:rPr>
        <w:t>Pero, en el mundo real, los incentivos han funcionado como siempre todo este tiempo. Las sociedades de capital de riesgo -e incluso los inversores institucionales convencionales- rara vez incluyen siquiera las cuestiones más básicas relativas a riesgos sociales y ambientales en sus criterios de inversión cuando acumulan efectivo en portentosas empresas digitales.</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3001F5">
        <w:rPr>
          <w:rFonts w:ascii="Times New Roman" w:hAnsi="Times New Roman" w:cs="Times New Roman"/>
          <w:sz w:val="24"/>
          <w:szCs w:val="24"/>
        </w:rPr>
        <w:t>Este tipo de cuestiones complejas quedan relegadas a fondos de gobernanza ambiental y social (ESG, por sus siglas en inglés) que, aunque prosperan, son secundarios al evento principal, generando el máximo capit</w:t>
      </w:r>
      <w:r>
        <w:rPr>
          <w:rFonts w:ascii="Times New Roman" w:hAnsi="Times New Roman" w:cs="Times New Roman"/>
          <w:sz w:val="24"/>
          <w:szCs w:val="24"/>
        </w:rPr>
        <w:t>al posible en el mínimo tiempo.</w:t>
      </w:r>
    </w:p>
    <w:p w:rsidR="00FE2170" w:rsidRPr="008543B4" w:rsidRDefault="00FE2170" w:rsidP="00FE2170">
      <w:pPr>
        <w:spacing w:before="100" w:beforeAutospacing="1" w:after="100" w:afterAutospacing="1" w:line="240" w:lineRule="auto"/>
        <w:jc w:val="both"/>
        <w:rPr>
          <w:rFonts w:ascii="Times New Roman" w:hAnsi="Times New Roman" w:cs="Times New Roman"/>
          <w:sz w:val="24"/>
          <w:szCs w:val="24"/>
          <w:u w:val="single"/>
        </w:rPr>
      </w:pPr>
      <w:r w:rsidRPr="008543B4">
        <w:rPr>
          <w:rFonts w:ascii="Times New Roman" w:hAnsi="Times New Roman" w:cs="Times New Roman"/>
          <w:sz w:val="24"/>
          <w:szCs w:val="24"/>
          <w:u w:val="single"/>
        </w:rPr>
        <w:t>Por tanto, hasta que estos incentivos cambien y los que tienen dinero lo inviertan donde procede, o al menos donde afirman en sus planes de inversión y en sus discursos de Davos, las cosas seguirán exactamente igual.</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u w:val="single"/>
        </w:rPr>
      </w:pPr>
      <w:r w:rsidRPr="008543B4">
        <w:rPr>
          <w:rFonts w:ascii="Times New Roman" w:hAnsi="Times New Roman" w:cs="Times New Roman"/>
          <w:color w:val="FF0000"/>
          <w:sz w:val="24"/>
          <w:szCs w:val="24"/>
        </w:rPr>
        <w:t xml:space="preserve">4. </w:t>
      </w:r>
      <w:r w:rsidRPr="008543B4">
        <w:rPr>
          <w:rFonts w:ascii="Times New Roman" w:hAnsi="Times New Roman" w:cs="Times New Roman"/>
          <w:color w:val="FF0000"/>
          <w:sz w:val="24"/>
          <w:szCs w:val="24"/>
          <w:u w:val="single"/>
        </w:rPr>
        <w:t>Crear una conexión genuina: en la distancia está el peligro</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8543B4">
        <w:rPr>
          <w:rFonts w:ascii="Times New Roman" w:hAnsi="Times New Roman" w:cs="Times New Roman"/>
          <w:sz w:val="24"/>
          <w:szCs w:val="24"/>
          <w:u w:val="single"/>
        </w:rPr>
        <w:t>En Humankind, Rutger Bregman muestra la desgarradora consecuencia de la distancia entre líderes y las vidas del resto de nosotros, y cómo ese es el mayor problema de todos.</w:t>
      </w:r>
      <w:r w:rsidRPr="003001F5">
        <w:rPr>
          <w:rFonts w:ascii="Times New Roman" w:hAnsi="Times New Roman" w:cs="Times New Roman"/>
          <w:sz w:val="24"/>
          <w:szCs w:val="24"/>
        </w:rPr>
        <w:t xml:space="preserve"> Termina su libro evocando la tregua del Día de Navidad de 1914 al inicio de la Pri</w:t>
      </w:r>
      <w:r>
        <w:rPr>
          <w:rFonts w:ascii="Times New Roman" w:hAnsi="Times New Roman" w:cs="Times New Roman"/>
          <w:sz w:val="24"/>
          <w:szCs w:val="24"/>
        </w:rPr>
        <w:t>mera Guerra Mundial. Más de 100.</w:t>
      </w:r>
      <w:r w:rsidRPr="003001F5">
        <w:rPr>
          <w:rFonts w:ascii="Times New Roman" w:hAnsi="Times New Roman" w:cs="Times New Roman"/>
          <w:sz w:val="24"/>
          <w:szCs w:val="24"/>
        </w:rPr>
        <w:t>000 tropas depusieron las armas para jugar al fútbol, compartir historias, fotografías, comida y bebida. Pero no solo fue el Día de Navidad, ya que en algunos lugares esta situación se prolongó durante semanas, y muchos hombres que estaban de servicio lo recordaban como uno de los momentos más increíbles de sus vidas. Podría haberse convertido fácilmente en una paz a gran escala, ya que ambos frentes mostraban su reticencia a reanudar el conflicto. Tan solo la perseverancia obstinada de generales que en la lejanía utilizaban propaganda para incitar al odio y a la obediencia a través de órdenes que enviaban al tribunal militar a cua</w:t>
      </w:r>
      <w:r>
        <w:rPr>
          <w:rFonts w:ascii="Times New Roman" w:hAnsi="Times New Roman" w:cs="Times New Roman"/>
          <w:sz w:val="24"/>
          <w:szCs w:val="24"/>
        </w:rPr>
        <w:t>lquier persona que manifestara “</w:t>
      </w:r>
      <w:r w:rsidRPr="003001F5">
        <w:rPr>
          <w:rFonts w:ascii="Times New Roman" w:hAnsi="Times New Roman" w:cs="Times New Roman"/>
          <w:sz w:val="24"/>
          <w:szCs w:val="24"/>
        </w:rPr>
        <w:t>gestos amistosos</w:t>
      </w:r>
      <w:r>
        <w:rPr>
          <w:rFonts w:ascii="Times New Roman" w:hAnsi="Times New Roman" w:cs="Times New Roman"/>
          <w:sz w:val="24"/>
          <w:szCs w:val="24"/>
        </w:rPr>
        <w:t>”</w:t>
      </w:r>
      <w:r w:rsidRPr="003001F5">
        <w:rPr>
          <w:rFonts w:ascii="Times New Roman" w:hAnsi="Times New Roman" w:cs="Times New Roman"/>
          <w:sz w:val="24"/>
          <w:szCs w:val="24"/>
        </w:rPr>
        <w:t xml:space="preserve"> con el </w:t>
      </w:r>
      <w:r w:rsidRPr="003001F5">
        <w:rPr>
          <w:rFonts w:ascii="Times New Roman" w:hAnsi="Times New Roman" w:cs="Times New Roman"/>
          <w:sz w:val="24"/>
          <w:szCs w:val="24"/>
        </w:rPr>
        <w:lastRenderedPageBreak/>
        <w:t>enemigo consiguió que la guerra se reanudara. El distanciamiento de estos líderes respecto al pueblo fue el factor crítico.</w:t>
      </w:r>
    </w:p>
    <w:p w:rsidR="00FE2170" w:rsidRPr="008543B4" w:rsidRDefault="00FE2170" w:rsidP="00FE2170">
      <w:pPr>
        <w:spacing w:before="100" w:beforeAutospacing="1" w:after="100" w:afterAutospacing="1" w:line="240" w:lineRule="auto"/>
        <w:jc w:val="both"/>
        <w:rPr>
          <w:rFonts w:ascii="Times New Roman" w:hAnsi="Times New Roman" w:cs="Times New Roman"/>
          <w:color w:val="FF0000"/>
          <w:sz w:val="24"/>
          <w:szCs w:val="24"/>
          <w:u w:val="single"/>
        </w:rPr>
      </w:pPr>
      <w:r w:rsidRPr="008543B4">
        <w:rPr>
          <w:rFonts w:ascii="Times New Roman" w:hAnsi="Times New Roman" w:cs="Times New Roman"/>
          <w:color w:val="FF0000"/>
          <w:sz w:val="24"/>
          <w:szCs w:val="24"/>
          <w:u w:val="single"/>
        </w:rPr>
        <w:t>Las tecnologías digitales nos han dado a muchos de nosotros un balón de oxígeno durante el confinamiento, pero también nos han aportado la ilusión de sentirnos conectados. El anonimato encubre a los troles, impulsa la polarización y permite que todos nos sintamos superiores a los demás desde la comodidad de nuestra propia burbuja. Nuestra desconexión de la naturaleza nos ayuda a difuminar los efectos del cambio climático, la degradación ambiental y el sufrimiento animal en nuestras mentes. La distancia definitiva proporcionada por las armas autónomas nos permitirá desvincularnos de la muerte y la destrucción (de “ellos”) con solo pulsar un botón.</w:t>
      </w:r>
    </w:p>
    <w:p w:rsidR="00FE2170" w:rsidRPr="003001F5" w:rsidRDefault="00FE2170" w:rsidP="00FE2170">
      <w:pPr>
        <w:spacing w:before="100" w:beforeAutospacing="1" w:after="100" w:afterAutospacing="1" w:line="240" w:lineRule="auto"/>
        <w:jc w:val="both"/>
        <w:rPr>
          <w:rFonts w:ascii="Times New Roman" w:hAnsi="Times New Roman" w:cs="Times New Roman"/>
          <w:sz w:val="24"/>
          <w:szCs w:val="24"/>
        </w:rPr>
      </w:pPr>
      <w:r w:rsidRPr="003001F5">
        <w:rPr>
          <w:rFonts w:ascii="Times New Roman" w:hAnsi="Times New Roman" w:cs="Times New Roman"/>
          <w:sz w:val="24"/>
          <w:szCs w:val="24"/>
        </w:rPr>
        <w:t>Mientras tanto, en nuestras casas, como la crisis de la COVID-19 ha dejado claro, nos fiamos alegremente de completos extraños, ayudamos a nuestros vecinos y comunidades, ofrecemos tiempo y dinero a organizaciones benéficas cercanas y lejanas y realizamos miles de millones de actos bondadosos grandes y pequeños unos con otros a cualquier hora y cualquier día. Tod</w:t>
      </w:r>
      <w:r>
        <w:rPr>
          <w:rFonts w:ascii="Times New Roman" w:hAnsi="Times New Roman" w:cs="Times New Roman"/>
          <w:sz w:val="24"/>
          <w:szCs w:val="24"/>
        </w:rPr>
        <w:t>o sin que nadie repare en ello.</w:t>
      </w:r>
    </w:p>
    <w:p w:rsidR="00FE2170" w:rsidRPr="00E43FC9" w:rsidRDefault="00FE2170" w:rsidP="00FE2170">
      <w:pPr>
        <w:spacing w:before="100" w:beforeAutospacing="1" w:after="100" w:afterAutospacing="1" w:line="240" w:lineRule="auto"/>
        <w:jc w:val="both"/>
        <w:rPr>
          <w:rFonts w:ascii="Times New Roman" w:hAnsi="Times New Roman" w:cs="Times New Roman"/>
          <w:color w:val="FF0000"/>
          <w:sz w:val="24"/>
          <w:szCs w:val="24"/>
          <w:u w:val="single"/>
        </w:rPr>
      </w:pPr>
      <w:r w:rsidRPr="00E43FC9">
        <w:rPr>
          <w:rFonts w:ascii="Times New Roman" w:hAnsi="Times New Roman" w:cs="Times New Roman"/>
          <w:color w:val="FF0000"/>
          <w:sz w:val="24"/>
          <w:szCs w:val="24"/>
          <w:u w:val="single"/>
        </w:rPr>
        <w:t>Encontrar modos en que las tecnologías armonicen, en lugar de polarizar, y de que todos nos conectemos de manera más profunda y significativa con los demás y con el mundo natural reducirá la distancia y nos permitirá ver a nuestros congéneres como lo que verdaderamente somos: no “otros”, sino todos iguales.</w:t>
      </w:r>
    </w:p>
    <w:p w:rsidR="00FE2170" w:rsidRDefault="00FE2170" w:rsidP="00FE2170">
      <w:pPr>
        <w:spacing w:before="100" w:beforeAutospacing="1" w:after="100" w:afterAutospacing="1" w:line="240" w:lineRule="auto"/>
        <w:jc w:val="both"/>
        <w:rPr>
          <w:rFonts w:ascii="Times New Roman" w:hAnsi="Times New Roman" w:cs="Times New Roman"/>
          <w:sz w:val="24"/>
          <w:szCs w:val="24"/>
        </w:rPr>
      </w:pPr>
      <w:r w:rsidRPr="003001F5">
        <w:rPr>
          <w:rFonts w:ascii="Times New Roman" w:hAnsi="Times New Roman" w:cs="Times New Roman"/>
          <w:sz w:val="24"/>
          <w:szCs w:val="24"/>
        </w:rPr>
        <w:t>Esta es probablemente la pieza más importante de todo el rompecabezas para que el Gran Reinicio se convierta en una transformación sobre la que nuestra generación pueda echar la vista atrás con orgullo y cierto asombro.</w:t>
      </w:r>
    </w:p>
    <w:p w:rsidR="0096151B" w:rsidRDefault="00CC4A77" w:rsidP="00FE2170">
      <w:pPr>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 Algunas d</w:t>
      </w:r>
      <w:r w:rsidR="009977F5">
        <w:rPr>
          <w:rFonts w:ascii="Times New Roman" w:hAnsi="Times New Roman" w:cs="Times New Roman"/>
          <w:b/>
          <w:sz w:val="24"/>
          <w:szCs w:val="24"/>
        </w:rPr>
        <w:t>udas</w:t>
      </w:r>
      <w:r w:rsidR="0064679C">
        <w:rPr>
          <w:rFonts w:ascii="Times New Roman" w:hAnsi="Times New Roman" w:cs="Times New Roman"/>
          <w:b/>
          <w:sz w:val="24"/>
          <w:szCs w:val="24"/>
        </w:rPr>
        <w:t>,</w:t>
      </w:r>
      <w:r w:rsidR="009977F5">
        <w:rPr>
          <w:rFonts w:ascii="Times New Roman" w:hAnsi="Times New Roman" w:cs="Times New Roman"/>
          <w:b/>
          <w:sz w:val="24"/>
          <w:szCs w:val="24"/>
        </w:rPr>
        <w:t xml:space="preserve"> y</w:t>
      </w:r>
      <w:r w:rsidR="0064679C">
        <w:rPr>
          <w:rFonts w:ascii="Times New Roman" w:hAnsi="Times New Roman" w:cs="Times New Roman"/>
          <w:b/>
          <w:sz w:val="24"/>
          <w:szCs w:val="24"/>
        </w:rPr>
        <w:t xml:space="preserve"> ciertas</w:t>
      </w:r>
      <w:r w:rsidR="009977F5">
        <w:rPr>
          <w:rFonts w:ascii="Times New Roman" w:hAnsi="Times New Roman" w:cs="Times New Roman"/>
          <w:b/>
          <w:sz w:val="24"/>
          <w:szCs w:val="24"/>
        </w:rPr>
        <w:t xml:space="preserve"> crí</w:t>
      </w:r>
      <w:r>
        <w:rPr>
          <w:rFonts w:ascii="Times New Roman" w:hAnsi="Times New Roman" w:cs="Times New Roman"/>
          <w:b/>
          <w:sz w:val="24"/>
          <w:szCs w:val="24"/>
        </w:rPr>
        <w:t>ticas</w:t>
      </w:r>
      <w:r w:rsidR="0064679C">
        <w:rPr>
          <w:rFonts w:ascii="Times New Roman" w:hAnsi="Times New Roman" w:cs="Times New Roman"/>
          <w:b/>
          <w:sz w:val="24"/>
          <w:szCs w:val="24"/>
        </w:rPr>
        <w:t>,</w:t>
      </w:r>
      <w:r>
        <w:rPr>
          <w:rFonts w:ascii="Times New Roman" w:hAnsi="Times New Roman" w:cs="Times New Roman"/>
          <w:b/>
          <w:sz w:val="24"/>
          <w:szCs w:val="24"/>
        </w:rPr>
        <w:t xml:space="preserve"> sobre el</w:t>
      </w:r>
      <w:r w:rsidR="0064679C">
        <w:rPr>
          <w:rFonts w:ascii="Times New Roman" w:hAnsi="Times New Roman" w:cs="Times New Roman"/>
          <w:b/>
          <w:sz w:val="24"/>
          <w:szCs w:val="24"/>
        </w:rPr>
        <w:t xml:space="preserve"> Gran Reseteo </w:t>
      </w:r>
      <w:r>
        <w:rPr>
          <w:rFonts w:ascii="Times New Roman" w:hAnsi="Times New Roman" w:cs="Times New Roman"/>
          <w:b/>
          <w:sz w:val="24"/>
          <w:szCs w:val="24"/>
        </w:rPr>
        <w:t>(</w:t>
      </w:r>
      <w:r w:rsidR="0064679C">
        <w:rPr>
          <w:rFonts w:ascii="Times New Roman" w:hAnsi="Times New Roman" w:cs="Times New Roman"/>
          <w:b/>
          <w:sz w:val="24"/>
          <w:szCs w:val="24"/>
        </w:rPr>
        <w:t xml:space="preserve">y </w:t>
      </w:r>
      <w:r>
        <w:rPr>
          <w:rFonts w:ascii="Times New Roman" w:hAnsi="Times New Roman" w:cs="Times New Roman"/>
          <w:b/>
          <w:sz w:val="24"/>
          <w:szCs w:val="24"/>
        </w:rPr>
        <w:t>la mano que mece la cuna)</w:t>
      </w:r>
    </w:p>
    <w:p w:rsidR="0096151B" w:rsidRPr="00534F5C" w:rsidRDefault="0096151B" w:rsidP="009615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4F5C">
        <w:rPr>
          <w:rFonts w:ascii="Times New Roman" w:hAnsi="Times New Roman" w:cs="Times New Roman"/>
          <w:sz w:val="24"/>
          <w:szCs w:val="24"/>
          <w:u w:val="single"/>
        </w:rPr>
        <w:t xml:space="preserve">El autor de un best seller </w:t>
      </w:r>
      <w:r>
        <w:rPr>
          <w:rFonts w:ascii="Times New Roman" w:hAnsi="Times New Roman" w:cs="Times New Roman"/>
          <w:sz w:val="24"/>
          <w:szCs w:val="24"/>
          <w:u w:val="single"/>
        </w:rPr>
        <w:t>sobre ultrarricos dice que han “amañado” el sistema pero puede “</w:t>
      </w:r>
      <w:r w:rsidRPr="00534F5C">
        <w:rPr>
          <w:rFonts w:ascii="Times New Roman" w:hAnsi="Times New Roman" w:cs="Times New Roman"/>
          <w:sz w:val="24"/>
          <w:szCs w:val="24"/>
          <w:u w:val="single"/>
        </w:rPr>
        <w:t>arregla</w:t>
      </w:r>
      <w:r>
        <w:rPr>
          <w:rFonts w:ascii="Times New Roman" w:hAnsi="Times New Roman" w:cs="Times New Roman"/>
          <w:sz w:val="24"/>
          <w:szCs w:val="24"/>
          <w:u w:val="single"/>
        </w:rPr>
        <w:t>rse”</w:t>
      </w:r>
      <w:r>
        <w:rPr>
          <w:rFonts w:ascii="Times New Roman" w:hAnsi="Times New Roman" w:cs="Times New Roman"/>
          <w:sz w:val="24"/>
          <w:szCs w:val="24"/>
        </w:rPr>
        <w:t xml:space="preserve"> (El Economista - </w:t>
      </w:r>
      <w:r w:rsidRPr="00534F5C">
        <w:rPr>
          <w:rFonts w:ascii="Times New Roman" w:hAnsi="Times New Roman" w:cs="Times New Roman"/>
          <w:b/>
          <w:sz w:val="24"/>
          <w:szCs w:val="24"/>
        </w:rPr>
        <w:t>5/2/22</w:t>
      </w:r>
      <w:r>
        <w:rPr>
          <w:rFonts w:ascii="Times New Roman" w:hAnsi="Times New Roman" w:cs="Times New Roman"/>
          <w:sz w:val="24"/>
          <w:szCs w:val="24"/>
        </w:rPr>
        <w:t>)</w:t>
      </w:r>
    </w:p>
    <w:p w:rsidR="0096151B" w:rsidRPr="000A0F92" w:rsidRDefault="0096151B" w:rsidP="0096151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Los multimillonarios cada vez son más ricos, eso es un hecho. La pandemia les ha ayudado a doblar su patrimonio, según los datos de Oxfam. Esto no sería un problema si, tal y como asegura el corresponsal de economía global de The New York</w:t>
      </w:r>
      <w:r>
        <w:rPr>
          <w:rFonts w:ascii="Times New Roman" w:hAnsi="Times New Roman" w:cs="Times New Roman"/>
          <w:sz w:val="24"/>
          <w:szCs w:val="24"/>
          <w:u w:val="single"/>
        </w:rPr>
        <w:t xml:space="preserve"> Times y autor del best seller “</w:t>
      </w:r>
      <w:r w:rsidRPr="000A0F92">
        <w:rPr>
          <w:rFonts w:ascii="Times New Roman" w:hAnsi="Times New Roman" w:cs="Times New Roman"/>
          <w:sz w:val="24"/>
          <w:szCs w:val="24"/>
          <w:u w:val="single"/>
        </w:rPr>
        <w:t>Davos Man: How the Billi</w:t>
      </w:r>
      <w:r>
        <w:rPr>
          <w:rFonts w:ascii="Times New Roman" w:hAnsi="Times New Roman" w:cs="Times New Roman"/>
          <w:sz w:val="24"/>
          <w:szCs w:val="24"/>
          <w:u w:val="single"/>
        </w:rPr>
        <w:t>onaires Devoured the World”</w:t>
      </w:r>
      <w:r w:rsidRPr="000A0F92">
        <w:rPr>
          <w:rFonts w:ascii="Times New Roman" w:hAnsi="Times New Roman" w:cs="Times New Roman"/>
          <w:sz w:val="24"/>
          <w:szCs w:val="24"/>
          <w:u w:val="single"/>
        </w:rPr>
        <w:t xml:space="preserve"> no se hubiese logrado a expensas del bien de la sociedad.</w:t>
      </w:r>
    </w:p>
    <w:p w:rsidR="0096151B" w:rsidRPr="000A0F92" w:rsidRDefault="0096151B" w:rsidP="0096151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 xml:space="preserve">Según el </w:t>
      </w:r>
      <w:r>
        <w:rPr>
          <w:rFonts w:ascii="Times New Roman" w:hAnsi="Times New Roman" w:cs="Times New Roman"/>
          <w:sz w:val="24"/>
          <w:szCs w:val="24"/>
          <w:u w:val="single"/>
        </w:rPr>
        <w:t>periodista, los ultraricos han “amañado”</w:t>
      </w:r>
      <w:r w:rsidRPr="000A0F92">
        <w:rPr>
          <w:rFonts w:ascii="Times New Roman" w:hAnsi="Times New Roman" w:cs="Times New Roman"/>
          <w:sz w:val="24"/>
          <w:szCs w:val="24"/>
          <w:u w:val="single"/>
        </w:rPr>
        <w:t xml:space="preserve"> el juego para que solo puedan ganar ellos. Así, han doblegado a los legisladores, han pirateado el sistema antimonopolio y han subyugado a los sindicatos para que la clase trabajadora no tenga una respuesta ante las acciones de sus empresas.</w:t>
      </w:r>
    </w:p>
    <w:p w:rsidR="0096151B" w:rsidRPr="000A0F92" w:rsidRDefault="0096151B" w:rsidP="0096151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Tal y como narra Goodman en su libro, estas personas se han enriquecido tanto por la g</w:t>
      </w:r>
      <w:r>
        <w:rPr>
          <w:rFonts w:ascii="Times New Roman" w:hAnsi="Times New Roman" w:cs="Times New Roman"/>
          <w:sz w:val="24"/>
          <w:szCs w:val="24"/>
          <w:u w:val="single"/>
        </w:rPr>
        <w:t>lobalización que se han vuelto “</w:t>
      </w:r>
      <w:r w:rsidRPr="000A0F92">
        <w:rPr>
          <w:rFonts w:ascii="Times New Roman" w:hAnsi="Times New Roman" w:cs="Times New Roman"/>
          <w:sz w:val="24"/>
          <w:szCs w:val="24"/>
          <w:u w:val="single"/>
        </w:rPr>
        <w:t>apátridas</w:t>
      </w:r>
      <w:r>
        <w:rPr>
          <w:rFonts w:ascii="Times New Roman" w:hAnsi="Times New Roman" w:cs="Times New Roman"/>
          <w:sz w:val="24"/>
          <w:szCs w:val="24"/>
          <w:u w:val="single"/>
        </w:rPr>
        <w:t>”</w:t>
      </w:r>
      <w:r w:rsidRPr="000A0F92">
        <w:rPr>
          <w:rFonts w:ascii="Times New Roman" w:hAnsi="Times New Roman" w:cs="Times New Roman"/>
          <w:sz w:val="24"/>
          <w:szCs w:val="24"/>
          <w:u w:val="single"/>
        </w:rPr>
        <w:t>. Efectivamente, para él, estas personas no tienen nación y</w:t>
      </w:r>
      <w:r>
        <w:rPr>
          <w:rFonts w:ascii="Times New Roman" w:hAnsi="Times New Roman" w:cs="Times New Roman"/>
          <w:sz w:val="24"/>
          <w:szCs w:val="24"/>
          <w:u w:val="single"/>
        </w:rPr>
        <w:t xml:space="preserve"> carecen de lealtad a su país. “</w:t>
      </w:r>
      <w:r w:rsidRPr="000A0F92">
        <w:rPr>
          <w:rFonts w:ascii="Times New Roman" w:hAnsi="Times New Roman" w:cs="Times New Roman"/>
          <w:sz w:val="24"/>
          <w:szCs w:val="24"/>
          <w:u w:val="single"/>
        </w:rPr>
        <w:t>Sus intereses y riqueza fluyen a través de las fronteras, y sus propiedades y yates están</w:t>
      </w:r>
      <w:r>
        <w:rPr>
          <w:rFonts w:ascii="Times New Roman" w:hAnsi="Times New Roman" w:cs="Times New Roman"/>
          <w:sz w:val="24"/>
          <w:szCs w:val="24"/>
          <w:u w:val="single"/>
        </w:rPr>
        <w:t xml:space="preserve"> esparcidos por los continentes”</w:t>
      </w:r>
      <w:r w:rsidRPr="000A0F92">
        <w:rPr>
          <w:rFonts w:ascii="Times New Roman" w:hAnsi="Times New Roman" w:cs="Times New Roman"/>
          <w:sz w:val="24"/>
          <w:szCs w:val="24"/>
          <w:u w:val="single"/>
        </w:rPr>
        <w:t>, escribe.</w:t>
      </w:r>
    </w:p>
    <w:p w:rsidR="0096151B" w:rsidRPr="000A0F92" w:rsidRDefault="0096151B" w:rsidP="0096151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El escritor dice que estos multimillonarios han acabado con la organización laboral, convirtiendo l</w:t>
      </w:r>
      <w:r>
        <w:rPr>
          <w:rFonts w:ascii="Times New Roman" w:hAnsi="Times New Roman" w:cs="Times New Roman"/>
          <w:sz w:val="24"/>
          <w:szCs w:val="24"/>
          <w:u w:val="single"/>
        </w:rPr>
        <w:t>a negociación colectiva en una “sombra de sí misma”</w:t>
      </w:r>
      <w:r w:rsidRPr="000A0F92">
        <w:rPr>
          <w:rFonts w:ascii="Times New Roman" w:hAnsi="Times New Roman" w:cs="Times New Roman"/>
          <w:sz w:val="24"/>
          <w:szCs w:val="24"/>
          <w:u w:val="single"/>
        </w:rPr>
        <w:t xml:space="preserve">. Además de ello, Goodman apunta que cualquier logro que pueda conseguir la clase trabajadora será un regalo </w:t>
      </w:r>
      <w:r w:rsidRPr="000A0F92">
        <w:rPr>
          <w:rFonts w:ascii="Times New Roman" w:hAnsi="Times New Roman" w:cs="Times New Roman"/>
          <w:sz w:val="24"/>
          <w:szCs w:val="24"/>
          <w:u w:val="single"/>
        </w:rPr>
        <w:lastRenderedPageBreak/>
        <w:t>en sí mismo del propio empresario, ya que el empleado carece de armas para conquistar derechos.</w:t>
      </w:r>
    </w:p>
    <w:p w:rsidR="0096151B" w:rsidRPr="000A0F92" w:rsidRDefault="0096151B" w:rsidP="0096151B">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Para el periodista, esta situación no solo afecta a los trabajadores, sino que también elimina cualquier atisbo de reparto de oportunidades. Las nuevas empresas no pueden competir contra el monopolio ejercido por estas compañías.</w:t>
      </w:r>
    </w:p>
    <w:p w:rsidR="0096151B" w:rsidRPr="00534F5C" w:rsidRDefault="0096151B" w:rsidP="0096151B">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El problema todavía tiene solución</w:t>
      </w:r>
    </w:p>
    <w:p w:rsidR="0096151B" w:rsidRPr="00534F5C" w:rsidRDefault="0096151B" w:rsidP="0096151B">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No obstante, Goodman ve una ventana abierta</w:t>
      </w:r>
      <w:r>
        <w:rPr>
          <w:rFonts w:ascii="Times New Roman" w:hAnsi="Times New Roman" w:cs="Times New Roman"/>
          <w:sz w:val="24"/>
          <w:szCs w:val="24"/>
        </w:rPr>
        <w:t xml:space="preserve"> tras la puerta que se cierra. “</w:t>
      </w:r>
      <w:r w:rsidRPr="00534F5C">
        <w:rPr>
          <w:rFonts w:ascii="Times New Roman" w:hAnsi="Times New Roman" w:cs="Times New Roman"/>
          <w:sz w:val="24"/>
          <w:szCs w:val="24"/>
        </w:rPr>
        <w:t>El capitalismo sigue siendo un sistema generoso. Es lo mejor que tenemos en términos de cómo organizar una economía, pero necesita regulación, impuestos progresivos, cumplimiento antimonopolio, y los multimillonarios han defenestrado todo eso de manera muy</w:t>
      </w:r>
      <w:r>
        <w:rPr>
          <w:rFonts w:ascii="Times New Roman" w:hAnsi="Times New Roman" w:cs="Times New Roman"/>
          <w:sz w:val="24"/>
          <w:szCs w:val="24"/>
        </w:rPr>
        <w:t xml:space="preserve"> efectiva”, señala en su libro.</w:t>
      </w:r>
    </w:p>
    <w:p w:rsidR="0096151B" w:rsidRPr="000A0F92" w:rsidRDefault="0096151B" w:rsidP="0096151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“Es totalmente reparable”</w:t>
      </w:r>
      <w:r w:rsidRPr="000A0F92">
        <w:rPr>
          <w:rFonts w:ascii="Times New Roman" w:hAnsi="Times New Roman" w:cs="Times New Roman"/>
          <w:sz w:val="24"/>
          <w:szCs w:val="24"/>
          <w:u w:val="single"/>
        </w:rPr>
        <w:t>, dice. Sin embargo, para lograr este cometido, la sociedad está obligada a enfrentarse a aquellas personas que gobiernan el sistema dictatorialmente.</w:t>
      </w:r>
    </w:p>
    <w:p w:rsidR="0096151B" w:rsidRPr="00534F5C" w:rsidRDefault="0096151B" w:rsidP="0096151B">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Para encontrar una solución, Goodman se remonta a dos fechas clave. Durante el siglo XIX, los barones estadounidenses crearon fuertes monopolios en sus respetivas industrias. Esto derivó en una enorme desigualdad, que impactó severamente en</w:t>
      </w:r>
      <w:r>
        <w:rPr>
          <w:rFonts w:ascii="Times New Roman" w:hAnsi="Times New Roman" w:cs="Times New Roman"/>
          <w:sz w:val="24"/>
          <w:szCs w:val="24"/>
        </w:rPr>
        <w:t xml:space="preserve"> la clase trabajadora.</w:t>
      </w:r>
    </w:p>
    <w:p w:rsidR="0096151B" w:rsidRPr="00534F5C" w:rsidRDefault="0096151B" w:rsidP="0096151B">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 xml:space="preserve">Sin embargo, los legisladores aplicaron firmemente sus leyes antimonopolio sobre estas compañías, lo que resulto en la división de los sectores entre varias empresas con la Ley </w:t>
      </w:r>
      <w:r>
        <w:rPr>
          <w:rFonts w:ascii="Times New Roman" w:hAnsi="Times New Roman" w:cs="Times New Roman"/>
          <w:sz w:val="24"/>
          <w:szCs w:val="24"/>
        </w:rPr>
        <w:t>Sherman del 2 de julio de 1890.</w:t>
      </w:r>
    </w:p>
    <w:p w:rsidR="0096151B" w:rsidRPr="00534F5C" w:rsidRDefault="0096151B" w:rsidP="0096151B">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Por otro lado, aparece el periodo postbélico tras la Segunda Guerra Mundial. Durante esta etapa, hasta mediados de la década de 1970, el Gobierno impuso impuestos mucho más progresivos, alcanzando una tasa impositiva m</w:t>
      </w:r>
      <w:r>
        <w:rPr>
          <w:rFonts w:ascii="Times New Roman" w:hAnsi="Times New Roman" w:cs="Times New Roman"/>
          <w:sz w:val="24"/>
          <w:szCs w:val="24"/>
        </w:rPr>
        <w:t>arginal máxima superior al 90%.</w:t>
      </w:r>
    </w:p>
    <w:p w:rsidR="0096151B" w:rsidRPr="00534F5C" w:rsidRDefault="0096151B" w:rsidP="0096151B">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Aparecen las primeras barreras</w:t>
      </w:r>
    </w:p>
    <w:p w:rsidR="0096151B" w:rsidRPr="000A0F92" w:rsidRDefault="0096151B" w:rsidP="0096151B">
      <w:pPr>
        <w:spacing w:line="240" w:lineRule="auto"/>
        <w:jc w:val="both"/>
        <w:rPr>
          <w:rFonts w:ascii="Times New Roman" w:hAnsi="Times New Roman" w:cs="Times New Roman"/>
          <w:sz w:val="24"/>
          <w:szCs w:val="24"/>
          <w:u w:val="single"/>
        </w:rPr>
      </w:pPr>
      <w:r w:rsidRPr="00534F5C">
        <w:rPr>
          <w:rFonts w:ascii="Times New Roman" w:hAnsi="Times New Roman" w:cs="Times New Roman"/>
          <w:sz w:val="24"/>
          <w:szCs w:val="24"/>
        </w:rPr>
        <w:t xml:space="preserve">A pesar de que las encuestas han demostrado que los ciudadanos estadounidenses desean, precisamente, esta solución, los legisladores se han negado en rotundo aumentar los impuestos, incluida la institución de un impuesto sobre las ganancias no realizadas de los multimillonarios. </w:t>
      </w:r>
      <w:r w:rsidRPr="000A0F92">
        <w:rPr>
          <w:rFonts w:ascii="Times New Roman" w:hAnsi="Times New Roman" w:cs="Times New Roman"/>
          <w:sz w:val="24"/>
          <w:szCs w:val="24"/>
          <w:u w:val="single"/>
        </w:rPr>
        <w:t>Mientras que los norteamericanos más ricos han cimentado todo un entramado para defender y esconder su riqueza.</w:t>
      </w:r>
    </w:p>
    <w:p w:rsidR="0096151B" w:rsidRPr="000A0F92" w:rsidRDefault="0096151B" w:rsidP="0096151B">
      <w:pPr>
        <w:spacing w:line="240" w:lineRule="auto"/>
        <w:jc w:val="both"/>
        <w:rPr>
          <w:rFonts w:ascii="Times New Roman" w:hAnsi="Times New Roman" w:cs="Times New Roman"/>
          <w:color w:val="FF0000"/>
          <w:sz w:val="24"/>
          <w:szCs w:val="24"/>
          <w:u w:val="single"/>
        </w:rPr>
      </w:pPr>
      <w:r w:rsidRPr="000A0F92">
        <w:rPr>
          <w:rFonts w:ascii="Times New Roman" w:hAnsi="Times New Roman" w:cs="Times New Roman"/>
          <w:color w:val="FF0000"/>
          <w:sz w:val="24"/>
          <w:szCs w:val="24"/>
          <w:u w:val="single"/>
        </w:rPr>
        <w:t>Según Goodman, la sociedad quiere renovar el sistema, a pesar de conservar el capitalismo, acabar progresivamente con la desigualdad que impera. Sin embargo, los multimillonarios han subyugado a los legisladores para que regulen en favor de ellos, por lo que tarea se torna complicada.</w:t>
      </w:r>
    </w:p>
    <w:p w:rsidR="0096151B" w:rsidRPr="000A0F92" w:rsidRDefault="0096151B" w:rsidP="0096151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0A0F92">
        <w:rPr>
          <w:rFonts w:ascii="Times New Roman" w:hAnsi="Times New Roman" w:cs="Times New Roman"/>
          <w:color w:val="FF0000"/>
          <w:sz w:val="24"/>
          <w:szCs w:val="24"/>
          <w:u w:val="single"/>
        </w:rPr>
        <w:t xml:space="preserve">Es muy difícil imaginar que vamos a organizar una respuesta efectiva a problemas realmente </w:t>
      </w:r>
      <w:r>
        <w:rPr>
          <w:rFonts w:ascii="Times New Roman" w:hAnsi="Times New Roman" w:cs="Times New Roman"/>
          <w:color w:val="FF0000"/>
          <w:sz w:val="24"/>
          <w:szCs w:val="24"/>
          <w:u w:val="single"/>
        </w:rPr>
        <w:t>serios como el cambio climático”</w:t>
      </w:r>
      <w:r w:rsidRPr="000A0F92">
        <w:rPr>
          <w:rFonts w:ascii="Times New Roman" w:hAnsi="Times New Roman" w:cs="Times New Roman"/>
          <w:color w:val="FF0000"/>
          <w:sz w:val="24"/>
          <w:szCs w:val="24"/>
          <w:u w:val="single"/>
        </w:rPr>
        <w:t>, así como al racismo o la falta de atención médica de las personas más pobres si el sistema no es capaz de responder a esta necesidad de cambio, concluye el periodista.</w:t>
      </w:r>
    </w:p>
    <w:p w:rsidR="0096151B" w:rsidRPr="005A7337" w:rsidRDefault="0096151B" w:rsidP="009615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D0B3D">
        <w:rPr>
          <w:rFonts w:ascii="Times New Roman" w:hAnsi="Times New Roman" w:cs="Times New Roman"/>
          <w:sz w:val="24"/>
          <w:szCs w:val="24"/>
          <w:u w:val="single"/>
        </w:rPr>
        <w:t>Los billonarios y la izquierda neandertal están detrás de la Agenda 2030</w:t>
      </w:r>
      <w:r>
        <w:rPr>
          <w:rFonts w:ascii="Times New Roman" w:hAnsi="Times New Roman" w:cs="Times New Roman"/>
          <w:sz w:val="24"/>
          <w:szCs w:val="24"/>
        </w:rPr>
        <w:t xml:space="preserve"> (Libertad Digital - </w:t>
      </w:r>
      <w:r w:rsidRPr="00BD0B3D">
        <w:rPr>
          <w:rFonts w:ascii="Times New Roman" w:hAnsi="Times New Roman" w:cs="Times New Roman"/>
          <w:b/>
          <w:sz w:val="24"/>
          <w:szCs w:val="24"/>
        </w:rPr>
        <w:t>7/2/22</w:t>
      </w:r>
      <w:r>
        <w:rPr>
          <w:rFonts w:ascii="Times New Roman" w:hAnsi="Times New Roman" w:cs="Times New Roman"/>
          <w:sz w:val="24"/>
          <w:szCs w:val="24"/>
        </w:rPr>
        <w:t>)</w:t>
      </w:r>
    </w:p>
    <w:p w:rsidR="0096151B" w:rsidRPr="00890038" w:rsidRDefault="0096151B" w:rsidP="0096151B">
      <w:pPr>
        <w:spacing w:line="240" w:lineRule="auto"/>
        <w:jc w:val="both"/>
        <w:rPr>
          <w:rFonts w:ascii="Times New Roman" w:hAnsi="Times New Roman" w:cs="Times New Roman"/>
          <w:color w:val="FF0000"/>
          <w:sz w:val="24"/>
          <w:szCs w:val="24"/>
        </w:rPr>
      </w:pPr>
      <w:r w:rsidRPr="00890038">
        <w:rPr>
          <w:rFonts w:ascii="Times New Roman" w:hAnsi="Times New Roman" w:cs="Times New Roman"/>
          <w:color w:val="FF0000"/>
          <w:sz w:val="24"/>
          <w:szCs w:val="24"/>
        </w:rPr>
        <w:t>Las sociedades occidentales parecen dispuestas a aceptar un empobrecimiento generalizado y a renunciar a su nivel de vida, que ya sólo será accesible para los ricos y los políticos.</w:t>
      </w:r>
    </w:p>
    <w:p w:rsidR="0096151B" w:rsidRPr="005A7337" w:rsidRDefault="0096151B" w:rsidP="0096151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5A7337">
        <w:rPr>
          <w:rFonts w:ascii="Times New Roman" w:hAnsi="Times New Roman" w:cs="Times New Roman"/>
          <w:sz w:val="24"/>
          <w:szCs w:val="24"/>
        </w:rPr>
        <w:t>Javier Jové Sandoval</w:t>
      </w:r>
      <w:r>
        <w:rPr>
          <w:rFonts w:ascii="Times New Roman" w:hAnsi="Times New Roman" w:cs="Times New Roman"/>
          <w:sz w:val="24"/>
          <w:szCs w:val="24"/>
        </w:rPr>
        <w:t>)</w:t>
      </w:r>
    </w:p>
    <w:p w:rsidR="0096151B" w:rsidRPr="005A7337" w:rsidRDefault="0096151B" w:rsidP="0096151B">
      <w:pPr>
        <w:spacing w:line="240" w:lineRule="auto"/>
        <w:jc w:val="both"/>
        <w:rPr>
          <w:rFonts w:ascii="Times New Roman" w:hAnsi="Times New Roman" w:cs="Times New Roman"/>
          <w:sz w:val="24"/>
          <w:szCs w:val="24"/>
        </w:rPr>
      </w:pPr>
      <w:r w:rsidRPr="005A7337">
        <w:rPr>
          <w:rFonts w:ascii="Times New Roman" w:hAnsi="Times New Roman" w:cs="Times New Roman"/>
          <w:sz w:val="24"/>
          <w:szCs w:val="24"/>
        </w:rPr>
        <w:t>Uno de los grandes éxitos del desarrollismo, iniciado en los años 60 del siglo pasado, fue hacer accesible a inmensas porciones de la humanidad comodidades antes reservadas para las élites. Este proceso paulatino, pero constante, de revolución tecnológica permitió abaratar todo tipo de aparatos y artilugios, empezando por los electrodomésticos básicos (como: lavadoras, aspiradoras o planchas), siguiendo con los primeros coches utilitarios, continuado con la adquisición de una segunda residencial para uso vacacional y la posterior universalización del ocio y del turismo, que puso al alcance de todos los bolsillos poder pasar un fin de semana en un balneario, viajar por todo el mundo e</w:t>
      </w:r>
      <w:r>
        <w:rPr>
          <w:rFonts w:ascii="Times New Roman" w:hAnsi="Times New Roman" w:cs="Times New Roman"/>
          <w:sz w:val="24"/>
          <w:szCs w:val="24"/>
        </w:rPr>
        <w:t xml:space="preserve"> incluso hacerlo en un crucero.</w:t>
      </w:r>
    </w:p>
    <w:p w:rsidR="0096151B" w:rsidRPr="005A7337" w:rsidRDefault="0096151B" w:rsidP="0096151B">
      <w:pPr>
        <w:spacing w:line="240" w:lineRule="auto"/>
        <w:jc w:val="both"/>
        <w:rPr>
          <w:rFonts w:ascii="Times New Roman" w:hAnsi="Times New Roman" w:cs="Times New Roman"/>
          <w:sz w:val="24"/>
          <w:szCs w:val="24"/>
        </w:rPr>
      </w:pPr>
      <w:r w:rsidRPr="005A7337">
        <w:rPr>
          <w:rFonts w:ascii="Times New Roman" w:hAnsi="Times New Roman" w:cs="Times New Roman"/>
          <w:sz w:val="24"/>
          <w:szCs w:val="24"/>
        </w:rPr>
        <w:t xml:space="preserve">Esta democratización y extensión de la calidad de vida ha permito que hoy día prácticamente cualquier persona pueda llevar una calidad de vida muy superior a la que disfrutaban los reyes y los aristócratas de antaño, quienes carecían de electricidad, agua corriente, calefacción y tantísimas comodidades que hoy no son lujos, sino suministros básicos. Tener coche y la casa repleta de dispositivos electrónicos, poder hacer una escapada de vez en cuando e incurrir en algún que otro capricho, están al alcance de cualquiera. No hace falta ser millonario para llevar una buena vida y disfrutar de placeres que antes solo eran posibles para una </w:t>
      </w:r>
      <w:r>
        <w:rPr>
          <w:rFonts w:ascii="Times New Roman" w:hAnsi="Times New Roman" w:cs="Times New Roman"/>
          <w:sz w:val="24"/>
          <w:szCs w:val="24"/>
        </w:rPr>
        <w:t>minoría selecta de acaudalados.</w:t>
      </w:r>
    </w:p>
    <w:p w:rsidR="0096151B" w:rsidRPr="005A7337" w:rsidRDefault="0096151B" w:rsidP="0096151B">
      <w:pPr>
        <w:spacing w:line="240" w:lineRule="auto"/>
        <w:jc w:val="both"/>
        <w:rPr>
          <w:rFonts w:ascii="Times New Roman" w:hAnsi="Times New Roman" w:cs="Times New Roman"/>
          <w:sz w:val="24"/>
          <w:szCs w:val="24"/>
        </w:rPr>
      </w:pPr>
      <w:r w:rsidRPr="00890038">
        <w:rPr>
          <w:rFonts w:ascii="Times New Roman" w:hAnsi="Times New Roman" w:cs="Times New Roman"/>
          <w:sz w:val="24"/>
          <w:szCs w:val="24"/>
          <w:u w:val="single"/>
        </w:rPr>
        <w:t>Esta igualación en el disfrute de los placeres mundanos no son del agrado de quienes antes gozaban de los mismos en exclusiva. Porque el placer morboso del disfrute viene, en muchos casos, precisamente del saberse privilegiado, saberse parte de una pequeña minoría elegida. El placer, cuando es compartido, deja, en cierta medida, de serlo. El exclusivismo consiste en esa sensación de ser superior al resto, a la plebe. Saber que lo que uno hace está al alcance tan solo de unos pocos. Cuando las comodidades o los lujos se universalizan los potentados tienen que optar por el esnobismo y las excentricidades más absurdas propias del lujo asiático -como poner griferías de oro- o bien por prohibir directamente: vedar al resto de la población, el vulgo, el deleite de determinados placeres y comodidades mediante el uso de la compulsión gubernamental</w:t>
      </w:r>
      <w:r w:rsidRPr="005A7337">
        <w:rPr>
          <w:rFonts w:ascii="Times New Roman" w:hAnsi="Times New Roman" w:cs="Times New Roman"/>
          <w:sz w:val="24"/>
          <w:szCs w:val="24"/>
        </w:rPr>
        <w:t>. Este sistema es muy habitual en los países comunistas, en donde las élites y los jerarcas del partido disfrutan de sus dachas y sus amplias viviendas mientras el común de la población malvive en apartamentos diminutos y destartalados asignados por el Estado. Ellos compran en tiendas exclusivas para los miembros del partido comunista, donde no falta de nada, mientras el pueblo llano tiene que hacer largas colas con la cartilla de racionamiento para o</w:t>
      </w:r>
      <w:r>
        <w:rPr>
          <w:rFonts w:ascii="Times New Roman" w:hAnsi="Times New Roman" w:cs="Times New Roman"/>
          <w:sz w:val="24"/>
          <w:szCs w:val="24"/>
        </w:rPr>
        <w:t>btener unos miserables insumos.</w:t>
      </w:r>
    </w:p>
    <w:p w:rsidR="0096151B" w:rsidRPr="00890038" w:rsidRDefault="0096151B" w:rsidP="0096151B">
      <w:pPr>
        <w:spacing w:line="240" w:lineRule="auto"/>
        <w:jc w:val="both"/>
        <w:rPr>
          <w:rFonts w:ascii="Times New Roman" w:hAnsi="Times New Roman" w:cs="Times New Roman"/>
          <w:sz w:val="24"/>
          <w:szCs w:val="24"/>
          <w:u w:val="single"/>
        </w:rPr>
      </w:pPr>
      <w:r w:rsidRPr="00890038">
        <w:rPr>
          <w:rFonts w:ascii="Times New Roman" w:hAnsi="Times New Roman" w:cs="Times New Roman"/>
          <w:color w:val="FF0000"/>
          <w:sz w:val="24"/>
          <w:szCs w:val="24"/>
          <w:u w:val="single"/>
        </w:rPr>
        <w:t>El sistema de compulsión gubernamental al modo comunista no sería aceptado por la población de los países occidentales, así que hay que convencerles de que la prohibición es por su bien</w:t>
      </w:r>
      <w:r w:rsidRPr="005A7337">
        <w:rPr>
          <w:rFonts w:ascii="Times New Roman" w:hAnsi="Times New Roman" w:cs="Times New Roman"/>
          <w:sz w:val="24"/>
          <w:szCs w:val="24"/>
        </w:rPr>
        <w:t xml:space="preserve">. </w:t>
      </w:r>
      <w:r w:rsidRPr="00890038">
        <w:rPr>
          <w:rFonts w:ascii="Times New Roman" w:hAnsi="Times New Roman" w:cs="Times New Roman"/>
          <w:color w:val="FF0000"/>
          <w:sz w:val="24"/>
          <w:szCs w:val="24"/>
          <w:u w:val="single"/>
        </w:rPr>
        <w:t>Y es aquí cuando llegamos a la Agenda 2030, un plan por el que las élites económicas acuerdan con la extrema izquierda prohibir a enormes capas de la población mundial el acceso a innumerables bienes y servicios que el capitalismo democratizó y puso a su alcance. Esta pinza entre los multimillonarios y la izquierda neandertalista</w:t>
      </w:r>
      <w:r>
        <w:rPr>
          <w:rFonts w:ascii="Times New Roman" w:hAnsi="Times New Roman" w:cs="Times New Roman"/>
          <w:sz w:val="24"/>
          <w:szCs w:val="24"/>
        </w:rPr>
        <w:t xml:space="preserve"> </w:t>
      </w:r>
      <w:r w:rsidRPr="00890038">
        <w:rPr>
          <w:rFonts w:ascii="Times New Roman" w:hAnsi="Times New Roman" w:cs="Times New Roman"/>
          <w:color w:val="FF0000"/>
          <w:sz w:val="24"/>
          <w:szCs w:val="24"/>
          <w:u w:val="single"/>
        </w:rPr>
        <w:t>necesita de un relato convincente que facilite la aceptación, por parte de la población, de la renuncia a bienes y servicios que hasta ahora han podido disfrutar. Y ese relato no es más que el apocalipsis medio ambiental y la histeria climática.</w:t>
      </w:r>
      <w:r w:rsidRPr="005A7337">
        <w:rPr>
          <w:rFonts w:ascii="Times New Roman" w:hAnsi="Times New Roman" w:cs="Times New Roman"/>
          <w:sz w:val="24"/>
          <w:szCs w:val="24"/>
        </w:rPr>
        <w:t xml:space="preserve"> Gracias al discurso catastrofista, tan machacón como efectivo, las sociedades occidentales parecen dispuestas a aceptar un empobrecimiento generalizado y a renunciar a su nivel de vida, que ya sólo será accesible para los ricos y los políticos. Por ello están encareciendo artificialmente la energía y los combustibles con las primas de emisión de CO2, planean poner peajes en las autovías, prohibir los vuelos comerciales regionales y el acceso al centro de las ciudades en coche propio, salvo para quienes puedan permitirse comprar un coche eléctrico. Entiendo que para </w:t>
      </w:r>
      <w:r w:rsidRPr="005A7337">
        <w:rPr>
          <w:rFonts w:ascii="Times New Roman" w:hAnsi="Times New Roman" w:cs="Times New Roman"/>
          <w:sz w:val="24"/>
          <w:szCs w:val="24"/>
        </w:rPr>
        <w:lastRenderedPageBreak/>
        <w:t xml:space="preserve">ellos sea desagradable verse rodeados de turistas sudorosos en sandalias y bermudas mientras ellos van de compras por la Rue Saint-Honoré de París. </w:t>
      </w:r>
      <w:r w:rsidRPr="00890038">
        <w:rPr>
          <w:rFonts w:ascii="Times New Roman" w:hAnsi="Times New Roman" w:cs="Times New Roman"/>
          <w:sz w:val="24"/>
          <w:szCs w:val="24"/>
          <w:u w:val="single"/>
        </w:rPr>
        <w:t>Los neomalthusonianos millonarios quieren convencernos de que a este ritmo los recursos del planeta se agotan, así que es necesario que la población del planeta se sacrifique para que ellos puedan seguir viviendo a todo trapo.</w:t>
      </w:r>
    </w:p>
    <w:p w:rsidR="0096151B" w:rsidRPr="005A7337" w:rsidRDefault="0096151B" w:rsidP="0096151B">
      <w:pPr>
        <w:spacing w:line="240" w:lineRule="auto"/>
        <w:jc w:val="both"/>
        <w:rPr>
          <w:rFonts w:ascii="Times New Roman" w:hAnsi="Times New Roman" w:cs="Times New Roman"/>
          <w:sz w:val="24"/>
          <w:szCs w:val="24"/>
        </w:rPr>
      </w:pPr>
      <w:r w:rsidRPr="005A7337">
        <w:rPr>
          <w:rFonts w:ascii="Times New Roman" w:hAnsi="Times New Roman" w:cs="Times New Roman"/>
          <w:sz w:val="24"/>
          <w:szCs w:val="24"/>
        </w:rPr>
        <w:t>Los manjares dejan de serlo cuando cualquiera puede degustarlos. Disfrutar de un buen chuletón de ternera no es tan placentero cuando hasta las clases medias pueden comerlo de vez en cuando. Algo pasa a la categoría de exquisitez cuando es caro y algo es caro cuando es escaso. Así que para poder garantizar que algo continúe siendo un delicatesen tenemos que procurar que no abunde. Las granjas intensivas, los fertilizantes, las semillas transgénicas y demás avances en el ámbito del sector agropecuario han incrementado exponencialmente la productividad de las tierras de cultivo y de los animales de cría, haciendo accesible a todo el mundo el consumo de productos que antes escaseaban. Así que es necesario que dichos bienes pasen a ser nuevamente escasos, para ello impediremos la ganadería intensiva, los fertilizantes y cuanto se necesario. Ellos seguirán comiendo chuletones mientras los demás nos contentamos con su</w:t>
      </w:r>
      <w:r>
        <w:rPr>
          <w:rFonts w:ascii="Times New Roman" w:hAnsi="Times New Roman" w:cs="Times New Roman"/>
          <w:sz w:val="24"/>
          <w:szCs w:val="24"/>
        </w:rPr>
        <w:t>cedáneos vegetales y gusanos.</w:t>
      </w:r>
    </w:p>
    <w:p w:rsidR="0096151B" w:rsidRDefault="0096151B" w:rsidP="0096151B">
      <w:pPr>
        <w:spacing w:line="240" w:lineRule="auto"/>
        <w:jc w:val="both"/>
        <w:rPr>
          <w:rFonts w:ascii="Times New Roman" w:hAnsi="Times New Roman" w:cs="Times New Roman"/>
          <w:color w:val="FF0000"/>
          <w:sz w:val="24"/>
          <w:szCs w:val="24"/>
          <w:u w:val="single"/>
        </w:rPr>
      </w:pPr>
      <w:r w:rsidRPr="00890038">
        <w:rPr>
          <w:rFonts w:ascii="Times New Roman" w:hAnsi="Times New Roman" w:cs="Times New Roman"/>
          <w:color w:val="FF0000"/>
          <w:sz w:val="24"/>
          <w:szCs w:val="24"/>
          <w:u w:val="single"/>
        </w:rPr>
        <w:t>Conducir por autovía será solo para ricos y políticos, como comer carne, viajar en avión, tener hijos o acceder en coche al centro de las ciudades. La Agenda 2030 impone a la población mundial un estilo de vida precario que no afecta a sus promotores. La pinza entre la izquierda neandertal y los billonarios malthusonianos está funcionando.</w:t>
      </w:r>
    </w:p>
    <w:p w:rsidR="004B4A6B" w:rsidRPr="004B4A6B" w:rsidRDefault="00FD7583" w:rsidP="004B4A6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4B4A6B" w:rsidRPr="004B4A6B">
        <w:rPr>
          <w:rFonts w:ascii="Times New Roman" w:hAnsi="Times New Roman" w:cs="Times New Roman"/>
          <w:b/>
          <w:sz w:val="24"/>
          <w:szCs w:val="24"/>
        </w:rPr>
        <w:t>Si Europa quiere recuperar el respeto que merece debe fortalecer tres grandes ámbitos de soberanía</w:t>
      </w:r>
      <w:r w:rsidR="00CB32B0">
        <w:rPr>
          <w:rFonts w:ascii="Times New Roman" w:hAnsi="Times New Roman" w:cs="Times New Roman"/>
          <w:b/>
          <w:sz w:val="24"/>
          <w:szCs w:val="24"/>
        </w:rPr>
        <w:t xml:space="preserve">: la defensiva, la energética. la alimentaria, y </w:t>
      </w:r>
      <w:r w:rsidR="004B4A6B" w:rsidRPr="004B4A6B">
        <w:rPr>
          <w:rFonts w:ascii="Times New Roman" w:hAnsi="Times New Roman" w:cs="Times New Roman"/>
          <w:b/>
          <w:sz w:val="24"/>
          <w:szCs w:val="24"/>
        </w:rPr>
        <w:t>la tecnológica</w:t>
      </w:r>
    </w:p>
    <w:p w:rsidR="009977F5" w:rsidRDefault="009977F5" w:rsidP="009977F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77F5">
        <w:rPr>
          <w:rFonts w:ascii="Times New Roman" w:hAnsi="Times New Roman" w:cs="Times New Roman"/>
          <w:sz w:val="24"/>
          <w:szCs w:val="24"/>
          <w:u w:val="single"/>
        </w:rPr>
        <w:t>La batalla europea por la soberanía energética</w:t>
      </w:r>
      <w:r>
        <w:rPr>
          <w:rFonts w:ascii="Times New Roman" w:hAnsi="Times New Roman" w:cs="Times New Roman"/>
          <w:sz w:val="24"/>
          <w:szCs w:val="24"/>
        </w:rPr>
        <w:t xml:space="preserve"> (Cinco Días - </w:t>
      </w:r>
      <w:r w:rsidRPr="00120A4B">
        <w:rPr>
          <w:rFonts w:ascii="Times New Roman" w:hAnsi="Times New Roman" w:cs="Times New Roman"/>
          <w:b/>
          <w:sz w:val="24"/>
          <w:szCs w:val="24"/>
        </w:rPr>
        <w:t>10/2/22</w:t>
      </w:r>
      <w:r>
        <w:rPr>
          <w:rFonts w:ascii="Times New Roman" w:hAnsi="Times New Roman" w:cs="Times New Roman"/>
          <w:sz w:val="24"/>
          <w:szCs w:val="24"/>
        </w:rPr>
        <w:t>)</w:t>
      </w:r>
    </w:p>
    <w:p w:rsidR="0096151B" w:rsidRDefault="0096151B" w:rsidP="0096151B">
      <w:pPr>
        <w:spacing w:line="240" w:lineRule="auto"/>
        <w:jc w:val="both"/>
        <w:rPr>
          <w:rFonts w:ascii="Times New Roman" w:hAnsi="Times New Roman" w:cs="Times New Roman"/>
          <w:color w:val="FF0000"/>
          <w:sz w:val="24"/>
          <w:szCs w:val="24"/>
        </w:rPr>
      </w:pPr>
      <w:r w:rsidRPr="00603F4A">
        <w:rPr>
          <w:rFonts w:ascii="Times New Roman" w:hAnsi="Times New Roman" w:cs="Times New Roman"/>
          <w:color w:val="FF0000"/>
          <w:sz w:val="24"/>
          <w:szCs w:val="24"/>
        </w:rPr>
        <w:t>La crisis ucraniana ha expuesto el flanco más débil de la economía europea en un momento crítico para la transición hacia un modelo descarbonizado. Éste es el contexto, las causas, las consecuencias y los escenarios de futuro de la ausencia de soberanía energética en el Viejo Continente.</w:t>
      </w:r>
    </w:p>
    <w:p w:rsidR="009977F5" w:rsidRPr="00CC4A77" w:rsidRDefault="009977F5" w:rsidP="0096151B">
      <w:pPr>
        <w:spacing w:line="240" w:lineRule="auto"/>
        <w:jc w:val="both"/>
        <w:rPr>
          <w:rFonts w:ascii="Times New Roman" w:hAnsi="Times New Roman" w:cs="Times New Roman"/>
          <w:sz w:val="24"/>
          <w:szCs w:val="24"/>
        </w:rPr>
      </w:pPr>
      <w:r w:rsidRPr="00CC4A77">
        <w:rPr>
          <w:rFonts w:ascii="Times New Roman" w:hAnsi="Times New Roman" w:cs="Times New Roman"/>
          <w:sz w:val="24"/>
          <w:szCs w:val="24"/>
        </w:rPr>
        <w:t>(Por Gabriela López Escalante y Luis Alberto Peralta)</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Una Europa ya castigada por la pandemia ha visto aflorar en este invierno una debilidad que no es nueva, pero cuyos efectos secundarios han crecido de manera exponencial: su dependencia de las importaciones energéticas. </w:t>
      </w:r>
      <w:r w:rsidRPr="00603F4A">
        <w:rPr>
          <w:rFonts w:ascii="Times New Roman" w:hAnsi="Times New Roman" w:cs="Times New Roman"/>
          <w:sz w:val="24"/>
          <w:szCs w:val="24"/>
          <w:u w:val="single"/>
        </w:rPr>
        <w:t>El compromiso con la transición ecológica ha obligado a la región, antes adicta al carbón, a migrar hacia otras fuentes. Al no contar aún con la infraestructura energética verde suficiente para autoabastecerse, el Viejo continente ha entrado en un terreno inexplorado.</w:t>
      </w:r>
      <w:r w:rsidRPr="00120A4B">
        <w:rPr>
          <w:rFonts w:ascii="Times New Roman" w:hAnsi="Times New Roman" w:cs="Times New Roman"/>
          <w:sz w:val="24"/>
          <w:szCs w:val="24"/>
        </w:rPr>
        <w:t xml:space="preserve"> En este contexto, los vientos de guerra en Ucrania traen consigo la escasez del gas, una materia prima clave en su sistema energético cuyo grifo se abre desde Moscú.</w:t>
      </w:r>
    </w:p>
    <w:p w:rsidR="0096151B" w:rsidRPr="00603F4A" w:rsidRDefault="0096151B" w:rsidP="0096151B">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La región ha recortado en un 42,7% la producción de electricidad basada en hidrocarburos sólidos respecto a la media de las dos décadas anteriores. Como consecuencia, ha quedado al albur de la generación renovable (dependiente del clima) y, en particular, de las “energías de transición” como el gas: un mercado dominado por jugadores oportunistas como Rusia y donde aparecen duros competidores como China e India. Se formula así una pregunta fundamental para el futuro del continente: ¿Será Europa capaz de alcanzar la soberanía energética?</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lastRenderedPageBreak/>
        <w:drawing>
          <wp:inline distT="0" distB="0" distL="0" distR="0" wp14:anchorId="1DF6DB3A" wp14:editId="2244F5DF">
            <wp:extent cx="5733015" cy="4032250"/>
            <wp:effectExtent l="0" t="0" r="127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4031192"/>
                    </a:xfrm>
                    <a:prstGeom prst="rect">
                      <a:avLst/>
                    </a:prstGeom>
                  </pic:spPr>
                </pic:pic>
              </a:graphicData>
            </a:graphic>
          </wp:inline>
        </w:drawing>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su flexibilidad y menor nivel de emisiones, el gas es la fuente más accesible para economías altamente dependientes del carbón como Alemania. Hoy por hoy, este combustible genera alrededor del 20% de la producción eléctrica europea, según Eurostat. En España la producción a partir de gas representó alrededor del 27% del sistema eléctrico en 2021, y en enero se alcanzó el 33,5% del total</w:t>
      </w:r>
      <w:r>
        <w:rPr>
          <w:rFonts w:ascii="Times New Roman" w:hAnsi="Times New Roman" w:cs="Times New Roman"/>
          <w:sz w:val="24"/>
          <w:szCs w:val="24"/>
        </w:rPr>
        <w:t>, según datos de Red Eléctrica.</w:t>
      </w:r>
    </w:p>
    <w:p w:rsidR="0096151B" w:rsidRPr="00120A4B" w:rsidRDefault="0096151B" w:rsidP="0096151B">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t>El problema es que Europa tampoco tiene gas, y que el mercado mundial está sujeto a una elevada tensión</w:t>
      </w:r>
      <w:r w:rsidRPr="00120A4B">
        <w:rPr>
          <w:rFonts w:ascii="Times New Roman" w:hAnsi="Times New Roman" w:cs="Times New Roman"/>
          <w:sz w:val="24"/>
          <w:szCs w:val="24"/>
        </w:rPr>
        <w:t xml:space="preserve">. La reactivación económica en el último tramo de la pandemia puso de manifiesto este delicado equilibrio: </w:t>
      </w:r>
      <w:r w:rsidRPr="00603F4A">
        <w:rPr>
          <w:rFonts w:ascii="Times New Roman" w:hAnsi="Times New Roman" w:cs="Times New Roman"/>
          <w:sz w:val="24"/>
          <w:szCs w:val="24"/>
          <w:u w:val="single"/>
        </w:rPr>
        <w:t>las disrupciones del suministro de gas natural licuado (GNL) estadounidense a mediados de año se unieron a un aumento en la demanda generada por la descarbonización de gigantes como China o, en mucha menor medida, India, dando como resultado una fuerte subida de precios desde verano</w:t>
      </w:r>
      <w:r w:rsidRPr="00120A4B">
        <w:rPr>
          <w:rFonts w:ascii="Times New Roman" w:hAnsi="Times New Roman" w:cs="Times New Roman"/>
          <w:sz w:val="24"/>
          <w:szCs w:val="24"/>
        </w:rPr>
        <w:t>. La disminución del suministro ruso ligada a la crisis ucraniana ha terminado de cuadrar una tormenta perfecta, que ha disparado los precios del gas y el</w:t>
      </w:r>
      <w:r>
        <w:rPr>
          <w:rFonts w:ascii="Times New Roman" w:hAnsi="Times New Roman" w:cs="Times New Roman"/>
          <w:sz w:val="24"/>
          <w:szCs w:val="24"/>
        </w:rPr>
        <w:t xml:space="preserve"> coste de la energía eléctrica.</w:t>
      </w:r>
    </w:p>
    <w:p w:rsidR="0096151B" w:rsidRPr="00603F4A" w:rsidRDefault="0096151B" w:rsidP="0096151B">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El precio de los futuros del gas en el mercado neerlandés, referente europeo, refleja esta alocada carrera: de los 20 euros por megawatio en marzo pasó a 40 en agosto,  volvió a duplicarse en septiembre hasta los 80 y, tras moderarse en noviembre, llegó a un pico de 166 el 21 de diciembre, desde el que ha caído un 50%. Aun así está un 300% por encima de la media de 2020, y no se normalizará hasta 2024, de acuerdo con las cifras de los futuros a más largo plazo de Intercontinental Exchange.</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lastRenderedPageBreak/>
        <w:drawing>
          <wp:inline distT="0" distB="0" distL="0" distR="0" wp14:anchorId="4A992F86" wp14:editId="71C0F467">
            <wp:extent cx="5731510" cy="3928166"/>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3928166"/>
                    </a:xfrm>
                    <a:prstGeom prst="rect">
                      <a:avLst/>
                    </a:prstGeom>
                  </pic:spPr>
                </pic:pic>
              </a:graphicData>
            </a:graphic>
          </wp:inline>
        </w:drawing>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Los socios europeos son conscientes de su situación, hasta el punto de que la agencia Eurostat dispone de un ind</w:t>
      </w:r>
      <w:r>
        <w:rPr>
          <w:rFonts w:ascii="Times New Roman" w:hAnsi="Times New Roman" w:cs="Times New Roman"/>
          <w:sz w:val="24"/>
          <w:szCs w:val="24"/>
        </w:rPr>
        <w:t>icador específico para la “dependencia energética”</w:t>
      </w:r>
      <w:r w:rsidRPr="00120A4B">
        <w:rPr>
          <w:rFonts w:ascii="Times New Roman" w:hAnsi="Times New Roman" w:cs="Times New Roman"/>
          <w:sz w:val="24"/>
          <w:szCs w:val="24"/>
        </w:rPr>
        <w:t xml:space="preserve"> de los 27. De media, </w:t>
      </w:r>
      <w:r w:rsidRPr="00603F4A">
        <w:rPr>
          <w:rFonts w:ascii="Times New Roman" w:hAnsi="Times New Roman" w:cs="Times New Roman"/>
          <w:color w:val="FF0000"/>
          <w:sz w:val="24"/>
          <w:szCs w:val="24"/>
          <w:u w:val="single"/>
        </w:rPr>
        <w:t>el 57,5% de la energía que consume el bloque es de origen extracomunitario</w:t>
      </w:r>
      <w:r w:rsidRPr="00120A4B">
        <w:rPr>
          <w:rFonts w:ascii="Times New Roman" w:hAnsi="Times New Roman" w:cs="Times New Roman"/>
          <w:sz w:val="24"/>
          <w:szCs w:val="24"/>
        </w:rPr>
        <w:t>. Italia lidera la lista entre los países más grandes de la UE, con un 73,4%, seguida de España con un 67,9% y Alemania con un 63,6%. Francia es el único de los gigantes europeos que se encuentra por debajo de la media, con un 44,4%, en parte graci</w:t>
      </w:r>
      <w:r>
        <w:rPr>
          <w:rFonts w:ascii="Times New Roman" w:hAnsi="Times New Roman" w:cs="Times New Roman"/>
          <w:sz w:val="24"/>
          <w:szCs w:val="24"/>
        </w:rPr>
        <w:t>as a su abastecimiento nuclear.</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Esta dependencia tiene importantes matices en función de la fiabilidad de la fuente de suministro y de la concentración de las importaciones. Exportadores como Argelia, Noruega o Rusia, que dominan el mercado europeo, tienen diferentes grados de influencia en cada país dependiendo del peso de sus envíos en cada respectivo mix energético. Así mismo, el nivel de interconexión con el sistema de gas europeo o el acceso al mercado del GNL, que proviene principalmente Estados Unidos y Oriente Medio, son factores que pueden mitigar o empeorar el imp</w:t>
      </w:r>
      <w:r>
        <w:rPr>
          <w:rFonts w:ascii="Times New Roman" w:hAnsi="Times New Roman" w:cs="Times New Roman"/>
          <w:sz w:val="24"/>
          <w:szCs w:val="24"/>
        </w:rPr>
        <w:t>acto de los flujos del mercado.</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Gas, el as económico de Rusia</w:t>
      </w:r>
    </w:p>
    <w:p w:rsidR="0096151B" w:rsidRPr="00603F4A" w:rsidRDefault="0096151B" w:rsidP="0096151B">
      <w:pPr>
        <w:spacing w:line="240" w:lineRule="auto"/>
        <w:jc w:val="both"/>
        <w:rPr>
          <w:rFonts w:ascii="Times New Roman" w:hAnsi="Times New Roman" w:cs="Times New Roman"/>
          <w:color w:val="FF0000"/>
          <w:sz w:val="24"/>
          <w:szCs w:val="24"/>
          <w:u w:val="single"/>
        </w:rPr>
      </w:pPr>
      <w:r w:rsidRPr="00120A4B">
        <w:rPr>
          <w:rFonts w:ascii="Times New Roman" w:hAnsi="Times New Roman" w:cs="Times New Roman"/>
          <w:sz w:val="24"/>
          <w:szCs w:val="24"/>
        </w:rPr>
        <w:t xml:space="preserve">En este contexto, la concentración de varias decenas de miles de soldados e ingentes cantidades de material militar ruso en la frontera ucraniana solo ha aumentado la presión energética sobre Europa, que ahora se traslada al plano geopolítico. </w:t>
      </w:r>
      <w:r w:rsidRPr="00603F4A">
        <w:rPr>
          <w:rFonts w:ascii="Times New Roman" w:hAnsi="Times New Roman" w:cs="Times New Roman"/>
          <w:color w:val="FF0000"/>
          <w:sz w:val="24"/>
          <w:szCs w:val="24"/>
          <w:u w:val="single"/>
        </w:rPr>
        <w:t>El Kremlin maneja alrededor del 40% del suministro de gas europeo a través de la empresa estata</w:t>
      </w:r>
      <w:r>
        <w:rPr>
          <w:rFonts w:ascii="Times New Roman" w:hAnsi="Times New Roman" w:cs="Times New Roman"/>
          <w:color w:val="FF0000"/>
          <w:sz w:val="24"/>
          <w:szCs w:val="24"/>
          <w:u w:val="single"/>
        </w:rPr>
        <w:t>l Gazprom, y ha utilizado esta “arma del gas”</w:t>
      </w:r>
      <w:r w:rsidRPr="00603F4A">
        <w:rPr>
          <w:rFonts w:ascii="Times New Roman" w:hAnsi="Times New Roman" w:cs="Times New Roman"/>
          <w:color w:val="FF0000"/>
          <w:sz w:val="24"/>
          <w:szCs w:val="24"/>
          <w:u w:val="single"/>
        </w:rPr>
        <w:t xml:space="preserve"> para presionar al bloque y alejarlo de las ex repúblicas soviéticas, su histórica área de influencia.</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Según la Agencia Internacional de Energía, Moscú ha reducido en un 25% interanual los envíos de gas a la región durante el último trimestre de 2021. Este movimiento solo se podría explicar por su agenda política, afirma la institución, ya que en el contexto de los precios </w:t>
      </w:r>
      <w:r w:rsidRPr="00120A4B">
        <w:rPr>
          <w:rFonts w:ascii="Times New Roman" w:hAnsi="Times New Roman" w:cs="Times New Roman"/>
          <w:sz w:val="24"/>
          <w:szCs w:val="24"/>
        </w:rPr>
        <w:lastRenderedPageBreak/>
        <w:t>altos del gas mantener el suministro habría generado una jugosa rentabilidad para las exportaciones rusas.</w:t>
      </w:r>
    </w:p>
    <w:p w:rsidR="0096151B" w:rsidRPr="00603F4A" w:rsidRDefault="0096151B" w:rsidP="0096151B">
      <w:pPr>
        <w:spacing w:line="240" w:lineRule="auto"/>
        <w:jc w:val="both"/>
        <w:rPr>
          <w:rFonts w:ascii="Times New Roman" w:hAnsi="Times New Roman" w:cs="Times New Roman"/>
          <w:sz w:val="24"/>
          <w:szCs w:val="24"/>
          <w:u w:val="single"/>
        </w:rPr>
      </w:pPr>
      <w:r w:rsidRPr="00603F4A">
        <w:rPr>
          <w:rFonts w:ascii="Times New Roman" w:hAnsi="Times New Roman" w:cs="Times New Roman"/>
          <w:sz w:val="24"/>
          <w:szCs w:val="24"/>
          <w:u w:val="single"/>
        </w:rPr>
        <w:t>Los recortes rusos se han dado esencialmente en dos de las cuatro rutas empleadas: el gasoducto “Yamal-Europa”, que atraviesa Bielorrusia y Polonia para llegar a Alemania, y el corredor ucraniano, que conecta Rusia con los países al sur de Alemania. Específicamente, este corredor ha pasado de movilizar alrededor del 45% de los envíos rusos en 2019 a cerca del 20% en 2022, según los datos del Ministerio de Energía de Ucrania.</w:t>
      </w:r>
    </w:p>
    <w:p w:rsidR="0096151B" w:rsidRDefault="0096151B" w:rsidP="0096151B">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t>El Kremlin tiene más influencia sobre algunos países que sobre otros. En Alemania, la principal economía del bloque, las importaciones rusas suponen entre un 60% y un 65% del total del gas consumido, mientras que en Italia ronda el 40%. En países como Austria la dependencia es tal que el Gobierno incluso ha advertido sobre posibles apagones ante la caída en el suministro</w:t>
      </w:r>
      <w:r w:rsidRPr="00120A4B">
        <w:rPr>
          <w:rFonts w:ascii="Times New Roman" w:hAnsi="Times New Roman" w:cs="Times New Roman"/>
          <w:sz w:val="24"/>
          <w:szCs w:val="24"/>
        </w:rPr>
        <w:t>. España y Francia, no obstante, están en una situación diferente. Aunque siguen siendo vulnerables ante las subidas de precio del mercado, las importaciones africanas protegen a sus sistemas ante las turbulencias rusas. Tan solo un 10,5% del suministro de la península, cuyo principal proveedor es Argelia, proviene de Rusia. Para los franceses, esta cifra se mantiene cerca del 17%.</w:t>
      </w:r>
    </w:p>
    <w:p w:rsidR="0096151B" w:rsidRPr="00120A4B" w:rsidRDefault="0096151B" w:rsidP="0096151B">
      <w:pPr>
        <w:spacing w:line="240" w:lineRule="auto"/>
        <w:jc w:val="both"/>
        <w:rPr>
          <w:rFonts w:ascii="Times New Roman" w:hAnsi="Times New Roman" w:cs="Times New Roman"/>
          <w:sz w:val="24"/>
          <w:szCs w:val="24"/>
        </w:rPr>
      </w:pPr>
      <w:r w:rsidRPr="00EC09C9">
        <w:rPr>
          <w:rFonts w:ascii="Times New Roman" w:hAnsi="Times New Roman" w:cs="Times New Roman"/>
          <w:noProof/>
          <w:sz w:val="24"/>
          <w:szCs w:val="24"/>
          <w:lang w:eastAsia="es-ES"/>
        </w:rPr>
        <w:drawing>
          <wp:inline distT="0" distB="0" distL="0" distR="0" wp14:anchorId="126D13A0" wp14:editId="7D968C81">
            <wp:extent cx="5731510" cy="4874233"/>
            <wp:effectExtent l="0" t="0" r="2540" b="317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4874233"/>
                    </a:xfrm>
                    <a:prstGeom prst="rect">
                      <a:avLst/>
                    </a:prstGeom>
                  </pic:spPr>
                </pic:pic>
              </a:graphicData>
            </a:graphic>
          </wp:inline>
        </w:drawing>
      </w:r>
    </w:p>
    <w:p w:rsidR="0096151B" w:rsidRPr="00120A4B" w:rsidRDefault="0096151B" w:rsidP="0096151B">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 xml:space="preserve">La disminución de los flujos también se da en el contexto de un nivel anormalmente bajo en las reservas de gas europeas, que a principios de febrero se encuentran a un 35% de su capacidad, en contraste con el 48% en estas fechas de 2021, según datos de la agencia Gas </w:t>
      </w:r>
      <w:r w:rsidRPr="00B435CA">
        <w:rPr>
          <w:rFonts w:ascii="Times New Roman" w:hAnsi="Times New Roman" w:cs="Times New Roman"/>
          <w:sz w:val="24"/>
          <w:szCs w:val="24"/>
          <w:u w:val="single"/>
        </w:rPr>
        <w:lastRenderedPageBreak/>
        <w:t>Infrastructure Europe</w:t>
      </w:r>
      <w:r w:rsidRPr="00120A4B">
        <w:rPr>
          <w:rFonts w:ascii="Times New Roman" w:hAnsi="Times New Roman" w:cs="Times New Roman"/>
          <w:sz w:val="24"/>
          <w:szCs w:val="24"/>
        </w:rPr>
        <w:t>. De acuerdo con Fatih Birol, jefe de la Agencia Internacional de Energía, este déficit está principalmente localizado en los depósitos alimentados por Gazprom, que ha elegido recortar sus envíos al mínimo estipulado en los contratos, incluso en un entorno de precios estratosféticos.</w:t>
      </w:r>
    </w:p>
    <w:p w:rsidR="0096151B" w:rsidRPr="00120A4B" w:rsidRDefault="0096151B" w:rsidP="0096151B">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Gobierno de Vladimir Putin ha promovido intensamente la aprobación del Nord Stream 2, la vía gemela del gasoducto báltico Nord Stream, que sin paradas intermedias permitirá duplicar las exportaciones directas a Alemania. El proyecto, que ha costado en torno a 9.500 millones de euros y fue financiado al 50% por empresas europeas como Shell, Engie, y las alemanas OMV y Uniper, permitirá redirigir los envíos rusos sin cruzar el territorio de las exrepúblicas soviéticas</w:t>
      </w:r>
      <w:r w:rsidRPr="00120A4B">
        <w:rPr>
          <w:rFonts w:ascii="Times New Roman" w:hAnsi="Times New Roman" w:cs="Times New Roman"/>
          <w:sz w:val="24"/>
          <w:szCs w:val="24"/>
        </w:rPr>
        <w:t>. Fuentes del Gobierno ucraniano han indicado a Cinco Días que su utilización podría representar un ahorro de alrededor de 1.500 millones de dólares anuales en derechos de tránsito que el gigante paga por el paso de sus exp</w:t>
      </w:r>
      <w:r>
        <w:rPr>
          <w:rFonts w:ascii="Times New Roman" w:hAnsi="Times New Roman" w:cs="Times New Roman"/>
          <w:sz w:val="24"/>
          <w:szCs w:val="24"/>
        </w:rPr>
        <w:t>ortaciones a través de Ucrania.</w:t>
      </w:r>
    </w:p>
    <w:p w:rsidR="0096151B" w:rsidRPr="00120A4B" w:rsidRDefault="0096151B" w:rsidP="0096151B">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futuro del gasoducto, sin embargo, permanece incierto precisamente a causa de la concentración de tropas rusas en la frontera ucrania</w:t>
      </w:r>
      <w:r w:rsidRPr="00120A4B">
        <w:rPr>
          <w:rFonts w:ascii="Times New Roman" w:hAnsi="Times New Roman" w:cs="Times New Roman"/>
          <w:sz w:val="24"/>
          <w:szCs w:val="24"/>
        </w:rPr>
        <w:t>. Si bien el vicepresidente de la Comisión Europea, Valdis Dombrovskis, aseguró el 31 de enero que la aprobación del duc</w:t>
      </w:r>
      <w:r>
        <w:rPr>
          <w:rFonts w:ascii="Times New Roman" w:hAnsi="Times New Roman" w:cs="Times New Roman"/>
          <w:sz w:val="24"/>
          <w:szCs w:val="24"/>
        </w:rPr>
        <w:t>to se encuentra suspendida por “</w:t>
      </w:r>
      <w:r w:rsidRPr="00120A4B">
        <w:rPr>
          <w:rFonts w:ascii="Times New Roman" w:hAnsi="Times New Roman" w:cs="Times New Roman"/>
          <w:sz w:val="24"/>
          <w:szCs w:val="24"/>
        </w:rPr>
        <w:t>ir en c</w:t>
      </w:r>
      <w:r>
        <w:rPr>
          <w:rFonts w:ascii="Times New Roman" w:hAnsi="Times New Roman" w:cs="Times New Roman"/>
          <w:sz w:val="24"/>
          <w:szCs w:val="24"/>
        </w:rPr>
        <w:t>ontra de la legislación europea”</w:t>
      </w:r>
      <w:r w:rsidRPr="00120A4B">
        <w:rPr>
          <w:rFonts w:ascii="Times New Roman" w:hAnsi="Times New Roman" w:cs="Times New Roman"/>
          <w:sz w:val="24"/>
          <w:szCs w:val="24"/>
        </w:rPr>
        <w:t>, nada garantiza que en el mediano plazo no se pueda retomar. En este sentido, los ucranianos temen que su posible aprobación incline la balanza geopolítica a favor de Rusia: “Si se aprueba el Nord Stream 2 no solo perderíamos el dinero, sino que afectaría nuestra seguridad. El gas hace que la Unión Europea mantenga un ojo sobre Ucrania y si eso se pierde Rusia podría ganar terreno”, ha advertido a este diario Aliona Osmolovska, asesora del mi</w:t>
      </w:r>
      <w:r>
        <w:rPr>
          <w:rFonts w:ascii="Times New Roman" w:hAnsi="Times New Roman" w:cs="Times New Roman"/>
          <w:sz w:val="24"/>
          <w:szCs w:val="24"/>
        </w:rPr>
        <w:t>nisterio de energía de Ucrania.</w:t>
      </w:r>
    </w:p>
    <w:p w:rsidR="0096151B" w:rsidRPr="00120A4B" w:rsidRDefault="0096151B" w:rsidP="0096151B">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riesgo de suministro, en todo caso, ha sido mitigado por la llegada de metaneros cargados de gas natural licuado, atraídos por la alta rentabilidad del mercado europeo. Este reequilibrio ha calmado los nervios en el mercado, y los precios del gas en el mercado neerlandés han caído en un 55,2% desde el último pico el 21 de diciembre.</w:t>
      </w:r>
      <w:r w:rsidRPr="00120A4B">
        <w:rPr>
          <w:rFonts w:ascii="Times New Roman" w:hAnsi="Times New Roman" w:cs="Times New Roman"/>
          <w:sz w:val="24"/>
          <w:szCs w:val="24"/>
        </w:rPr>
        <w:t xml:space="preserve"> El suministro de gas por barco implica la necesidad de enfriar en origen el gas natural para que pase al estado líquido, transportarlo en barcos especiales y convertirlo de nuevo en gas natural en destino. Alemania o Austria, que no cuentan con terminales de GNL, solo pueden acceder a estas importaciones por medio de la red europea de gasoductos. España, por el contrario, es uno de los países con m</w:t>
      </w:r>
      <w:r>
        <w:rPr>
          <w:rFonts w:ascii="Times New Roman" w:hAnsi="Times New Roman" w:cs="Times New Roman"/>
          <w:sz w:val="24"/>
          <w:szCs w:val="24"/>
        </w:rPr>
        <w:t>ás capacidad de regasificación.</w:t>
      </w:r>
    </w:p>
    <w:p w:rsidR="0096151B" w:rsidRPr="00B435CA" w:rsidRDefault="0096151B" w:rsidP="0096151B">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El consumidor español contempla atónito cómo el cóctel económico y geopolítico ha elevado un 72% la factura regulada de la luz en 2021, según el INE, a pesar de la escasa dependencia de gas ruso. Es, precisamente, la subida del precio del gas en el mercado internacional lo que ha desatado la subida de la tarifa, y gracias también al particular mecanismo de fijación de precios en la electricidad.</w:t>
      </w:r>
    </w:p>
    <w:p w:rsidR="0096151B" w:rsidRDefault="0096151B" w:rsidP="0096151B">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Así, el precio del mercado mayorista (donde operan empresas generadoras, comercializadoras y grandes consumidores) depende de la tecnología más cara que se use para cubrir la demanda diaria: si la nuclear y las renovables pueden hacerlo, el precio será bajo porque sus costes son menores. Pero si hay que usar gas natural o carbón, el precio lo fijarán estas tecnologías más caras. Además, en España el precio de la electricidad en este mercado mayorista se traslada directamente a la factura de los consumidores acogidos al mercado regulado. Un mecanismo que se ha tornado endiablado este 2021 y que explica la inusual</w:t>
      </w:r>
      <w:r w:rsidRPr="00120A4B">
        <w:rPr>
          <w:rFonts w:ascii="Times New Roman" w:hAnsi="Times New Roman" w:cs="Times New Roman"/>
          <w:sz w:val="24"/>
          <w:szCs w:val="24"/>
        </w:rPr>
        <w:t xml:space="preserve"> </w:t>
      </w:r>
      <w:r w:rsidRPr="00B435CA">
        <w:rPr>
          <w:rFonts w:ascii="Times New Roman" w:hAnsi="Times New Roman" w:cs="Times New Roman"/>
          <w:sz w:val="24"/>
          <w:szCs w:val="24"/>
          <w:u w:val="single"/>
        </w:rPr>
        <w:t>atención que España presta al otrora mercado mayorista, pese a que la restricción del gas ruso apenas afecte directamente a España.</w:t>
      </w:r>
    </w:p>
    <w:p w:rsidR="0096151B" w:rsidRPr="00B435CA" w:rsidRDefault="0096151B" w:rsidP="0096151B">
      <w:pPr>
        <w:spacing w:line="240" w:lineRule="auto"/>
        <w:jc w:val="both"/>
        <w:rPr>
          <w:rFonts w:ascii="Times New Roman" w:hAnsi="Times New Roman" w:cs="Times New Roman"/>
          <w:sz w:val="24"/>
          <w:szCs w:val="24"/>
          <w:u w:val="single"/>
        </w:rPr>
      </w:pP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lastRenderedPageBreak/>
        <w:t>Un futuro, dos visiones</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Líderes y legisladores europeos han insistido en la necesidad de diversificar. Recientemente, la comisaria europea de energía, Kadri Simson, viajó a Azerbaiyán para negociar un posible aumento de las exportaciones de gas desde este país que permitirían depender menos de Rusia. Asimismo, el alto representante de la Unión Europea para asuntos exteriores, Josep Borrell indicó este lunes que la prioridad inmediata del bloque es diversificar las fuentes de energía y los flujos de gas para evitar int</w:t>
      </w:r>
      <w:r>
        <w:rPr>
          <w:rFonts w:ascii="Times New Roman" w:hAnsi="Times New Roman" w:cs="Times New Roman"/>
          <w:sz w:val="24"/>
          <w:szCs w:val="24"/>
        </w:rPr>
        <w:t>errupciones en el suministro y “</w:t>
      </w:r>
      <w:r w:rsidRPr="00120A4B">
        <w:rPr>
          <w:rFonts w:ascii="Times New Roman" w:hAnsi="Times New Roman" w:cs="Times New Roman"/>
          <w:sz w:val="24"/>
          <w:szCs w:val="24"/>
        </w:rPr>
        <w:t>garantizar que los mercados energéticos mundiales sean líquidos, co</w:t>
      </w:r>
      <w:r>
        <w:rPr>
          <w:rFonts w:ascii="Times New Roman" w:hAnsi="Times New Roman" w:cs="Times New Roman"/>
          <w:sz w:val="24"/>
          <w:szCs w:val="24"/>
        </w:rPr>
        <w:t>mpetitivos y bien abastecidos”.</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A la cabeza de la cruzada contra la dependencia, se ha situado la presidenta de la Comisión Europea, Úrsula </w:t>
      </w:r>
      <w:r w:rsidRPr="00B435CA">
        <w:rPr>
          <w:rFonts w:ascii="Times New Roman" w:hAnsi="Times New Roman" w:cs="Times New Roman"/>
          <w:sz w:val="24"/>
          <w:szCs w:val="24"/>
          <w:u w:val="single"/>
        </w:rPr>
        <w:t>Von der Leyen, quien ha insistido en la urgencia de que Europa consiga la soberanía energética por medio de la transición ecológica</w:t>
      </w:r>
      <w:r w:rsidRPr="00120A4B">
        <w:rPr>
          <w:rFonts w:ascii="Times New Roman" w:hAnsi="Times New Roman" w:cs="Times New Roman"/>
          <w:sz w:val="24"/>
          <w:szCs w:val="24"/>
        </w:rPr>
        <w:t>. Una meta que no solo contribuirá a frenar el cambio climático, sino que aumentará la resiliencia energética del bloque.</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De acuerdo con la Comisión Europea, lograr este objetivo supondría que Europa produzca la totalidad de su propia energía, cortando su dependencia de suministros externos y protegiéndose de posibles interrupciones y de la volatilidad de los precios del gas. También sería un gran ahorro económico: lograr los objetivos de reducción de emisiones en 2030 supondría una caída de más del 25% en las importaciones de combustibles fósiles, y de alcanzarse la neutralidad climática para 2050, el bloque ahorraría hasta tres billones de euros.</w:t>
      </w:r>
    </w:p>
    <w:p w:rsidR="0096151B" w:rsidRPr="00B435CA" w:rsidRDefault="0096151B" w:rsidP="0096151B">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Sin embargo, el cómo lograrlo ha generado división entre los socios. Si bien Bruselas considera que ni el gas ni la energía nuclear son energías neutras a nivel climático, ha d</w:t>
      </w:r>
      <w:r>
        <w:rPr>
          <w:rFonts w:ascii="Times New Roman" w:hAnsi="Times New Roman" w:cs="Times New Roman"/>
          <w:sz w:val="24"/>
          <w:szCs w:val="24"/>
          <w:u w:val="single"/>
        </w:rPr>
        <w:t>ecidido defender su papel como “actividades de transición”</w:t>
      </w:r>
      <w:r w:rsidRPr="00B435CA">
        <w:rPr>
          <w:rFonts w:ascii="Times New Roman" w:hAnsi="Times New Roman" w:cs="Times New Roman"/>
          <w:sz w:val="24"/>
          <w:szCs w:val="24"/>
          <w:u w:val="single"/>
        </w:rPr>
        <w:t xml:space="preserve"> para alcanzar el objetivo de una economía descarbonizada en 2050. La Comisión Europea ha propuesto a principios de febrero que ambas fuentes se consideren dentro de la taxonomía verde del Ejecutivo comunitario, un sistema que pretende orientar las inversiones en la transición ecológica.</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Algunos países Europeos, entre ellos España, han alzado la voz contra la decisión. El Ministerio para la Transición Ecológica (MITECO) ha considerado que la inclusión en la propuesta final de taxonomía o clasificación de la Comisión Europea (CE) del gas y la energía nuclear puede distraer fondos e inversione</w:t>
      </w:r>
      <w:r>
        <w:rPr>
          <w:rFonts w:ascii="Times New Roman" w:hAnsi="Times New Roman" w:cs="Times New Roman"/>
          <w:sz w:val="24"/>
          <w:szCs w:val="24"/>
        </w:rPr>
        <w:t>s que podrían destinarse en la “dirección correcta”</w:t>
      </w:r>
      <w:r w:rsidRPr="00120A4B">
        <w:rPr>
          <w:rFonts w:ascii="Times New Roman" w:hAnsi="Times New Roman" w:cs="Times New Roman"/>
          <w:sz w:val="24"/>
          <w:szCs w:val="24"/>
        </w:rPr>
        <w:t>, las energías renovab</w:t>
      </w:r>
      <w:r>
        <w:rPr>
          <w:rFonts w:ascii="Times New Roman" w:hAnsi="Times New Roman" w:cs="Times New Roman"/>
          <w:sz w:val="24"/>
          <w:szCs w:val="24"/>
        </w:rPr>
        <w:t>les, como la eólica o la solar.</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En esta misma línea, La Unión Española Fotovoltaica (UNEF) ha transmitido su rechazo a esta etiqueta propuesta por Bruselas, al considerar que no se cumplen los criterios medioambientales para que el gas y la nuclear califiquen como inversiones sostenibles. “En la fase crítica que atravesamos a nivel global hacia la transición energética, esto podría restar inversiones que permitan el avance de la energía renovable, sería un error muy importante”, ha señalado Rafael Benjumea, Presidente de UNEF. En concreto, según Benjumea, esta decisión podría frenar la inversión en almacenamiento, hidrógeno verde y fotovoltaica, fundamentales para permitir una mayor flexibilidad en la gestión de la demanda energética.</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La tendencia apunta a que en el medio plazo Europa se alejará del gas. La Agencia Internacional de la Energía (AIE) cree que la demanda de gas en el bloque caerá este año un 4%, en un contexto marcado por la fuerte tensión en el mercado con unos precios históricamente elevados y una reducción de los suministros por gasoducto que llegan desde Rusia. En su informe trimestral sobre el mercado del gas publicado a finales de enero, se estima que el consumo de gas en Europa caerá en 2022 a 527.000 millones de metros cúbicos, frente a los 552.000 millones de 2021, y se acercará a los 522.000 millones de 2020, un año en que se había vivido un severo hundi</w:t>
      </w:r>
      <w:r>
        <w:rPr>
          <w:rFonts w:ascii="Times New Roman" w:hAnsi="Times New Roman" w:cs="Times New Roman"/>
          <w:sz w:val="24"/>
          <w:szCs w:val="24"/>
        </w:rPr>
        <w:t>miento por la crisis del Covid.</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lastRenderedPageBreak/>
        <w:t>Por el contrario, visualiza un futuro optimista a medio plazo para otras energías. La AIE cree que el hidrógeno sin emisiones podría llegar a ser competitivo en el horizonte de 2030 en países con muchos recursos renovables, impulsado por una reducción significativa en sus costes de producción. Según el informe Global Hydrogen Review publicado a finales de enero, la demanda de hidrógeno a nivel global en 2020, fue de 90 millones de toneladas, utilizado sobre todo en la industria química y las refinerías; un dato que para 2030 podría crecer h</w:t>
      </w:r>
      <w:r>
        <w:rPr>
          <w:rFonts w:ascii="Times New Roman" w:hAnsi="Times New Roman" w:cs="Times New Roman"/>
          <w:sz w:val="24"/>
          <w:szCs w:val="24"/>
        </w:rPr>
        <w:t>asta 105 millones de toneladas.</w:t>
      </w:r>
    </w:p>
    <w:p w:rsidR="0096151B" w:rsidRPr="00B435CA" w:rsidRDefault="0096151B" w:rsidP="0096151B">
      <w:pPr>
        <w:spacing w:line="240" w:lineRule="auto"/>
        <w:jc w:val="both"/>
        <w:rPr>
          <w:rFonts w:ascii="Times New Roman" w:hAnsi="Times New Roman" w:cs="Times New Roman"/>
          <w:sz w:val="24"/>
          <w:szCs w:val="24"/>
          <w:u w:val="single"/>
        </w:rPr>
      </w:pPr>
      <w:r w:rsidRPr="00120A4B">
        <w:rPr>
          <w:rFonts w:ascii="Times New Roman" w:hAnsi="Times New Roman" w:cs="Times New Roman"/>
          <w:sz w:val="24"/>
          <w:szCs w:val="24"/>
        </w:rPr>
        <w:t xml:space="preserve">Este optimismo es secundado por </w:t>
      </w:r>
      <w:r w:rsidRPr="00B435CA">
        <w:rPr>
          <w:rFonts w:ascii="Times New Roman" w:hAnsi="Times New Roman" w:cs="Times New Roman"/>
          <w:sz w:val="24"/>
          <w:szCs w:val="24"/>
          <w:u w:val="single"/>
        </w:rPr>
        <w:t>la Agencia Internacional de Energías Renovables (IRENA), una institución que asegura que el rápido crecimiento de la economía del hidrógeno mundial puede producir importantes cambios geoeconómicos y geopolíticos. Impulsado por la urgencia climática y los compromisos de los países con respecto a la producción de cero emisiones netas, IRENA estima que el hidrógeno representará hasta el 12% del uso de energía en el mundo para 2050.</w:t>
      </w:r>
    </w:p>
    <w:p w:rsidR="0096151B" w:rsidRPr="00120A4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“El hidrógeno se apalanca claramente en la revolución de las energías renovables, de modo que el hidrógeno verde se presenta como una solución radical para alcanzar la neutralidad climática sin comprometer el crecimiento industrial y el desarrollo social”, ha señalado Francesco La Camera, d</w:t>
      </w:r>
      <w:r>
        <w:rPr>
          <w:rFonts w:ascii="Times New Roman" w:hAnsi="Times New Roman" w:cs="Times New Roman"/>
          <w:sz w:val="24"/>
          <w:szCs w:val="24"/>
        </w:rPr>
        <w:t>irector general de IRENA.</w:t>
      </w:r>
    </w:p>
    <w:p w:rsidR="0096151B" w:rsidRDefault="0096151B" w:rsidP="0096151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Sin embargo, a corto plazo, Bruselas se conforma con “aceptar soluciones imperfectas”, en palabras de la comisaria de Servicios financieros, Mairead McGuinnes, al anunciar la polémica taxonomía verde que complace las peticiones de Francia y Alemania. Pero más allá de que esta reforma vea la luz verde, en lo que sí coinciden los 27 es en la urgencia de abandonar la dependencia de Rusia, que ha pasado en las últimas semanas de ser un socio energético a un potencial enemigo bélico. Tras un 2021 de crisis energética, la Unión Europea ha entendido que el gas es su arma de doble filo.</w:t>
      </w:r>
    </w:p>
    <w:p w:rsidR="009977F5" w:rsidRDefault="00FD7583" w:rsidP="0096151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4B4A6B">
        <w:rPr>
          <w:rFonts w:ascii="Times New Roman" w:hAnsi="Times New Roman" w:cs="Times New Roman"/>
          <w:b/>
          <w:sz w:val="24"/>
          <w:szCs w:val="24"/>
        </w:rPr>
        <w:t>E</w:t>
      </w:r>
      <w:r w:rsidR="00CC4A77">
        <w:rPr>
          <w:rFonts w:ascii="Times New Roman" w:hAnsi="Times New Roman" w:cs="Times New Roman"/>
          <w:b/>
          <w:sz w:val="24"/>
          <w:szCs w:val="24"/>
        </w:rPr>
        <w:t>l cinismo</w:t>
      </w:r>
      <w:r w:rsidR="009977F5" w:rsidRPr="009977F5">
        <w:rPr>
          <w:rFonts w:ascii="Times New Roman" w:hAnsi="Times New Roman" w:cs="Times New Roman"/>
          <w:b/>
          <w:sz w:val="24"/>
          <w:szCs w:val="24"/>
        </w:rPr>
        <w:t xml:space="preserve"> de la taxonomía</w:t>
      </w:r>
      <w:r w:rsidR="00CC4A77">
        <w:rPr>
          <w:rFonts w:ascii="Times New Roman" w:hAnsi="Times New Roman" w:cs="Times New Roman"/>
          <w:b/>
          <w:sz w:val="24"/>
          <w:szCs w:val="24"/>
        </w:rPr>
        <w:t xml:space="preserve"> eco friendly</w:t>
      </w:r>
      <w:r w:rsidR="004B4A6B">
        <w:rPr>
          <w:rFonts w:ascii="Times New Roman" w:hAnsi="Times New Roman" w:cs="Times New Roman"/>
          <w:b/>
          <w:sz w:val="24"/>
          <w:szCs w:val="24"/>
        </w:rPr>
        <w:t>: antes s</w:t>
      </w:r>
      <w:r w:rsidR="004B4A6B" w:rsidRPr="009977F5">
        <w:rPr>
          <w:rFonts w:ascii="Times New Roman" w:hAnsi="Times New Roman" w:cs="Times New Roman"/>
          <w:b/>
          <w:sz w:val="24"/>
          <w:szCs w:val="24"/>
        </w:rPr>
        <w:t>e atrapa a un mentiroso</w:t>
      </w:r>
      <w:r w:rsidR="004B4A6B">
        <w:rPr>
          <w:rFonts w:ascii="Times New Roman" w:hAnsi="Times New Roman" w:cs="Times New Roman"/>
          <w:b/>
          <w:sz w:val="24"/>
          <w:szCs w:val="24"/>
        </w:rPr>
        <w:t>, que a un cojo</w:t>
      </w:r>
    </w:p>
    <w:p w:rsidR="009977F5" w:rsidRPr="006934A8" w:rsidRDefault="009977F5" w:rsidP="009977F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34A8">
        <w:rPr>
          <w:rFonts w:ascii="Times New Roman" w:hAnsi="Times New Roman" w:cs="Times New Roman"/>
          <w:sz w:val="24"/>
          <w:szCs w:val="24"/>
          <w:u w:val="single"/>
        </w:rPr>
        <w:t>Los bancos llaman a la acción climática mientras destinan 1,5 billones a la industria del carbón</w:t>
      </w:r>
      <w:r>
        <w:rPr>
          <w:rFonts w:ascii="Times New Roman" w:hAnsi="Times New Roman" w:cs="Times New Roman"/>
          <w:sz w:val="24"/>
          <w:szCs w:val="24"/>
        </w:rPr>
        <w:t xml:space="preserve"> (El Economista - </w:t>
      </w:r>
      <w:r w:rsidRPr="006934A8">
        <w:rPr>
          <w:rFonts w:ascii="Times New Roman" w:hAnsi="Times New Roman" w:cs="Times New Roman"/>
          <w:b/>
          <w:sz w:val="24"/>
          <w:szCs w:val="24"/>
        </w:rPr>
        <w:t>19/2/22</w:t>
      </w:r>
      <w:r>
        <w:rPr>
          <w:rFonts w:ascii="Times New Roman" w:hAnsi="Times New Roman" w:cs="Times New Roman"/>
          <w:sz w:val="24"/>
          <w:szCs w:val="24"/>
        </w:rPr>
        <w:t>)</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Diez de los principales prestamistas son miembros de la Net Zero Alliance</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Media docena de bancos son responsables de casi el 50% de la inversión</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El planeta se enfrenta a su mayor reto hasta la fecha: el cambio climático. Es un hecho que se acaba el tiempo para actuar ante esta crisis y evitar consecuencias mayores. Pese a todos los avisos y las evidencias, los bancos e inversores siguen financiando la industria del carbón, el combustible fósil más sucio del mundo. Entre enero de 2019 y noviembre de 2021, las instituciones bancarias destinaron cerca de 1,5 billones de dólares a la financiac</w:t>
      </w:r>
      <w:r>
        <w:rPr>
          <w:rFonts w:ascii="Times New Roman" w:hAnsi="Times New Roman" w:cs="Times New Roman"/>
          <w:sz w:val="24"/>
          <w:szCs w:val="24"/>
        </w:rPr>
        <w:t>ión de la industria del carbón.</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 xml:space="preserve">Media docena de bancos con sede en Estados Unidos, China, Japón, India, Canadá y Reino Unido son responsables de casi el 50% del dinero canalizado a empresas de la industria del carbón, mientras que más de 360.000 millones corresponden a préstamos realizados por 376 bancos comerciales, según la investigación de las ONG climáticas Urgewald y Reclaim Finance. Cabe destacar que 10 de esos 12 prestamistas son miembros de la Net Zero Banking Alliance de la ONU, una iniciativa liderada por la industria bancaria que se compromete a alinear sus carteras con las </w:t>
      </w:r>
      <w:r>
        <w:rPr>
          <w:rFonts w:ascii="Times New Roman" w:hAnsi="Times New Roman" w:cs="Times New Roman"/>
          <w:sz w:val="24"/>
          <w:szCs w:val="24"/>
        </w:rPr>
        <w:t>emisiones netas cero para 2050.</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lastRenderedPageBreak/>
        <w:t>Las beneficiarias de estos préstamos forman parte de la Global Coal Exist List (GCEL), un conjunto de 1.032 empresas que representan el 90% de la producción mundial de carbón térmico y de la capacidad de combustión de carbón. Las actividades que desarrollan dichas compañías van desde la extracción y el comercio de carbón hasta la conversión del mismo en líquidos y la explotación de central</w:t>
      </w:r>
      <w:r>
        <w:rPr>
          <w:rFonts w:ascii="Times New Roman" w:hAnsi="Times New Roman" w:cs="Times New Roman"/>
          <w:sz w:val="24"/>
          <w:szCs w:val="24"/>
        </w:rPr>
        <w:t>es eléctricas de este material.</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Las entidades japonesas Mizuho Financial, Mitsubishi UFJ Financial y SMBC Group son los principales prestamistas de la industria del carbón. El cuarto y quinto puesto lo ocupan Barclays y Citigroup. Todas ellas forman parte de la Net Zero Banki</w:t>
      </w:r>
      <w:r>
        <w:rPr>
          <w:rFonts w:ascii="Times New Roman" w:hAnsi="Times New Roman" w:cs="Times New Roman"/>
          <w:sz w:val="24"/>
          <w:szCs w:val="24"/>
        </w:rPr>
        <w:t>ng Alliance de Naciones Unidas.</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Un portavoz de Barclays ha declarado a la CNBC que el banco se comprometió en 2019 a no financiar proyectos relacionados con el carbón. Mitsubishi UFJ Financial, por su parte, ha reiterado su objetivo de alcanzar la neutralidad de carbono en sus operaciones para 2030 y en su car</w:t>
      </w:r>
      <w:r>
        <w:rPr>
          <w:rFonts w:ascii="Times New Roman" w:hAnsi="Times New Roman" w:cs="Times New Roman"/>
          <w:sz w:val="24"/>
          <w:szCs w:val="24"/>
        </w:rPr>
        <w:t>tera de financiación para 2050.</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Financiación a través de suscripciones</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Las suscripciones se han convertido en el principal método de los bancos para recaudar capital para financiar a la industria del carbón. Las entidades bancarias emiten bonos o acciones en nombre de las empresas y se los venden a los inversores como fondos de pensiones o de inversión.</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A través de este proceso, 484 bancos canalizaron cerca de 1,2 millones de dólares a empresas de la GCEL entre enero de 2019 y noviembre de 2021. Sólo 12 entidades de todas las participantes en la financiación del sector fueron responsables del 39% del total de las sus</w:t>
      </w:r>
      <w:r>
        <w:rPr>
          <w:rFonts w:ascii="Times New Roman" w:hAnsi="Times New Roman" w:cs="Times New Roman"/>
          <w:sz w:val="24"/>
          <w:szCs w:val="24"/>
        </w:rPr>
        <w:t>cripciones durante ese periodo.</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Casi todas las entidades bancarias que financiaron a la industria del carbón mediante suscripciones tienen sede en China. En el top tres se encuentran el Industrial Commercial Bank of China, el China International Trust and Investment Corporation y el Shanghai Pudong Development Bank. El único banco no chino entre los 12 principales suscriptores de la industria del carbón fue JPMorgan Chase, el mayor banco estadounidense por activos.</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En respuesta a estas acusacione</w:t>
      </w:r>
      <w:r w:rsidR="00FD7583">
        <w:rPr>
          <w:rFonts w:ascii="Times New Roman" w:hAnsi="Times New Roman" w:cs="Times New Roman"/>
          <w:sz w:val="24"/>
          <w:szCs w:val="24"/>
        </w:rPr>
        <w:t>s, JPMorgan Chase ha asegurado “</w:t>
      </w:r>
      <w:r w:rsidRPr="006934A8">
        <w:rPr>
          <w:rFonts w:ascii="Times New Roman" w:hAnsi="Times New Roman" w:cs="Times New Roman"/>
          <w:sz w:val="24"/>
          <w:szCs w:val="24"/>
        </w:rPr>
        <w:t>ser el primer banco de Estados Unidos en establecer objetivos de reducción de carbono para 2</w:t>
      </w:r>
      <w:r w:rsidR="00FD7583">
        <w:rPr>
          <w:rFonts w:ascii="Times New Roman" w:hAnsi="Times New Roman" w:cs="Times New Roman"/>
          <w:sz w:val="24"/>
          <w:szCs w:val="24"/>
        </w:rPr>
        <w:t>030 alineados con París”</w:t>
      </w:r>
      <w:r w:rsidRPr="006934A8">
        <w:rPr>
          <w:rFonts w:ascii="Times New Roman" w:hAnsi="Times New Roman" w:cs="Times New Roman"/>
          <w:sz w:val="24"/>
          <w:szCs w:val="24"/>
        </w:rPr>
        <w:t>.</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Los inversores compran estos valores</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Junto a las entidades bancarias, los inversores institucionales también desempeñaron un papel esencial en la financiación de la industria del carbón. Los principales inversores institucionales con participaciones en la industria del carbón son Blackrock y Vanguard, de las cas</w:t>
      </w:r>
      <w:r>
        <w:rPr>
          <w:rFonts w:ascii="Times New Roman" w:hAnsi="Times New Roman" w:cs="Times New Roman"/>
          <w:sz w:val="24"/>
          <w:szCs w:val="24"/>
        </w:rPr>
        <w:t>i 5.000 entidades investigadas.</w:t>
      </w:r>
    </w:p>
    <w:p w:rsidR="009977F5" w:rsidRPr="006934A8"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t xml:space="preserve">BlackRock es el que más dinero invirtió en la industria del carbón. En concreto, representa el 9% de las participaciones mundiales en acciones de carbón, con 109.000 millones de dólares de su capital en empresas productoras de carbón. Asimismo, es el principal inversor institucional mundial en empresas que construyen nuevas plantas de carbón, con más de 34.000 </w:t>
      </w:r>
      <w:r>
        <w:rPr>
          <w:rFonts w:ascii="Times New Roman" w:hAnsi="Times New Roman" w:cs="Times New Roman"/>
          <w:sz w:val="24"/>
          <w:szCs w:val="24"/>
        </w:rPr>
        <w:t>millones de dólares invertidos.</w:t>
      </w:r>
    </w:p>
    <w:p w:rsidR="009977F5" w:rsidRDefault="009977F5" w:rsidP="009977F5">
      <w:pPr>
        <w:spacing w:line="240" w:lineRule="auto"/>
        <w:jc w:val="both"/>
        <w:rPr>
          <w:rFonts w:ascii="Times New Roman" w:hAnsi="Times New Roman" w:cs="Times New Roman"/>
          <w:sz w:val="24"/>
          <w:szCs w:val="24"/>
        </w:rPr>
      </w:pPr>
      <w:r w:rsidRPr="006934A8">
        <w:rPr>
          <w:rFonts w:ascii="Times New Roman" w:hAnsi="Times New Roman" w:cs="Times New Roman"/>
          <w:sz w:val="24"/>
          <w:szCs w:val="24"/>
        </w:rPr>
        <w:lastRenderedPageBreak/>
        <w:t>En cuanto Vanguard, un portavoz de la</w:t>
      </w:r>
      <w:r w:rsidR="004B4A6B">
        <w:rPr>
          <w:rFonts w:ascii="Times New Roman" w:hAnsi="Times New Roman" w:cs="Times New Roman"/>
          <w:sz w:val="24"/>
          <w:szCs w:val="24"/>
        </w:rPr>
        <w:t xml:space="preserve"> entidad ha asegurado que está “</w:t>
      </w:r>
      <w:r w:rsidRPr="006934A8">
        <w:rPr>
          <w:rFonts w:ascii="Times New Roman" w:hAnsi="Times New Roman" w:cs="Times New Roman"/>
          <w:sz w:val="24"/>
          <w:szCs w:val="24"/>
        </w:rPr>
        <w:t>comprometida a alentar a las empresas, a través de una administración eficaz, a abordar lo</w:t>
      </w:r>
      <w:r w:rsidR="004B4A6B">
        <w:rPr>
          <w:rFonts w:ascii="Times New Roman" w:hAnsi="Times New Roman" w:cs="Times New Roman"/>
          <w:sz w:val="24"/>
          <w:szCs w:val="24"/>
        </w:rPr>
        <w:t>s riesgos climáticos materiales”</w:t>
      </w:r>
      <w:r w:rsidRPr="006934A8">
        <w:rPr>
          <w:rFonts w:ascii="Times New Roman" w:hAnsi="Times New Roman" w:cs="Times New Roman"/>
          <w:sz w:val="24"/>
          <w:szCs w:val="24"/>
        </w:rPr>
        <w:t xml:space="preserve"> a través de la transición energética.</w:t>
      </w:r>
    </w:p>
    <w:p w:rsidR="009977F5" w:rsidRDefault="009977F5" w:rsidP="009977F5">
      <w:pPr>
        <w:spacing w:line="240" w:lineRule="auto"/>
        <w:jc w:val="both"/>
        <w:rPr>
          <w:rFonts w:ascii="Times New Roman" w:hAnsi="Times New Roman" w:cs="Times New Roman"/>
          <w:sz w:val="24"/>
          <w:szCs w:val="24"/>
        </w:rPr>
      </w:pPr>
      <w:r w:rsidRPr="000707EB">
        <w:rPr>
          <w:rFonts w:ascii="Times New Roman" w:hAnsi="Times New Roman" w:cs="Times New Roman"/>
          <w:noProof/>
          <w:sz w:val="24"/>
          <w:szCs w:val="24"/>
          <w:lang w:eastAsia="es-ES"/>
        </w:rPr>
        <w:drawing>
          <wp:inline distT="0" distB="0" distL="0" distR="0" wp14:anchorId="1BCEEF57" wp14:editId="6CC08C42">
            <wp:extent cx="5731510" cy="3063875"/>
            <wp:effectExtent l="0" t="0" r="254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063875"/>
                    </a:xfrm>
                    <a:prstGeom prst="rect">
                      <a:avLst/>
                    </a:prstGeom>
                  </pic:spPr>
                </pic:pic>
              </a:graphicData>
            </a:graphic>
          </wp:inline>
        </w:drawing>
      </w:r>
    </w:p>
    <w:p w:rsidR="009977F5" w:rsidRDefault="009977F5" w:rsidP="009977F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707EB">
        <w:rPr>
          <w:rFonts w:ascii="Times New Roman" w:hAnsi="Times New Roman" w:cs="Times New Roman"/>
          <w:sz w:val="24"/>
          <w:szCs w:val="24"/>
          <w:u w:val="single"/>
        </w:rPr>
        <w:t>Los subsidios de energía verde de California estimulan la fiebre del oro en el estiércol de vaca</w:t>
      </w:r>
      <w:r>
        <w:rPr>
          <w:rFonts w:ascii="Times New Roman" w:hAnsi="Times New Roman" w:cs="Times New Roman"/>
          <w:sz w:val="24"/>
          <w:szCs w:val="24"/>
        </w:rPr>
        <w:t xml:space="preserve"> (The Wall Street Journal - </w:t>
      </w:r>
      <w:r w:rsidRPr="000707EB">
        <w:rPr>
          <w:rFonts w:ascii="Times New Roman" w:hAnsi="Times New Roman" w:cs="Times New Roman"/>
          <w:b/>
          <w:sz w:val="24"/>
          <w:szCs w:val="24"/>
        </w:rPr>
        <w:t>19/2/22</w:t>
      </w:r>
      <w:r>
        <w:rPr>
          <w:rFonts w:ascii="Times New Roman" w:hAnsi="Times New Roman" w:cs="Times New Roman"/>
          <w:sz w:val="24"/>
          <w:szCs w:val="24"/>
        </w:rPr>
        <w:t>)</w:t>
      </w:r>
    </w:p>
    <w:p w:rsidR="009977F5" w:rsidRPr="000707EB" w:rsidRDefault="009977F5" w:rsidP="009977F5">
      <w:pPr>
        <w:spacing w:line="240" w:lineRule="auto"/>
        <w:jc w:val="both"/>
        <w:rPr>
          <w:rFonts w:ascii="Times New Roman" w:hAnsi="Times New Roman" w:cs="Times New Roman"/>
          <w:sz w:val="24"/>
          <w:szCs w:val="24"/>
        </w:rPr>
      </w:pPr>
      <w:r w:rsidRPr="000707EB">
        <w:rPr>
          <w:rFonts w:ascii="Times New Roman" w:hAnsi="Times New Roman" w:cs="Times New Roman"/>
          <w:sz w:val="24"/>
          <w:szCs w:val="24"/>
        </w:rPr>
        <w:t>Un lucrativo incentivo estatal para producir gas natural a partir de desechos lácteos está atrayendo a empresas de Amazon a Chevron</w:t>
      </w:r>
    </w:p>
    <w:p w:rsidR="009977F5" w:rsidRPr="000707EB" w:rsidRDefault="009977F5" w:rsidP="009977F5">
      <w:pPr>
        <w:spacing w:line="240" w:lineRule="auto"/>
        <w:jc w:val="both"/>
        <w:rPr>
          <w:rFonts w:ascii="Times New Roman" w:hAnsi="Times New Roman" w:cs="Times New Roman"/>
          <w:sz w:val="24"/>
          <w:szCs w:val="24"/>
        </w:rPr>
      </w:pPr>
      <w:r w:rsidRPr="000707EB">
        <w:rPr>
          <w:rFonts w:ascii="Times New Roman" w:hAnsi="Times New Roman" w:cs="Times New Roman"/>
          <w:sz w:val="24"/>
          <w:szCs w:val="24"/>
        </w:rPr>
        <w:t>El sistema de calificación de California para combustibles limpios otorga al gas natural elaborado a partir de estiércol de vaca una mejor puntuación, y subsidios mucho más altos, que un gas similar de vertederos.</w:t>
      </w:r>
    </w:p>
    <w:p w:rsidR="009977F5" w:rsidRPr="000707EB" w:rsidRDefault="009977F5" w:rsidP="009977F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0707EB">
        <w:rPr>
          <w:rFonts w:ascii="Times New Roman" w:hAnsi="Times New Roman" w:cs="Times New Roman"/>
          <w:sz w:val="24"/>
          <w:szCs w:val="24"/>
          <w:lang w:val="en-US"/>
        </w:rPr>
        <w:t>Por Phred Dvorak</w:t>
      </w:r>
      <w:r w:rsidR="00297184">
        <w:rPr>
          <w:rFonts w:ascii="Times New Roman" w:hAnsi="Times New Roman" w:cs="Times New Roman"/>
          <w:sz w:val="24"/>
          <w:szCs w:val="24"/>
          <w:lang w:val="en-US"/>
        </w:rPr>
        <w:t xml:space="preserve"> </w:t>
      </w:r>
      <w:r w:rsidRPr="000707EB">
        <w:rPr>
          <w:rFonts w:ascii="Times New Roman" w:hAnsi="Times New Roman" w:cs="Times New Roman"/>
          <w:sz w:val="24"/>
          <w:szCs w:val="24"/>
          <w:lang w:val="en-US"/>
        </w:rPr>
        <w:t>Fotografías de Jennifer Emerling para The Wall Street Journal</w:t>
      </w:r>
      <w:r>
        <w:rPr>
          <w:rFonts w:ascii="Times New Roman" w:hAnsi="Times New Roman" w:cs="Times New Roman"/>
          <w:sz w:val="24"/>
          <w:szCs w:val="24"/>
          <w:lang w:val="en-US"/>
        </w:rPr>
        <w:t>)</w:t>
      </w:r>
    </w:p>
    <w:p w:rsidR="009977F5" w:rsidRPr="000707EB" w:rsidRDefault="009977F5" w:rsidP="009977F5">
      <w:pPr>
        <w:spacing w:line="240" w:lineRule="auto"/>
        <w:jc w:val="both"/>
        <w:rPr>
          <w:rFonts w:ascii="Times New Roman" w:hAnsi="Times New Roman" w:cs="Times New Roman"/>
          <w:sz w:val="24"/>
          <w:szCs w:val="24"/>
        </w:rPr>
      </w:pPr>
      <w:r w:rsidRPr="000707EB">
        <w:rPr>
          <w:rFonts w:ascii="Times New Roman" w:hAnsi="Times New Roman" w:cs="Times New Roman"/>
          <w:sz w:val="24"/>
          <w:szCs w:val="24"/>
        </w:rPr>
        <w:t>Clean Energy Fuels Corp., un importante distribuidor de gas natural elaborado a partir de desechos, encontró una manera de aumentar sus ganancias en millones de dólares, práctic</w:t>
      </w:r>
      <w:r>
        <w:rPr>
          <w:rFonts w:ascii="Times New Roman" w:hAnsi="Times New Roman" w:cs="Times New Roman"/>
          <w:sz w:val="24"/>
          <w:szCs w:val="24"/>
        </w:rPr>
        <w:t>amente de la noche a la mañana.</w:t>
      </w:r>
    </w:p>
    <w:p w:rsidR="009977F5" w:rsidRDefault="009977F5" w:rsidP="009977F5">
      <w:pPr>
        <w:spacing w:line="240" w:lineRule="auto"/>
        <w:jc w:val="both"/>
        <w:rPr>
          <w:rFonts w:ascii="Times New Roman" w:hAnsi="Times New Roman" w:cs="Times New Roman"/>
          <w:sz w:val="24"/>
          <w:szCs w:val="24"/>
        </w:rPr>
      </w:pPr>
      <w:r w:rsidRPr="000707EB">
        <w:rPr>
          <w:rFonts w:ascii="Times New Roman" w:hAnsi="Times New Roman" w:cs="Times New Roman"/>
          <w:sz w:val="24"/>
          <w:szCs w:val="24"/>
        </w:rPr>
        <w:t>Todo lo que tenía que hacer era cambiar el biocombustible principal que suministra para impulsar automóviles y camiones en California, actualmente un tipo de gas natural producido con emisiones de metano de la basura, a un gas químicamente idéntico producido a partir del estiércol de las vacas</w:t>
      </w:r>
      <w:r>
        <w:rPr>
          <w:rFonts w:ascii="Times New Roman" w:hAnsi="Times New Roman" w:cs="Times New Roman"/>
          <w:sz w:val="24"/>
          <w:szCs w:val="24"/>
        </w:rPr>
        <w:t>…</w:t>
      </w:r>
    </w:p>
    <w:p w:rsidR="009977F5" w:rsidRDefault="00FD7583" w:rsidP="0096151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0E33A3">
        <w:rPr>
          <w:rFonts w:ascii="Times New Roman" w:hAnsi="Times New Roman" w:cs="Times New Roman"/>
          <w:b/>
          <w:sz w:val="24"/>
          <w:szCs w:val="24"/>
        </w:rPr>
        <w:t>¿Quiénes son los</w:t>
      </w:r>
      <w:r w:rsidR="00CB32B0">
        <w:rPr>
          <w:rFonts w:ascii="Times New Roman" w:hAnsi="Times New Roman" w:cs="Times New Roman"/>
          <w:b/>
          <w:sz w:val="24"/>
          <w:szCs w:val="24"/>
        </w:rPr>
        <w:t xml:space="preserve"> </w:t>
      </w:r>
      <w:r w:rsidR="000E33A3">
        <w:rPr>
          <w:rFonts w:ascii="Times New Roman" w:hAnsi="Times New Roman" w:cs="Times New Roman"/>
          <w:b/>
          <w:sz w:val="24"/>
          <w:szCs w:val="24"/>
        </w:rPr>
        <w:t>“interesados”</w:t>
      </w:r>
      <w:r w:rsidR="00CB32B0">
        <w:rPr>
          <w:rFonts w:ascii="Times New Roman" w:hAnsi="Times New Roman" w:cs="Times New Roman"/>
          <w:b/>
          <w:sz w:val="24"/>
          <w:szCs w:val="24"/>
        </w:rPr>
        <w:t>…</w:t>
      </w:r>
      <w:r w:rsidR="000E33A3">
        <w:rPr>
          <w:rFonts w:ascii="Times New Roman" w:hAnsi="Times New Roman" w:cs="Times New Roman"/>
          <w:b/>
          <w:sz w:val="24"/>
          <w:szCs w:val="24"/>
        </w:rPr>
        <w:t xml:space="preserve"> en el “capitalismo de las partes interesadas”?</w:t>
      </w:r>
    </w:p>
    <w:p w:rsidR="00CC4A77" w:rsidRPr="009A0237" w:rsidRDefault="00CC4A77" w:rsidP="00CC4A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Naomi Klein: El “Gran Reinicio”</w:t>
      </w:r>
      <w:r>
        <w:rPr>
          <w:rFonts w:ascii="Times New Roman" w:hAnsi="Times New Roman" w:cs="Times New Roman"/>
          <w:sz w:val="24"/>
          <w:szCs w:val="24"/>
        </w:rPr>
        <w:t xml:space="preserve"> (Climaterra.org - </w:t>
      </w:r>
      <w:r w:rsidRPr="009A0237">
        <w:rPr>
          <w:rFonts w:ascii="Times New Roman" w:hAnsi="Times New Roman" w:cs="Times New Roman"/>
          <w:b/>
          <w:sz w:val="24"/>
          <w:szCs w:val="24"/>
        </w:rPr>
        <w:t>13/2/21</w:t>
      </w:r>
      <w:r>
        <w:rPr>
          <w:rFonts w:ascii="Times New Roman" w:hAnsi="Times New Roman" w:cs="Times New Roman"/>
          <w:sz w:val="24"/>
          <w:szCs w:val="24"/>
        </w:rPr>
        <w:t>)</w:t>
      </w:r>
    </w:p>
    <w:p w:rsidR="00CC4A77" w:rsidRPr="009A0237" w:rsidRDefault="00CC4A77" w:rsidP="00CC4A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A0237">
        <w:rPr>
          <w:rFonts w:ascii="Times New Roman" w:hAnsi="Times New Roman" w:cs="Times New Roman"/>
          <w:sz w:val="24"/>
          <w:szCs w:val="24"/>
        </w:rPr>
        <w:t xml:space="preserve">Fuente: The Intercept - Por </w:t>
      </w:r>
      <w:r>
        <w:rPr>
          <w:rFonts w:ascii="Times New Roman" w:hAnsi="Times New Roman" w:cs="Times New Roman"/>
          <w:sz w:val="24"/>
          <w:szCs w:val="24"/>
        </w:rPr>
        <w:t>Naomi Klein - Diciembre de 2020)</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Una teoría de la conspiración viral mezcla críticas legítimas con fantasías antivacunas realmente peligrosas y con el negacio</w:t>
      </w:r>
      <w:r>
        <w:rPr>
          <w:rFonts w:ascii="Times New Roman" w:hAnsi="Times New Roman" w:cs="Times New Roman"/>
          <w:sz w:val="24"/>
          <w:szCs w:val="24"/>
        </w:rPr>
        <w:t>nismo absoluto del coronavirus.</w:t>
      </w:r>
    </w:p>
    <w:p w:rsidR="00CC4A77" w:rsidRPr="009B2F62" w:rsidRDefault="00CC4A77" w:rsidP="00CC4A77">
      <w:pPr>
        <w:spacing w:line="240" w:lineRule="auto"/>
        <w:jc w:val="both"/>
        <w:rPr>
          <w:rFonts w:ascii="Times New Roman" w:hAnsi="Times New Roman" w:cs="Times New Roman"/>
          <w:color w:val="FF0000"/>
          <w:sz w:val="24"/>
          <w:szCs w:val="24"/>
          <w:u w:val="single"/>
        </w:rPr>
      </w:pPr>
      <w:r w:rsidRPr="009B2F62">
        <w:rPr>
          <w:rFonts w:ascii="Times New Roman" w:hAnsi="Times New Roman" w:cs="Times New Roman"/>
          <w:color w:val="FF0000"/>
          <w:sz w:val="24"/>
          <w:szCs w:val="24"/>
          <w:u w:val="single"/>
        </w:rPr>
        <w:lastRenderedPageBreak/>
        <w:t>Escribir sobre “El gran reseteo” no es fácil. Se ha convertido en una teoría de la conspiración viral que pretende exponer algo que nadie intentó ocultar, la mayor parte de lo cual no está sucediendo realmente de todos modos, algunos de los cuales en realidad debería.</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 xml:space="preserve">Es extra confuso para mí deshacer este nudo en particular porque en el centro de todo esto hay una bastardización de un concepto del que sé </w:t>
      </w:r>
      <w:r>
        <w:rPr>
          <w:rFonts w:ascii="Times New Roman" w:hAnsi="Times New Roman" w:cs="Times New Roman"/>
          <w:sz w:val="24"/>
          <w:szCs w:val="24"/>
        </w:rPr>
        <w:t>un poco: la doctrina del shock.</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En junio, el Foro Económico Mundial, más conocido por su cumbre anual de Davos, inició un intento de relevancia organizativa en un momento en el que ya estaba claro que, en un futuro previsible, reunir a miles de personas, mejilla inyectada por mejilla levantada, en una estación de esquí suiza para hablar sobre el aprovechamiento del poder de los mercados para acabar con l</w:t>
      </w:r>
      <w:r>
        <w:rPr>
          <w:rFonts w:ascii="Times New Roman" w:hAnsi="Times New Roman" w:cs="Times New Roman"/>
          <w:sz w:val="24"/>
          <w:szCs w:val="24"/>
        </w:rPr>
        <w:t>a pobreza rural era un fracaso.</w:t>
      </w:r>
    </w:p>
    <w:p w:rsidR="00CC4A77" w:rsidRPr="00EA38A8" w:rsidRDefault="00CC4A77" w:rsidP="00CC4A77">
      <w:pPr>
        <w:spacing w:line="240" w:lineRule="auto"/>
        <w:jc w:val="both"/>
        <w:rPr>
          <w:rFonts w:ascii="Times New Roman" w:hAnsi="Times New Roman" w:cs="Times New Roman"/>
          <w:color w:val="FF0000"/>
          <w:sz w:val="24"/>
          <w:szCs w:val="24"/>
          <w:u w:val="single"/>
        </w:rPr>
      </w:pPr>
      <w:r w:rsidRPr="00EA38A8">
        <w:rPr>
          <w:rFonts w:ascii="Times New Roman" w:hAnsi="Times New Roman" w:cs="Times New Roman"/>
          <w:sz w:val="24"/>
          <w:szCs w:val="24"/>
          <w:u w:val="single"/>
        </w:rPr>
        <w:t>El esfuerzo se denominó  “Great Reset” o Gran Inicio. Y a través de artículos, vídeos, seminarios web, podcasts y un libro del fundador del FEM, Klaus Schwab, proporcionó un rebranding con temática de coronavirus de todas las cosas que Davos hace de todos modos, ahora reempaquetado apresuradamente como un proyecto para revivir la economía global post-pandemia mediante la “búsqueda de una mejor forma de capitalismo”</w:t>
      </w:r>
      <w:r w:rsidRPr="009A0237">
        <w:rPr>
          <w:rFonts w:ascii="Times New Roman" w:hAnsi="Times New Roman" w:cs="Times New Roman"/>
          <w:sz w:val="24"/>
          <w:szCs w:val="24"/>
        </w:rPr>
        <w:t xml:space="preserve">. </w:t>
      </w:r>
      <w:r w:rsidRPr="00EA38A8">
        <w:rPr>
          <w:rFonts w:ascii="Times New Roman" w:hAnsi="Times New Roman" w:cs="Times New Roman"/>
          <w:color w:val="FF0000"/>
          <w:sz w:val="24"/>
          <w:szCs w:val="24"/>
          <w:u w:val="single"/>
        </w:rPr>
        <w:t>El Gran Reinicio es un lugar para pregonar soluciones tecnológicas con fines de lucro para problemas sociales complejos; para escuchar a los jefes de los gigantes petroleros transnacionales opinar sobre la necesidad urgente de abordar el cambio climático; para escuchar a los políticos decir las cosas que dicen durante las crisis: que esto es una tragedia pero también una oportunidad, que se comprometen a reconstruir mejo</w:t>
      </w:r>
      <w:r>
        <w:rPr>
          <w:rFonts w:ascii="Times New Roman" w:hAnsi="Times New Roman" w:cs="Times New Roman"/>
          <w:color w:val="FF0000"/>
          <w:sz w:val="24"/>
          <w:szCs w:val="24"/>
          <w:u w:val="single"/>
        </w:rPr>
        <w:t>r y a marcar el comienzo de un “</w:t>
      </w:r>
      <w:r w:rsidRPr="00EA38A8">
        <w:rPr>
          <w:rFonts w:ascii="Times New Roman" w:hAnsi="Times New Roman" w:cs="Times New Roman"/>
          <w:color w:val="FF0000"/>
          <w:sz w:val="24"/>
          <w:szCs w:val="24"/>
          <w:u w:val="single"/>
        </w:rPr>
        <w:t>planeta más j</w:t>
      </w:r>
      <w:r>
        <w:rPr>
          <w:rFonts w:ascii="Times New Roman" w:hAnsi="Times New Roman" w:cs="Times New Roman"/>
          <w:color w:val="FF0000"/>
          <w:sz w:val="24"/>
          <w:szCs w:val="24"/>
          <w:u w:val="single"/>
        </w:rPr>
        <w:t>usto, más verde y más saludable”</w:t>
      </w:r>
      <w:r w:rsidRPr="00EA38A8">
        <w:rPr>
          <w:rFonts w:ascii="Times New Roman" w:hAnsi="Times New Roman" w:cs="Times New Roman"/>
          <w:color w:val="FF0000"/>
          <w:sz w:val="24"/>
          <w:szCs w:val="24"/>
          <w:u w:val="single"/>
        </w:rPr>
        <w:t>. El Príncipe Carlos, David Attenborough y el director del Fondo Monetario Internacional ocuparon un lugar destacado. Ese tipo de cosas.</w:t>
      </w:r>
    </w:p>
    <w:p w:rsidR="00CC4A77" w:rsidRPr="009A0237" w:rsidRDefault="00CC4A77" w:rsidP="00CC4A77">
      <w:pPr>
        <w:spacing w:line="240" w:lineRule="auto"/>
        <w:jc w:val="both"/>
        <w:rPr>
          <w:rFonts w:ascii="Times New Roman" w:hAnsi="Times New Roman" w:cs="Times New Roman"/>
          <w:sz w:val="24"/>
          <w:szCs w:val="24"/>
        </w:rPr>
      </w:pPr>
      <w:r w:rsidRPr="00EA38A8">
        <w:rPr>
          <w:rFonts w:ascii="Times New Roman" w:hAnsi="Times New Roman" w:cs="Times New Roman"/>
          <w:color w:val="FF0000"/>
          <w:sz w:val="24"/>
          <w:szCs w:val="24"/>
          <w:u w:val="single"/>
        </w:rPr>
        <w:t>En resumen, el Gran Reinicio abarca algunas cosas buenas que no ocurrirán y algunas cosas malas que ciertamente lo harán y, francamente, nada fuera de lo común en nuestra era de multimillonarios “verdes” que preparan cohetes para Marte. De hecho, cualquiera que conozca mínimamente el discurso de Davos, y la cantidad de veces que ha intentado renombrar el capitalismo como un programa de alivio de la pobreza y de restauración ecológica un poco chungo, reconocerá el champán añejo de esta jarra online</w:t>
      </w:r>
      <w:r w:rsidRPr="009A0237">
        <w:rPr>
          <w:rFonts w:ascii="Times New Roman" w:hAnsi="Times New Roman" w:cs="Times New Roman"/>
          <w:sz w:val="24"/>
          <w:szCs w:val="24"/>
        </w:rPr>
        <w:t>. (Esta historia se explora en un excelente libro y película del p</w:t>
      </w:r>
      <w:r>
        <w:rPr>
          <w:rFonts w:ascii="Times New Roman" w:hAnsi="Times New Roman" w:cs="Times New Roman"/>
          <w:sz w:val="24"/>
          <w:szCs w:val="24"/>
        </w:rPr>
        <w:t>rofesor de derecho Joel Bakan, “The New Corporation: How “Good”</w:t>
      </w:r>
      <w:r w:rsidRPr="009A0237">
        <w:rPr>
          <w:rFonts w:ascii="Times New Roman" w:hAnsi="Times New Roman" w:cs="Times New Roman"/>
          <w:sz w:val="24"/>
          <w:szCs w:val="24"/>
        </w:rPr>
        <w:t xml:space="preserve"> Corpor</w:t>
      </w:r>
      <w:r>
        <w:rPr>
          <w:rFonts w:ascii="Times New Roman" w:hAnsi="Times New Roman" w:cs="Times New Roman"/>
          <w:sz w:val="24"/>
          <w:szCs w:val="24"/>
        </w:rPr>
        <w:t>ations Are Bad for Democracy”).</w:t>
      </w:r>
    </w:p>
    <w:p w:rsidR="00CC4A77" w:rsidRPr="00EA38A8" w:rsidRDefault="00CC4A77" w:rsidP="00CC4A77">
      <w:pPr>
        <w:spacing w:line="240" w:lineRule="auto"/>
        <w:jc w:val="both"/>
        <w:rPr>
          <w:rFonts w:ascii="Times New Roman" w:hAnsi="Times New Roman" w:cs="Times New Roman"/>
          <w:color w:val="FF0000"/>
          <w:sz w:val="24"/>
          <w:szCs w:val="24"/>
          <w:u w:val="single"/>
        </w:rPr>
      </w:pPr>
      <w:r w:rsidRPr="00EA38A8">
        <w:rPr>
          <w:rFonts w:ascii="Times New Roman" w:hAnsi="Times New Roman" w:cs="Times New Roman"/>
          <w:color w:val="FF0000"/>
          <w:sz w:val="24"/>
          <w:szCs w:val="24"/>
          <w:u w:val="single"/>
        </w:rPr>
        <w:t>A través de su influyente Informe sobre la Competiti</w:t>
      </w:r>
      <w:r w:rsidR="00297184">
        <w:rPr>
          <w:rFonts w:ascii="Times New Roman" w:hAnsi="Times New Roman" w:cs="Times New Roman"/>
          <w:color w:val="FF0000"/>
          <w:sz w:val="24"/>
          <w:szCs w:val="24"/>
          <w:u w:val="single"/>
        </w:rPr>
        <w:t>vidad Mundial, el Foro Económico</w:t>
      </w:r>
      <w:r w:rsidRPr="00EA38A8">
        <w:rPr>
          <w:rFonts w:ascii="Times New Roman" w:hAnsi="Times New Roman" w:cs="Times New Roman"/>
          <w:color w:val="FF0000"/>
          <w:sz w:val="24"/>
          <w:szCs w:val="24"/>
          <w:u w:val="single"/>
        </w:rPr>
        <w:t xml:space="preserve"> Mundial ha desempeñado un papel destacado en la campaña transnacional para liberar al capital de todos los estorbos (como una sólida regulación, protecciones para las industrias locales, impuestos progresivos y -el cielo no lo permita- nacionalizaciones). Sin embargo, hace tiempo que Schwab se dio cuenta de que si Davos no añadía algo de bondad a su buen hacer, las hordas que habían empezado a acumularse al pie de la montaña acabarían asaltando las puertas (como estuvieron a punto de hacer durante la cumbre de 2001).</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Y así, las vertiginosas sesiones sobre nuevos mercados en Malasia y nuevas startups en California se complementaron con otras más sombrías sobre el derretimiento de los casquetes polares, los objetivos de desarrollo de las Nacione</w:t>
      </w:r>
      <w:r>
        <w:rPr>
          <w:rFonts w:ascii="Times New Roman" w:hAnsi="Times New Roman" w:cs="Times New Roman"/>
          <w:sz w:val="24"/>
          <w:szCs w:val="24"/>
        </w:rPr>
        <w:t>s Unidas, la “inversión de impacto”, el “</w:t>
      </w:r>
      <w:r w:rsidRPr="009A0237">
        <w:rPr>
          <w:rFonts w:ascii="Times New Roman" w:hAnsi="Times New Roman" w:cs="Times New Roman"/>
          <w:sz w:val="24"/>
          <w:szCs w:val="24"/>
        </w:rPr>
        <w:t>capita</w:t>
      </w:r>
      <w:r>
        <w:rPr>
          <w:rFonts w:ascii="Times New Roman" w:hAnsi="Times New Roman" w:cs="Times New Roman"/>
          <w:sz w:val="24"/>
          <w:szCs w:val="24"/>
        </w:rPr>
        <w:t>lismo de las partes interesadas” y la “ciudadanía global corporativa”</w:t>
      </w:r>
      <w:r w:rsidRPr="009A0237">
        <w:rPr>
          <w:rFonts w:ascii="Times New Roman" w:hAnsi="Times New Roman" w:cs="Times New Roman"/>
          <w:sz w:val="24"/>
          <w:szCs w:val="24"/>
        </w:rPr>
        <w:t>. En 2003, Schwab introdujo la tradición de que cada cumbre de enero tuviera un gran tema, empezando p</w:t>
      </w:r>
      <w:r>
        <w:rPr>
          <w:rFonts w:ascii="Times New Roman" w:hAnsi="Times New Roman" w:cs="Times New Roman"/>
          <w:sz w:val="24"/>
          <w:szCs w:val="24"/>
        </w:rPr>
        <w:t>or el apropiadamente castigado “</w:t>
      </w:r>
      <w:r w:rsidRPr="009A0237">
        <w:rPr>
          <w:rFonts w:ascii="Times New Roman" w:hAnsi="Times New Roman" w:cs="Times New Roman"/>
          <w:sz w:val="24"/>
          <w:szCs w:val="24"/>
        </w:rPr>
        <w:t>Constr</w:t>
      </w:r>
      <w:r>
        <w:rPr>
          <w:rFonts w:ascii="Times New Roman" w:hAnsi="Times New Roman" w:cs="Times New Roman"/>
          <w:sz w:val="24"/>
          <w:szCs w:val="24"/>
        </w:rPr>
        <w:t>uir la confianza”</w:t>
      </w:r>
      <w:r w:rsidRPr="009A0237">
        <w:rPr>
          <w:rFonts w:ascii="Times New Roman" w:hAnsi="Times New Roman" w:cs="Times New Roman"/>
          <w:sz w:val="24"/>
          <w:szCs w:val="24"/>
        </w:rPr>
        <w:t xml:space="preserve">. El nuevo tono de Davos, sin embargo, se estableció realmente en 2005, cuando la actriz Sharon Stone, al oír al presidente de Tanzania hablar que su país necesitaba redes para mosquitos para luchar contra la malaria, se puso en pie y convirtió la sesión en una subasta benéfica improvisada para comprar las </w:t>
      </w:r>
      <w:r w:rsidRPr="009A0237">
        <w:rPr>
          <w:rFonts w:ascii="Times New Roman" w:hAnsi="Times New Roman" w:cs="Times New Roman"/>
          <w:sz w:val="24"/>
          <w:szCs w:val="24"/>
        </w:rPr>
        <w:lastRenderedPageBreak/>
        <w:t>redes. Recaudó un millón de dólares en cinco minutos, y una nueva</w:t>
      </w:r>
      <w:r>
        <w:rPr>
          <w:rFonts w:ascii="Times New Roman" w:hAnsi="Times New Roman" w:cs="Times New Roman"/>
          <w:sz w:val="24"/>
          <w:szCs w:val="24"/>
        </w:rPr>
        <w:t xml:space="preserve"> era de Davos estaba en marcha.</w:t>
      </w:r>
    </w:p>
    <w:p w:rsidR="00CC4A77" w:rsidRPr="00EA38A8" w:rsidRDefault="00CC4A77" w:rsidP="00CC4A77">
      <w:pPr>
        <w:spacing w:line="240" w:lineRule="auto"/>
        <w:jc w:val="both"/>
        <w:rPr>
          <w:rFonts w:ascii="Times New Roman" w:hAnsi="Times New Roman" w:cs="Times New Roman"/>
          <w:color w:val="FF0000"/>
          <w:sz w:val="24"/>
          <w:szCs w:val="24"/>
          <w:u w:val="single"/>
        </w:rPr>
      </w:pPr>
      <w:r w:rsidRPr="00EA38A8">
        <w:rPr>
          <w:rFonts w:ascii="Times New Roman" w:hAnsi="Times New Roman" w:cs="Times New Roman"/>
          <w:color w:val="FF0000"/>
          <w:sz w:val="24"/>
          <w:szCs w:val="24"/>
          <w:u w:val="single"/>
        </w:rPr>
        <w:t>El Gran Reinicio no es más que la última edición de esta tradición dorada, que apenas se distingue de las anteriores Grandes Ideas de Davos, desde “Dar forma al mundo después de la crisis” (2009) hasta “Repensar, rediseñar, reconstruir” (2010), pasando por “La gran transformación” (2012) y, quién puede olvidarlo, “Crear un futuro compartido en un mundo fracturado” (2018). Si Davos no estuviera “buscando una forma mejor de capitalismo” para resolver la espiral de crisis que el propio Davos profundizó sistemáticamente, no sería Davos.</w:t>
      </w:r>
    </w:p>
    <w:p w:rsidR="00CC4A77" w:rsidRPr="00EA38A8" w:rsidRDefault="00CC4A77" w:rsidP="00CC4A77">
      <w:pPr>
        <w:spacing w:line="240" w:lineRule="auto"/>
        <w:jc w:val="both"/>
        <w:rPr>
          <w:rFonts w:ascii="Times New Roman" w:hAnsi="Times New Roman" w:cs="Times New Roman"/>
          <w:b/>
          <w:color w:val="FF0000"/>
          <w:sz w:val="24"/>
          <w:szCs w:val="24"/>
          <w:u w:val="single"/>
        </w:rPr>
      </w:pPr>
      <w:r w:rsidRPr="00EA38A8">
        <w:rPr>
          <w:rFonts w:ascii="Times New Roman" w:hAnsi="Times New Roman" w:cs="Times New Roman"/>
          <w:b/>
          <w:color w:val="FF0000"/>
          <w:sz w:val="24"/>
          <w:szCs w:val="24"/>
          <w:u w:val="single"/>
        </w:rPr>
        <w:t xml:space="preserve">Y sin embargo, busque el término “reinicio global” o “reseteo global” y será bombardeado con “exposiciones” sin aliento de una </w:t>
      </w:r>
      <w:r w:rsidR="004B008E" w:rsidRPr="00EA38A8">
        <w:rPr>
          <w:rFonts w:ascii="Times New Roman" w:hAnsi="Times New Roman" w:cs="Times New Roman"/>
          <w:b/>
          <w:color w:val="FF0000"/>
          <w:sz w:val="24"/>
          <w:szCs w:val="24"/>
          <w:u w:val="single"/>
        </w:rPr>
        <w:t>conspiración</w:t>
      </w:r>
      <w:r w:rsidRPr="00EA38A8">
        <w:rPr>
          <w:rFonts w:ascii="Times New Roman" w:hAnsi="Times New Roman" w:cs="Times New Roman"/>
          <w:b/>
          <w:color w:val="FF0000"/>
          <w:sz w:val="24"/>
          <w:szCs w:val="24"/>
          <w:u w:val="single"/>
        </w:rPr>
        <w:t xml:space="preserve"> globalista secreta, encabezada por Schwab y Bill Gates, que está utilizando el estado de shock creado por el coronavirus (que probablemente es en sí mismo un “engaño”) para convertir el mundo en una dictadura de alta tecnología que le quitará su libertad para siempre: una dictadura verde/socialista/Venezuela/Soros/vacunas forzadas si la exposición de Reset viene de la extrema derecha, y una dictadura Big Pharma/GMO/implantes biométricos/5G/perros robot/vacunas forzadas si viene de la extrema izquierda.</w:t>
      </w:r>
    </w:p>
    <w:p w:rsidR="00CC4A77" w:rsidRPr="00EA38A8" w:rsidRDefault="00CC4A77" w:rsidP="00CC4A77">
      <w:pPr>
        <w:spacing w:line="240" w:lineRule="auto"/>
        <w:jc w:val="both"/>
        <w:rPr>
          <w:rFonts w:ascii="Times New Roman" w:hAnsi="Times New Roman" w:cs="Times New Roman"/>
          <w:sz w:val="24"/>
          <w:szCs w:val="24"/>
          <w:u w:val="single"/>
        </w:rPr>
      </w:pPr>
      <w:r w:rsidRPr="00EA38A8">
        <w:rPr>
          <w:rFonts w:ascii="Times New Roman" w:hAnsi="Times New Roman" w:cs="Times New Roman"/>
          <w:color w:val="FF0000"/>
          <w:sz w:val="24"/>
          <w:szCs w:val="24"/>
          <w:u w:val="single"/>
        </w:rPr>
        <w:t>¿Confundido? No es culpa tuya. Más una mescolanza de conspiraciones que una teoría conspirativa, el Gran Reset ha conseguido mezclar todos los fenómenos que ocurren en Internet -de izquierda y de derecha, verídicos y extravagantes- en un gran grito sin sentido sobre la naturaleza insoportable de la vida pandémica bajo el capitalismo voraz.</w:t>
      </w:r>
      <w:r w:rsidRPr="009A0237">
        <w:rPr>
          <w:rFonts w:ascii="Times New Roman" w:hAnsi="Times New Roman" w:cs="Times New Roman"/>
          <w:sz w:val="24"/>
          <w:szCs w:val="24"/>
        </w:rPr>
        <w:t xml:space="preserve"> He hecho todo lo posible por ignorarlo durant</w:t>
      </w:r>
      <w:r>
        <w:rPr>
          <w:rFonts w:ascii="Times New Roman" w:hAnsi="Times New Roman" w:cs="Times New Roman"/>
          <w:sz w:val="24"/>
          <w:szCs w:val="24"/>
        </w:rPr>
        <w:t>e meses, incluso cuando varios “investigadores”</w:t>
      </w:r>
      <w:r w:rsidRPr="009A0237">
        <w:rPr>
          <w:rFonts w:ascii="Times New Roman" w:hAnsi="Times New Roman" w:cs="Times New Roman"/>
          <w:sz w:val="24"/>
          <w:szCs w:val="24"/>
        </w:rPr>
        <w:t xml:space="preserve"> de Reset han insistido en que </w:t>
      </w:r>
      <w:r w:rsidRPr="00EA38A8">
        <w:rPr>
          <w:rFonts w:ascii="Times New Roman" w:hAnsi="Times New Roman" w:cs="Times New Roman"/>
          <w:sz w:val="24"/>
          <w:szCs w:val="24"/>
          <w:u w:val="single"/>
        </w:rPr>
        <w:t>todo esto es un ejemplo de la doctrina del shock, un término que acuñé hace una década y media para describir las muchas formas en que las élites tratan de aprovechar los profundos desastres para impulsar políticas que enriquecen aún más a los ya ricos y restringen las libertades democráticas.</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Ha habido un tsunami de ejemplos de la doctrina del shock real desde que comenzó la pandemia: Los ataques de Trump a la arquitectura reguladora de Washington; la campaña exacerbada de la secretaria de Educaci</w:t>
      </w:r>
      <w:r>
        <w:rPr>
          <w:rFonts w:ascii="Times New Roman" w:hAnsi="Times New Roman" w:cs="Times New Roman"/>
          <w:sz w:val="24"/>
          <w:szCs w:val="24"/>
        </w:rPr>
        <w:t>ón, Betsy DeVos, a favor de la “elección de escuela”</w:t>
      </w:r>
      <w:r w:rsidRPr="009A0237">
        <w:rPr>
          <w:rFonts w:ascii="Times New Roman" w:hAnsi="Times New Roman" w:cs="Times New Roman"/>
          <w:sz w:val="24"/>
          <w:szCs w:val="24"/>
        </w:rPr>
        <w:t>, en lugar de, por ejemplo, dar a las escuelas públicas los recursos que necesitan para mantener a los niños seguros; la toma de poder multi encabezada de Silicon Valley, sobre la que escribí como el New Deal de la pantalla; los crueles ataques del gobierno de Modi a las protecciones de los precios para los agricultores de la India (que desencadenaron una ola de prote</w:t>
      </w:r>
      <w:r>
        <w:rPr>
          <w:rFonts w:ascii="Times New Roman" w:hAnsi="Times New Roman" w:cs="Times New Roman"/>
          <w:sz w:val="24"/>
          <w:szCs w:val="24"/>
        </w:rPr>
        <w:t>stas heroicas), y tantos otros.</w:t>
      </w:r>
    </w:p>
    <w:p w:rsidR="00CC4A77" w:rsidRPr="00EA38A8" w:rsidRDefault="00CC4A77" w:rsidP="00CC4A77">
      <w:pPr>
        <w:spacing w:line="240" w:lineRule="auto"/>
        <w:jc w:val="both"/>
        <w:rPr>
          <w:rFonts w:ascii="Times New Roman" w:hAnsi="Times New Roman" w:cs="Times New Roman"/>
          <w:b/>
          <w:color w:val="FF0000"/>
          <w:sz w:val="24"/>
          <w:szCs w:val="24"/>
          <w:u w:val="single"/>
        </w:rPr>
      </w:pPr>
      <w:r w:rsidRPr="00EA38A8">
        <w:rPr>
          <w:rFonts w:ascii="Times New Roman" w:hAnsi="Times New Roman" w:cs="Times New Roman"/>
          <w:b/>
          <w:color w:val="FF0000"/>
          <w:sz w:val="24"/>
          <w:szCs w:val="24"/>
          <w:u w:val="single"/>
        </w:rPr>
        <w:t>Lo que Schwab y el Foro Económico Mundial de Davos están haciendo con el Gran Reinicio es a la vez más sutil y más insidioso. Schwab tiene, por supuesto, toda la razón cuando dice que la pandemia ha revelado muchos fallos estructurales mortales del capitalismo de siempre, al igual que la aceleración de la crisis climática y el acaparamiento de la riqueza del planeta hacia la clase de Davos, incluso en medio de una pandemia mundial. Pero, al igual que los anteriores grandes temas del Foro Económico Mundial , el Gran Reinicio no es un esfuerzo serio para resolver realmente las crisis que describe. Por el contrario, es un intento de crear una impresión plausible de que los grandes ganadores de este sistema están a punto de dejar voluntariamente de lado la codicia para tomarse en serio la solución de las crisis furiosas que están desestabilizando radicalmente nuestro mundo.</w:t>
      </w:r>
    </w:p>
    <w:p w:rsidR="00CC4A77" w:rsidRPr="00EA38A8" w:rsidRDefault="00CC4A77" w:rsidP="00CC4A77">
      <w:pPr>
        <w:spacing w:line="240" w:lineRule="auto"/>
        <w:jc w:val="both"/>
        <w:rPr>
          <w:rFonts w:ascii="Times New Roman" w:hAnsi="Times New Roman" w:cs="Times New Roman"/>
          <w:b/>
          <w:color w:val="FF0000"/>
          <w:sz w:val="24"/>
          <w:szCs w:val="24"/>
          <w:u w:val="single"/>
        </w:rPr>
      </w:pPr>
      <w:r w:rsidRPr="00EA38A8">
        <w:rPr>
          <w:rFonts w:ascii="Times New Roman" w:hAnsi="Times New Roman" w:cs="Times New Roman"/>
          <w:b/>
          <w:color w:val="FF0000"/>
          <w:sz w:val="24"/>
          <w:szCs w:val="24"/>
          <w:u w:val="single"/>
        </w:rPr>
        <w:t xml:space="preserve">¿Por qué? Por la misma razón por la que sigo escuchando anuncios de Facebook en los podcasts de la NPR en los que se dice que Facebook quiere ser regulado. Porque si </w:t>
      </w:r>
      <w:r w:rsidRPr="00EA38A8">
        <w:rPr>
          <w:rFonts w:ascii="Times New Roman" w:hAnsi="Times New Roman" w:cs="Times New Roman"/>
          <w:b/>
          <w:color w:val="FF0000"/>
          <w:sz w:val="24"/>
          <w:szCs w:val="24"/>
          <w:u w:val="single"/>
        </w:rPr>
        <w:lastRenderedPageBreak/>
        <w:t>nuestros señores corporativos pueden crear esta impresión, es menos probable que los gobiernos escuchen el creciente coro de voces que les piden que hagan lo que se requiere para combatir realmente la espiral de pobreza, el desempleo, el colapso climático y la degeneración informativa: regular las empresas que han creado estas crisis, y gravarlas, disolverlas y, en algunos casos, ponerlas bajo control público.</w:t>
      </w:r>
    </w:p>
    <w:p w:rsidR="00CC4A77" w:rsidRPr="00EA38A8" w:rsidRDefault="00CC4A77" w:rsidP="00CC4A77">
      <w:pPr>
        <w:spacing w:line="240" w:lineRule="auto"/>
        <w:jc w:val="both"/>
        <w:rPr>
          <w:rFonts w:ascii="Times New Roman" w:hAnsi="Times New Roman" w:cs="Times New Roman"/>
          <w:b/>
          <w:color w:val="FF0000"/>
          <w:sz w:val="24"/>
          <w:szCs w:val="24"/>
          <w:u w:val="single"/>
        </w:rPr>
      </w:pPr>
      <w:r w:rsidRPr="00EA38A8">
        <w:rPr>
          <w:rFonts w:ascii="Times New Roman" w:hAnsi="Times New Roman" w:cs="Times New Roman"/>
          <w:b/>
          <w:color w:val="FF0000"/>
          <w:sz w:val="24"/>
          <w:szCs w:val="24"/>
          <w:u w:val="single"/>
        </w:rPr>
        <w:t>Así que no, el Gran Reinicio no es sólo otro nombre para el Green New Deal, como muchos derechistas con una pizarra digital y una malsana obsesión por Alexandria Ocasio Cortez están afirmando absurdamente. Se trata, ante todo, de bloquear un verdadero Green New Deal, que con toda seguridad no contaría con el apoyo de BP, Mastercard, el Príncipe de Gales y todos los demás socios del Gran Reinicio.</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Y, sin embargo, en las últimas semanas, una serie de comentaristas de derechas en Fox News, así como el ministro de Asuntos Exteriores de Brasil y destacados políticos de la oposición en Australia y Canadá, han afirmado estar confundidos al respecto y de repente están dando oxígeno a lo que hasta hace poco era una conspiración marginal. Laura Ingraham, Tucker Carlson y Ben Shapiro han aterrorizado a sus enormes audiencias con afirmaciones de que el socialismo verde está a punto de serles impuestos a través del Great Reinicio de Schwab, que, explican</w:t>
      </w:r>
      <w:r>
        <w:rPr>
          <w:rFonts w:ascii="Times New Roman" w:hAnsi="Times New Roman" w:cs="Times New Roman"/>
          <w:sz w:val="24"/>
          <w:szCs w:val="24"/>
        </w:rPr>
        <w:t>, es la misma cosa que el plan “Build Back Better” (Reconstruir mejor</w:t>
      </w:r>
      <w:r w:rsidRPr="009A0237">
        <w:rPr>
          <w:rFonts w:ascii="Times New Roman" w:hAnsi="Times New Roman" w:cs="Times New Roman"/>
          <w:sz w:val="24"/>
          <w:szCs w:val="24"/>
        </w:rPr>
        <w:t>)  del presidente electo Joe Biden, que es en sí mismo muy parecido al Green New Deal de la represent</w:t>
      </w:r>
      <w:r>
        <w:rPr>
          <w:rFonts w:ascii="Times New Roman" w:hAnsi="Times New Roman" w:cs="Times New Roman"/>
          <w:sz w:val="24"/>
          <w:szCs w:val="24"/>
        </w:rPr>
        <w:t xml:space="preserve">ante Alexandria Ocasio-Cortez. </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¿Cree esta gente sinceramente que Schwab está confabulado con Alexandria Ocasio-Cortez (representante demócrata de izquierda) y que está utilizando la pandemia para dejar a British Petroleum fuera del negocio, con la plena cooperación de British Petroleum? Por supuesto que no. Pero el presidente Donald Trump se fue, y el Green New Deal es popular - precisamente porque está tan lejos de Davos como podría estarlo, basado en un ethos de quien contamina paga y en programas como la garantía de empleo y la asistencia sanitaria universal que gozan de un amplio apoyo de la clase trabajadora. Para los políticos de derechas y las compañías petroleras que los respaldan, cuanto más se pueda confundir la acción climática con una Davos, una organización conocida por sus atascos de aviones privados y su fundador, Schwab, un villano de Bond, más fácil será resistirse a cualquier plan climático. Por eso, el primer alarmismo sobre el Gran Reinicio vino del Instituto Heartland, la zona cero de la maquinaria de</w:t>
      </w:r>
      <w:r>
        <w:rPr>
          <w:rFonts w:ascii="Times New Roman" w:hAnsi="Times New Roman" w:cs="Times New Roman"/>
          <w:sz w:val="24"/>
          <w:szCs w:val="24"/>
        </w:rPr>
        <w:t xml:space="preserve"> negación del cambio climático.</w:t>
      </w:r>
    </w:p>
    <w:p w:rsidR="00CC4A77" w:rsidRPr="002529D8" w:rsidRDefault="00CC4A77" w:rsidP="00CC4A77">
      <w:pPr>
        <w:spacing w:line="240" w:lineRule="auto"/>
        <w:jc w:val="both"/>
        <w:rPr>
          <w:rFonts w:ascii="Times New Roman" w:hAnsi="Times New Roman" w:cs="Times New Roman"/>
          <w:color w:val="FF0000"/>
          <w:sz w:val="24"/>
          <w:szCs w:val="24"/>
          <w:u w:val="single"/>
        </w:rPr>
      </w:pPr>
      <w:r w:rsidRPr="002529D8">
        <w:rPr>
          <w:rFonts w:ascii="Times New Roman" w:hAnsi="Times New Roman" w:cs="Times New Roman"/>
          <w:color w:val="FF0000"/>
          <w:sz w:val="24"/>
          <w:szCs w:val="24"/>
          <w:u w:val="single"/>
        </w:rPr>
        <w:t>Este mensaje está ganando adeptos no porque la gente sea tonta, sino porque está enfadada, y tiene todo el derecho a estarlo. Las políticas de confinamiento han exigido meses de sacrificio individual por el bien colectivo, sin proporcionar las protecciones colectivas más básicas para evitar que las familias caigan en la inanición y la falta de vivienda, o para mantener a flote las pequeñas empresas. Mientras tanto, se han gastado billones para respaldar a los mercados y rescatar a las multinacionales, y la especulación pandémica es desenfrenada. ¿No es de extrañar que muchos encuentren totalmente plausible que las mismas élites que esperan que se aguanten todos los sacrificios relacionados con el coronavirus mientras se van de fiesta a los Hamptons y a islas privadas estén también dispuestas a exagerar los riesgos de la enfermedad</w:t>
      </w:r>
      <w:r>
        <w:rPr>
          <w:rFonts w:ascii="Times New Roman" w:hAnsi="Times New Roman" w:cs="Times New Roman"/>
          <w:color w:val="FF0000"/>
          <w:sz w:val="24"/>
          <w:szCs w:val="24"/>
          <w:u w:val="single"/>
        </w:rPr>
        <w:t xml:space="preserve"> para que acepten una medicina “verde”</w:t>
      </w:r>
      <w:r w:rsidRPr="002529D8">
        <w:rPr>
          <w:rFonts w:ascii="Times New Roman" w:hAnsi="Times New Roman" w:cs="Times New Roman"/>
          <w:color w:val="FF0000"/>
          <w:sz w:val="24"/>
          <w:szCs w:val="24"/>
          <w:u w:val="single"/>
        </w:rPr>
        <w:t xml:space="preserve"> más amarga, por el bien común? Como quedó claro en el primer tema de Davos, la confianza entre el pueblo y la cima de la montaña se ha roto, y desde luego no se ha reconstruido.</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 xml:space="preserve">Para ver cómo encaja todo esto, eche un vistazo a lo que está sucediendo en Alberta, Canadá, bajo su verdaderamente reprobable primer ministro, un tal Jason Kenney. Kenney llegó al poder prometiendo servir a la industria petrolera de Alberta, específicamente de sus arenas </w:t>
      </w:r>
      <w:r w:rsidRPr="009A0237">
        <w:rPr>
          <w:rFonts w:ascii="Times New Roman" w:hAnsi="Times New Roman" w:cs="Times New Roman"/>
          <w:sz w:val="24"/>
          <w:szCs w:val="24"/>
        </w:rPr>
        <w:lastRenderedPageBreak/>
        <w:t>bituminosas de cocción extra rápida. Prometió aprobar todos los oleoductos, sin impo</w:t>
      </w:r>
      <w:r>
        <w:rPr>
          <w:rFonts w:ascii="Times New Roman" w:hAnsi="Times New Roman" w:cs="Times New Roman"/>
          <w:sz w:val="24"/>
          <w:szCs w:val="24"/>
        </w:rPr>
        <w:t>rtar la oposición, y crear una “sala de guerra”</w:t>
      </w:r>
      <w:r w:rsidRPr="009A0237">
        <w:rPr>
          <w:rFonts w:ascii="Times New Roman" w:hAnsi="Times New Roman" w:cs="Times New Roman"/>
          <w:sz w:val="24"/>
          <w:szCs w:val="24"/>
        </w:rPr>
        <w:t xml:space="preserve"> para </w:t>
      </w:r>
      <w:r>
        <w:rPr>
          <w:rFonts w:ascii="Times New Roman" w:hAnsi="Times New Roman" w:cs="Times New Roman"/>
          <w:sz w:val="24"/>
          <w:szCs w:val="24"/>
        </w:rPr>
        <w:t>vigilar a todos los opositores.</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Ya en marzo, en los primeros días de la pandemia, observé que Kenney se merecía el premio al capitalista más cobarde del desastre de Covid-19 porque acababa de despedir a 20.000 trabajadores de la educación, supuestamente para cubrir los costes de la pandemia, incluso mientras prodigaba 7.000 millones de dólares en subvenciones públicas al oleoducto Keystone XL, a pesar de que el confinamiento había creado un exceso masivo de crudo. A continuación, en otoño, despidió a 11.000 trabajadores de la sanidad, un claro esfuerzo por utilizar la crisis de Covid-19 para abrir la puerta a una privatización parcial de la sa</w:t>
      </w:r>
      <w:r>
        <w:rPr>
          <w:rFonts w:ascii="Times New Roman" w:hAnsi="Times New Roman" w:cs="Times New Roman"/>
          <w:sz w:val="24"/>
          <w:szCs w:val="24"/>
        </w:rPr>
        <w:t>nidad al estilo estadounidense.</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No ha sorprendido a nadie que Kenney haya presidido también una explosión de coronavirus al estilo estadounidense, con una tasa de positividad en la provincia que ha superado recientemente el 10% (más alta que la media al sur de la frontera). Ahora Kenney, autoproclamado libertario que ataca al gran gobierno, se ha visto reducido a suplicar al Primer Ministro Justin Trudeau fondos para c</w:t>
      </w:r>
      <w:r>
        <w:rPr>
          <w:rFonts w:ascii="Times New Roman" w:hAnsi="Times New Roman" w:cs="Times New Roman"/>
          <w:sz w:val="24"/>
          <w:szCs w:val="24"/>
        </w:rPr>
        <w:t>onstruir hospitales de campaña.</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¿No es de extrañar que quiera cambiar de tema? La semana pasada, Kenney hizo exactamente eso, seleccionando una pregunta sobre el Great Reinicio durante un livestream en Facebook. El primer ministro fingió estar horrorizado ante la idea de que Klaus Schwab pudiera ver en el Covid-19 una oportunidad para avanzar en sus objetivos político</w:t>
      </w:r>
      <w:r>
        <w:rPr>
          <w:rFonts w:ascii="Times New Roman" w:hAnsi="Times New Roman" w:cs="Times New Roman"/>
          <w:sz w:val="24"/>
          <w:szCs w:val="24"/>
        </w:rPr>
        <w:t>s, y describió el plan como un “</w:t>
      </w:r>
      <w:r w:rsidRPr="009A0237">
        <w:rPr>
          <w:rFonts w:ascii="Times New Roman" w:hAnsi="Times New Roman" w:cs="Times New Roman"/>
          <w:sz w:val="24"/>
          <w:szCs w:val="24"/>
        </w:rPr>
        <w:t>saco de ideas de izquierdas par</w:t>
      </w:r>
      <w:r>
        <w:rPr>
          <w:rFonts w:ascii="Times New Roman" w:hAnsi="Times New Roman" w:cs="Times New Roman"/>
          <w:sz w:val="24"/>
          <w:szCs w:val="24"/>
        </w:rPr>
        <w:t>a menos libertad y más gobierno” e “</w:t>
      </w:r>
      <w:r w:rsidRPr="009A0237">
        <w:rPr>
          <w:rFonts w:ascii="Times New Roman" w:hAnsi="Times New Roman" w:cs="Times New Roman"/>
          <w:sz w:val="24"/>
          <w:szCs w:val="24"/>
        </w:rPr>
        <w:t>ideas políticas social</w:t>
      </w:r>
      <w:r>
        <w:rPr>
          <w:rFonts w:ascii="Times New Roman" w:hAnsi="Times New Roman" w:cs="Times New Roman"/>
          <w:sz w:val="24"/>
          <w:szCs w:val="24"/>
        </w:rPr>
        <w:t>istas fracasadas”. Calentando el tema, declaró: “</w:t>
      </w:r>
      <w:r w:rsidRPr="009A0237">
        <w:rPr>
          <w:rFonts w:ascii="Times New Roman" w:hAnsi="Times New Roman" w:cs="Times New Roman"/>
          <w:sz w:val="24"/>
          <w:szCs w:val="24"/>
        </w:rPr>
        <w:t xml:space="preserve">No voy a tomar ninguna dirección política de Klaus Schwab y su calaña. ... ¡Diablos, no! No vamos a explotar o aprovechar una crisis para promover una agenda política. ... Es muy desagradable y lamentable que personas influyentes busquen explícitamente aprovecharse de una crisis como ésta para promover su propia </w:t>
      </w:r>
      <w:r>
        <w:rPr>
          <w:rFonts w:ascii="Times New Roman" w:hAnsi="Times New Roman" w:cs="Times New Roman"/>
          <w:sz w:val="24"/>
          <w:szCs w:val="24"/>
        </w:rPr>
        <w:t>visión política y sus valores”.</w:t>
      </w:r>
    </w:p>
    <w:p w:rsidR="00CC4A77" w:rsidRPr="009A0237" w:rsidRDefault="00CC4A77" w:rsidP="00CC4A77">
      <w:pPr>
        <w:spacing w:line="240" w:lineRule="auto"/>
        <w:jc w:val="both"/>
        <w:rPr>
          <w:rFonts w:ascii="Times New Roman" w:hAnsi="Times New Roman" w:cs="Times New Roman"/>
          <w:sz w:val="24"/>
          <w:szCs w:val="24"/>
        </w:rPr>
      </w:pPr>
      <w:r>
        <w:rPr>
          <w:rFonts w:ascii="Times New Roman" w:hAnsi="Times New Roman" w:cs="Times New Roman"/>
          <w:sz w:val="24"/>
          <w:szCs w:val="24"/>
        </w:rPr>
        <w:t>La derecha online se alegró: “</w:t>
      </w:r>
      <w:r w:rsidRPr="009A0237">
        <w:rPr>
          <w:rFonts w:ascii="Times New Roman" w:hAnsi="Times New Roman" w:cs="Times New Roman"/>
          <w:sz w:val="24"/>
          <w:szCs w:val="24"/>
        </w:rPr>
        <w:t>¡Jason Kenn</w:t>
      </w:r>
      <w:r>
        <w:rPr>
          <w:rFonts w:ascii="Times New Roman" w:hAnsi="Times New Roman" w:cs="Times New Roman"/>
          <w:sz w:val="24"/>
          <w:szCs w:val="24"/>
        </w:rPr>
        <w:t>e</w:t>
      </w:r>
      <w:r w:rsidRPr="009A0237">
        <w:rPr>
          <w:rFonts w:ascii="Times New Roman" w:hAnsi="Times New Roman" w:cs="Times New Roman"/>
          <w:sz w:val="24"/>
          <w:szCs w:val="24"/>
        </w:rPr>
        <w:t>y muestra un verdadero liderazgo al rechazar el Nuevo Orden Mundial de Kla</w:t>
      </w:r>
      <w:r>
        <w:rPr>
          <w:rFonts w:ascii="Times New Roman" w:hAnsi="Times New Roman" w:cs="Times New Roman"/>
          <w:sz w:val="24"/>
          <w:szCs w:val="24"/>
        </w:rPr>
        <w:t>us Schwab!”</w:t>
      </w:r>
      <w:r w:rsidRPr="009A0237">
        <w:rPr>
          <w:rFonts w:ascii="Times New Roman" w:hAnsi="Times New Roman" w:cs="Times New Roman"/>
          <w:sz w:val="24"/>
          <w:szCs w:val="24"/>
        </w:rPr>
        <w:t>, declaró un medio, y no puedo soportar hacer los enla</w:t>
      </w:r>
      <w:r>
        <w:rPr>
          <w:rFonts w:ascii="Times New Roman" w:hAnsi="Times New Roman" w:cs="Times New Roman"/>
          <w:sz w:val="24"/>
          <w:szCs w:val="24"/>
        </w:rPr>
        <w:t>ces a los muchos, muchos otros.</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Lamentablemente, la aversión de Kenney al oportunismo de la crisis llega tarde para los miles de trabajadores de la educación y de los hospitales que se han quedado sin trabajo en su provincia, o para los cientos de pacientes que pronto recibirán tratamiento en sus hospitales de campaña. Y aunque Kenney se apresuró a decir que el Gran Reinicio no era una teoría conspirativa y que el coronavirus es real, sus declaraciones fueron inmediatamente aprovechadas por el creciente número de personas que están seriamente convencidas de que el Covid-19 es un bulo cocinado por los globalistas de Davos para eliminar su propiedad privada, envenenar sus cerebros con el 5G y quitarl</w:t>
      </w:r>
      <w:r>
        <w:rPr>
          <w:rFonts w:ascii="Times New Roman" w:hAnsi="Times New Roman" w:cs="Times New Roman"/>
          <w:sz w:val="24"/>
          <w:szCs w:val="24"/>
        </w:rPr>
        <w:t>es el derecho a ir al gimnasio.</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En Alberta, miles de esas personas participaron l</w:t>
      </w:r>
      <w:r>
        <w:rPr>
          <w:rFonts w:ascii="Times New Roman" w:hAnsi="Times New Roman" w:cs="Times New Roman"/>
          <w:sz w:val="24"/>
          <w:szCs w:val="24"/>
        </w:rPr>
        <w:t>a semana pasada en las marchas “Walk for Freedom” (Marchas por la libertad)</w:t>
      </w:r>
      <w:r w:rsidRPr="009A0237">
        <w:rPr>
          <w:rFonts w:ascii="Times New Roman" w:hAnsi="Times New Roman" w:cs="Times New Roman"/>
          <w:sz w:val="24"/>
          <w:szCs w:val="24"/>
        </w:rPr>
        <w:t xml:space="preserve"> sin máscaras. No me cabe duda de que Kenney hablaba en serio cuando les dijo que dejaran de hacerlo, al igual que sin duda quiere que  elCovid-19 deje de asolar su provincia, junto con su reputación. Pero lo que más desea es detener el impulso hacia la acción climática en los planes de recuperación del coronavirus para que las compañías petroleras que financian su partido y su gobierno puedan sacar unos cuantos trimestres más de beneficio. Y él, junto con un número cada vez mayor de políticos igualmente cobardes en todo el mundo, considera que alimentar la conspiración del Gran Reinicio es el medio más e</w:t>
      </w:r>
      <w:r>
        <w:rPr>
          <w:rFonts w:ascii="Times New Roman" w:hAnsi="Times New Roman" w:cs="Times New Roman"/>
          <w:sz w:val="24"/>
          <w:szCs w:val="24"/>
        </w:rPr>
        <w:t>ficaz para lograr ese objetivo.</w:t>
      </w:r>
    </w:p>
    <w:p w:rsidR="00CC4A77" w:rsidRPr="002529D8" w:rsidRDefault="00CC4A77" w:rsidP="00CC4A77">
      <w:pPr>
        <w:spacing w:line="240" w:lineRule="auto"/>
        <w:jc w:val="both"/>
        <w:rPr>
          <w:rFonts w:ascii="Times New Roman" w:hAnsi="Times New Roman" w:cs="Times New Roman"/>
          <w:color w:val="FF0000"/>
          <w:sz w:val="24"/>
          <w:szCs w:val="24"/>
          <w:u w:val="single"/>
        </w:rPr>
      </w:pPr>
      <w:r w:rsidRPr="002529D8">
        <w:rPr>
          <w:rFonts w:ascii="Times New Roman" w:hAnsi="Times New Roman" w:cs="Times New Roman"/>
          <w:color w:val="FF0000"/>
          <w:sz w:val="24"/>
          <w:szCs w:val="24"/>
          <w:u w:val="single"/>
        </w:rPr>
        <w:lastRenderedPageBreak/>
        <w:t>Nada de esto quiere decir que el impulso de Schwab al Reinicio sea benigno y no merezca ser analizado. Todo tipo de ideas peligrosas están al acecho bajo su amplio temario, desde un impulso imprudente hacia más automatización en medio de una crisis de desempleo, hasta el impulso constante para normalizar la vigilancia masiva y las herramientas de seguimiento biométrico, hasta el problema muy real (aunque no nuevo) del poder singular de Bill Gates sobre la política sanitaria mundial. La ironía, sin embargo, es que la mezcla de hechos que actualmente gira en torno al Gran Reinicio en realidad hace más difícil responsabilizar al conjunto de Davos de todo esto, ya que las críticas legítimas se han mezclado con fantasías antivacunas verdaderamente peligrosas y con el negacionismo absoluto del coronavirus.</w:t>
      </w:r>
    </w:p>
    <w:p w:rsidR="00CC4A77" w:rsidRPr="009A023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También hace más difícil hablar sobre el profundo reajuste que nuestras economías y sociedades necesitan desesperadamente, una visión que un grupo de nosotros expuso en el cortometraje que</w:t>
      </w:r>
      <w:r>
        <w:rPr>
          <w:rFonts w:ascii="Times New Roman" w:hAnsi="Times New Roman" w:cs="Times New Roman"/>
          <w:sz w:val="24"/>
          <w:szCs w:val="24"/>
        </w:rPr>
        <w:t xml:space="preserve"> publicamos en octubre llamado “Los años de la reparación”</w:t>
      </w:r>
      <w:r w:rsidRPr="009A0237">
        <w:rPr>
          <w:rFonts w:ascii="Times New Roman" w:hAnsi="Times New Roman" w:cs="Times New Roman"/>
          <w:sz w:val="24"/>
          <w:szCs w:val="24"/>
        </w:rPr>
        <w:t>, porque ahora todo lo que se diga sobre cómo cambiar para mejor en respuesta a las crueldades que Covid-19 ha desvelado es inmediatamente calumniado como parte del Gran Reinicio. Como escribió recientemente el historiador Quinn Slobodian, año</w:t>
      </w:r>
      <w:r>
        <w:rPr>
          <w:rFonts w:ascii="Times New Roman" w:hAnsi="Times New Roman" w:cs="Times New Roman"/>
          <w:sz w:val="24"/>
          <w:szCs w:val="24"/>
        </w:rPr>
        <w:t>s después de la publicación de “La Doctrina del Shock”, “</w:t>
      </w:r>
      <w:r w:rsidRPr="009A0237">
        <w:rPr>
          <w:rFonts w:ascii="Times New Roman" w:hAnsi="Times New Roman" w:cs="Times New Roman"/>
          <w:sz w:val="24"/>
          <w:szCs w:val="24"/>
        </w:rPr>
        <w:t>la derecha se estaba apropiando de esta n</w:t>
      </w:r>
      <w:r>
        <w:rPr>
          <w:rFonts w:ascii="Times New Roman" w:hAnsi="Times New Roman" w:cs="Times New Roman"/>
          <w:sz w:val="24"/>
          <w:szCs w:val="24"/>
        </w:rPr>
        <w:t>arrativa para sus propios fines”</w:t>
      </w:r>
      <w:r w:rsidRPr="009A0237">
        <w:rPr>
          <w:rFonts w:ascii="Times New Roman" w:hAnsi="Times New Roman" w:cs="Times New Roman"/>
          <w:sz w:val="24"/>
          <w:szCs w:val="24"/>
        </w:rPr>
        <w:t>. Mientras tanto, las maniobras de la doctrina del shock, menos fantásticas pero extremadamente reales, que actualmente libran una guerra contra las escuelas públicas, los hospitales, los pequeños agricultores, las protecciones medioambientales, las libertades civiles y los derechos de los trabajadores, reciben una fracc</w:t>
      </w:r>
      <w:r>
        <w:rPr>
          <w:rFonts w:ascii="Times New Roman" w:hAnsi="Times New Roman" w:cs="Times New Roman"/>
          <w:sz w:val="24"/>
          <w:szCs w:val="24"/>
        </w:rPr>
        <w:t>ión de la atención que merecen.</w:t>
      </w:r>
    </w:p>
    <w:p w:rsidR="00CC4A77" w:rsidRPr="002529D8" w:rsidRDefault="00CC4A77" w:rsidP="00CC4A77">
      <w:pPr>
        <w:spacing w:line="240" w:lineRule="auto"/>
        <w:jc w:val="both"/>
        <w:rPr>
          <w:rFonts w:ascii="Times New Roman" w:hAnsi="Times New Roman" w:cs="Times New Roman"/>
          <w:sz w:val="24"/>
          <w:szCs w:val="24"/>
          <w:u w:val="single"/>
        </w:rPr>
      </w:pPr>
      <w:r w:rsidRPr="002529D8">
        <w:rPr>
          <w:rFonts w:ascii="Times New Roman" w:hAnsi="Times New Roman" w:cs="Times New Roman"/>
          <w:sz w:val="24"/>
          <w:szCs w:val="24"/>
          <w:u w:val="single"/>
        </w:rPr>
        <w:t>¿Es esto todo un plan, otra clase de elaborada teoría conspirativa? Nada tan elegante. Como nos dijo amablemente Steve Bannon, la estrategia informativa de la era Trump siempre ha sido “inundar la zona de mierda”. Cuatro años después, podemos ver cómo se ve esto en la práctica. Parece que los conspiranoicos de extrema izquierda y extrema derecha se sientan ante una bandeja de sándwiches de mierda informativa para hablar de cómo el Gran Reinicio es el plan de Gates para utilizar el ADN de nuestras pruebas de Covid-19 para convertir a Estados Unidos en Venezuela.</w:t>
      </w:r>
    </w:p>
    <w:p w:rsidR="00CC4A77" w:rsidRDefault="00CC4A77" w:rsidP="00CC4A77">
      <w:pPr>
        <w:spacing w:line="240" w:lineRule="auto"/>
        <w:jc w:val="both"/>
        <w:rPr>
          <w:rFonts w:ascii="Times New Roman" w:hAnsi="Times New Roman" w:cs="Times New Roman"/>
          <w:sz w:val="24"/>
          <w:szCs w:val="24"/>
        </w:rPr>
      </w:pPr>
      <w:r w:rsidRPr="009A0237">
        <w:rPr>
          <w:rFonts w:ascii="Times New Roman" w:hAnsi="Times New Roman" w:cs="Times New Roman"/>
          <w:sz w:val="24"/>
          <w:szCs w:val="24"/>
        </w:rPr>
        <w:t>No tiene sentido, y eso también está bien para gente como Bannon, y Kenney. Porque si quieres seguir destruyendo la ecología que sustenta la vida de la Tierra, una gran manera de hacerlo es contaminar deliberadamente su ecología informativa que sustenta la democracia. De hecho, la contaminación es el punto.</w:t>
      </w:r>
    </w:p>
    <w:p w:rsidR="00CC4A77" w:rsidRPr="00A559CC" w:rsidRDefault="00CC4A77" w:rsidP="00CC4A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559CC">
        <w:rPr>
          <w:rFonts w:ascii="Times New Roman" w:hAnsi="Times New Roman" w:cs="Times New Roman"/>
          <w:sz w:val="24"/>
          <w:szCs w:val="24"/>
        </w:rPr>
        <w:t>¿</w:t>
      </w:r>
      <w:r w:rsidRPr="009A0237">
        <w:rPr>
          <w:rFonts w:ascii="Times New Roman" w:hAnsi="Times New Roman" w:cs="Times New Roman"/>
          <w:sz w:val="24"/>
          <w:szCs w:val="24"/>
          <w:u w:val="single"/>
        </w:rPr>
        <w:t>Usted qué piensa del Gran Reset</w:t>
      </w:r>
      <w:r w:rsidRPr="00A559CC">
        <w:rPr>
          <w:rFonts w:ascii="Times New Roman" w:hAnsi="Times New Roman" w:cs="Times New Roman"/>
          <w:sz w:val="24"/>
          <w:szCs w:val="24"/>
        </w:rPr>
        <w:t>?</w:t>
      </w:r>
      <w:r>
        <w:rPr>
          <w:rFonts w:ascii="Times New Roman" w:hAnsi="Times New Roman" w:cs="Times New Roman"/>
          <w:sz w:val="24"/>
          <w:szCs w:val="24"/>
        </w:rPr>
        <w:t xml:space="preserve"> (La República Más - </w:t>
      </w:r>
      <w:r w:rsidRPr="009A0237">
        <w:rPr>
          <w:rFonts w:ascii="Times New Roman" w:hAnsi="Times New Roman" w:cs="Times New Roman"/>
          <w:b/>
          <w:sz w:val="24"/>
          <w:szCs w:val="24"/>
        </w:rPr>
        <w:t>18/2/21</w:t>
      </w:r>
      <w:r>
        <w:rPr>
          <w:rFonts w:ascii="Times New Roman" w:hAnsi="Times New Roman" w:cs="Times New Roman"/>
          <w:sz w:val="24"/>
          <w:szCs w:val="24"/>
        </w:rPr>
        <w:t>)</w:t>
      </w:r>
    </w:p>
    <w:p w:rsidR="00CC4A77" w:rsidRPr="00A559CC" w:rsidRDefault="00CC4A77" w:rsidP="00CC4A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Regino Navarro Ribera - </w:t>
      </w:r>
      <w:r w:rsidRPr="00A559CC">
        <w:rPr>
          <w:rFonts w:ascii="Times New Roman" w:hAnsi="Times New Roman" w:cs="Times New Roman"/>
          <w:sz w:val="24"/>
          <w:szCs w:val="24"/>
        </w:rPr>
        <w:t>Consultor empresarial y coach</w:t>
      </w:r>
      <w:r>
        <w:rPr>
          <w:rFonts w:ascii="Times New Roman" w:hAnsi="Times New Roman" w:cs="Times New Roman"/>
          <w:sz w:val="24"/>
          <w:szCs w:val="24"/>
        </w:rPr>
        <w:t>)</w:t>
      </w:r>
    </w:p>
    <w:p w:rsidR="00CC4A77" w:rsidRPr="009B2F62" w:rsidRDefault="00CC4A77" w:rsidP="00CC4A77">
      <w:pPr>
        <w:spacing w:line="240" w:lineRule="auto"/>
        <w:jc w:val="both"/>
        <w:rPr>
          <w:rFonts w:ascii="Times New Roman" w:hAnsi="Times New Roman" w:cs="Times New Roman"/>
          <w:color w:val="FF0000"/>
          <w:sz w:val="24"/>
          <w:szCs w:val="24"/>
          <w:u w:val="single"/>
        </w:rPr>
      </w:pPr>
      <w:r w:rsidRPr="009B2F62">
        <w:rPr>
          <w:rFonts w:ascii="Times New Roman" w:hAnsi="Times New Roman" w:cs="Times New Roman"/>
          <w:sz w:val="24"/>
          <w:szCs w:val="24"/>
          <w:u w:val="single"/>
        </w:rPr>
        <w:t>Desde hace un tiempo el Gran Reset está de moda en determinados círculos</w:t>
      </w:r>
      <w:r w:rsidRPr="00A559CC">
        <w:rPr>
          <w:rFonts w:ascii="Times New Roman" w:hAnsi="Times New Roman" w:cs="Times New Roman"/>
          <w:sz w:val="24"/>
          <w:szCs w:val="24"/>
        </w:rPr>
        <w:t xml:space="preserve">. Un articulista de La República se hizo eco hace poco del tema. Esta columna es para no iniciados, y la verdad es que escribo esta con el deseo de adquirir un criterio sobre el mismo, pues hay promotores y adversarios destacados. </w:t>
      </w:r>
      <w:r w:rsidRPr="009B2F62">
        <w:rPr>
          <w:rFonts w:ascii="Times New Roman" w:hAnsi="Times New Roman" w:cs="Times New Roman"/>
          <w:color w:val="FF0000"/>
          <w:sz w:val="24"/>
          <w:szCs w:val="24"/>
          <w:u w:val="single"/>
        </w:rPr>
        <w:t>El Gran Reset, gran reinicio, sería un proyecto de largo y ambicioso alcance para, aprovechando la crisis provocada por el covid 19, que pretende iniciar una remodelación del mundo, especialmente en la forma como los seres humanos vivimos. Tendría que ver con lo que se viene hablando del Nuevo Orden Mundial.</w:t>
      </w:r>
    </w:p>
    <w:p w:rsidR="00CC4A77" w:rsidRPr="009B2F62" w:rsidRDefault="00CC4A77" w:rsidP="00CC4A77">
      <w:pPr>
        <w:spacing w:line="240" w:lineRule="auto"/>
        <w:jc w:val="both"/>
        <w:rPr>
          <w:rFonts w:ascii="Times New Roman" w:hAnsi="Times New Roman" w:cs="Times New Roman"/>
          <w:sz w:val="24"/>
          <w:szCs w:val="24"/>
          <w:u w:val="single"/>
        </w:rPr>
      </w:pPr>
      <w:r w:rsidRPr="00A559CC">
        <w:rPr>
          <w:rFonts w:ascii="Times New Roman" w:hAnsi="Times New Roman" w:cs="Times New Roman"/>
          <w:sz w:val="24"/>
          <w:szCs w:val="24"/>
        </w:rPr>
        <w:t xml:space="preserve">Resetear es la forma en que se suele llamar a la acción de Reset, que en idioma inglés consiste en el reinicio, la reposición hacia un estado inicial, o bien un nuevo comienzo. </w:t>
      </w:r>
      <w:r w:rsidRPr="009B2F62">
        <w:rPr>
          <w:rFonts w:ascii="Times New Roman" w:hAnsi="Times New Roman" w:cs="Times New Roman"/>
          <w:sz w:val="24"/>
          <w:szCs w:val="24"/>
          <w:u w:val="single"/>
        </w:rPr>
        <w:t xml:space="preserve">La inauguración del Gran Reset fue, según leo en la prensa, el 21 de enero del 2021, donde se reunió toda la élite financiera, tecnológica y política mundial, en Davos Suiza. Allí el Fondo Económico Mundial propone que “debemos construir unos cimientos totalmente nuevos para </w:t>
      </w:r>
      <w:r w:rsidRPr="009B2F62">
        <w:rPr>
          <w:rFonts w:ascii="Times New Roman" w:hAnsi="Times New Roman" w:cs="Times New Roman"/>
          <w:sz w:val="24"/>
          <w:szCs w:val="24"/>
          <w:u w:val="single"/>
        </w:rPr>
        <w:lastRenderedPageBreak/>
        <w:t>nuestros sistemas económicos y sociales”. Comienza así la Agenda 2030, que persigue la instauración de un modelo socialista mundial y sin fronteras, debido según el fundador del Gran Reset, Klaus Schwab, a la crisis provocada por el coronavirus a nivel global y a la alta contaminación en el planeta.</w:t>
      </w:r>
    </w:p>
    <w:p w:rsidR="00CC4A77" w:rsidRPr="009B2F62" w:rsidRDefault="00CC4A77" w:rsidP="00CC4A77">
      <w:pPr>
        <w:spacing w:line="240" w:lineRule="auto"/>
        <w:jc w:val="both"/>
        <w:rPr>
          <w:rFonts w:ascii="Times New Roman" w:hAnsi="Times New Roman" w:cs="Times New Roman"/>
          <w:b/>
          <w:color w:val="FF0000"/>
          <w:sz w:val="24"/>
          <w:szCs w:val="24"/>
          <w:u w:val="single"/>
        </w:rPr>
      </w:pPr>
      <w:r w:rsidRPr="009B2F62">
        <w:rPr>
          <w:rFonts w:ascii="Times New Roman" w:hAnsi="Times New Roman" w:cs="Times New Roman"/>
          <w:b/>
          <w:color w:val="FF0000"/>
          <w:sz w:val="24"/>
          <w:szCs w:val="24"/>
          <w:u w:val="single"/>
        </w:rPr>
        <w:t>En este proyecto confluyen las organizaciones capitalistas occidentales, el modelo social-capitalista de China, y las grandes corporaciones tecnológicas que poseen información de las personas a nivel mundial. La reconstrucción de nuestras sociedades, según estos actores financieros y económicos mundiales, puede verse en su propio vídeo del FEM titulado “Ocho predicciones para el mundo en 2030”.</w:t>
      </w:r>
    </w:p>
    <w:p w:rsidR="00CC4A77" w:rsidRPr="009B2F62" w:rsidRDefault="00CC4A77" w:rsidP="00CC4A77">
      <w:pPr>
        <w:spacing w:line="240" w:lineRule="auto"/>
        <w:jc w:val="both"/>
        <w:rPr>
          <w:rFonts w:ascii="Times New Roman" w:hAnsi="Times New Roman" w:cs="Times New Roman"/>
          <w:b/>
          <w:color w:val="FF0000"/>
          <w:sz w:val="24"/>
          <w:szCs w:val="24"/>
          <w:u w:val="single"/>
        </w:rPr>
      </w:pPr>
      <w:r w:rsidRPr="009B2F62">
        <w:rPr>
          <w:rFonts w:ascii="Times New Roman" w:hAnsi="Times New Roman" w:cs="Times New Roman"/>
          <w:b/>
          <w:color w:val="FF0000"/>
          <w:sz w:val="24"/>
          <w:szCs w:val="24"/>
          <w:u w:val="single"/>
        </w:rPr>
        <w:t>Por otro lado, están los adversarios de El Gran Reset, que lanzan advertencias sobre los peligros de este. Poseer información de media humanidad, dicen, tener capital para todo lo imaginable, y un sistema político autoritario y controlador, asusta, sería el resumen que hacen. El vídeo que mencionábamos predice que “no tendrás nada y serás feliz. Lo que quieras lo alquilarás y te lo entregarán con un dron”. Junto a la abolición de la propiedad privada -un objetivo típico de las ideologías socialistas- el FEM también ve el fin de los valores occidentales tradicionales: “Los valores occidentales habrán sido puestos a prueba hasta el punto de ruptura”. Poseer información y capital posibilita lo que parece persigue el Nuevo Orden Mundial, que es un colonialismo humanista mundial, dicen fuentes contrarias al Gran Reset.</w:t>
      </w:r>
    </w:p>
    <w:p w:rsidR="00CC4A77" w:rsidRPr="00A559CC" w:rsidRDefault="00CC4A77" w:rsidP="00CC4A77">
      <w:pPr>
        <w:spacing w:line="240" w:lineRule="auto"/>
        <w:jc w:val="both"/>
        <w:rPr>
          <w:rFonts w:ascii="Times New Roman" w:hAnsi="Times New Roman" w:cs="Times New Roman"/>
          <w:sz w:val="24"/>
          <w:szCs w:val="24"/>
        </w:rPr>
      </w:pPr>
      <w:r w:rsidRPr="00A559CC">
        <w:rPr>
          <w:rFonts w:ascii="Times New Roman" w:hAnsi="Times New Roman" w:cs="Times New Roman"/>
          <w:sz w:val="24"/>
          <w:szCs w:val="24"/>
        </w:rPr>
        <w:t>Los líderes del Gran Reset suelen afirmar que los que se oponen a este proyecto ven en todo</w:t>
      </w:r>
      <w:r>
        <w:rPr>
          <w:rFonts w:ascii="Times New Roman" w:hAnsi="Times New Roman" w:cs="Times New Roman"/>
          <w:sz w:val="24"/>
          <w:szCs w:val="24"/>
        </w:rPr>
        <w:t>,</w:t>
      </w:r>
      <w:r w:rsidRPr="00A559CC">
        <w:rPr>
          <w:rFonts w:ascii="Times New Roman" w:hAnsi="Times New Roman" w:cs="Times New Roman"/>
          <w:sz w:val="24"/>
          <w:szCs w:val="24"/>
        </w:rPr>
        <w:t xml:space="preserve"> conspiraciones y manipulación, y que no alcanzan a darse cuenta de la realidad poscovid. A este respecto leía estos días unas declaraciones de un cardenal de la Iglesia Católica, el cardenal Müller, buen conocedor y decidido opositor al Gran Reset, quien rechazó tales críticas afirmando que los sistemas totalitarios “siempre han denigrado cualquier crítica como conspiración y subversión”. En ese sentido, señaló las numerosas advertencias sobre los gobiernos totalitarios en el siglo XX y explicó que “difícilmente pueden ser desacreditadas como teorías de la conspiración, ya que los desarrollos políticos</w:t>
      </w:r>
      <w:r>
        <w:rPr>
          <w:rFonts w:ascii="Times New Roman" w:hAnsi="Times New Roman" w:cs="Times New Roman"/>
          <w:sz w:val="24"/>
          <w:szCs w:val="24"/>
        </w:rPr>
        <w:t xml:space="preserve"> reales les han dado la razón”.</w:t>
      </w:r>
    </w:p>
    <w:p w:rsidR="00CC4A77" w:rsidRDefault="00CC4A77" w:rsidP="00CC4A77">
      <w:pPr>
        <w:spacing w:line="240" w:lineRule="auto"/>
        <w:jc w:val="both"/>
        <w:rPr>
          <w:rFonts w:ascii="Times New Roman" w:hAnsi="Times New Roman" w:cs="Times New Roman"/>
          <w:sz w:val="24"/>
          <w:szCs w:val="24"/>
        </w:rPr>
      </w:pPr>
      <w:r w:rsidRPr="00A559CC">
        <w:rPr>
          <w:rFonts w:ascii="Times New Roman" w:hAnsi="Times New Roman" w:cs="Times New Roman"/>
          <w:sz w:val="24"/>
          <w:szCs w:val="24"/>
        </w:rPr>
        <w:t>¿Usted qué opina? Por mi parte opto por investigar más.</w:t>
      </w:r>
    </w:p>
    <w:p w:rsidR="00CC4A77" w:rsidRPr="00F12548" w:rsidRDefault="00CC4A77" w:rsidP="00CC4A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12548">
        <w:rPr>
          <w:rFonts w:ascii="Times New Roman" w:hAnsi="Times New Roman" w:cs="Times New Roman"/>
          <w:sz w:val="24"/>
          <w:szCs w:val="24"/>
          <w:u w:val="single"/>
        </w:rPr>
        <w:t>Desde el Foro de Davos impulsan “un Gran reseteo del capitalismo</w:t>
      </w:r>
      <w:r>
        <w:rPr>
          <w:rFonts w:ascii="Times New Roman" w:hAnsi="Times New Roman" w:cs="Times New Roman"/>
          <w:sz w:val="24"/>
          <w:szCs w:val="24"/>
        </w:rPr>
        <w:t xml:space="preserve">” (Cambio16 - </w:t>
      </w:r>
      <w:r w:rsidRPr="007939A7">
        <w:rPr>
          <w:rFonts w:ascii="Times New Roman" w:hAnsi="Times New Roman" w:cs="Times New Roman"/>
          <w:b/>
          <w:sz w:val="24"/>
          <w:szCs w:val="24"/>
        </w:rPr>
        <w:t>11/3/21</w:t>
      </w:r>
      <w:r>
        <w:rPr>
          <w:rFonts w:ascii="Times New Roman" w:hAnsi="Times New Roman" w:cs="Times New Roman"/>
          <w:sz w:val="24"/>
          <w:szCs w:val="24"/>
        </w:rPr>
        <w:t>)</w:t>
      </w:r>
    </w:p>
    <w:p w:rsidR="00CC4A77" w:rsidRPr="00F12548" w:rsidRDefault="00CC4A77" w:rsidP="00CC4A77">
      <w:pPr>
        <w:spacing w:line="240" w:lineRule="auto"/>
        <w:jc w:val="both"/>
        <w:rPr>
          <w:rFonts w:ascii="Times New Roman" w:hAnsi="Times New Roman" w:cs="Times New Roman"/>
          <w:sz w:val="24"/>
          <w:szCs w:val="24"/>
        </w:rPr>
      </w:pPr>
      <w:r>
        <w:rPr>
          <w:rFonts w:ascii="Times New Roman" w:hAnsi="Times New Roman" w:cs="Times New Roman"/>
          <w:sz w:val="24"/>
          <w:szCs w:val="24"/>
        </w:rPr>
        <w:t>(Por Mariela León)</w:t>
      </w:r>
    </w:p>
    <w:p w:rsidR="00CC4A77" w:rsidRPr="002529D8" w:rsidRDefault="00CC4A77" w:rsidP="00CC4A77">
      <w:pPr>
        <w:spacing w:line="240" w:lineRule="auto"/>
        <w:jc w:val="both"/>
        <w:rPr>
          <w:rFonts w:ascii="Times New Roman" w:hAnsi="Times New Roman" w:cs="Times New Roman"/>
          <w:color w:val="FF0000"/>
          <w:sz w:val="24"/>
          <w:szCs w:val="24"/>
          <w:u w:val="single"/>
        </w:rPr>
      </w:pPr>
      <w:r w:rsidRPr="002529D8">
        <w:rPr>
          <w:rFonts w:ascii="Times New Roman" w:hAnsi="Times New Roman" w:cs="Times New Roman"/>
          <w:color w:val="FF0000"/>
          <w:sz w:val="24"/>
          <w:szCs w:val="24"/>
          <w:u w:val="single"/>
        </w:rPr>
        <w:t>Los grandes capitales y líderes del mundo utilizan la pandemia y sus múltiples secuelas para “acelerar planes” y “reajustar prioridades”, que estaban pendientes. Reunidos virtualmente en el Foro de Davos, Suiza, manifestaron que es el momento de adelantar la Agenda 2030. Y de dar un vuelco en el globo. Lo llaman el “Gran Reinicio” o el “Gran Reseteo” del capitalismo.</w:t>
      </w:r>
    </w:p>
    <w:p w:rsidR="00CC4A77" w:rsidRPr="002529D8" w:rsidRDefault="00CC4A77" w:rsidP="00CC4A77">
      <w:pPr>
        <w:spacing w:line="240" w:lineRule="auto"/>
        <w:jc w:val="both"/>
        <w:rPr>
          <w:rFonts w:ascii="Times New Roman" w:hAnsi="Times New Roman" w:cs="Times New Roman"/>
          <w:color w:val="FF0000"/>
          <w:sz w:val="24"/>
          <w:szCs w:val="24"/>
          <w:u w:val="single"/>
        </w:rPr>
      </w:pPr>
      <w:r w:rsidRPr="002529D8">
        <w:rPr>
          <w:rFonts w:ascii="Times New Roman" w:hAnsi="Times New Roman" w:cs="Times New Roman"/>
          <w:color w:val="FF0000"/>
          <w:sz w:val="24"/>
          <w:szCs w:val="24"/>
          <w:u w:val="single"/>
        </w:rPr>
        <w:t>Los debates y las decisiones del Foro Económico Mundial siempre han sido controversiales. Cada encuentro genera polémica. Los más críticos aseguran que quienes asisten modelan el curso del mundo a su antojo, como marionetas. Que allí se sientan las bases para un nuevo orden mundial. Otros, los más afectos consideran que en sus discusiones se buscan opciones y ordenamientos para un planeta mejor.</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Un nuevo enfoque para la sociedad</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 xml:space="preserve">Klaus Schwab, fundador del Foro de Davos, elaboró el planteamiento que fue acogido por las asistentes, al término de la jornada. “La iniciativa del Gran Reinicio busca nuevas ideas. Aprovechar este momento único en la historia que ofrece la pandemia, la interrupción de la </w:t>
      </w:r>
      <w:r w:rsidRPr="00F12548">
        <w:rPr>
          <w:rFonts w:ascii="Times New Roman" w:hAnsi="Times New Roman" w:cs="Times New Roman"/>
          <w:sz w:val="24"/>
          <w:szCs w:val="24"/>
        </w:rPr>
        <w:lastRenderedPageBreak/>
        <w:t>economía. También de la política y la vida diaria para catalizar un nuevo enfoque en el funcionamiento de nuestras sociedad</w:t>
      </w:r>
      <w:r>
        <w:rPr>
          <w:rFonts w:ascii="Times New Roman" w:hAnsi="Times New Roman" w:cs="Times New Roman"/>
          <w:sz w:val="24"/>
          <w:szCs w:val="24"/>
        </w:rPr>
        <w:t>es”, dijo el empresario alemán.</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“Existen buenas razones para preocuparse. Ya empieza a sentirse una fuerte desaceleración económica y podríamos estar al borde de la peor depresión desde la década de los años treinta. No obstante, aunque es un resultado probable</w:t>
      </w:r>
      <w:r>
        <w:rPr>
          <w:rFonts w:ascii="Times New Roman" w:hAnsi="Times New Roman" w:cs="Times New Roman"/>
          <w:sz w:val="24"/>
          <w:szCs w:val="24"/>
        </w:rPr>
        <w:t>, no es inevitable”, argumentó.</w:t>
      </w:r>
    </w:p>
    <w:p w:rsidR="00CC4A77" w:rsidRPr="002529D8" w:rsidRDefault="00CC4A77" w:rsidP="00CC4A77">
      <w:pPr>
        <w:spacing w:line="240" w:lineRule="auto"/>
        <w:jc w:val="both"/>
        <w:rPr>
          <w:rFonts w:ascii="Times New Roman" w:hAnsi="Times New Roman" w:cs="Times New Roman"/>
          <w:b/>
          <w:color w:val="FF0000"/>
          <w:sz w:val="24"/>
          <w:szCs w:val="24"/>
          <w:u w:val="single"/>
        </w:rPr>
      </w:pPr>
      <w:r w:rsidRPr="002529D8">
        <w:rPr>
          <w:rFonts w:ascii="Times New Roman" w:hAnsi="Times New Roman" w:cs="Times New Roman"/>
          <w:b/>
          <w:color w:val="FF0000"/>
          <w:sz w:val="24"/>
          <w:szCs w:val="24"/>
          <w:u w:val="single"/>
        </w:rPr>
        <w:t>Schwab propuso que para obtener un mejor resultado, el mundo debe actuar conjuntamente y con rapidez en la renovación de todos los aspectos de nuestra</w:t>
      </w:r>
      <w:r>
        <w:rPr>
          <w:rFonts w:ascii="Times New Roman" w:hAnsi="Times New Roman" w:cs="Times New Roman"/>
          <w:b/>
          <w:color w:val="FF0000"/>
          <w:sz w:val="24"/>
          <w:szCs w:val="24"/>
          <w:u w:val="single"/>
        </w:rPr>
        <w:t>s sociedades y economías. “</w:t>
      </w:r>
      <w:r w:rsidRPr="002529D8">
        <w:rPr>
          <w:rFonts w:ascii="Times New Roman" w:hAnsi="Times New Roman" w:cs="Times New Roman"/>
          <w:b/>
          <w:color w:val="FF0000"/>
          <w:sz w:val="24"/>
          <w:szCs w:val="24"/>
          <w:u w:val="single"/>
        </w:rPr>
        <w:t>Nos hace falta un Gran Reseteo del capitalismo. Desde la educación hasta los contratos sociales y las condiciones laborales. Deben participar todos los países, desde Estados Unidos hasta China. Y deben transformarse todos los sectores, desde el gas y el petróleo hasta el de tecnología. Tod</w:t>
      </w:r>
      <w:r>
        <w:rPr>
          <w:rFonts w:ascii="Times New Roman" w:hAnsi="Times New Roman" w:cs="Times New Roman"/>
          <w:b/>
          <w:color w:val="FF0000"/>
          <w:sz w:val="24"/>
          <w:szCs w:val="24"/>
          <w:u w:val="single"/>
        </w:rPr>
        <w:t>o debe ser reseteado”</w:t>
      </w:r>
      <w:r w:rsidRPr="002529D8">
        <w:rPr>
          <w:rFonts w:ascii="Times New Roman" w:hAnsi="Times New Roman" w:cs="Times New Roman"/>
          <w:b/>
          <w:color w:val="FF0000"/>
          <w:sz w:val="24"/>
          <w:szCs w:val="24"/>
          <w:u w:val="single"/>
        </w:rPr>
        <w:t>, subrayó.</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El Gran Reseteo del capitalismo</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En el Foro de Davos compartieron tribuna y el planteamiento central del Gran Reseteo del capitalismo, el magnate Bill Gates, Emmanuel Macron, Angela Merkel y Xi Jinping, presidente de China. También el director de la OMS, Tedros Adhanom Ghebreyesus, Anthony Fauci, director del Instituto Nacional de Alergias y Enfermedades</w:t>
      </w:r>
      <w:r>
        <w:rPr>
          <w:rFonts w:ascii="Times New Roman" w:hAnsi="Times New Roman" w:cs="Times New Roman"/>
          <w:sz w:val="24"/>
          <w:szCs w:val="24"/>
        </w:rPr>
        <w:t xml:space="preserve"> Infecciosas de Estados Unidos.</w:t>
      </w:r>
    </w:p>
    <w:p w:rsidR="00CC4A77" w:rsidRPr="00AD764C" w:rsidRDefault="00CC4A77" w:rsidP="00CC4A77">
      <w:pPr>
        <w:spacing w:line="240" w:lineRule="auto"/>
        <w:jc w:val="both"/>
        <w:rPr>
          <w:rFonts w:ascii="Times New Roman" w:hAnsi="Times New Roman" w:cs="Times New Roman"/>
          <w:color w:val="FF0000"/>
          <w:sz w:val="24"/>
          <w:szCs w:val="24"/>
          <w:u w:val="single"/>
        </w:rPr>
      </w:pPr>
      <w:r w:rsidRPr="00AD764C">
        <w:rPr>
          <w:rFonts w:ascii="Times New Roman" w:hAnsi="Times New Roman" w:cs="Times New Roman"/>
          <w:color w:val="FF0000"/>
          <w:sz w:val="24"/>
          <w:szCs w:val="24"/>
          <w:u w:val="single"/>
        </w:rPr>
        <w:t>“Para garantizar el Gran Reinicio que necesitamos con tanta urgencia hará falta unos gobiernos más robustos y eficaces. Aunque esto no implica un impulso ideológico hacia gobiernos más grandes. Y se requerirá la colaboración entre los sectores público y privado en cada etapa del camino”, señaló el propulsor de la estrategia.</w:t>
      </w:r>
    </w:p>
    <w:p w:rsidR="00CC4A77" w:rsidRPr="00AD764C" w:rsidRDefault="00CC4A77" w:rsidP="00CC4A77">
      <w:pPr>
        <w:spacing w:line="240" w:lineRule="auto"/>
        <w:jc w:val="both"/>
        <w:rPr>
          <w:rFonts w:ascii="Times New Roman" w:hAnsi="Times New Roman" w:cs="Times New Roman"/>
          <w:color w:val="FF0000"/>
          <w:sz w:val="24"/>
          <w:szCs w:val="24"/>
          <w:u w:val="single"/>
        </w:rPr>
      </w:pPr>
      <w:r w:rsidRPr="00AD764C">
        <w:rPr>
          <w:rFonts w:ascii="Times New Roman" w:hAnsi="Times New Roman" w:cs="Times New Roman"/>
          <w:color w:val="FF0000"/>
          <w:sz w:val="24"/>
          <w:szCs w:val="24"/>
          <w:u w:val="single"/>
        </w:rPr>
        <w:t xml:space="preserve">Aferrado a las consecuencias de la pandemia de la COVID-19, Schwab aseguró que </w:t>
      </w:r>
      <w:r w:rsidRPr="00AD764C">
        <w:rPr>
          <w:rFonts w:ascii="Times New Roman" w:hAnsi="Times New Roman" w:cs="Times New Roman"/>
          <w:b/>
          <w:color w:val="FF0000"/>
          <w:sz w:val="24"/>
          <w:szCs w:val="24"/>
          <w:u w:val="single"/>
        </w:rPr>
        <w:t>la agenda del Gran Reinicio tiene tres componentes principales. El primero orientará el mercado hacia unos resultados más justos.</w:t>
      </w:r>
      <w:r w:rsidRPr="00AD764C">
        <w:rPr>
          <w:rFonts w:ascii="Times New Roman" w:hAnsi="Times New Roman" w:cs="Times New Roman"/>
          <w:color w:val="FF0000"/>
          <w:sz w:val="24"/>
          <w:szCs w:val="24"/>
          <w:u w:val="single"/>
        </w:rPr>
        <w:t xml:space="preserve"> Los gobiernos deberían aplicar unas reformas que incluyan cambios en los impuestos sobre el patrimonio. La retirada de las subvenciones a los combustibles fósiles y normas nuevas para la propiedad intelectual, el comercio y la competencia.</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EL PIB mide los parámetros equivocados</w:t>
      </w:r>
    </w:p>
    <w:p w:rsidR="00CC4A77" w:rsidRPr="00F12548" w:rsidRDefault="00CC4A77" w:rsidP="00CC4A77">
      <w:pPr>
        <w:spacing w:line="240" w:lineRule="auto"/>
        <w:jc w:val="both"/>
        <w:rPr>
          <w:rFonts w:ascii="Times New Roman" w:hAnsi="Times New Roman" w:cs="Times New Roman"/>
          <w:sz w:val="24"/>
          <w:szCs w:val="24"/>
        </w:rPr>
      </w:pPr>
      <w:r w:rsidRPr="00AD764C">
        <w:rPr>
          <w:rFonts w:ascii="Times New Roman" w:hAnsi="Times New Roman" w:cs="Times New Roman"/>
          <w:b/>
          <w:color w:val="FF0000"/>
          <w:sz w:val="24"/>
          <w:szCs w:val="24"/>
          <w:u w:val="single"/>
        </w:rPr>
        <w:t>El segundo componente del Gran Reinicio garantizaría que las inversiones promuevan objetivos comunes, como la igualdad y la sostenibilidad</w:t>
      </w:r>
      <w:r w:rsidRPr="00F12548">
        <w:rPr>
          <w:rFonts w:ascii="Times New Roman" w:hAnsi="Times New Roman" w:cs="Times New Roman"/>
          <w:sz w:val="24"/>
          <w:szCs w:val="24"/>
        </w:rPr>
        <w:t>. Adelantar la Agenda 2030 en la creación de infraestructura urbana “verde” y en proponer incentivos para que las industrias mejoren su trayectoria medioamb</w:t>
      </w:r>
      <w:r>
        <w:rPr>
          <w:rFonts w:ascii="Times New Roman" w:hAnsi="Times New Roman" w:cs="Times New Roman"/>
          <w:sz w:val="24"/>
          <w:szCs w:val="24"/>
        </w:rPr>
        <w:t>iental, social y de gobernanza.</w:t>
      </w:r>
    </w:p>
    <w:p w:rsidR="00CC4A77" w:rsidRPr="00F12548" w:rsidRDefault="00CC4A77" w:rsidP="00CC4A77">
      <w:pPr>
        <w:spacing w:line="240" w:lineRule="auto"/>
        <w:jc w:val="both"/>
        <w:rPr>
          <w:rFonts w:ascii="Times New Roman" w:hAnsi="Times New Roman" w:cs="Times New Roman"/>
          <w:sz w:val="24"/>
          <w:szCs w:val="24"/>
        </w:rPr>
      </w:pPr>
      <w:r w:rsidRPr="00AD764C">
        <w:rPr>
          <w:rFonts w:ascii="Times New Roman" w:hAnsi="Times New Roman" w:cs="Times New Roman"/>
          <w:sz w:val="24"/>
          <w:szCs w:val="24"/>
          <w:u w:val="single"/>
        </w:rPr>
        <w:t>Además, crear una nueva métrica. “El PIB mide los parámetros equivocados”, indicó. La insatisfacción con el PIB es generalizada y existen numerosas alternativas que se están probando. Centradas en el bienestar de las personas y del planeta</w:t>
      </w:r>
      <w:r w:rsidRPr="00F12548">
        <w:rPr>
          <w:rFonts w:ascii="Times New Roman" w:hAnsi="Times New Roman" w:cs="Times New Roman"/>
          <w:sz w:val="24"/>
          <w:szCs w:val="24"/>
        </w:rPr>
        <w:t>. Por ejemplo, los índices de desarrollo humano y desarrollo social de las Naciones Unidas. Las métricas de bienestar, el índice de progreso real, el índice del planeta feliz y una iniciativa para utiliz</w:t>
      </w:r>
      <w:r>
        <w:rPr>
          <w:rFonts w:ascii="Times New Roman" w:hAnsi="Times New Roman" w:cs="Times New Roman"/>
          <w:sz w:val="24"/>
          <w:szCs w:val="24"/>
        </w:rPr>
        <w:t>ar la felicidad nacional bruta.</w:t>
      </w:r>
    </w:p>
    <w:p w:rsidR="00CC4A77" w:rsidRPr="00F12548" w:rsidRDefault="00CC4A77" w:rsidP="00CC4A77">
      <w:pPr>
        <w:spacing w:line="240" w:lineRule="auto"/>
        <w:jc w:val="both"/>
        <w:rPr>
          <w:rFonts w:ascii="Times New Roman" w:hAnsi="Times New Roman" w:cs="Times New Roman"/>
          <w:sz w:val="24"/>
          <w:szCs w:val="24"/>
        </w:rPr>
      </w:pPr>
      <w:r w:rsidRPr="00AD764C">
        <w:rPr>
          <w:rFonts w:ascii="Times New Roman" w:hAnsi="Times New Roman" w:cs="Times New Roman"/>
          <w:b/>
          <w:color w:val="FF0000"/>
          <w:sz w:val="24"/>
          <w:szCs w:val="24"/>
          <w:u w:val="single"/>
        </w:rPr>
        <w:t>La tercera y última prioridad consiste en aprovechar las innovaciones de la Cuarta Revolución Industrial</w:t>
      </w:r>
      <w:r w:rsidRPr="00F12548">
        <w:rPr>
          <w:rFonts w:ascii="Times New Roman" w:hAnsi="Times New Roman" w:cs="Times New Roman"/>
          <w:sz w:val="24"/>
          <w:szCs w:val="24"/>
        </w:rPr>
        <w:t xml:space="preserve">. Desarrollar diagnósticos, terapias y posibles vacunas. Establecer centros de pruebas, crear mecanismos para la trazabilidad de las infecciones y ofrecer </w:t>
      </w:r>
      <w:r w:rsidRPr="00F12548">
        <w:rPr>
          <w:rFonts w:ascii="Times New Roman" w:hAnsi="Times New Roman" w:cs="Times New Roman"/>
          <w:sz w:val="24"/>
          <w:szCs w:val="24"/>
        </w:rPr>
        <w:lastRenderedPageBreak/>
        <w:t xml:space="preserve">soluciones de telemedicina. “Todavía tardaremos mucho en ver el final del túnel </w:t>
      </w:r>
      <w:r>
        <w:rPr>
          <w:rFonts w:ascii="Times New Roman" w:hAnsi="Times New Roman" w:cs="Times New Roman"/>
          <w:sz w:val="24"/>
          <w:szCs w:val="24"/>
        </w:rPr>
        <w:t>de la pandemia», confió Schwab.</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Puntos de vista sobre el reseteo del capitalismo</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El término de Gran Reinicio o Gran Reseteo del capitalismo en el Foro de Davos, ya venía rondando. Economistas, intelectuales, empresarios hablan del conc</w:t>
      </w:r>
      <w:r>
        <w:rPr>
          <w:rFonts w:ascii="Times New Roman" w:hAnsi="Times New Roman" w:cs="Times New Roman"/>
          <w:sz w:val="24"/>
          <w:szCs w:val="24"/>
        </w:rPr>
        <w:t>epto desde hace uno o dos años.</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 xml:space="preserve">Con la iniciativa Imperative 21, más de 70.000 empresas en el mundo piden resetear el sistema económico global en torno a tres principios: diseñar para la independencia, invertir por la justicia </w:t>
      </w:r>
      <w:r>
        <w:rPr>
          <w:rFonts w:ascii="Times New Roman" w:hAnsi="Times New Roman" w:cs="Times New Roman"/>
          <w:sz w:val="24"/>
          <w:szCs w:val="24"/>
        </w:rPr>
        <w:t>y rendir cuentas a las partes.</w:t>
      </w:r>
    </w:p>
    <w:p w:rsidR="00CC4A77" w:rsidRPr="00AD764C" w:rsidRDefault="00CC4A77" w:rsidP="00CC4A77">
      <w:pPr>
        <w:spacing w:line="240" w:lineRule="auto"/>
        <w:jc w:val="both"/>
        <w:rPr>
          <w:rFonts w:ascii="Times New Roman" w:hAnsi="Times New Roman" w:cs="Times New Roman"/>
          <w:b/>
          <w:color w:val="FF0000"/>
          <w:sz w:val="24"/>
          <w:szCs w:val="24"/>
          <w:u w:val="single"/>
        </w:rPr>
      </w:pPr>
      <w:r w:rsidRPr="00AD764C">
        <w:rPr>
          <w:rFonts w:ascii="Times New Roman" w:hAnsi="Times New Roman" w:cs="Times New Roman"/>
          <w:b/>
          <w:color w:val="FF0000"/>
          <w:sz w:val="24"/>
          <w:szCs w:val="24"/>
          <w:u w:val="single"/>
        </w:rPr>
        <w:t>El reseteo polariza las opiniones. Los conservadores estiman que se induce a un comunismo y los comunistas ven una liberalización encubierta de las sociedades. Pero, ¿qué está en juego? Además de la receta de Schwab, se une la idea de eliminar el efectivo, la digitalización global. Y lo que tiene que ver con la libertad y la privacidad: a vigilancia masiva de los ciudadanos que vino para quedarse.</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“La idea de revisar el capitalismo es un significante vacío. Su significado cambia según quién lo u</w:t>
      </w:r>
      <w:r>
        <w:rPr>
          <w:rFonts w:ascii="Times New Roman" w:hAnsi="Times New Roman" w:cs="Times New Roman"/>
          <w:sz w:val="24"/>
          <w:szCs w:val="24"/>
        </w:rPr>
        <w:t xml:space="preserve">se”, dijo Eduardo Levy Yeyati. </w:t>
      </w:r>
      <w:r w:rsidRPr="00F12548">
        <w:rPr>
          <w:rFonts w:ascii="Times New Roman" w:hAnsi="Times New Roman" w:cs="Times New Roman"/>
          <w:sz w:val="24"/>
          <w:szCs w:val="24"/>
        </w:rPr>
        <w:t>Lo impulsado desde Davos, “es una excusa para justificar la intervención del Estado”, señaló el decano de la Escuela de Gobie</w:t>
      </w:r>
      <w:r>
        <w:rPr>
          <w:rFonts w:ascii="Times New Roman" w:hAnsi="Times New Roman" w:cs="Times New Roman"/>
          <w:sz w:val="24"/>
          <w:szCs w:val="24"/>
        </w:rPr>
        <w:t>rno de la Universidad Di Tella.</w:t>
      </w:r>
    </w:p>
    <w:p w:rsidR="00CC4A77" w:rsidRPr="00F12548"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En 2019, antes de la pandemia, el Financial Times, diario económico de referencia, propuso reiniciar el capitalismo. “El modelo capitalista liberal ha brindado paz, prosperidad y progreso tecnológico durante los últimos 50 años. Pero en la década posterior a la crisis financiera mundial el modelo está en cuestión. Principalmente por centrarse en maximizar las ganancias y el valor para los accionistas. (…) Es hora de un rei</w:t>
      </w:r>
      <w:r>
        <w:rPr>
          <w:rFonts w:ascii="Times New Roman" w:hAnsi="Times New Roman" w:cs="Times New Roman"/>
          <w:sz w:val="24"/>
          <w:szCs w:val="24"/>
        </w:rPr>
        <w:t>nicio”, señaló en un editorial.</w:t>
      </w:r>
    </w:p>
    <w:p w:rsidR="00CC4A77" w:rsidRDefault="00CC4A77" w:rsidP="00CC4A77">
      <w:pPr>
        <w:spacing w:line="240" w:lineRule="auto"/>
        <w:jc w:val="both"/>
        <w:rPr>
          <w:rFonts w:ascii="Times New Roman" w:hAnsi="Times New Roman" w:cs="Times New Roman"/>
          <w:sz w:val="24"/>
          <w:szCs w:val="24"/>
        </w:rPr>
      </w:pPr>
      <w:r w:rsidRPr="00F12548">
        <w:rPr>
          <w:rFonts w:ascii="Times New Roman" w:hAnsi="Times New Roman" w:cs="Times New Roman"/>
          <w:sz w:val="24"/>
          <w:szCs w:val="24"/>
        </w:rPr>
        <w:t>La Business Roundtable, una plataforma que reúne a 200 de las mayores empresas de Estados Unidos, manifestó estar en sintonía con el periódico. Señaló que proponía redefinir los objetivos corporativos. Y abogó por abandonar el dogma de que el interés del accionista debe prevalecer sobre cualquier otro.</w:t>
      </w:r>
    </w:p>
    <w:p w:rsidR="004B4A6B" w:rsidRPr="00396D11" w:rsidRDefault="004B4A6B" w:rsidP="004B4A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96D11">
        <w:rPr>
          <w:rFonts w:ascii="Times New Roman" w:hAnsi="Times New Roman" w:cs="Times New Roman"/>
          <w:sz w:val="24"/>
          <w:szCs w:val="24"/>
          <w:u w:val="single"/>
        </w:rPr>
        <w:t>El Gran Reinicio: el oscuro</w:t>
      </w:r>
      <w:r>
        <w:rPr>
          <w:rFonts w:ascii="Times New Roman" w:hAnsi="Times New Roman" w:cs="Times New Roman"/>
          <w:sz w:val="24"/>
          <w:szCs w:val="24"/>
          <w:u w:val="single"/>
        </w:rPr>
        <w:t xml:space="preserve"> plan de la élite mundial para “resetear”</w:t>
      </w:r>
      <w:r w:rsidRPr="00396D11">
        <w:rPr>
          <w:rFonts w:ascii="Times New Roman" w:hAnsi="Times New Roman" w:cs="Times New Roman"/>
          <w:sz w:val="24"/>
          <w:szCs w:val="24"/>
          <w:u w:val="single"/>
        </w:rPr>
        <w:t xml:space="preserve"> la economía tras la pandemia</w:t>
      </w:r>
      <w:r>
        <w:rPr>
          <w:rFonts w:ascii="Times New Roman" w:hAnsi="Times New Roman" w:cs="Times New Roman"/>
          <w:sz w:val="24"/>
          <w:szCs w:val="24"/>
        </w:rPr>
        <w:t xml:space="preserve"> (Diario26 - </w:t>
      </w:r>
      <w:r w:rsidRPr="00396D11">
        <w:rPr>
          <w:rFonts w:ascii="Times New Roman" w:hAnsi="Times New Roman" w:cs="Times New Roman"/>
          <w:b/>
          <w:sz w:val="24"/>
          <w:szCs w:val="24"/>
        </w:rPr>
        <w:t>1/4/21</w:t>
      </w:r>
      <w:r>
        <w:rPr>
          <w:rFonts w:ascii="Times New Roman" w:hAnsi="Times New Roman" w:cs="Times New Roman"/>
          <w:sz w:val="24"/>
          <w:szCs w:val="24"/>
        </w:rPr>
        <w:t>)</w:t>
      </w:r>
    </w:p>
    <w:p w:rsidR="004B4A6B" w:rsidRPr="00AD764C" w:rsidRDefault="004B4A6B" w:rsidP="004B4A6B">
      <w:pPr>
        <w:spacing w:line="240" w:lineRule="auto"/>
        <w:jc w:val="both"/>
        <w:rPr>
          <w:rFonts w:ascii="Times New Roman" w:hAnsi="Times New Roman" w:cs="Times New Roman"/>
          <w:b/>
          <w:color w:val="FF0000"/>
          <w:sz w:val="24"/>
          <w:szCs w:val="24"/>
          <w:u w:val="single"/>
        </w:rPr>
      </w:pPr>
      <w:r w:rsidRPr="00AD764C">
        <w:rPr>
          <w:rFonts w:ascii="Times New Roman" w:hAnsi="Times New Roman" w:cs="Times New Roman"/>
          <w:b/>
          <w:color w:val="FF0000"/>
          <w:sz w:val="24"/>
          <w:szCs w:val="24"/>
          <w:u w:val="single"/>
        </w:rPr>
        <w:t xml:space="preserve">Quienes manejan los hilos ocultos del poder han encontrado </w:t>
      </w:r>
      <w:r>
        <w:rPr>
          <w:rFonts w:ascii="Times New Roman" w:hAnsi="Times New Roman" w:cs="Times New Roman"/>
          <w:b/>
          <w:color w:val="FF0000"/>
          <w:sz w:val="24"/>
          <w:szCs w:val="24"/>
          <w:u w:val="single"/>
        </w:rPr>
        <w:t>el “lado positivo”</w:t>
      </w:r>
      <w:r w:rsidRPr="00AD764C">
        <w:rPr>
          <w:rFonts w:ascii="Times New Roman" w:hAnsi="Times New Roman" w:cs="Times New Roman"/>
          <w:b/>
          <w:color w:val="FF0000"/>
          <w:sz w:val="24"/>
          <w:szCs w:val="24"/>
          <w:u w:val="single"/>
        </w:rPr>
        <w:t xml:space="preserve"> de la letal pandemia de coronavirus </w:t>
      </w:r>
      <w:r>
        <w:rPr>
          <w:rFonts w:ascii="Times New Roman" w:hAnsi="Times New Roman" w:cs="Times New Roman"/>
          <w:b/>
          <w:color w:val="FF0000"/>
          <w:sz w:val="24"/>
          <w:szCs w:val="24"/>
          <w:u w:val="single"/>
        </w:rPr>
        <w:t>que azota al mundo entero. Los “elegidos”</w:t>
      </w:r>
      <w:r w:rsidRPr="00AD764C">
        <w:rPr>
          <w:rFonts w:ascii="Times New Roman" w:hAnsi="Times New Roman" w:cs="Times New Roman"/>
          <w:b/>
          <w:color w:val="FF0000"/>
          <w:sz w:val="24"/>
          <w:szCs w:val="24"/>
          <w:u w:val="single"/>
        </w:rPr>
        <w:t xml:space="preserve"> diseñaron un plan al que </w:t>
      </w:r>
      <w:r>
        <w:rPr>
          <w:rFonts w:ascii="Times New Roman" w:hAnsi="Times New Roman" w:cs="Times New Roman"/>
          <w:b/>
          <w:color w:val="FF0000"/>
          <w:sz w:val="24"/>
          <w:szCs w:val="24"/>
          <w:u w:val="single"/>
        </w:rPr>
        <w:t>llamaron “El Gran Reinicio”</w:t>
      </w:r>
      <w:r w:rsidRPr="00AD764C">
        <w:rPr>
          <w:rFonts w:ascii="Times New Roman" w:hAnsi="Times New Roman" w:cs="Times New Roman"/>
          <w:b/>
          <w:color w:val="FF0000"/>
          <w:sz w:val="24"/>
          <w:szCs w:val="24"/>
          <w:u w:val="single"/>
        </w:rPr>
        <w:t xml:space="preserve"> (The Great Reset) al que ya pusieron en marcha. China, en el centro de la escena. El Príncipe Carlos de Inglaterra, el director del Foro Económico Mundial y -hasta- Joe Biden y Donald Trump, son algunos de los involucrados en la trama.</w:t>
      </w:r>
    </w:p>
    <w:p w:rsidR="004B4A6B" w:rsidRPr="00396D11" w:rsidRDefault="004B4A6B" w:rsidP="004B4A6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6D11">
        <w:rPr>
          <w:rFonts w:ascii="Times New Roman" w:hAnsi="Times New Roman" w:cs="Times New Roman"/>
          <w:sz w:val="24"/>
          <w:szCs w:val="24"/>
        </w:rPr>
        <w:t>Por Marcelo García</w:t>
      </w:r>
      <w:r>
        <w:rPr>
          <w:rFonts w:ascii="Times New Roman" w:hAnsi="Times New Roman" w:cs="Times New Roman"/>
          <w:sz w:val="24"/>
          <w:szCs w:val="24"/>
        </w:rPr>
        <w:t>)</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Desde el comienzo mismo de la pandemia de coronavirus, detectada en la ciudad china de Wuhan en diciembre de 2019, fueron muchas -tal vez demasiadas- las versiones echadas a correr en torno al origen de la misma, y fue así que (ante la evidente imposibilidad de encontrar respuesta alguna) surgió una incontenible catarata de pronósticos sobre lo que sucederí</w:t>
      </w:r>
      <w:r>
        <w:rPr>
          <w:rFonts w:ascii="Times New Roman" w:hAnsi="Times New Roman" w:cs="Times New Roman"/>
          <w:sz w:val="24"/>
          <w:szCs w:val="24"/>
        </w:rPr>
        <w:t>a “el día después”</w:t>
      </w:r>
      <w:r w:rsidRPr="00396D11">
        <w:rPr>
          <w:rFonts w:ascii="Times New Roman" w:hAnsi="Times New Roman" w:cs="Times New Roman"/>
          <w:sz w:val="24"/>
          <w:szCs w:val="24"/>
        </w:rPr>
        <w:t>, cuando el mundo e</w:t>
      </w:r>
      <w:r>
        <w:rPr>
          <w:rFonts w:ascii="Times New Roman" w:hAnsi="Times New Roman" w:cs="Times New Roman"/>
          <w:sz w:val="24"/>
          <w:szCs w:val="24"/>
        </w:rPr>
        <w:t>ntero regrese a la tan ansiada “normalidad”</w:t>
      </w:r>
      <w:r w:rsidRPr="00396D11">
        <w:rPr>
          <w:rFonts w:ascii="Times New Roman" w:hAnsi="Times New Roman" w:cs="Times New Roman"/>
          <w:sz w:val="24"/>
          <w:szCs w:val="24"/>
        </w:rPr>
        <w:t xml:space="preserve">. Pero claro que la duda queda reservada exclusivamente a los simples mortales, que no son </w:t>
      </w:r>
      <w:r w:rsidRPr="00396D11">
        <w:rPr>
          <w:rFonts w:ascii="Times New Roman" w:hAnsi="Times New Roman" w:cs="Times New Roman"/>
          <w:sz w:val="24"/>
          <w:szCs w:val="24"/>
        </w:rPr>
        <w:lastRenderedPageBreak/>
        <w:t>precisamente quienes manejan los hilos ocultos del poder. Del otro lado está la élite, la crema y nata de la dominación mundial, y entre sus más preciadas prioridades está l</w:t>
      </w:r>
      <w:r>
        <w:rPr>
          <w:rFonts w:ascii="Times New Roman" w:hAnsi="Times New Roman" w:cs="Times New Roman"/>
          <w:sz w:val="24"/>
          <w:szCs w:val="24"/>
        </w:rPr>
        <w:t>a economía, sobre todo la suya.</w:t>
      </w:r>
    </w:p>
    <w:p w:rsidR="004B4A6B" w:rsidRPr="00AD764C" w:rsidRDefault="004B4A6B" w:rsidP="004B4A6B">
      <w:pPr>
        <w:spacing w:line="240" w:lineRule="auto"/>
        <w:jc w:val="both"/>
        <w:rPr>
          <w:rFonts w:ascii="Times New Roman" w:hAnsi="Times New Roman" w:cs="Times New Roman"/>
          <w:color w:val="FF0000"/>
          <w:sz w:val="24"/>
          <w:szCs w:val="24"/>
          <w:u w:val="single"/>
        </w:rPr>
      </w:pPr>
      <w:r w:rsidRPr="00AD764C">
        <w:rPr>
          <w:rFonts w:ascii="Times New Roman" w:hAnsi="Times New Roman" w:cs="Times New Roman"/>
          <w:color w:val="FF0000"/>
          <w:sz w:val="24"/>
          <w:szCs w:val="24"/>
          <w:u w:val="single"/>
        </w:rPr>
        <w:t>Nada, absolutamente nada, puede escapar al control de un reducido grupo de personajes -todos poderosos e influyentes- que necesitan en exclusivo beneficio personal, saber exactamente cómo será cada minuto en el mundo que se viene. Porque lo que nadie puede dudar a esta altura de las circunstancias, es que algo “pesado” se viene. Para comprender cabalmente de qué estamos hablando, hay que remontarse hasta no hace mucho tiempo atrás, a mayo de 2020, cuando el oscuro plan fue presentado -ante unos pocos “elegidos”- por el Príncipe Carlos de Inglaterra y Klaus Schwab, el director del Foro Económico Mundial (FEM).</w:t>
      </w:r>
    </w:p>
    <w:p w:rsidR="004B4A6B" w:rsidRPr="00AD764C" w:rsidRDefault="004B4A6B" w:rsidP="004B4A6B">
      <w:pPr>
        <w:spacing w:line="240" w:lineRule="auto"/>
        <w:jc w:val="both"/>
        <w:rPr>
          <w:rFonts w:ascii="Times New Roman" w:hAnsi="Times New Roman" w:cs="Times New Roman"/>
          <w:color w:val="FF0000"/>
          <w:sz w:val="24"/>
          <w:szCs w:val="24"/>
          <w:u w:val="single"/>
        </w:rPr>
      </w:pPr>
      <w:r w:rsidRPr="00AD764C">
        <w:rPr>
          <w:rFonts w:ascii="Times New Roman" w:hAnsi="Times New Roman" w:cs="Times New Roman"/>
          <w:color w:val="FF0000"/>
          <w:sz w:val="24"/>
          <w:szCs w:val="24"/>
          <w:u w:val="single"/>
        </w:rPr>
        <w:t>El título -y el objetivo- del encuentro fue tan enigmático como aterrador: “El Gran Reinicio” (The Great Reset).</w:t>
      </w:r>
    </w:p>
    <w:p w:rsidR="004B4A6B" w:rsidRPr="00AD764C" w:rsidRDefault="004B4A6B" w:rsidP="004B4A6B">
      <w:pPr>
        <w:spacing w:line="240" w:lineRule="auto"/>
        <w:jc w:val="both"/>
        <w:rPr>
          <w:rFonts w:ascii="Times New Roman" w:hAnsi="Times New Roman" w:cs="Times New Roman"/>
          <w:color w:val="FF0000"/>
          <w:sz w:val="24"/>
          <w:szCs w:val="24"/>
          <w:u w:val="single"/>
        </w:rPr>
      </w:pPr>
      <w:r w:rsidRPr="00AD764C">
        <w:rPr>
          <w:rFonts w:ascii="Times New Roman" w:hAnsi="Times New Roman" w:cs="Times New Roman"/>
          <w:color w:val="FF0000"/>
          <w:sz w:val="24"/>
          <w:szCs w:val="24"/>
          <w:u w:val="single"/>
        </w:rPr>
        <w:t>Mareados apenas iniciado este maquiavélico juego de humo y espejos en que nos meten a la fuerza, es necesario advertir por anticipado que para que algo “reinicie”, debe ser previamente “apagado”, o si se quiere “desconectado”. Y de eso se trata: del desenchufe de la economía mundial, para que puedan juntarse los naipes, mezclarlos y volverlos a repartir. Aunque -se sabe- que la elite mundial juega siempre (siempre) con las cartas marcadas y un as oculto en la manga. De modo que, para ellos, de azar nada de nada. Dicho de otro modo; “El Gran Reinicio” es una propuesta del Foro Económico Mundial (FEM) para “reconstruir” la economía de manera sostenible (para ellos) tras la pandemia de Covid-19.</w:t>
      </w:r>
    </w:p>
    <w:p w:rsidR="004B4A6B" w:rsidRPr="00396D11" w:rsidRDefault="004B4A6B" w:rsidP="004B4A6B">
      <w:pPr>
        <w:spacing w:line="240" w:lineRule="auto"/>
        <w:jc w:val="both"/>
        <w:rPr>
          <w:rFonts w:ascii="Times New Roman" w:hAnsi="Times New Roman" w:cs="Times New Roman"/>
          <w:sz w:val="24"/>
          <w:szCs w:val="24"/>
        </w:rPr>
      </w:pPr>
      <w:r>
        <w:rPr>
          <w:rFonts w:ascii="Times New Roman" w:hAnsi="Times New Roman" w:cs="Times New Roman"/>
          <w:sz w:val="24"/>
          <w:szCs w:val="24"/>
        </w:rPr>
        <w:t>La inauguración de “El Gran Reinicio”</w:t>
      </w:r>
      <w:r w:rsidRPr="00396D11">
        <w:rPr>
          <w:rFonts w:ascii="Times New Roman" w:hAnsi="Times New Roman" w:cs="Times New Roman"/>
          <w:sz w:val="24"/>
          <w:szCs w:val="24"/>
        </w:rPr>
        <w:t xml:space="preserve"> tuvo lugar el 21 de enero del 2021, con la reunión de toda la élite financiera, tecnológica y política mundial. El lugar de encuentro fue la ciudad de Davos, en Suiza, y el mismísimo Príncipe Carlos fue quien se dio el gusto de dar el puntapié inicial. Se trata de aprovechar el asombroso impacto del coronavirus para avanzar en una agenda específica, la cual encaja perfectamente con otra similar: la Agenda 2030 de las Naciones Unidas. A todas luces suena -al menos- irónico que el principal foro de las más importantes empresas del mundo, que impulsó el programa de globalización empresarial desde el decenio de 19</w:t>
      </w:r>
      <w:r>
        <w:rPr>
          <w:rFonts w:ascii="Times New Roman" w:hAnsi="Times New Roman" w:cs="Times New Roman"/>
          <w:sz w:val="24"/>
          <w:szCs w:val="24"/>
        </w:rPr>
        <w:t>90, adopte ahora lo que llaman “desarrollo sostenible”</w:t>
      </w:r>
      <w:r w:rsidRPr="00396D11">
        <w:rPr>
          <w:rFonts w:ascii="Times New Roman" w:hAnsi="Times New Roman" w:cs="Times New Roman"/>
          <w:sz w:val="24"/>
          <w:szCs w:val="24"/>
        </w:rPr>
        <w:t xml:space="preserve">. ¿Qué pretenden el Foro </w:t>
      </w:r>
      <w:r>
        <w:rPr>
          <w:rFonts w:ascii="Times New Roman" w:hAnsi="Times New Roman" w:cs="Times New Roman"/>
          <w:sz w:val="24"/>
          <w:szCs w:val="24"/>
        </w:rPr>
        <w:t>Económico Mundial y sus socios?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El 3 de junio de 2020 el presidente del FEM, Klaus Schwab, empezó a hacerlo (más o menos) público y lanzó un video en la web oficial del Foro Económico Mundial anunciando que el tema</w:t>
      </w:r>
      <w:r>
        <w:rPr>
          <w:rFonts w:ascii="Times New Roman" w:hAnsi="Times New Roman" w:cs="Times New Roman"/>
          <w:sz w:val="24"/>
          <w:szCs w:val="24"/>
        </w:rPr>
        <w:t xml:space="preserve"> anual para 2021 era, sí o sí, “El Gran Reinicio”</w:t>
      </w:r>
      <w:r w:rsidRPr="00396D11">
        <w:rPr>
          <w:rFonts w:ascii="Times New Roman" w:hAnsi="Times New Roman" w:cs="Times New Roman"/>
          <w:sz w:val="24"/>
          <w:szCs w:val="24"/>
        </w:rPr>
        <w:t xml:space="preserve">. Los portavoces del FEM enmarcan el </w:t>
      </w:r>
      <w:r>
        <w:rPr>
          <w:rFonts w:ascii="Times New Roman" w:hAnsi="Times New Roman" w:cs="Times New Roman"/>
          <w:sz w:val="24"/>
          <w:szCs w:val="24"/>
        </w:rPr>
        <w:t>“reinicio”</w:t>
      </w:r>
      <w:r w:rsidRPr="00396D11">
        <w:rPr>
          <w:rFonts w:ascii="Times New Roman" w:hAnsi="Times New Roman" w:cs="Times New Roman"/>
          <w:sz w:val="24"/>
          <w:szCs w:val="24"/>
        </w:rPr>
        <w:t xml:space="preserve"> de la economía mundial en el contexto del coronavirus y el consiguiente colapso de la economía industrial mundial. Curioso.</w:t>
      </w:r>
    </w:p>
    <w:p w:rsidR="004B4A6B" w:rsidRPr="00396D11" w:rsidRDefault="004B4A6B" w:rsidP="004B4A6B">
      <w:pPr>
        <w:spacing w:line="240" w:lineRule="auto"/>
        <w:jc w:val="both"/>
        <w:rPr>
          <w:rFonts w:ascii="Times New Roman" w:hAnsi="Times New Roman" w:cs="Times New Roman"/>
          <w:sz w:val="24"/>
          <w:szCs w:val="24"/>
        </w:rPr>
      </w:pPr>
      <w:r>
        <w:rPr>
          <w:rFonts w:ascii="Times New Roman" w:hAnsi="Times New Roman" w:cs="Times New Roman"/>
          <w:sz w:val="24"/>
          <w:szCs w:val="24"/>
        </w:rPr>
        <w:t>El sitio web del FEM afirma: “</w:t>
      </w:r>
      <w:r w:rsidRPr="00396D11">
        <w:rPr>
          <w:rFonts w:ascii="Times New Roman" w:hAnsi="Times New Roman" w:cs="Times New Roman"/>
          <w:sz w:val="24"/>
          <w:szCs w:val="24"/>
        </w:rPr>
        <w:t>Hay muchas razones para llevar a cabo un Gran Reinicio, pero l</w:t>
      </w:r>
      <w:r>
        <w:rPr>
          <w:rFonts w:ascii="Times New Roman" w:hAnsi="Times New Roman" w:cs="Times New Roman"/>
          <w:sz w:val="24"/>
          <w:szCs w:val="24"/>
        </w:rPr>
        <w:t>a más urgente es el Covid-19”. En otras palabras: “El Gran Reinicio”</w:t>
      </w:r>
      <w:r w:rsidRPr="00396D11">
        <w:rPr>
          <w:rFonts w:ascii="Times New Roman" w:hAnsi="Times New Roman" w:cs="Times New Roman"/>
          <w:sz w:val="24"/>
          <w:szCs w:val="24"/>
        </w:rPr>
        <w:t xml:space="preserve"> de la economía mundial surge del drama del coronavirus, el sufrimient</w:t>
      </w:r>
      <w:r>
        <w:rPr>
          <w:rFonts w:ascii="Times New Roman" w:hAnsi="Times New Roman" w:cs="Times New Roman"/>
          <w:sz w:val="24"/>
          <w:szCs w:val="24"/>
        </w:rPr>
        <w:t>o de millones de personas y la “oportunidad”</w:t>
      </w:r>
      <w:r w:rsidRPr="00396D11">
        <w:rPr>
          <w:rFonts w:ascii="Times New Roman" w:hAnsi="Times New Roman" w:cs="Times New Roman"/>
          <w:sz w:val="24"/>
          <w:szCs w:val="24"/>
        </w:rPr>
        <w:t xml:space="preserve"> inmejorable que se le presenta a los popes del pode</w:t>
      </w:r>
      <w:r>
        <w:rPr>
          <w:rFonts w:ascii="Times New Roman" w:hAnsi="Times New Roman" w:cs="Times New Roman"/>
          <w:sz w:val="24"/>
          <w:szCs w:val="24"/>
        </w:rPr>
        <w:t>r oculto mundial.</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¿Cuál es la idea?</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 xml:space="preserve">Según el Foro Económico Mundial, la pandemia de coronavirus supone una buena chance para dar forma a una recuperación económica y a la futura dirección de las relaciones globales, de las economías y las prioridades.​ Cuando el Príncipe Carlos presentó el plan, tuvo el tupé de decir (sin ponerse colorado) que sólo será implementado si la gente lo quiere.​ De </w:t>
      </w:r>
      <w:r w:rsidRPr="00396D11">
        <w:rPr>
          <w:rFonts w:ascii="Times New Roman" w:hAnsi="Times New Roman" w:cs="Times New Roman"/>
          <w:sz w:val="24"/>
          <w:szCs w:val="24"/>
        </w:rPr>
        <w:lastRenderedPageBreak/>
        <w:t>acuerdo al heredero de la Corona británica, la recuperación económica debe poner al mundo en el camino hacia la sostenibilidad, con sistemas rediseñados para ayudar. El precio de las emisiones fue mencionado como un modo de ayudar a lograr la sostenibilidad. También destacó que la innovación, la ciencia y la tecnología necesitan ser revitalizadas para que podamos lograr avances significativos que nos ayuden a hacer que las ideas sean más rentables.​ Del mismo m</w:t>
      </w:r>
      <w:r>
        <w:rPr>
          <w:rFonts w:ascii="Times New Roman" w:hAnsi="Times New Roman" w:cs="Times New Roman"/>
          <w:sz w:val="24"/>
          <w:szCs w:val="24"/>
        </w:rPr>
        <w:t>o</w:t>
      </w:r>
      <w:r w:rsidRPr="00396D11">
        <w:rPr>
          <w:rFonts w:ascii="Times New Roman" w:hAnsi="Times New Roman" w:cs="Times New Roman"/>
          <w:sz w:val="24"/>
          <w:szCs w:val="24"/>
        </w:rPr>
        <w:t xml:space="preserve">do, deberíamos adaptarnos a la realidad actual dirigiendo el mercado hacia resultados más justos, garantizando que las inversiones estén dirigidas al progreso mutuo, incluida la aceleración de inversiones respetuosas con el medio ambiente y, además, comenzando una cuarta revolución industrial que cree economía digital e infraestructura pública. El Príncipe Carlos enfatizó que el sector privado sería el principal impulsor del plan.​ Todo muy lindo, en </w:t>
      </w:r>
      <w:r>
        <w:rPr>
          <w:rFonts w:ascii="Times New Roman" w:hAnsi="Times New Roman" w:cs="Times New Roman"/>
          <w:sz w:val="24"/>
          <w:szCs w:val="24"/>
        </w:rPr>
        <w:t>la teoría y las palabras.</w:t>
      </w:r>
    </w:p>
    <w:p w:rsidR="004B4A6B" w:rsidRPr="00AD764C" w:rsidRDefault="004B4A6B" w:rsidP="004B4A6B">
      <w:pPr>
        <w:spacing w:line="240" w:lineRule="auto"/>
        <w:jc w:val="both"/>
        <w:rPr>
          <w:rFonts w:ascii="Times New Roman" w:hAnsi="Times New Roman" w:cs="Times New Roman"/>
          <w:color w:val="FF0000"/>
          <w:sz w:val="24"/>
          <w:szCs w:val="24"/>
          <w:u w:val="single"/>
        </w:rPr>
      </w:pPr>
      <w:r w:rsidRPr="00AD764C">
        <w:rPr>
          <w:rFonts w:ascii="Times New Roman" w:hAnsi="Times New Roman" w:cs="Times New Roman"/>
          <w:color w:val="FF0000"/>
          <w:sz w:val="24"/>
          <w:szCs w:val="24"/>
          <w:u w:val="single"/>
        </w:rPr>
        <w:t>Para reforzar los conceptos y que la letra entre (¿acaso con sangre?) se ha publicado un libro llamado “Covid-19: The Great Reset” en el que Schwab y el economista Thierry Malleret detallaban, con lujo de detalles, el siniestro plan.​</w:t>
      </w:r>
    </w:p>
    <w:p w:rsidR="004B4A6B" w:rsidRPr="00AD764C" w:rsidRDefault="004B4A6B" w:rsidP="004B4A6B">
      <w:pPr>
        <w:spacing w:line="240" w:lineRule="auto"/>
        <w:jc w:val="both"/>
        <w:rPr>
          <w:rFonts w:ascii="Times New Roman" w:hAnsi="Times New Roman" w:cs="Times New Roman"/>
          <w:color w:val="FF0000"/>
          <w:sz w:val="24"/>
          <w:szCs w:val="24"/>
          <w:u w:val="single"/>
        </w:rPr>
      </w:pPr>
      <w:r w:rsidRPr="00AD764C">
        <w:rPr>
          <w:rFonts w:ascii="Times New Roman" w:hAnsi="Times New Roman" w:cs="Times New Roman"/>
          <w:color w:val="FF0000"/>
          <w:sz w:val="24"/>
          <w:szCs w:val="24"/>
          <w:u w:val="single"/>
        </w:rPr>
        <w:t>Con su libro bajo el brazo, Schwab se animó a contar más claramente su idea: “...un aspecto positivo de la pandemia es que ha demostrado lo rápido que podemos hacer cambios radicales en nuestro estilo de vida. Casi instantáneamente, la crisis obligó a las empresas y a los individuos a abandonar prácticas que durante mucho tiempo se consideraron esenciales, desde los frecuentes viajes en avión hasta el trabajo en una oficina”.</w:t>
      </w:r>
    </w:p>
    <w:p w:rsidR="004B4A6B" w:rsidRPr="00AD764C" w:rsidRDefault="00FD7583" w:rsidP="004B4A6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propuesta</w:t>
      </w:r>
      <w:r w:rsidR="004B4A6B" w:rsidRPr="00AD764C">
        <w:rPr>
          <w:rFonts w:ascii="Times New Roman" w:hAnsi="Times New Roman" w:cs="Times New Roman"/>
          <w:color w:val="FF0000"/>
          <w:sz w:val="24"/>
          <w:szCs w:val="24"/>
          <w:u w:val="single"/>
        </w:rPr>
        <w:t xml:space="preserve"> más importante de esa publicación tiene aspecto de un siniestro</w:t>
      </w:r>
      <w:r w:rsidR="004B4A6B">
        <w:rPr>
          <w:rFonts w:ascii="Times New Roman" w:hAnsi="Times New Roman" w:cs="Times New Roman"/>
          <w:color w:val="FF0000"/>
          <w:sz w:val="24"/>
          <w:szCs w:val="24"/>
          <w:u w:val="single"/>
        </w:rPr>
        <w:t xml:space="preserve"> “lavado de cabezas” y reza: “</w:t>
      </w:r>
      <w:r w:rsidR="004B4A6B" w:rsidRPr="00AD764C">
        <w:rPr>
          <w:rFonts w:ascii="Times New Roman" w:hAnsi="Times New Roman" w:cs="Times New Roman"/>
          <w:color w:val="FF0000"/>
          <w:sz w:val="24"/>
          <w:szCs w:val="24"/>
          <w:u w:val="single"/>
        </w:rPr>
        <w:t>N</w:t>
      </w:r>
      <w:r w:rsidR="004B4A6B">
        <w:rPr>
          <w:rFonts w:ascii="Times New Roman" w:hAnsi="Times New Roman" w:cs="Times New Roman"/>
          <w:color w:val="FF0000"/>
          <w:sz w:val="24"/>
          <w:szCs w:val="24"/>
          <w:u w:val="single"/>
        </w:rPr>
        <w:t xml:space="preserve">o poseerás nada y serás </w:t>
      </w:r>
      <w:r w:rsidR="004B008E">
        <w:rPr>
          <w:rFonts w:ascii="Times New Roman" w:hAnsi="Times New Roman" w:cs="Times New Roman"/>
          <w:color w:val="FF0000"/>
          <w:sz w:val="24"/>
          <w:szCs w:val="24"/>
          <w:u w:val="single"/>
        </w:rPr>
        <w:t>feliz</w:t>
      </w:r>
      <w:r w:rsidR="004B4A6B">
        <w:rPr>
          <w:rFonts w:ascii="Times New Roman" w:hAnsi="Times New Roman" w:cs="Times New Roman"/>
          <w:color w:val="FF0000"/>
          <w:sz w:val="24"/>
          <w:szCs w:val="24"/>
          <w:u w:val="single"/>
        </w:rPr>
        <w:t>”</w:t>
      </w:r>
      <w:r w:rsidR="004B4A6B" w:rsidRPr="00AD764C">
        <w:rPr>
          <w:rFonts w:ascii="Times New Roman" w:hAnsi="Times New Roman" w:cs="Times New Roman"/>
          <w:color w:val="FF0000"/>
          <w:sz w:val="24"/>
          <w:szCs w:val="24"/>
          <w:u w:val="single"/>
        </w:rPr>
        <w:t>.</w:t>
      </w:r>
    </w:p>
    <w:p w:rsidR="004B4A6B" w:rsidRPr="00396D11" w:rsidRDefault="004B4A6B" w:rsidP="004B4A6B">
      <w:pPr>
        <w:spacing w:line="240" w:lineRule="auto"/>
        <w:jc w:val="both"/>
        <w:rPr>
          <w:rFonts w:ascii="Times New Roman" w:hAnsi="Times New Roman" w:cs="Times New Roman"/>
          <w:sz w:val="24"/>
          <w:szCs w:val="24"/>
        </w:rPr>
      </w:pPr>
      <w:r>
        <w:rPr>
          <w:rFonts w:ascii="Times New Roman" w:hAnsi="Times New Roman" w:cs="Times New Roman"/>
          <w:sz w:val="24"/>
          <w:szCs w:val="24"/>
        </w:rPr>
        <w:t>¿Más clarito? échele agua.</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Aunque claro que no es el único libro en</w:t>
      </w:r>
      <w:r>
        <w:rPr>
          <w:rFonts w:ascii="Times New Roman" w:hAnsi="Times New Roman" w:cs="Times New Roman"/>
          <w:sz w:val="24"/>
          <w:szCs w:val="24"/>
        </w:rPr>
        <w:t xml:space="preserve"> el que la élite mundial se ha “inspirado”</w:t>
      </w:r>
      <w:r w:rsidRPr="00396D11">
        <w:rPr>
          <w:rFonts w:ascii="Times New Roman" w:hAnsi="Times New Roman" w:cs="Times New Roman"/>
          <w:sz w:val="24"/>
          <w:szCs w:val="24"/>
        </w:rPr>
        <w:t>. Hay otro -muy interesante- y, lo asombroso (o no tanto), es que fue escrito por David Harvey en 2010, hace ya lar</w:t>
      </w:r>
      <w:r>
        <w:rPr>
          <w:rFonts w:ascii="Times New Roman" w:hAnsi="Times New Roman" w:cs="Times New Roman"/>
          <w:sz w:val="24"/>
          <w:szCs w:val="24"/>
        </w:rPr>
        <w:t>gos 11 años. El libro se llama “A companion to Marx's capital” (</w:t>
      </w:r>
      <w:r w:rsidRPr="00396D11">
        <w:rPr>
          <w:rFonts w:ascii="Times New Roman" w:hAnsi="Times New Roman" w:cs="Times New Roman"/>
          <w:sz w:val="24"/>
          <w:szCs w:val="24"/>
        </w:rPr>
        <w:t>U</w:t>
      </w:r>
      <w:r>
        <w:rPr>
          <w:rFonts w:ascii="Times New Roman" w:hAnsi="Times New Roman" w:cs="Times New Roman"/>
          <w:sz w:val="24"/>
          <w:szCs w:val="24"/>
        </w:rPr>
        <w:t>n compañero del capital de Marx</w:t>
      </w:r>
      <w:r w:rsidRPr="00396D11">
        <w:rPr>
          <w:rFonts w:ascii="Times New Roman" w:hAnsi="Times New Roman" w:cs="Times New Roman"/>
          <w:sz w:val="24"/>
          <w:szCs w:val="24"/>
        </w:rPr>
        <w:t>) y en una de sus páginas puede</w:t>
      </w:r>
      <w:r>
        <w:rPr>
          <w:rFonts w:ascii="Times New Roman" w:hAnsi="Times New Roman" w:cs="Times New Roman"/>
          <w:sz w:val="24"/>
          <w:szCs w:val="24"/>
        </w:rPr>
        <w:t xml:space="preserve"> leerse algo casi premonitorio.</w:t>
      </w:r>
    </w:p>
    <w:p w:rsidR="004B4A6B" w:rsidRPr="00396D11" w:rsidRDefault="004B4A6B" w:rsidP="004B4A6B">
      <w:pPr>
        <w:spacing w:line="240" w:lineRule="auto"/>
        <w:jc w:val="both"/>
        <w:rPr>
          <w:rFonts w:ascii="Times New Roman" w:hAnsi="Times New Roman" w:cs="Times New Roman"/>
          <w:sz w:val="24"/>
          <w:szCs w:val="24"/>
        </w:rPr>
      </w:pPr>
      <w:r>
        <w:rPr>
          <w:rFonts w:ascii="Times New Roman" w:hAnsi="Times New Roman" w:cs="Times New Roman"/>
          <w:sz w:val="24"/>
          <w:szCs w:val="24"/>
        </w:rPr>
        <w:t>Allí se dice: “</w:t>
      </w:r>
      <w:r w:rsidRPr="00396D11">
        <w:rPr>
          <w:rFonts w:ascii="Times New Roman" w:hAnsi="Times New Roman" w:cs="Times New Roman"/>
          <w:sz w:val="24"/>
          <w:szCs w:val="24"/>
        </w:rPr>
        <w:t>Si el tiempo de circulación (de las mercancías) se prolonga por alguna razón (por ejemplo, el Canal</w:t>
      </w:r>
      <w:r>
        <w:rPr>
          <w:rFonts w:ascii="Times New Roman" w:hAnsi="Times New Roman" w:cs="Times New Roman"/>
          <w:sz w:val="24"/>
          <w:szCs w:val="24"/>
        </w:rPr>
        <w:t xml:space="preserve"> de Suez se bloquea), entonces “</w:t>
      </w:r>
      <w:r w:rsidRPr="00396D11">
        <w:rPr>
          <w:rFonts w:ascii="Times New Roman" w:hAnsi="Times New Roman" w:cs="Times New Roman"/>
          <w:sz w:val="24"/>
          <w:szCs w:val="24"/>
        </w:rPr>
        <w:t>habrá que obtener capital adic</w:t>
      </w:r>
      <w:r>
        <w:rPr>
          <w:rFonts w:ascii="Times New Roman" w:hAnsi="Times New Roman" w:cs="Times New Roman"/>
          <w:sz w:val="24"/>
          <w:szCs w:val="24"/>
        </w:rPr>
        <w:t>ional ... del mercado monetario”</w:t>
      </w:r>
      <w:r w:rsidRPr="00396D11">
        <w:rPr>
          <w:rFonts w:ascii="Times New Roman" w:hAnsi="Times New Roman" w:cs="Times New Roman"/>
          <w:sz w:val="24"/>
          <w:szCs w:val="24"/>
        </w:rPr>
        <w:t>, y si esto e</w:t>
      </w:r>
      <w:r>
        <w:rPr>
          <w:rFonts w:ascii="Times New Roman" w:hAnsi="Times New Roman" w:cs="Times New Roman"/>
          <w:sz w:val="24"/>
          <w:szCs w:val="24"/>
        </w:rPr>
        <w:t>s generalizado, entonces puede “</w:t>
      </w:r>
      <w:r w:rsidRPr="00396D11">
        <w:rPr>
          <w:rFonts w:ascii="Times New Roman" w:hAnsi="Times New Roman" w:cs="Times New Roman"/>
          <w:sz w:val="24"/>
          <w:szCs w:val="24"/>
        </w:rPr>
        <w:t>ejercer pre</w:t>
      </w:r>
      <w:r>
        <w:rPr>
          <w:rFonts w:ascii="Times New Roman" w:hAnsi="Times New Roman" w:cs="Times New Roman"/>
          <w:sz w:val="24"/>
          <w:szCs w:val="24"/>
        </w:rPr>
        <w:t>sión sobre el mercado monetario”</w:t>
      </w:r>
      <w:r w:rsidRPr="00396D11">
        <w:rPr>
          <w:rFonts w:ascii="Times New Roman" w:hAnsi="Times New Roman" w:cs="Times New Roman"/>
          <w:sz w:val="24"/>
          <w:szCs w:val="24"/>
        </w:rPr>
        <w:t>, con lo que Marx presumiblemente quiere decir que la demanda adicional de capital monetario, en igualdad de condiciones, elevará las tasas de interés. Esto tendrá un impacto definitivo sobre la oferta y la demanda de capital monetario que, como vimos anteriormente, es el determinant</w:t>
      </w:r>
      <w:r>
        <w:rPr>
          <w:rFonts w:ascii="Times New Roman" w:hAnsi="Times New Roman" w:cs="Times New Roman"/>
          <w:sz w:val="24"/>
          <w:szCs w:val="24"/>
        </w:rPr>
        <w:t>e clave de las tasas de interés”</w:t>
      </w:r>
      <w:r w:rsidRPr="00396D11">
        <w:rPr>
          <w:rFonts w:ascii="Times New Roman" w:hAnsi="Times New Roman" w:cs="Times New Roman"/>
          <w:sz w:val="24"/>
          <w:szCs w:val="24"/>
        </w:rPr>
        <w:t>.</w:t>
      </w:r>
    </w:p>
    <w:p w:rsidR="004B4A6B" w:rsidRPr="00E71DD9" w:rsidRDefault="004B4A6B" w:rsidP="004B4A6B">
      <w:pPr>
        <w:spacing w:line="240" w:lineRule="auto"/>
        <w:jc w:val="both"/>
        <w:rPr>
          <w:rFonts w:ascii="Times New Roman" w:hAnsi="Times New Roman" w:cs="Times New Roman"/>
          <w:sz w:val="24"/>
          <w:szCs w:val="24"/>
          <w:u w:val="single"/>
        </w:rPr>
      </w:pPr>
      <w:r w:rsidRPr="00E71DD9">
        <w:rPr>
          <w:rFonts w:ascii="Times New Roman" w:hAnsi="Times New Roman" w:cs="Times New Roman"/>
          <w:sz w:val="24"/>
          <w:szCs w:val="24"/>
          <w:u w:val="single"/>
        </w:rPr>
        <w:t>Digno de destacar: en 2010 este hombre ya planteaba la idea de complicar el comercio mundial interrumpiendo el paso por el Canal de Suez, algo que en efecto sucedió durante el mes de marzo de 2021 con un gigantesco buque portacontendores de la empresa EverGreen, cuyos capitales son... chinos.</w:t>
      </w:r>
    </w:p>
    <w:p w:rsidR="004B4A6B" w:rsidRPr="00E71DD9" w:rsidRDefault="004B4A6B" w:rsidP="004B4A6B">
      <w:pPr>
        <w:spacing w:line="240" w:lineRule="auto"/>
        <w:jc w:val="both"/>
        <w:rPr>
          <w:rFonts w:ascii="Times New Roman" w:hAnsi="Times New Roman" w:cs="Times New Roman"/>
          <w:sz w:val="24"/>
          <w:szCs w:val="24"/>
          <w:u w:val="single"/>
        </w:rPr>
      </w:pPr>
      <w:r w:rsidRPr="00E71DD9">
        <w:rPr>
          <w:rFonts w:ascii="Times New Roman" w:hAnsi="Times New Roman" w:cs="Times New Roman"/>
          <w:sz w:val="24"/>
          <w:szCs w:val="24"/>
          <w:u w:val="single"/>
        </w:rPr>
        <w:t>Y como siempre, sobre todo teniendo en cuenta que China está de por medio, está el lado B de esta conspiración mundial. La teoría alternativa es también arriesgada, pero no por eso, menos creíble. Los cerebros de “El Gran Reinicio” aseguran que la Organización Mundial de Salud (OMS) está bajo el control del Partido Comunista de China, y que planearon una pandemia, creando el coronavirus para establecer las condiciones necesarias para llevar a cabo una reestructuración de los gobiernos de todo el mundo.</w:t>
      </w:r>
    </w:p>
    <w:p w:rsidR="004B4A6B" w:rsidRPr="00E71DD9" w:rsidRDefault="004B4A6B" w:rsidP="004B4A6B">
      <w:pPr>
        <w:spacing w:line="240" w:lineRule="auto"/>
        <w:jc w:val="both"/>
        <w:rPr>
          <w:rFonts w:ascii="Times New Roman" w:hAnsi="Times New Roman" w:cs="Times New Roman"/>
          <w:sz w:val="24"/>
          <w:szCs w:val="24"/>
          <w:u w:val="single"/>
        </w:rPr>
      </w:pPr>
      <w:r w:rsidRPr="00E71DD9">
        <w:rPr>
          <w:rFonts w:ascii="Times New Roman" w:hAnsi="Times New Roman" w:cs="Times New Roman"/>
          <w:sz w:val="24"/>
          <w:szCs w:val="24"/>
          <w:u w:val="single"/>
        </w:rPr>
        <w:lastRenderedPageBreak/>
        <w:t>También afirman que los objetivos principales son los de tomar el control económico global e instaurar en el mundo un régimen totalitario comunista, por ende, un Nuevo Orden Mundial por parte de China. Tal régimen eliminaría libertades y los derechos de propiedad, enviaría el ejército a las ciudades, impondría la vacunación obligatoria y crearía campamentos de aislamiento para aquellos que se resistan.​</w:t>
      </w:r>
    </w:p>
    <w:p w:rsidR="004B4A6B" w:rsidRPr="00E71DD9" w:rsidRDefault="004B4A6B" w:rsidP="004B4A6B">
      <w:pPr>
        <w:spacing w:line="240" w:lineRule="auto"/>
        <w:jc w:val="both"/>
        <w:rPr>
          <w:rFonts w:ascii="Times New Roman" w:hAnsi="Times New Roman" w:cs="Times New Roman"/>
          <w:sz w:val="24"/>
          <w:szCs w:val="24"/>
          <w:u w:val="single"/>
        </w:rPr>
      </w:pPr>
      <w:r w:rsidRPr="00E71DD9">
        <w:rPr>
          <w:rFonts w:ascii="Times New Roman" w:hAnsi="Times New Roman" w:cs="Times New Roman"/>
          <w:sz w:val="24"/>
          <w:szCs w:val="24"/>
          <w:u w:val="single"/>
        </w:rPr>
        <w:t>Entre las muchas cosas que los defensores de esta teoría señalan como la evidencia de una realidad se encuentra un tuit de 2016, ya borrado, que entonces describía cómo podría ser la vida en 2030 (muy similar a todo lo anteriormente relatado); y -más recientemente- el eslogan de la campaña presidencial del demócrata de Joe Biden para llegar a la pres</w:t>
      </w:r>
      <w:r>
        <w:rPr>
          <w:rFonts w:ascii="Times New Roman" w:hAnsi="Times New Roman" w:cs="Times New Roman"/>
          <w:sz w:val="24"/>
          <w:szCs w:val="24"/>
          <w:u w:val="single"/>
        </w:rPr>
        <w:t>idencia de los Estados Unidos: “</w:t>
      </w:r>
      <w:r w:rsidRPr="00E71DD9">
        <w:rPr>
          <w:rFonts w:ascii="Times New Roman" w:hAnsi="Times New Roman" w:cs="Times New Roman"/>
          <w:sz w:val="24"/>
          <w:szCs w:val="24"/>
          <w:u w:val="single"/>
        </w:rPr>
        <w:t>Build Back</w:t>
      </w:r>
      <w:r>
        <w:rPr>
          <w:rFonts w:ascii="Times New Roman" w:hAnsi="Times New Roman" w:cs="Times New Roman"/>
          <w:sz w:val="24"/>
          <w:szCs w:val="24"/>
          <w:u w:val="single"/>
        </w:rPr>
        <w:t xml:space="preserve"> Better” (“Reconstruir mejor”</w:t>
      </w:r>
      <w:r w:rsidRPr="00E71DD9">
        <w:rPr>
          <w:rFonts w:ascii="Times New Roman" w:hAnsi="Times New Roman" w:cs="Times New Roman"/>
          <w:sz w:val="24"/>
          <w:szCs w:val="24"/>
          <w:u w:val="single"/>
        </w:rPr>
        <w:t>).</w:t>
      </w:r>
    </w:p>
    <w:p w:rsidR="004B4A6B" w:rsidRPr="00E71DD9" w:rsidRDefault="004B4A6B" w:rsidP="004B4A6B">
      <w:pPr>
        <w:spacing w:line="240" w:lineRule="auto"/>
        <w:jc w:val="both"/>
        <w:rPr>
          <w:rFonts w:ascii="Times New Roman" w:hAnsi="Times New Roman" w:cs="Times New Roman"/>
          <w:sz w:val="24"/>
          <w:szCs w:val="24"/>
          <w:u w:val="single"/>
        </w:rPr>
      </w:pPr>
      <w:r w:rsidRPr="00E71DD9">
        <w:rPr>
          <w:rFonts w:ascii="Times New Roman" w:hAnsi="Times New Roman" w:cs="Times New Roman"/>
          <w:sz w:val="24"/>
          <w:szCs w:val="24"/>
          <w:u w:val="single"/>
        </w:rPr>
        <w:t>Pero hay más: quienes abonan a esta teoría, insisten en destacar que el expresidente estadounidense Donald Trump es el único dirigente mundial con la intención de evitar que el plan se concrete. El modo en que se produjo su salida de la Casa Blanca -más allá de aciertos y errores propios- amerita considerar seriamente esta posibilidad. Todos mezclados. Los de un lado y los de otro. Como los naipes en el mazo.</w:t>
      </w:r>
    </w:p>
    <w:p w:rsidR="004B4A6B" w:rsidRPr="00E71DD9" w:rsidRDefault="004B4A6B" w:rsidP="004B4A6B">
      <w:pPr>
        <w:spacing w:line="240" w:lineRule="auto"/>
        <w:jc w:val="both"/>
        <w:rPr>
          <w:rFonts w:ascii="Times New Roman" w:hAnsi="Times New Roman" w:cs="Times New Roman"/>
          <w:sz w:val="24"/>
          <w:szCs w:val="24"/>
          <w:u w:val="single"/>
        </w:rPr>
      </w:pPr>
      <w:r w:rsidRPr="00E71DD9">
        <w:rPr>
          <w:rFonts w:ascii="Times New Roman" w:hAnsi="Times New Roman" w:cs="Times New Roman"/>
          <w:sz w:val="24"/>
          <w:szCs w:val="24"/>
          <w:u w:val="single"/>
        </w:rPr>
        <w:t>Señoras, señores, niñas y niños; pongan su dedo en el botón de “Restart” y... bienvenidos a la guerra.</w:t>
      </w:r>
    </w:p>
    <w:p w:rsidR="004B4A6B" w:rsidRPr="00396D11" w:rsidRDefault="004B4A6B" w:rsidP="004B4A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96D11">
        <w:rPr>
          <w:rFonts w:ascii="Times New Roman" w:hAnsi="Times New Roman" w:cs="Times New Roman"/>
          <w:sz w:val="24"/>
          <w:szCs w:val="24"/>
          <w:u w:val="single"/>
        </w:rPr>
        <w:t>El Gran Reinicio avanza hacia la tiranía global</w:t>
      </w:r>
      <w:r>
        <w:rPr>
          <w:rFonts w:ascii="Times New Roman" w:hAnsi="Times New Roman" w:cs="Times New Roman"/>
          <w:sz w:val="24"/>
          <w:szCs w:val="24"/>
        </w:rPr>
        <w:t xml:space="preserve"> (consumidoresorganicos.org - </w:t>
      </w:r>
      <w:r w:rsidRPr="00396D11">
        <w:rPr>
          <w:rFonts w:ascii="Times New Roman" w:hAnsi="Times New Roman" w:cs="Times New Roman"/>
          <w:b/>
          <w:sz w:val="24"/>
          <w:szCs w:val="24"/>
        </w:rPr>
        <w:t>5/10/21</w:t>
      </w:r>
      <w:r>
        <w:rPr>
          <w:rFonts w:ascii="Times New Roman" w:hAnsi="Times New Roman" w:cs="Times New Roman"/>
          <w:sz w:val="24"/>
          <w:szCs w:val="24"/>
        </w:rPr>
        <w:t>)</w:t>
      </w:r>
    </w:p>
    <w:p w:rsidR="004B4A6B" w:rsidRPr="00E71DD9" w:rsidRDefault="004B4A6B" w:rsidP="004B4A6B">
      <w:pPr>
        <w:spacing w:line="240" w:lineRule="auto"/>
        <w:jc w:val="both"/>
        <w:rPr>
          <w:rFonts w:ascii="Times New Roman" w:hAnsi="Times New Roman" w:cs="Times New Roman"/>
          <w:color w:val="FF0000"/>
          <w:sz w:val="24"/>
          <w:szCs w:val="24"/>
          <w:u w:val="single"/>
        </w:rPr>
      </w:pPr>
      <w:r w:rsidRPr="00396D11">
        <w:rPr>
          <w:rFonts w:ascii="Times New Roman" w:hAnsi="Times New Roman" w:cs="Times New Roman"/>
          <w:sz w:val="24"/>
          <w:szCs w:val="24"/>
        </w:rPr>
        <w:t xml:space="preserve">El primer trimestre de 2020 nos ha proporcionado una idea de lo que significará el Gran Reinicio para la salud pública. </w:t>
      </w:r>
      <w:r w:rsidRPr="00E71DD9">
        <w:rPr>
          <w:rFonts w:ascii="Times New Roman" w:hAnsi="Times New Roman" w:cs="Times New Roman"/>
          <w:color w:val="FF0000"/>
          <w:sz w:val="24"/>
          <w:szCs w:val="24"/>
          <w:u w:val="single"/>
        </w:rPr>
        <w:t>La premisa básica es la de un estado de bioseguridad, donde las “partes interesadas” no elegidas deciden qué es lo mejor para todos</w:t>
      </w:r>
    </w:p>
    <w:p w:rsidR="004B4A6B" w:rsidRDefault="004B4A6B" w:rsidP="004B4A6B">
      <w:pPr>
        <w:spacing w:line="240" w:lineRule="auto"/>
        <w:jc w:val="both"/>
        <w:rPr>
          <w:rFonts w:ascii="Times New Roman" w:hAnsi="Times New Roman" w:cs="Times New Roman"/>
          <w:sz w:val="24"/>
          <w:szCs w:val="24"/>
        </w:rPr>
      </w:pPr>
      <w:r>
        <w:rPr>
          <w:rFonts w:ascii="Times New Roman" w:hAnsi="Times New Roman" w:cs="Times New Roman"/>
          <w:sz w:val="24"/>
          <w:szCs w:val="24"/>
        </w:rPr>
        <w:t>(Por Dr. Joseph Mercola)</w:t>
      </w:r>
    </w:p>
    <w:p w:rsidR="004B4A6B" w:rsidRPr="00396D11" w:rsidRDefault="004B4A6B" w:rsidP="004B4A6B">
      <w:pPr>
        <w:spacing w:line="240" w:lineRule="auto"/>
        <w:jc w:val="both"/>
        <w:rPr>
          <w:rFonts w:ascii="Times New Roman" w:hAnsi="Times New Roman" w:cs="Times New Roman"/>
          <w:sz w:val="24"/>
          <w:szCs w:val="24"/>
        </w:rPr>
      </w:pPr>
      <w:r>
        <w:rPr>
          <w:rFonts w:ascii="Times New Roman" w:hAnsi="Times New Roman" w:cs="Times New Roman"/>
          <w:sz w:val="24"/>
          <w:szCs w:val="24"/>
        </w:rPr>
        <w:t>Historia en breve</w:t>
      </w:r>
    </w:p>
    <w:p w:rsidR="004B4A6B" w:rsidRPr="00E71DD9" w:rsidRDefault="004B4A6B" w:rsidP="004B4A6B">
      <w:pPr>
        <w:spacing w:line="240" w:lineRule="auto"/>
        <w:jc w:val="both"/>
        <w:rPr>
          <w:rFonts w:ascii="Times New Roman" w:hAnsi="Times New Roman" w:cs="Times New Roman"/>
          <w:b/>
          <w:color w:val="FF0000"/>
          <w:sz w:val="24"/>
          <w:szCs w:val="24"/>
          <w:u w:val="single"/>
        </w:rPr>
      </w:pPr>
      <w:r w:rsidRPr="00E71DD9">
        <w:rPr>
          <w:rFonts w:ascii="Times New Roman" w:hAnsi="Times New Roman" w:cs="Times New Roman"/>
          <w:b/>
          <w:color w:val="FF0000"/>
          <w:sz w:val="24"/>
          <w:szCs w:val="24"/>
          <w:u w:val="single"/>
        </w:rPr>
        <w:t>El plan del Foro Económico Mundial (FEM) del 2030 incluye la idea de que “no poseerá nada y será feliz”. La implicación no declarada es que los recursos del mundo serán controlados por la élite tecnocrática y usted tendrá que pagar por el uso temporal de todo</w:t>
      </w:r>
    </w:p>
    <w:p w:rsidR="004B4A6B" w:rsidRPr="00E71DD9" w:rsidRDefault="004B4A6B" w:rsidP="004B4A6B">
      <w:pPr>
        <w:spacing w:line="240" w:lineRule="auto"/>
        <w:jc w:val="both"/>
        <w:rPr>
          <w:rFonts w:ascii="Times New Roman" w:hAnsi="Times New Roman" w:cs="Times New Roman"/>
          <w:color w:val="FF0000"/>
          <w:sz w:val="24"/>
          <w:szCs w:val="24"/>
        </w:rPr>
      </w:pPr>
      <w:r w:rsidRPr="00E71DD9">
        <w:rPr>
          <w:rFonts w:ascii="Times New Roman" w:hAnsi="Times New Roman" w:cs="Times New Roman"/>
          <w:color w:val="FF0000"/>
          <w:sz w:val="24"/>
          <w:szCs w:val="24"/>
        </w:rPr>
        <w:t>El plan del FEM de 2030 es parte de lo que ahora se anuncia como el Gran Reinicio</w:t>
      </w:r>
    </w:p>
    <w:p w:rsidR="004B4A6B" w:rsidRPr="00E71DD9" w:rsidRDefault="004B4A6B" w:rsidP="004B4A6B">
      <w:pPr>
        <w:spacing w:line="240" w:lineRule="auto"/>
        <w:jc w:val="both"/>
        <w:rPr>
          <w:rFonts w:ascii="Times New Roman" w:hAnsi="Times New Roman" w:cs="Times New Roman"/>
          <w:color w:val="FF0000"/>
          <w:sz w:val="24"/>
          <w:szCs w:val="24"/>
        </w:rPr>
      </w:pPr>
      <w:r w:rsidRPr="00E71DD9">
        <w:rPr>
          <w:rFonts w:ascii="Times New Roman" w:hAnsi="Times New Roman" w:cs="Times New Roman"/>
          <w:color w:val="FF0000"/>
          <w:sz w:val="24"/>
          <w:szCs w:val="24"/>
        </w:rPr>
        <w:t>También parte del Gran Reinicio es la transición del capitalismo de accionistas al “capitalismo de partes interesadas”, que de acuerdo con los líderes mundiales proporcionará “igualdad” para todos</w:t>
      </w:r>
    </w:p>
    <w:p w:rsidR="004B4A6B" w:rsidRPr="00E71DD9" w:rsidRDefault="004B4A6B" w:rsidP="004B4A6B">
      <w:pPr>
        <w:spacing w:line="240" w:lineRule="auto"/>
        <w:jc w:val="both"/>
        <w:rPr>
          <w:rFonts w:ascii="Times New Roman" w:hAnsi="Times New Roman" w:cs="Times New Roman"/>
          <w:color w:val="FF0000"/>
          <w:sz w:val="24"/>
          <w:szCs w:val="24"/>
        </w:rPr>
      </w:pPr>
      <w:r w:rsidRPr="00E71DD9">
        <w:rPr>
          <w:rFonts w:ascii="Times New Roman" w:hAnsi="Times New Roman" w:cs="Times New Roman"/>
          <w:color w:val="FF0000"/>
          <w:sz w:val="24"/>
          <w:szCs w:val="24"/>
        </w:rPr>
        <w:t>En realidad, el capitalismo de las partes interesadas destruye la libertad y transfiere el poder de las naciones a las corporaciones privadas y a otras “partes interesadas” no electas como el FEM</w:t>
      </w:r>
    </w:p>
    <w:p w:rsidR="004B4A6B" w:rsidRPr="00E71DD9" w:rsidRDefault="004B4A6B" w:rsidP="004B4A6B">
      <w:pPr>
        <w:spacing w:line="240" w:lineRule="auto"/>
        <w:jc w:val="both"/>
        <w:rPr>
          <w:rFonts w:ascii="Times New Roman" w:hAnsi="Times New Roman" w:cs="Times New Roman"/>
          <w:b/>
          <w:color w:val="FF0000"/>
          <w:sz w:val="24"/>
          <w:szCs w:val="24"/>
          <w:u w:val="single"/>
        </w:rPr>
      </w:pPr>
      <w:r w:rsidRPr="00E71DD9">
        <w:rPr>
          <w:rFonts w:ascii="Times New Roman" w:hAnsi="Times New Roman" w:cs="Times New Roman"/>
          <w:b/>
          <w:color w:val="FF0000"/>
          <w:sz w:val="24"/>
          <w:szCs w:val="24"/>
          <w:u w:val="single"/>
        </w:rPr>
        <w:t>El plan del Foro Económico Mundial del 2030 incluye la idea de que “no poseerá nada y será feliz”. La implicación no declarada es que los recursos del mundo estarán controlados por la élite tecnocrática y usted tendrá que pagar por el uso temporal de todo.</w:t>
      </w:r>
    </w:p>
    <w:p w:rsidR="004B4A6B" w:rsidRPr="00E71DD9" w:rsidRDefault="004B4A6B" w:rsidP="004B4A6B">
      <w:pPr>
        <w:spacing w:line="240" w:lineRule="auto"/>
        <w:jc w:val="both"/>
        <w:rPr>
          <w:rFonts w:ascii="Times New Roman" w:hAnsi="Times New Roman" w:cs="Times New Roman"/>
          <w:b/>
          <w:color w:val="FF0000"/>
          <w:sz w:val="24"/>
          <w:szCs w:val="24"/>
          <w:u w:val="single"/>
        </w:rPr>
      </w:pPr>
      <w:r w:rsidRPr="00E71DD9">
        <w:rPr>
          <w:rFonts w:ascii="Times New Roman" w:hAnsi="Times New Roman" w:cs="Times New Roman"/>
          <w:b/>
          <w:color w:val="FF0000"/>
          <w:sz w:val="24"/>
          <w:szCs w:val="24"/>
          <w:u w:val="single"/>
        </w:rPr>
        <w:t>En realidad, nada le pertenecerá. Todos los artículos y recursos se deben utilizar en conjunto, mientras que la propiedad real está restringida a una clase social superior. ¿Cómo lo hará feliz este régimen impuesto?</w:t>
      </w:r>
    </w:p>
    <w:p w:rsidR="004B4A6B" w:rsidRPr="00E71DD9" w:rsidRDefault="004B4A6B" w:rsidP="004B4A6B">
      <w:pPr>
        <w:spacing w:line="240" w:lineRule="auto"/>
        <w:jc w:val="both"/>
        <w:rPr>
          <w:rFonts w:ascii="Times New Roman" w:hAnsi="Times New Roman" w:cs="Times New Roman"/>
          <w:b/>
          <w:color w:val="FF0000"/>
          <w:sz w:val="24"/>
          <w:szCs w:val="24"/>
          <w:u w:val="single"/>
        </w:rPr>
      </w:pPr>
      <w:r w:rsidRPr="00E71DD9">
        <w:rPr>
          <w:rFonts w:ascii="Times New Roman" w:hAnsi="Times New Roman" w:cs="Times New Roman"/>
          <w:b/>
          <w:color w:val="FF0000"/>
          <w:sz w:val="24"/>
          <w:szCs w:val="24"/>
          <w:u w:val="single"/>
        </w:rPr>
        <w:lastRenderedPageBreak/>
        <w:t>Una vez más, la implicación no declarada es que la falta de propiedad es una conveniencia, ya que le facilitarán la vida. Alquile una maceta y luego devuélvala. ¡No necesita tener espacio extra! ¡Imagine la libertad! Incluso prometen la entrega automática por drones.</w:t>
      </w:r>
    </w:p>
    <w:p w:rsidR="004B4A6B" w:rsidRPr="00E71DD9" w:rsidRDefault="004B4A6B" w:rsidP="004B4A6B">
      <w:pPr>
        <w:spacing w:line="240" w:lineRule="auto"/>
        <w:jc w:val="both"/>
        <w:rPr>
          <w:rFonts w:ascii="Times New Roman" w:hAnsi="Times New Roman" w:cs="Times New Roman"/>
          <w:b/>
          <w:color w:val="FF0000"/>
          <w:sz w:val="24"/>
          <w:szCs w:val="24"/>
          <w:u w:val="single"/>
        </w:rPr>
      </w:pPr>
      <w:r w:rsidRPr="00E71DD9">
        <w:rPr>
          <w:rFonts w:ascii="Times New Roman" w:hAnsi="Times New Roman" w:cs="Times New Roman"/>
          <w:b/>
          <w:color w:val="FF0000"/>
          <w:sz w:val="24"/>
          <w:szCs w:val="24"/>
          <w:u w:val="single"/>
        </w:rPr>
        <w:t>La inteligencia artificial, que extrae sus datos sobre todos los aspectos de su existencia, a través de casi cada pieza de tecnología y dispositivo que posee, dirigirá su vida, predecirá todos sus estados de ánimo y deseos, al igual que satisfará todos sus caprichos. ¡Además tendrá el lujo de no tener que tomar ninguna decisión!</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Robo planificado al amparo de una pandemia</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Esta es la mentalidad que tratan de programar en cada persona. Un ejemplo de esto, es un video que apareció a mediados de noviembre de 2020, en el cual el primer ministro canadiense Jus</w:t>
      </w:r>
      <w:r>
        <w:rPr>
          <w:rFonts w:ascii="Times New Roman" w:hAnsi="Times New Roman" w:cs="Times New Roman"/>
          <w:sz w:val="24"/>
          <w:szCs w:val="24"/>
        </w:rPr>
        <w:t>tin Trudeau dice lo siguiente:</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“Esta pandemia nos brindó la oportunidad de reiniciar todo. Esta es nuestra oportunidad para acelerar nuestros esfuerzos prepandémicos y volver a imaginar los sistemas económicos que abordan desafíos globales como la pobreza extrema, desi</w:t>
      </w:r>
      <w:r>
        <w:rPr>
          <w:rFonts w:ascii="Times New Roman" w:hAnsi="Times New Roman" w:cs="Times New Roman"/>
          <w:sz w:val="24"/>
          <w:szCs w:val="24"/>
        </w:rPr>
        <w:t>gualdad y el cambio climático”.</w:t>
      </w:r>
    </w:p>
    <w:p w:rsidR="004B4A6B" w:rsidRPr="00E71DD9" w:rsidRDefault="004B4A6B" w:rsidP="004B4A6B">
      <w:pPr>
        <w:spacing w:line="240" w:lineRule="auto"/>
        <w:jc w:val="both"/>
        <w:rPr>
          <w:rFonts w:ascii="Times New Roman" w:hAnsi="Times New Roman" w:cs="Times New Roman"/>
          <w:color w:val="FF0000"/>
          <w:sz w:val="24"/>
          <w:szCs w:val="24"/>
          <w:u w:val="single"/>
        </w:rPr>
      </w:pPr>
      <w:r w:rsidRPr="00E71DD9">
        <w:rPr>
          <w:rFonts w:ascii="Times New Roman" w:hAnsi="Times New Roman" w:cs="Times New Roman"/>
          <w:color w:val="FF0000"/>
          <w:sz w:val="24"/>
          <w:szCs w:val="24"/>
          <w:u w:val="single"/>
        </w:rPr>
        <w:t>Sin embargo, algunas personas ya empezaron a darse cuenta de que estas narrativas de “reconstruir” y “restablecer” la economía para garantizar la “igualdad” son trampas para ratones. Una vez que caiga en la trampa, quedará atrapado y perderá su libertad para siempre.</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Es obvio que la élite tecnocrática no quiere que comprenda las ramificaciones del mundo real de todo lo que han planeado, por lo que intentan vender esta idea diabólica como algo que beneficiará a la sociedad y que hará la vida más justa para todos. Es una narrativa atractiva, pero una fantasía peligrosa. El 16 de noviembre de 2020, el portal Nati</w:t>
      </w:r>
      <w:r>
        <w:rPr>
          <w:rFonts w:ascii="Times New Roman" w:hAnsi="Times New Roman" w:cs="Times New Roman"/>
          <w:sz w:val="24"/>
          <w:szCs w:val="24"/>
        </w:rPr>
        <w:t>onal File señaló lo siguiente:</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“Trudeau sugirió que el virus del COVI</w:t>
      </w:r>
      <w:r>
        <w:rPr>
          <w:rFonts w:ascii="Times New Roman" w:hAnsi="Times New Roman" w:cs="Times New Roman"/>
          <w:sz w:val="24"/>
          <w:szCs w:val="24"/>
        </w:rPr>
        <w:t>D-19 brindaba una “</w:t>
      </w:r>
      <w:r w:rsidRPr="00396D11">
        <w:rPr>
          <w:rFonts w:ascii="Times New Roman" w:hAnsi="Times New Roman" w:cs="Times New Roman"/>
          <w:sz w:val="24"/>
          <w:szCs w:val="24"/>
        </w:rPr>
        <w:t>oportunidad para un reinicio y para volver a i</w:t>
      </w:r>
      <w:r>
        <w:rPr>
          <w:rFonts w:ascii="Times New Roman" w:hAnsi="Times New Roman" w:cs="Times New Roman"/>
          <w:sz w:val="24"/>
          <w:szCs w:val="24"/>
        </w:rPr>
        <w:t>maginar los sistemas económicos”</w:t>
      </w:r>
      <w:r w:rsidRPr="00396D11">
        <w:rPr>
          <w:rFonts w:ascii="Times New Roman" w:hAnsi="Times New Roman" w:cs="Times New Roman"/>
          <w:sz w:val="24"/>
          <w:szCs w:val="24"/>
        </w:rPr>
        <w:t>. Esto se tomó como un respaldo a un plan del Foro Económico Mundial para concentrar la mayor parte de la propiedad privada en manos de las gran</w:t>
      </w:r>
      <w:r>
        <w:rPr>
          <w:rFonts w:ascii="Times New Roman" w:hAnsi="Times New Roman" w:cs="Times New Roman"/>
          <w:sz w:val="24"/>
          <w:szCs w:val="24"/>
        </w:rPr>
        <w:t>des corporaciones tecnológicas.</w:t>
      </w:r>
    </w:p>
    <w:p w:rsidR="004B4A6B" w:rsidRPr="00E71DD9" w:rsidRDefault="004B4A6B" w:rsidP="004B4A6B">
      <w:pPr>
        <w:spacing w:line="240" w:lineRule="auto"/>
        <w:jc w:val="both"/>
        <w:rPr>
          <w:rFonts w:ascii="Times New Roman" w:hAnsi="Times New Roman" w:cs="Times New Roman"/>
          <w:b/>
          <w:color w:val="FF0000"/>
          <w:sz w:val="24"/>
          <w:szCs w:val="24"/>
          <w:u w:val="single"/>
        </w:rPr>
      </w:pPr>
      <w:r w:rsidRPr="00E71DD9">
        <w:rPr>
          <w:rFonts w:ascii="Times New Roman" w:hAnsi="Times New Roman" w:cs="Times New Roman"/>
          <w:b/>
          <w:color w:val="FF0000"/>
          <w:sz w:val="24"/>
          <w:szCs w:val="24"/>
          <w:u w:val="single"/>
        </w:rPr>
        <w:t>El plan del “Gran Reinicio” implica una colaboración entre los gobiernos nacionales y los organismos internacionales para “restablecer el capitalismo” con un estado de vigilancia/bienestar tecnocrático y transnacional integrado para el año 2030.</w:t>
      </w:r>
    </w:p>
    <w:p w:rsidR="004B4A6B" w:rsidRPr="00E71DD9" w:rsidRDefault="004B4A6B" w:rsidP="004B4A6B">
      <w:pPr>
        <w:spacing w:line="240" w:lineRule="auto"/>
        <w:jc w:val="both"/>
        <w:rPr>
          <w:rFonts w:ascii="Times New Roman" w:hAnsi="Times New Roman" w:cs="Times New Roman"/>
          <w:b/>
          <w:color w:val="FF0000"/>
          <w:sz w:val="24"/>
          <w:szCs w:val="24"/>
          <w:u w:val="single"/>
        </w:rPr>
      </w:pPr>
      <w:r w:rsidRPr="00E71DD9">
        <w:rPr>
          <w:rFonts w:ascii="Times New Roman" w:hAnsi="Times New Roman" w:cs="Times New Roman"/>
          <w:b/>
          <w:color w:val="FF0000"/>
          <w:sz w:val="24"/>
          <w:szCs w:val="24"/>
          <w:u w:val="single"/>
        </w:rPr>
        <w:t>Las corporaciones que forman parte del FEM y los socios gubernamentales lograrían el “reinicio” al utilizar la política económica para abolir de forma virtual la propiedad individual y concentrar casi toda la riqueza en manos de megacorporaciones tecnológicas.</w:t>
      </w:r>
    </w:p>
    <w:p w:rsidR="004B4A6B" w:rsidRPr="00E71DD9" w:rsidRDefault="004B4A6B" w:rsidP="004B4A6B">
      <w:pPr>
        <w:spacing w:line="240" w:lineRule="auto"/>
        <w:jc w:val="both"/>
        <w:rPr>
          <w:rFonts w:ascii="Times New Roman" w:hAnsi="Times New Roman" w:cs="Times New Roman"/>
          <w:b/>
          <w:color w:val="FF0000"/>
          <w:sz w:val="24"/>
          <w:szCs w:val="24"/>
          <w:u w:val="single"/>
        </w:rPr>
      </w:pPr>
      <w:r w:rsidRPr="00E71DD9">
        <w:rPr>
          <w:rFonts w:ascii="Times New Roman" w:hAnsi="Times New Roman" w:cs="Times New Roman"/>
          <w:b/>
          <w:color w:val="FF0000"/>
          <w:sz w:val="24"/>
          <w:szCs w:val="24"/>
          <w:u w:val="single"/>
        </w:rPr>
        <w:t>La idea sería aprovechar el estado de bienestar y la economía colaborativa para reemplazar el statu quo económico de la propiedad individual por uno en el que la mayoría de las necesidades se alquilan.</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Reconozca las frases clave del Gran Reinicio</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El plan del FEM para el 2030 es una parte esencial de lo que ahora se anuncia como el Gran Rei</w:t>
      </w:r>
      <w:r>
        <w:rPr>
          <w:rFonts w:ascii="Times New Roman" w:hAnsi="Times New Roman" w:cs="Times New Roman"/>
          <w:sz w:val="24"/>
          <w:szCs w:val="24"/>
        </w:rPr>
        <w:t xml:space="preserve">nicio, </w:t>
      </w:r>
      <w:r w:rsidRPr="00396D11">
        <w:rPr>
          <w:rFonts w:ascii="Times New Roman" w:hAnsi="Times New Roman" w:cs="Times New Roman"/>
          <w:sz w:val="24"/>
          <w:szCs w:val="24"/>
        </w:rPr>
        <w:t xml:space="preserve">ya que fue un plan que se originó en algo llamado Iniciativa de Rediseño Global, elaborado por el FEM a raíz de la crisis económica del 2008. El sitio web del Transnational </w:t>
      </w:r>
      <w:r w:rsidRPr="00396D11">
        <w:rPr>
          <w:rFonts w:ascii="Times New Roman" w:hAnsi="Times New Roman" w:cs="Times New Roman"/>
          <w:sz w:val="24"/>
          <w:szCs w:val="24"/>
        </w:rPr>
        <w:lastRenderedPageBreak/>
        <w:t>Institute describe la iniciativa como “multipartícipe” y como una “nueva fo</w:t>
      </w:r>
      <w:r>
        <w:rPr>
          <w:rFonts w:ascii="Times New Roman" w:hAnsi="Times New Roman" w:cs="Times New Roman"/>
          <w:sz w:val="24"/>
          <w:szCs w:val="24"/>
        </w:rPr>
        <w:t>rma de gobernanza global”.</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Por otro lado, cuando ingresé a la referencia del Transnational Institute, noté que la URL incluía las palabras “taxonomy term backu</w:t>
      </w:r>
      <w:r>
        <w:rPr>
          <w:rFonts w:ascii="Times New Roman" w:hAnsi="Times New Roman" w:cs="Times New Roman"/>
          <w:sz w:val="24"/>
          <w:szCs w:val="24"/>
        </w:rPr>
        <w:t>p delete later” (</w:t>
      </w:r>
      <w:r w:rsidRPr="00396D11">
        <w:rPr>
          <w:rFonts w:ascii="Times New Roman" w:hAnsi="Times New Roman" w:cs="Times New Roman"/>
          <w:sz w:val="24"/>
          <w:szCs w:val="24"/>
        </w:rPr>
        <w:t xml:space="preserve">término de taxonomía copia </w:t>
      </w:r>
      <w:r>
        <w:rPr>
          <w:rFonts w:ascii="Times New Roman" w:hAnsi="Times New Roman" w:cs="Times New Roman"/>
          <w:sz w:val="24"/>
          <w:szCs w:val="24"/>
        </w:rPr>
        <w:t>de seguridad eliminar más tarde</w:t>
      </w:r>
      <w:r w:rsidRPr="00396D11">
        <w:rPr>
          <w:rFonts w:ascii="Times New Roman" w:hAnsi="Times New Roman" w:cs="Times New Roman"/>
          <w:sz w:val="24"/>
          <w:szCs w:val="24"/>
        </w:rPr>
        <w:t>). No sé si eso si</w:t>
      </w:r>
      <w:r>
        <w:rPr>
          <w:rFonts w:ascii="Times New Roman" w:hAnsi="Times New Roman" w:cs="Times New Roman"/>
          <w:sz w:val="24"/>
          <w:szCs w:val="24"/>
        </w:rPr>
        <w:t>gnifica algo, pero archivé</w:t>
      </w:r>
      <w:r w:rsidRPr="00396D11">
        <w:rPr>
          <w:rFonts w:ascii="Times New Roman" w:hAnsi="Times New Roman" w:cs="Times New Roman"/>
          <w:sz w:val="24"/>
          <w:szCs w:val="24"/>
        </w:rPr>
        <w:t xml:space="preserve"> la página por si acaso. Otros términos y lemas que describen varias facetas de este pla</w:t>
      </w:r>
      <w:r>
        <w:rPr>
          <w:rFonts w:ascii="Times New Roman" w:hAnsi="Times New Roman" w:cs="Times New Roman"/>
          <w:sz w:val="24"/>
          <w:szCs w:val="24"/>
        </w:rPr>
        <w:t>n de conquista global incluyen:</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La Cuarta Revolución Industrial, que forma parte</w:t>
      </w:r>
      <w:r>
        <w:rPr>
          <w:rFonts w:ascii="Times New Roman" w:hAnsi="Times New Roman" w:cs="Times New Roman"/>
          <w:sz w:val="24"/>
          <w:szCs w:val="24"/>
        </w:rPr>
        <w:t xml:space="preserve"> del movimiento transhumanista.</w:t>
      </w:r>
      <w:r w:rsidRPr="00396D11">
        <w:rPr>
          <w:rFonts w:ascii="Times New Roman" w:hAnsi="Times New Roman" w:cs="Times New Roman"/>
          <w:sz w:val="24"/>
          <w:szCs w:val="24"/>
        </w:rPr>
        <w:t xml:space="preserve"> En el video anterior, el fundador del FEM, Klaus Schwab, describe estos planes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Reconstruir Mejor</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El Nuevo Acuerdo Verde</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“Igualdad”</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Capitalismo de partes interesadas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En los últimos días, hemos visto a una gran cantidad de líderes mundiales que denuncian el capitalismo y que dicen que necesitamos un “capitalismo de partes interesadas”. Entre ellos se encuentra la presidenta de la Cámara de Representantes, Nancy Pelosi, quien el 17 de septiembre de 2021 se pronunció contra el capitalism</w:t>
      </w:r>
      <w:r>
        <w:rPr>
          <w:rFonts w:ascii="Times New Roman" w:hAnsi="Times New Roman" w:cs="Times New Roman"/>
          <w:sz w:val="24"/>
          <w:szCs w:val="24"/>
        </w:rPr>
        <w:t>o en una reunión en Londres.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“En Estados Unidos, el capitalismo forma parte de nuestro sistema económico, pero no le ha servido a nuestra economía como debería”, dijo. “Entonces lo que queremos hacer no es apa</w:t>
      </w:r>
      <w:r>
        <w:rPr>
          <w:rFonts w:ascii="Times New Roman" w:hAnsi="Times New Roman" w:cs="Times New Roman"/>
          <w:sz w:val="24"/>
          <w:szCs w:val="24"/>
        </w:rPr>
        <w:t>rtarnos de eso, sino mejorarlo.</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No se puede tener un sistema donde el éxito de algunas personas provenga de la explotación de los trabajadores, ni del medio ambiente, entre otros, p</w:t>
      </w:r>
      <w:r>
        <w:rPr>
          <w:rFonts w:ascii="Times New Roman" w:hAnsi="Times New Roman" w:cs="Times New Roman"/>
          <w:sz w:val="24"/>
          <w:szCs w:val="24"/>
        </w:rPr>
        <w:t>or eso tenemos que corregirlo”.</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El presidente Biden es el primer presidente de Estados Unidos en aceptar el capitalismo de las partes interesadas por</w:t>
      </w:r>
      <w:r>
        <w:rPr>
          <w:rFonts w:ascii="Times New Roman" w:hAnsi="Times New Roman" w:cs="Times New Roman"/>
          <w:sz w:val="24"/>
          <w:szCs w:val="24"/>
        </w:rPr>
        <w:t xml:space="preserve"> su nombre,</w:t>
      </w:r>
      <w:r w:rsidRPr="00396D11">
        <w:rPr>
          <w:rFonts w:ascii="Times New Roman" w:hAnsi="Times New Roman" w:cs="Times New Roman"/>
          <w:sz w:val="24"/>
          <w:szCs w:val="24"/>
        </w:rPr>
        <w:t xml:space="preserve"> de hecho, los principales demócratas, incluyendo a la vicepresidenta Kamala Harris y la senadora Elizabeth Warren, han presentado propuestas de políticas que convertirían el capitalismo de l</w:t>
      </w:r>
      <w:r>
        <w:rPr>
          <w:rFonts w:ascii="Times New Roman" w:hAnsi="Times New Roman" w:cs="Times New Roman"/>
          <w:sz w:val="24"/>
          <w:szCs w:val="24"/>
        </w:rPr>
        <w:t>as partes interesadas en ley.</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¿Qué es el capitalismo de las partes interesadas?</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Pero ¿qué es el capitalismo de las partes interesadas? El problema es que la forma en que se describe no es cómo en realidad funciona en el mundo. En teoría suena genial, pero el resultado final no beneficiará a la persona promedio.</w:t>
      </w:r>
    </w:p>
    <w:p w:rsidR="004B4A6B" w:rsidRPr="00826D39" w:rsidRDefault="004B4A6B" w:rsidP="004B4A6B">
      <w:pPr>
        <w:spacing w:line="240" w:lineRule="auto"/>
        <w:jc w:val="both"/>
        <w:rPr>
          <w:rFonts w:ascii="Times New Roman" w:hAnsi="Times New Roman" w:cs="Times New Roman"/>
          <w:b/>
          <w:color w:val="FF0000"/>
          <w:sz w:val="24"/>
          <w:szCs w:val="24"/>
          <w:u w:val="single"/>
        </w:rPr>
      </w:pPr>
      <w:r w:rsidRPr="00826D39">
        <w:rPr>
          <w:rFonts w:ascii="Times New Roman" w:hAnsi="Times New Roman" w:cs="Times New Roman"/>
          <w:b/>
          <w:color w:val="FF0000"/>
          <w:sz w:val="24"/>
          <w:szCs w:val="24"/>
          <w:u w:val="single"/>
        </w:rPr>
        <w:t>Como informó Ivan Wecke en el portal Open Democracy, en un artículo titulado: “Conspiracy Theories Aside, There Is Something Fishy About the Great Reset”:</w:t>
      </w:r>
    </w:p>
    <w:p w:rsidR="004B4A6B" w:rsidRPr="00826D39" w:rsidRDefault="004B4A6B" w:rsidP="004B4A6B">
      <w:pPr>
        <w:spacing w:line="240" w:lineRule="auto"/>
        <w:jc w:val="both"/>
        <w:rPr>
          <w:rFonts w:ascii="Times New Roman" w:hAnsi="Times New Roman" w:cs="Times New Roman"/>
          <w:b/>
          <w:color w:val="FF0000"/>
          <w:sz w:val="24"/>
          <w:szCs w:val="24"/>
          <w:u w:val="single"/>
        </w:rPr>
      </w:pPr>
      <w:r w:rsidRPr="00826D39">
        <w:rPr>
          <w:rFonts w:ascii="Times New Roman" w:hAnsi="Times New Roman" w:cs="Times New Roman"/>
          <w:b/>
          <w:color w:val="FF0000"/>
          <w:sz w:val="24"/>
          <w:szCs w:val="24"/>
          <w:u w:val="single"/>
        </w:rPr>
        <w:t>“El conjunto de teorías de la conspiración que incluyen al Gran Reinicio son confusas y difíciles de precisar, pero al juntarlas tenemos algo como esto: el Gran Reinicio es el plan de la élite global para instaurar un orden mundial comunista, al abolir la propiedad privada mientras se utiliza el COVID- 19 para solucionar la superpoblación y esclavizar lo que queda de la humanidad con vacunas.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Estaba intrigado y decidí averiguar de qué se trataba el plan del Gran Reinicio del FEM. En la base de las teorías de la conspiración se encuentran planes sec</w:t>
      </w:r>
      <w:r>
        <w:rPr>
          <w:rFonts w:ascii="Times New Roman" w:hAnsi="Times New Roman" w:cs="Times New Roman"/>
          <w:sz w:val="24"/>
          <w:szCs w:val="24"/>
        </w:rPr>
        <w:t>retos e intenciones maliciosas.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lastRenderedPageBreak/>
        <w:t>Aunque es posible que no estén presentes en la iniciativa del Gran Reinicio del FEM, encontré algo muy siniestro escondido a plena vista. De hecho, es algo más que siniestro porque es real y sucede en la actualidad. Incluso, involucra cosas tan fundamentales como nuestr</w:t>
      </w:r>
      <w:r>
        <w:rPr>
          <w:rFonts w:ascii="Times New Roman" w:hAnsi="Times New Roman" w:cs="Times New Roman"/>
          <w:sz w:val="24"/>
          <w:szCs w:val="24"/>
        </w:rPr>
        <w:t>a comida, datos y vacunas.</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Las palabras mágicas son “capitalismo de partes interesadas”, un concepto que el presidente del FEM, Klaus Schwab, ha planeado desde hace décadas y que ocupa un lugar muy importante en el plan del Gran Reinicio del FEM a partir de junio de 2020.</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La idea es que el capitalismo global se debe transformar para que las corporaciones ya no se enfoquen solo en servir a los accionistas, sino que se conviertan en custodias de la sociedad al crear valor para los clientes, proveedores, empleados, comunidades y otras “partes interesadas”.</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La forma en que el FEM ve que se lleva a cabo el capitalismo de las partes interesadas es a través de una gama de “asociaciones de múltiples partes interesadas” que reúnen al sector privado, gobiernos y la sociedad civil en todas las áreas de la gobernanza global.</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La idea del capitalismo de las partes interesadas y las asociaciones de múltiples partes interesadas puede sonar tentadora y confusa, hasta que profundicemos y nos demos cuenta de que en realidad significa dar a las corporaciones más poder sobre la sociedad y menos a las instituciones democráticas”.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El capitalismo de las partes interesadas aumenta el poder de las corporaciones</w:t>
      </w:r>
    </w:p>
    <w:p w:rsidR="004B4A6B" w:rsidRPr="00826D39" w:rsidRDefault="004B4A6B" w:rsidP="004B4A6B">
      <w:pPr>
        <w:spacing w:line="240" w:lineRule="auto"/>
        <w:jc w:val="both"/>
        <w:rPr>
          <w:rFonts w:ascii="Times New Roman" w:hAnsi="Times New Roman" w:cs="Times New Roman"/>
          <w:sz w:val="24"/>
          <w:szCs w:val="24"/>
          <w:u w:val="single"/>
        </w:rPr>
      </w:pPr>
      <w:r w:rsidRPr="00826D39">
        <w:rPr>
          <w:rFonts w:ascii="Times New Roman" w:hAnsi="Times New Roman" w:cs="Times New Roman"/>
          <w:sz w:val="24"/>
          <w:szCs w:val="24"/>
          <w:u w:val="single"/>
        </w:rPr>
        <w:t>La Iniciativa de Rediseño Global, que sirvió de base para el Gran Reinicio, se describió como “la propuesta más completa para rediseñar la gobernanza global desde la formulación de las Naciones Unidas durante la Segunda Guerra Mundial”. Entonces, esto no es un cambio menor. Es una revisión completa de la forma en que hacemos negocios y gobernamos las naciones, no solo en los Estados Unidos sino a nivel mundial.</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En este modelo de múltiples partes interesadas, el gobierno solo es una parte interesada de muchas. Otras partes interesadas que se deberían tener en cuenta son las organizaciones no gubernamentales como el propio FEM y las corporaciones multinacionales. En otras palabras, estas otras partes interesadas tendrán voz y voto sobre cómo se gobiernan las naciones.</w:t>
      </w:r>
    </w:p>
    <w:p w:rsidR="004B4A6B" w:rsidRPr="00826D39" w:rsidRDefault="004B4A6B" w:rsidP="004B4A6B">
      <w:pPr>
        <w:spacing w:line="240" w:lineRule="auto"/>
        <w:jc w:val="both"/>
        <w:rPr>
          <w:rFonts w:ascii="Times New Roman" w:hAnsi="Times New Roman" w:cs="Times New Roman"/>
          <w:sz w:val="24"/>
          <w:szCs w:val="24"/>
          <w:u w:val="single"/>
        </w:rPr>
      </w:pPr>
      <w:r w:rsidRPr="00396D11">
        <w:rPr>
          <w:rFonts w:ascii="Times New Roman" w:hAnsi="Times New Roman" w:cs="Times New Roman"/>
          <w:sz w:val="24"/>
          <w:szCs w:val="24"/>
        </w:rPr>
        <w:t xml:space="preserve">Tenga en cuenta que los líderes mundiales enfatizarán que las partes interesadas incluyen el medio ambiente y los trabajadores. </w:t>
      </w:r>
      <w:r w:rsidRPr="00826D39">
        <w:rPr>
          <w:rFonts w:ascii="Times New Roman" w:hAnsi="Times New Roman" w:cs="Times New Roman"/>
          <w:sz w:val="24"/>
          <w:szCs w:val="24"/>
          <w:u w:val="single"/>
        </w:rPr>
        <w:t>Sin embargo, la verdad es que las necesidades y deseos de los trabajadores no son el centro de este modelo. De acuerdo con Wecke:</w:t>
      </w:r>
    </w:p>
    <w:p w:rsidR="004B4A6B" w:rsidRPr="00826D39" w:rsidRDefault="004B4A6B" w:rsidP="004B4A6B">
      <w:pPr>
        <w:spacing w:line="240" w:lineRule="auto"/>
        <w:jc w:val="both"/>
        <w:rPr>
          <w:rFonts w:ascii="Times New Roman" w:hAnsi="Times New Roman" w:cs="Times New Roman"/>
          <w:b/>
          <w:color w:val="FF0000"/>
          <w:sz w:val="24"/>
          <w:szCs w:val="24"/>
          <w:u w:val="single"/>
        </w:rPr>
      </w:pPr>
      <w:r w:rsidRPr="00826D39">
        <w:rPr>
          <w:rFonts w:ascii="Times New Roman" w:hAnsi="Times New Roman" w:cs="Times New Roman"/>
          <w:b/>
          <w:color w:val="FF0000"/>
          <w:sz w:val="24"/>
          <w:szCs w:val="24"/>
          <w:u w:val="single"/>
        </w:rPr>
        <w:t>“En lugar de que las corporaciones sirvan a muchas partes interesadas, en el modelo de gobernanza global de múltiples partes interesadas, se promueve a las corporaciones como partes interesadas oficiales en la toma de decisiones, mientras que los gobiernos quedan relegados a ser una de las muchas partes interesadas.</w:t>
      </w:r>
    </w:p>
    <w:p w:rsidR="004B4A6B" w:rsidRDefault="004B4A6B" w:rsidP="004B4A6B">
      <w:pPr>
        <w:spacing w:line="240" w:lineRule="auto"/>
        <w:jc w:val="both"/>
        <w:rPr>
          <w:rFonts w:ascii="Times New Roman" w:hAnsi="Times New Roman" w:cs="Times New Roman"/>
          <w:b/>
          <w:color w:val="FF0000"/>
          <w:sz w:val="24"/>
          <w:szCs w:val="24"/>
          <w:u w:val="single"/>
        </w:rPr>
      </w:pPr>
      <w:r w:rsidRPr="00826D39">
        <w:rPr>
          <w:rFonts w:ascii="Times New Roman" w:hAnsi="Times New Roman" w:cs="Times New Roman"/>
          <w:b/>
          <w:color w:val="FF0000"/>
          <w:sz w:val="24"/>
          <w:szCs w:val="24"/>
          <w:u w:val="single"/>
        </w:rPr>
        <w:t>En la práctica, las empresas se convierten en las principales partes interesadas, mientras que los gobiernos pasan a un segundo plano y la sociedad civil es solo una cortina de humo”.</w:t>
      </w:r>
    </w:p>
    <w:p w:rsidR="000E33A3" w:rsidRDefault="000E33A3" w:rsidP="004B4A6B">
      <w:pPr>
        <w:spacing w:line="240" w:lineRule="auto"/>
        <w:jc w:val="both"/>
        <w:rPr>
          <w:rFonts w:ascii="Times New Roman" w:hAnsi="Times New Roman" w:cs="Times New Roman"/>
          <w:b/>
          <w:color w:val="FF0000"/>
          <w:sz w:val="24"/>
          <w:szCs w:val="24"/>
          <w:u w:val="single"/>
        </w:rPr>
      </w:pPr>
    </w:p>
    <w:p w:rsidR="000E33A3" w:rsidRDefault="000E33A3" w:rsidP="004B4A6B">
      <w:pPr>
        <w:spacing w:line="240" w:lineRule="auto"/>
        <w:jc w:val="both"/>
        <w:rPr>
          <w:rFonts w:ascii="Times New Roman" w:hAnsi="Times New Roman" w:cs="Times New Roman"/>
          <w:b/>
          <w:color w:val="FF0000"/>
          <w:sz w:val="24"/>
          <w:szCs w:val="24"/>
          <w:u w:val="single"/>
        </w:rPr>
      </w:pPr>
    </w:p>
    <w:p w:rsidR="000E33A3" w:rsidRDefault="000E33A3" w:rsidP="004B4A6B">
      <w:pPr>
        <w:spacing w:line="240" w:lineRule="auto"/>
        <w:jc w:val="both"/>
        <w:rPr>
          <w:rFonts w:ascii="Times New Roman" w:hAnsi="Times New Roman" w:cs="Times New Roman"/>
          <w:b/>
          <w:color w:val="FF0000"/>
          <w:sz w:val="24"/>
          <w:szCs w:val="24"/>
          <w:u w:val="single"/>
        </w:rPr>
      </w:pPr>
    </w:p>
    <w:p w:rsidR="000E33A3"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lastRenderedPageBreak/>
        <w:t>El capitalismo de las partes interesadas toma el control</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Wecke señala que este ecosistema de múltiples partes interesadas ya se implementó y cada día avanza más. No es algo que quieran implementar en el futuro. En cambio, nos dicen que es algo que han hecho d</w:t>
      </w:r>
      <w:r>
        <w:rPr>
          <w:rFonts w:ascii="Times New Roman" w:hAnsi="Times New Roman" w:cs="Times New Roman"/>
          <w:sz w:val="24"/>
          <w:szCs w:val="24"/>
        </w:rPr>
        <w:t>urante años.</w:t>
      </w:r>
    </w:p>
    <w:p w:rsidR="004B4A6B" w:rsidRPr="00826D39" w:rsidRDefault="004B4A6B" w:rsidP="004B4A6B">
      <w:pPr>
        <w:spacing w:line="240" w:lineRule="auto"/>
        <w:jc w:val="both"/>
        <w:rPr>
          <w:rFonts w:ascii="Times New Roman" w:hAnsi="Times New Roman" w:cs="Times New Roman"/>
          <w:b/>
          <w:color w:val="FF0000"/>
          <w:sz w:val="24"/>
          <w:szCs w:val="24"/>
          <w:u w:val="single"/>
        </w:rPr>
      </w:pPr>
      <w:r w:rsidRPr="00826D39">
        <w:rPr>
          <w:rFonts w:ascii="Times New Roman" w:hAnsi="Times New Roman" w:cs="Times New Roman"/>
          <w:b/>
          <w:color w:val="FF0000"/>
          <w:sz w:val="24"/>
          <w:szCs w:val="24"/>
          <w:u w:val="single"/>
        </w:rPr>
        <w:t>“Los grupos de múltiples partes interesadas se han extendido por todos los sectores del sistema de gobernanza global”, dice Wecke. Además, señala que ya existen “más de 45 grupos globales de múltiples partes interesadas que establecen estándares, pautas y reglas en una variedad de áreas”.</w:t>
      </w:r>
    </w:p>
    <w:p w:rsidR="004B4A6B" w:rsidRPr="00826D39" w:rsidRDefault="004B4A6B" w:rsidP="004B4A6B">
      <w:pPr>
        <w:spacing w:line="240" w:lineRule="auto"/>
        <w:jc w:val="both"/>
        <w:rPr>
          <w:rFonts w:ascii="Times New Roman" w:hAnsi="Times New Roman" w:cs="Times New Roman"/>
          <w:b/>
          <w:color w:val="FF0000"/>
          <w:sz w:val="24"/>
          <w:szCs w:val="24"/>
          <w:u w:val="single"/>
        </w:rPr>
      </w:pPr>
      <w:r w:rsidRPr="00826D39">
        <w:rPr>
          <w:rFonts w:ascii="Times New Roman" w:hAnsi="Times New Roman" w:cs="Times New Roman"/>
          <w:b/>
          <w:color w:val="FF0000"/>
          <w:sz w:val="24"/>
          <w:szCs w:val="24"/>
          <w:u w:val="single"/>
        </w:rPr>
        <w:t>Estos grupos, que no tienen responsabilidad democrática, están formados por grandes corporaciones multinacionales, que reclutan personas del gobierno, la sociedad civil y las instituciones educativas. Juntos pretenden resolver todo tipo de problemas que aquejan a la sociedad.</w:t>
      </w:r>
    </w:p>
    <w:p w:rsidR="004B4A6B" w:rsidRPr="00826D39" w:rsidRDefault="004B4A6B" w:rsidP="004B4A6B">
      <w:pPr>
        <w:spacing w:line="240" w:lineRule="auto"/>
        <w:jc w:val="both"/>
        <w:rPr>
          <w:rFonts w:ascii="Times New Roman" w:hAnsi="Times New Roman" w:cs="Times New Roman"/>
          <w:b/>
          <w:color w:val="FF0000"/>
          <w:sz w:val="24"/>
          <w:szCs w:val="24"/>
          <w:u w:val="single"/>
        </w:rPr>
      </w:pPr>
      <w:r w:rsidRPr="00826D39">
        <w:rPr>
          <w:rFonts w:ascii="Times New Roman" w:hAnsi="Times New Roman" w:cs="Times New Roman"/>
          <w:b/>
          <w:color w:val="FF0000"/>
          <w:sz w:val="24"/>
          <w:szCs w:val="24"/>
          <w:u w:val="single"/>
        </w:rPr>
        <w:t>En especial creen que saben lo que es mejor para todos y, sin haber sido elegidos para hablar y actuar en nuestro nombre, toman decisiones unilaterales que dictarán cómo vivimos, crecemos y prosperamos.</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El primer trimestre del 2020 nos ha proporcionado una idea de lo que significará el Gran Reinicio para la salud pública. Se basa en la premisa de que vivimos en un estado de bioseguridad, donde estas “partes interesadas” y no elegidas deciden qué es lo mejor para nosotros, independientemente de cómo nos sintamos al respecto.</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 xml:space="preserve">Un ejemplo es un “ecosistema” de múltiples partes interesadas que ya está en funcionamiento, conocido como la iniciativa COVAX, cuyo objetivo es acelerar el lanzamiento de las vacunas antiCOVID-19. Esta iniciativa se creó por dos grupos de múltiples partes interesadas: la GAVI y la Coalición para las Innovaciones en la Preparación ante Epidemias (CEPI, por sus siglas en inglés), en asociación con la Organización Mundial de la Salud </w:t>
      </w:r>
      <w:r>
        <w:rPr>
          <w:rFonts w:ascii="Times New Roman" w:hAnsi="Times New Roman" w:cs="Times New Roman"/>
          <w:sz w:val="24"/>
          <w:szCs w:val="24"/>
        </w:rPr>
        <w:t>y financiada por los gobiernos.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GAVI y CEPI se relacionan con el FEM, la Fundación Bill y Melinda Gates y con una larga lista de compañías farmacéuticas. Como señaló Wecki, mientras los gobiernos financian la iniciativa COVAX, las coaliciones centradas en las empresas (GAVI y CEPI) supervisan y obtie</w:t>
      </w:r>
      <w:r>
        <w:rPr>
          <w:rFonts w:ascii="Times New Roman" w:hAnsi="Times New Roman" w:cs="Times New Roman"/>
          <w:sz w:val="24"/>
          <w:szCs w:val="24"/>
        </w:rPr>
        <w:t>nen los beneficios del trabajo.</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Ahora comprendemos que el problema central de este sistema se basa totalmente en las ganancias. En 2020, Sudáfrica e India querían levantar las reglas de propiedad intelectual sobre las tecnologías de la vacuna antiCOVID-19 para impulsar la fabricación en los países en desarrollo. La GAVI, el propio Gates y la industria farmacéutica se o</w:t>
      </w:r>
      <w:r>
        <w:rPr>
          <w:rFonts w:ascii="Times New Roman" w:hAnsi="Times New Roman" w:cs="Times New Roman"/>
          <w:sz w:val="24"/>
          <w:szCs w:val="24"/>
        </w:rPr>
        <w:t>pusieron como era de esperarse.</w:t>
      </w:r>
    </w:p>
    <w:p w:rsidR="004B4A6B"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¿Cuál es la razón? Porque la salud pública no es su principal incentivo ni motivación, sino las ganancias. Las ganancias son su principal interés y, como “parte interesada” principal, sus intereses se deben comparar con los intereses de otras partes interesadas, como lo que las personas quieren y el deseo de no enfermarse y morir. Están en el centro de la estructura de poder, así que adivine cuál es el interés que gana y siempre ganará.</w:t>
      </w:r>
    </w:p>
    <w:p w:rsidR="000E33A3" w:rsidRDefault="000E33A3" w:rsidP="004B4A6B">
      <w:pPr>
        <w:spacing w:line="240" w:lineRule="auto"/>
        <w:jc w:val="both"/>
        <w:rPr>
          <w:rFonts w:ascii="Times New Roman" w:hAnsi="Times New Roman" w:cs="Times New Roman"/>
          <w:sz w:val="24"/>
          <w:szCs w:val="24"/>
        </w:rPr>
      </w:pPr>
    </w:p>
    <w:p w:rsidR="000E33A3" w:rsidRPr="00396D11" w:rsidRDefault="000E33A3" w:rsidP="004B4A6B">
      <w:pPr>
        <w:spacing w:line="240" w:lineRule="auto"/>
        <w:jc w:val="both"/>
        <w:rPr>
          <w:rFonts w:ascii="Times New Roman" w:hAnsi="Times New Roman" w:cs="Times New Roman"/>
          <w:sz w:val="24"/>
          <w:szCs w:val="24"/>
        </w:rPr>
      </w:pP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lastRenderedPageBreak/>
        <w:t>El capitalismo de las partes interesadas destruirá la libertad</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Wecke describe el multipartícipe como “la actualización del multilateralismo del FEM”, que es el sistema por el cual las naciones del mundo trabajan juntas. En el ce</w:t>
      </w:r>
      <w:r>
        <w:rPr>
          <w:rFonts w:ascii="Times New Roman" w:hAnsi="Times New Roman" w:cs="Times New Roman"/>
          <w:sz w:val="24"/>
          <w:szCs w:val="24"/>
        </w:rPr>
        <w:t>ntro están las Naciones Unidas.</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Hasta ahora, este sistema es democrático, al menos en teoría, ya que los líderes electos son los que se reúnen para tomar decisiones globales. El problema al que nos enfrentamos es que el capitalismo de las partes interesadas recomendado no mejorará la democracia, más bien la eliminará por completo.</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Su diseño deja en segundo plano a los gobiernos y coloca a las partes interesadas no elegidas, principalmente las corporaciones transnacionales, en el primer lugar, donde se les otorga la máxima autoridad para tomar decisiones sobre el mundo, que es precisamente lo que hemos experimentado en esta pandemia. De acuerdo con Wecke:</w:t>
      </w:r>
    </w:p>
    <w:p w:rsidR="004B4A6B" w:rsidRPr="00826D39" w:rsidRDefault="004B4A6B" w:rsidP="004B4A6B">
      <w:pPr>
        <w:spacing w:line="240" w:lineRule="auto"/>
        <w:jc w:val="both"/>
        <w:rPr>
          <w:rFonts w:ascii="Times New Roman" w:hAnsi="Times New Roman" w:cs="Times New Roman"/>
          <w:b/>
          <w:color w:val="FF0000"/>
          <w:sz w:val="24"/>
          <w:szCs w:val="24"/>
          <w:u w:val="single"/>
        </w:rPr>
      </w:pPr>
      <w:r w:rsidRPr="00826D39">
        <w:rPr>
          <w:rFonts w:ascii="Times New Roman" w:hAnsi="Times New Roman" w:cs="Times New Roman"/>
          <w:b/>
          <w:color w:val="FF0000"/>
          <w:sz w:val="24"/>
          <w:szCs w:val="24"/>
          <w:u w:val="single"/>
        </w:rPr>
        <w:t>“Dicho sin rodeos, las asociaciones de múltiples partes interesadas son asociaciones público-privadas en el escenario global. Y tienen implicaciones en el mundo real para la forma en que se organizan nuestros sistemas alimentarios, cómo se gobierna la gran tecnología y cómo se distribuyen nuestras vacunas y medicamentos”.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También nos espera un reinicio médico</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El primer trimestre de 2020 nos ha proporcionado una idea de lo que significará el Gran Reinicio para la salud pública. Se basa en la premisa de que vivimos en un estad</w:t>
      </w:r>
      <w:r>
        <w:rPr>
          <w:rFonts w:ascii="Times New Roman" w:hAnsi="Times New Roman" w:cs="Times New Roman"/>
          <w:sz w:val="24"/>
          <w:szCs w:val="24"/>
        </w:rPr>
        <w:t>o de bioseguridad, donde estas “partes interesadas”</w:t>
      </w:r>
      <w:r w:rsidRPr="00396D11">
        <w:rPr>
          <w:rFonts w:ascii="Times New Roman" w:hAnsi="Times New Roman" w:cs="Times New Roman"/>
          <w:sz w:val="24"/>
          <w:szCs w:val="24"/>
        </w:rPr>
        <w:t xml:space="preserve"> y no elegidas deciden qué es lo mejor para nosotros, independientemente de</w:t>
      </w:r>
      <w:r>
        <w:rPr>
          <w:rFonts w:ascii="Times New Roman" w:hAnsi="Times New Roman" w:cs="Times New Roman"/>
          <w:sz w:val="24"/>
          <w:szCs w:val="24"/>
        </w:rPr>
        <w:t xml:space="preserve"> cómo nos sintamos al respecto.</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Por ejemplo, todos los hospitales de los Estados Unidos tienen instrucciones de utilizar los tratamientos antiCOVID más mortíferos que se pueda imaginar, mientras que los médicos que desafían la guía y que hacen lo mejor para sus pacientes ponen en riesgo sus licencias médicas. El simple hecho de hablar sobre tratamientos efectivos contra el COVID</w:t>
      </w:r>
      <w:r>
        <w:rPr>
          <w:rFonts w:ascii="Times New Roman" w:hAnsi="Times New Roman" w:cs="Times New Roman"/>
          <w:sz w:val="24"/>
          <w:szCs w:val="24"/>
        </w:rPr>
        <w:t xml:space="preserve"> los pone en riesgo de censura.</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En todos los países, a las personas se les dice que las vacunas antiCOVID son la única forma de avanzar, mientras que los pasaportes de vacunas (que alguna vez se consideraron como una teoría paranoica de la conspiración), comienzan a implementarse. ¿Quién tomó estas decisiones? Nadie admite la fuente real de estas decisiones, pero podemos estar seguros que provienen de un eje central, dirigido por personas que nadie qu</w:t>
      </w:r>
      <w:r>
        <w:rPr>
          <w:rFonts w:ascii="Times New Roman" w:hAnsi="Times New Roman" w:cs="Times New Roman"/>
          <w:sz w:val="24"/>
          <w:szCs w:val="24"/>
        </w:rPr>
        <w:t>iso que estuvieran en el poder.</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 xml:space="preserve">En todo el mundo se está desarrollando un juego mental retorcido, en el que los líderes mundiales ahora nos dicen que los pasaportes de vacunas son nuestro “boleto a la libertad” y en el que ignoran por completo el hecho de que nuestra libertad no se basa, ni puede basarse, </w:t>
      </w:r>
      <w:r>
        <w:rPr>
          <w:rFonts w:ascii="Times New Roman" w:hAnsi="Times New Roman" w:cs="Times New Roman"/>
          <w:sz w:val="24"/>
          <w:szCs w:val="24"/>
        </w:rPr>
        <w:t>en nuestras decisiones médicas.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Trudeau, por ejemplo, declaró hace poco tiempo que los pasaportes de vacunas son para que sepa que “si ha hecho lo correcto, puede estar s</w:t>
      </w:r>
      <w:r>
        <w:rPr>
          <w:rFonts w:ascii="Times New Roman" w:hAnsi="Times New Roman" w:cs="Times New Roman"/>
          <w:sz w:val="24"/>
          <w:szCs w:val="24"/>
        </w:rPr>
        <w:t>eguro” a dondequiera que vaya.</w:t>
      </w:r>
      <w:r w:rsidRPr="00396D11">
        <w:rPr>
          <w:rFonts w:ascii="Times New Roman" w:hAnsi="Times New Roman" w:cs="Times New Roman"/>
          <w:sz w:val="24"/>
          <w:szCs w:val="24"/>
        </w:rPr>
        <w:t xml:space="preserve"> Mientras que las personas que se niegan a hacer “lo correcto”, no tienen dere</w:t>
      </w:r>
      <w:r>
        <w:rPr>
          <w:rFonts w:ascii="Times New Roman" w:hAnsi="Times New Roman" w:cs="Times New Roman"/>
          <w:sz w:val="24"/>
          <w:szCs w:val="24"/>
        </w:rPr>
        <w:t>cho a esas mismas “libertades”.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 xml:space="preserve">Además, está claro que las contramedidas que vemos para el COVID-19 no terminarán cuando terminen de combatir el virus. El presidente Biden ya firmó una orden ejecutiva que </w:t>
      </w:r>
      <w:r w:rsidRPr="00396D11">
        <w:rPr>
          <w:rFonts w:ascii="Times New Roman" w:hAnsi="Times New Roman" w:cs="Times New Roman"/>
          <w:sz w:val="24"/>
          <w:szCs w:val="24"/>
        </w:rPr>
        <w:lastRenderedPageBreak/>
        <w:t>agrega al sarampión a la lista de enfermedades por las cuales una persona puede estar en cuarentena o aislarse a sí misma “pa</w:t>
      </w:r>
      <w:r>
        <w:rPr>
          <w:rFonts w:ascii="Times New Roman" w:hAnsi="Times New Roman" w:cs="Times New Roman"/>
          <w:sz w:val="24"/>
          <w:szCs w:val="24"/>
        </w:rPr>
        <w:t>ra proteger la salud pública”.</w:t>
      </w:r>
    </w:p>
    <w:p w:rsidR="004B4A6B" w:rsidRPr="00826D39" w:rsidRDefault="004B4A6B" w:rsidP="004B4A6B">
      <w:pPr>
        <w:spacing w:line="240" w:lineRule="auto"/>
        <w:jc w:val="both"/>
        <w:rPr>
          <w:rFonts w:ascii="Times New Roman" w:hAnsi="Times New Roman" w:cs="Times New Roman"/>
          <w:color w:val="FF0000"/>
          <w:sz w:val="24"/>
          <w:szCs w:val="24"/>
          <w:u w:val="single"/>
        </w:rPr>
      </w:pPr>
      <w:r w:rsidRPr="00826D39">
        <w:rPr>
          <w:rFonts w:ascii="Times New Roman" w:hAnsi="Times New Roman" w:cs="Times New Roman"/>
          <w:color w:val="FF0000"/>
          <w:sz w:val="24"/>
          <w:szCs w:val="24"/>
          <w:u w:val="single"/>
        </w:rPr>
        <w:t>Una vez más, a nuestro alrededor se construye un estado de bioseguridad que controlará todos los aspectos de nuestras vidas, bajo la idea de “proteger la salud pública”, pero sin hacer tal cosa. No se puede negar que las contramedidas del COVID han causado mucha más destrucción de lo que en realidad causó el virus, y estas contramedidas todavía destruyen vidas y matan personas de manera innecesaria, todo bajo la idea de mantenernos “a salvo” de las enfermedades.</w:t>
      </w:r>
    </w:p>
    <w:p w:rsidR="004B4A6B" w:rsidRPr="00396D11" w:rsidRDefault="004B4A6B" w:rsidP="004B4A6B">
      <w:pPr>
        <w:spacing w:line="240" w:lineRule="auto"/>
        <w:jc w:val="both"/>
        <w:rPr>
          <w:rFonts w:ascii="Times New Roman" w:hAnsi="Times New Roman" w:cs="Times New Roman"/>
          <w:sz w:val="24"/>
          <w:szCs w:val="24"/>
        </w:rPr>
      </w:pPr>
      <w:r w:rsidRPr="00396D11">
        <w:rPr>
          <w:rFonts w:ascii="Times New Roman" w:hAnsi="Times New Roman" w:cs="Times New Roman"/>
          <w:sz w:val="24"/>
          <w:szCs w:val="24"/>
        </w:rPr>
        <w:t>El hecho de que las personas mueran por suicidio, hambre, problemas médicos no tratados y lesiones por vacunas, no cuenta. ¡Nos protegen del COVID! Por supuesto, eso avanzará para protegerno</w:t>
      </w:r>
      <w:r>
        <w:rPr>
          <w:rFonts w:ascii="Times New Roman" w:hAnsi="Times New Roman" w:cs="Times New Roman"/>
          <w:sz w:val="24"/>
          <w:szCs w:val="24"/>
        </w:rPr>
        <w:t>s de otras infecciones del día.</w:t>
      </w:r>
    </w:p>
    <w:p w:rsidR="004B4A6B" w:rsidRDefault="004B4A6B" w:rsidP="004B4A6B">
      <w:pPr>
        <w:spacing w:line="240" w:lineRule="auto"/>
        <w:jc w:val="both"/>
        <w:rPr>
          <w:rFonts w:ascii="Times New Roman" w:hAnsi="Times New Roman" w:cs="Times New Roman"/>
          <w:b/>
          <w:color w:val="FF0000"/>
          <w:sz w:val="24"/>
          <w:szCs w:val="24"/>
          <w:u w:val="single"/>
        </w:rPr>
      </w:pPr>
      <w:r w:rsidRPr="00826D39">
        <w:rPr>
          <w:rFonts w:ascii="Times New Roman" w:hAnsi="Times New Roman" w:cs="Times New Roman"/>
          <w:b/>
          <w:color w:val="FF0000"/>
          <w:sz w:val="24"/>
          <w:szCs w:val="24"/>
          <w:u w:val="single"/>
        </w:rPr>
        <w:t>Para concluir, el capitalismo de las partes interesadas es una forma de fascismo global, donde las naciones no están dirigidas solo por gobiernos electos, sino por corporaciones no electas en asociación con el gobierno. En términos de “igualdad”, no creo que eso lleve a cabo. La igualdad de la que hablan es que todos estemos en la misma posición de no poseer nada y de no tener derechos humanos.</w:t>
      </w:r>
    </w:p>
    <w:p w:rsidR="009A28FF" w:rsidRDefault="009A28FF" w:rsidP="00CC4A77">
      <w:pPr>
        <w:spacing w:line="240" w:lineRule="auto"/>
        <w:jc w:val="both"/>
        <w:rPr>
          <w:rFonts w:ascii="Times New Roman" w:hAnsi="Times New Roman" w:cs="Times New Roman"/>
          <w:b/>
          <w:sz w:val="24"/>
          <w:szCs w:val="24"/>
        </w:rPr>
      </w:pPr>
    </w:p>
    <w:p w:rsidR="00CC4A77" w:rsidRDefault="009A28FF" w:rsidP="00CC4A77">
      <w:pPr>
        <w:spacing w:line="240" w:lineRule="auto"/>
        <w:jc w:val="both"/>
        <w:rPr>
          <w:rFonts w:ascii="Times New Roman" w:hAnsi="Times New Roman" w:cs="Times New Roman"/>
          <w:b/>
          <w:sz w:val="24"/>
          <w:szCs w:val="24"/>
        </w:rPr>
      </w:pPr>
      <w:r w:rsidRPr="009A28FF">
        <w:rPr>
          <w:rFonts w:ascii="Times New Roman" w:hAnsi="Times New Roman" w:cs="Times New Roman"/>
          <w:b/>
          <w:sz w:val="24"/>
          <w:szCs w:val="24"/>
        </w:rPr>
        <w:t>Nota final:</w:t>
      </w:r>
      <w:r>
        <w:rPr>
          <w:rFonts w:ascii="Times New Roman" w:hAnsi="Times New Roman" w:cs="Times New Roman"/>
          <w:b/>
          <w:sz w:val="24"/>
          <w:szCs w:val="24"/>
        </w:rPr>
        <w:t xml:space="preserve"> </w:t>
      </w:r>
      <w:r w:rsidRPr="009A28FF">
        <w:rPr>
          <w:rFonts w:ascii="Times New Roman" w:hAnsi="Times New Roman" w:cs="Times New Roman"/>
          <w:b/>
          <w:sz w:val="24"/>
          <w:szCs w:val="24"/>
        </w:rPr>
        <w:t>Buscando la verdad, toda la verdad</w:t>
      </w:r>
      <w:r>
        <w:rPr>
          <w:rFonts w:ascii="Times New Roman" w:hAnsi="Times New Roman" w:cs="Times New Roman"/>
          <w:b/>
          <w:sz w:val="24"/>
          <w:szCs w:val="24"/>
        </w:rPr>
        <w:t>,</w:t>
      </w:r>
      <w:r w:rsidRPr="009A28FF">
        <w:rPr>
          <w:rFonts w:ascii="Times New Roman" w:hAnsi="Times New Roman" w:cs="Times New Roman"/>
          <w:b/>
          <w:sz w:val="24"/>
          <w:szCs w:val="24"/>
        </w:rPr>
        <w:t xml:space="preserve"> y no solo la parte que nos conviene</w:t>
      </w:r>
    </w:p>
    <w:p w:rsidR="00CA2219" w:rsidRPr="007611E7" w:rsidRDefault="00CA2219" w:rsidP="00CA2219">
      <w:pPr>
        <w:spacing w:line="240" w:lineRule="auto"/>
        <w:jc w:val="both"/>
        <w:rPr>
          <w:rFonts w:ascii="Times New Roman" w:hAnsi="Times New Roman" w:cs="Times New Roman"/>
          <w:b/>
          <w:sz w:val="24"/>
          <w:szCs w:val="24"/>
        </w:rPr>
      </w:pPr>
      <w:r w:rsidRPr="007611E7">
        <w:rPr>
          <w:rFonts w:ascii="Times New Roman" w:hAnsi="Times New Roman" w:cs="Times New Roman"/>
          <w:b/>
          <w:sz w:val="24"/>
          <w:szCs w:val="24"/>
        </w:rPr>
        <w:t>Aunque todo está pasando muy de prisa, siento la obligación (moral</w:t>
      </w:r>
      <w:r w:rsidR="00CB32B0">
        <w:rPr>
          <w:rFonts w:ascii="Times New Roman" w:hAnsi="Times New Roman" w:cs="Times New Roman"/>
          <w:b/>
          <w:sz w:val="24"/>
          <w:szCs w:val="24"/>
        </w:rPr>
        <w:t>, e intelectual</w:t>
      </w:r>
      <w:r w:rsidRPr="007611E7">
        <w:rPr>
          <w:rFonts w:ascii="Times New Roman" w:hAnsi="Times New Roman" w:cs="Times New Roman"/>
          <w:b/>
          <w:sz w:val="24"/>
          <w:szCs w:val="24"/>
        </w:rPr>
        <w:t>) de recordarlo despacio.</w:t>
      </w:r>
    </w:p>
    <w:p w:rsidR="009A28FF" w:rsidRPr="007611E7" w:rsidRDefault="009A28FF" w:rsidP="00CC4A77">
      <w:pPr>
        <w:spacing w:line="240" w:lineRule="auto"/>
        <w:jc w:val="both"/>
        <w:rPr>
          <w:rFonts w:ascii="Times New Roman" w:hAnsi="Times New Roman" w:cs="Times New Roman"/>
          <w:b/>
          <w:sz w:val="24"/>
          <w:szCs w:val="24"/>
        </w:rPr>
      </w:pPr>
      <w:r w:rsidRPr="007611E7">
        <w:rPr>
          <w:rFonts w:ascii="Times New Roman" w:hAnsi="Times New Roman" w:cs="Times New Roman"/>
          <w:b/>
          <w:sz w:val="24"/>
          <w:szCs w:val="24"/>
        </w:rPr>
        <w:t xml:space="preserve">Todos los “davosianos” están convencidos de que lo mejor que puede pasarle al capitalismo es la invasión china para que acabe para siempre con cualquier atisbo de cambio, con cualquier reclamación, </w:t>
      </w:r>
      <w:r w:rsidR="00787383">
        <w:rPr>
          <w:rFonts w:ascii="Times New Roman" w:hAnsi="Times New Roman" w:cs="Times New Roman"/>
          <w:b/>
          <w:sz w:val="24"/>
          <w:szCs w:val="24"/>
        </w:rPr>
        <w:t xml:space="preserve">o </w:t>
      </w:r>
      <w:r w:rsidRPr="007611E7">
        <w:rPr>
          <w:rFonts w:ascii="Times New Roman" w:hAnsi="Times New Roman" w:cs="Times New Roman"/>
          <w:b/>
          <w:sz w:val="24"/>
          <w:szCs w:val="24"/>
        </w:rPr>
        <w:t>con cu</w:t>
      </w:r>
      <w:r w:rsidR="007611E7">
        <w:rPr>
          <w:rFonts w:ascii="Times New Roman" w:hAnsi="Times New Roman" w:cs="Times New Roman"/>
          <w:b/>
          <w:sz w:val="24"/>
          <w:szCs w:val="24"/>
        </w:rPr>
        <w:t>alquier reacción</w:t>
      </w:r>
      <w:r w:rsidR="00787383">
        <w:rPr>
          <w:rFonts w:ascii="Times New Roman" w:hAnsi="Times New Roman" w:cs="Times New Roman"/>
          <w:b/>
          <w:sz w:val="24"/>
          <w:szCs w:val="24"/>
        </w:rPr>
        <w:t>,</w:t>
      </w:r>
      <w:r w:rsidR="007611E7">
        <w:rPr>
          <w:rFonts w:ascii="Times New Roman" w:hAnsi="Times New Roman" w:cs="Times New Roman"/>
          <w:b/>
          <w:sz w:val="24"/>
          <w:szCs w:val="24"/>
        </w:rPr>
        <w:t xml:space="preserve"> de la sociedad occidental.</w:t>
      </w:r>
    </w:p>
    <w:p w:rsidR="009A28FF" w:rsidRPr="007611E7" w:rsidRDefault="009A28FF" w:rsidP="00CC4A77">
      <w:pPr>
        <w:spacing w:line="240" w:lineRule="auto"/>
        <w:jc w:val="both"/>
        <w:rPr>
          <w:rFonts w:ascii="Times New Roman" w:hAnsi="Times New Roman" w:cs="Times New Roman"/>
          <w:b/>
          <w:sz w:val="24"/>
          <w:szCs w:val="24"/>
        </w:rPr>
      </w:pPr>
      <w:r w:rsidRPr="007611E7">
        <w:rPr>
          <w:rFonts w:ascii="Times New Roman" w:hAnsi="Times New Roman" w:cs="Times New Roman"/>
          <w:b/>
          <w:sz w:val="24"/>
          <w:szCs w:val="24"/>
        </w:rPr>
        <w:t xml:space="preserve">Aunque al día siguiente comprueben que China no vendrá a traer la libertad, la igualdad y la fraternidad, sino a imponer la ambición desmedida de un tirano a quien no le importará asesinar inocentes, arrasar sus casas, o destruir un </w:t>
      </w:r>
      <w:r w:rsidR="00787383">
        <w:rPr>
          <w:rFonts w:ascii="Times New Roman" w:hAnsi="Times New Roman" w:cs="Times New Roman"/>
          <w:b/>
          <w:sz w:val="24"/>
          <w:szCs w:val="24"/>
        </w:rPr>
        <w:t>país entero con tal de ocuparlo, l</w:t>
      </w:r>
      <w:r w:rsidR="007611E7">
        <w:rPr>
          <w:rFonts w:ascii="Times New Roman" w:hAnsi="Times New Roman" w:cs="Times New Roman"/>
          <w:b/>
          <w:sz w:val="24"/>
          <w:szCs w:val="24"/>
        </w:rPr>
        <w:t xml:space="preserve">as “cacatúas” del Gran Reseteo, sin ningún componente ético, y sin ningún comportamiento honorable, seguirán a la suyo: medrar, </w:t>
      </w:r>
      <w:r w:rsidR="00CA2219">
        <w:rPr>
          <w:rFonts w:ascii="Times New Roman" w:hAnsi="Times New Roman" w:cs="Times New Roman"/>
          <w:b/>
          <w:sz w:val="24"/>
          <w:szCs w:val="24"/>
        </w:rPr>
        <w:t>timar, lucrar</w:t>
      </w:r>
      <w:r w:rsidR="00787383">
        <w:rPr>
          <w:rFonts w:ascii="Times New Roman" w:hAnsi="Times New Roman" w:cs="Times New Roman"/>
          <w:b/>
          <w:sz w:val="24"/>
          <w:szCs w:val="24"/>
        </w:rPr>
        <w:t>,</w:t>
      </w:r>
      <w:r w:rsidR="0072432C">
        <w:rPr>
          <w:rFonts w:ascii="Times New Roman" w:hAnsi="Times New Roman" w:cs="Times New Roman"/>
          <w:b/>
          <w:sz w:val="24"/>
          <w:szCs w:val="24"/>
        </w:rPr>
        <w:t xml:space="preserve"> f</w:t>
      </w:r>
      <w:r w:rsidR="00CA2219">
        <w:rPr>
          <w:rFonts w:ascii="Times New Roman" w:hAnsi="Times New Roman" w:cs="Times New Roman"/>
          <w:b/>
          <w:sz w:val="24"/>
          <w:szCs w:val="24"/>
        </w:rPr>
        <w:t>ingir…</w:t>
      </w:r>
    </w:p>
    <w:p w:rsidR="007611E7" w:rsidRDefault="00787383" w:rsidP="00CC4A77">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7611E7" w:rsidRPr="007611E7">
        <w:rPr>
          <w:rFonts w:ascii="Times New Roman" w:hAnsi="Times New Roman" w:cs="Times New Roman"/>
          <w:b/>
          <w:sz w:val="24"/>
          <w:szCs w:val="24"/>
        </w:rPr>
        <w:t xml:space="preserve">Qué </w:t>
      </w:r>
      <w:r w:rsidR="007611E7">
        <w:rPr>
          <w:rFonts w:ascii="Times New Roman" w:hAnsi="Times New Roman" w:cs="Times New Roman"/>
          <w:b/>
          <w:sz w:val="24"/>
          <w:szCs w:val="24"/>
        </w:rPr>
        <w:t>“</w:t>
      </w:r>
      <w:r w:rsidR="007611E7" w:rsidRPr="007611E7">
        <w:rPr>
          <w:rFonts w:ascii="Times New Roman" w:hAnsi="Times New Roman" w:cs="Times New Roman"/>
          <w:b/>
          <w:sz w:val="24"/>
          <w:szCs w:val="24"/>
        </w:rPr>
        <w:t>trompazo</w:t>
      </w:r>
      <w:r w:rsidR="007611E7">
        <w:rPr>
          <w:rFonts w:ascii="Times New Roman" w:hAnsi="Times New Roman" w:cs="Times New Roman"/>
          <w:b/>
          <w:sz w:val="24"/>
          <w:szCs w:val="24"/>
        </w:rPr>
        <w:t>”</w:t>
      </w:r>
      <w:r w:rsidR="007611E7" w:rsidRPr="007611E7">
        <w:rPr>
          <w:rFonts w:ascii="Times New Roman" w:hAnsi="Times New Roman" w:cs="Times New Roman"/>
          <w:b/>
          <w:sz w:val="24"/>
          <w:szCs w:val="24"/>
        </w:rPr>
        <w:t xml:space="preserve"> podrá enseñar a estos idiotas que no han sa</w:t>
      </w:r>
      <w:r w:rsidR="00CA2219">
        <w:rPr>
          <w:rFonts w:ascii="Times New Roman" w:hAnsi="Times New Roman" w:cs="Times New Roman"/>
          <w:b/>
          <w:sz w:val="24"/>
          <w:szCs w:val="24"/>
        </w:rPr>
        <w:t>bido quedarse en su sitio, a estos</w:t>
      </w:r>
      <w:r w:rsidR="007611E7" w:rsidRPr="007611E7">
        <w:rPr>
          <w:rFonts w:ascii="Times New Roman" w:hAnsi="Times New Roman" w:cs="Times New Roman"/>
          <w:b/>
          <w:sz w:val="24"/>
          <w:szCs w:val="24"/>
        </w:rPr>
        <w:t xml:space="preserve"> idiotas que no han querido comprender cuales eran sus deberes y sus lealtades para escoger un camino ficticio, ilusorio, irreal, una vida al marg</w:t>
      </w:r>
      <w:r w:rsidR="00CA2219">
        <w:rPr>
          <w:rFonts w:ascii="Times New Roman" w:hAnsi="Times New Roman" w:cs="Times New Roman"/>
          <w:b/>
          <w:sz w:val="24"/>
          <w:szCs w:val="24"/>
        </w:rPr>
        <w:t>en del calendario, de peligroso</w:t>
      </w:r>
      <w:r w:rsidR="007611E7" w:rsidRPr="007611E7">
        <w:rPr>
          <w:rFonts w:ascii="Times New Roman" w:hAnsi="Times New Roman" w:cs="Times New Roman"/>
          <w:b/>
          <w:sz w:val="24"/>
          <w:szCs w:val="24"/>
        </w:rPr>
        <w:t xml:space="preserve"> recorrido, de incierto final</w:t>
      </w:r>
      <w:r w:rsidR="00CA2219">
        <w:rPr>
          <w:rFonts w:ascii="Times New Roman" w:hAnsi="Times New Roman" w:cs="Times New Roman"/>
          <w:b/>
          <w:sz w:val="24"/>
          <w:szCs w:val="24"/>
        </w:rPr>
        <w:t>,</w:t>
      </w:r>
      <w:r w:rsidR="007611E7" w:rsidRPr="007611E7">
        <w:rPr>
          <w:rFonts w:ascii="Times New Roman" w:hAnsi="Times New Roman" w:cs="Times New Roman"/>
          <w:b/>
          <w:sz w:val="24"/>
          <w:szCs w:val="24"/>
        </w:rPr>
        <w:t xml:space="preserve"> y de imposible retorno</w:t>
      </w:r>
      <w:r>
        <w:rPr>
          <w:rFonts w:ascii="Times New Roman" w:hAnsi="Times New Roman" w:cs="Times New Roman"/>
          <w:b/>
          <w:sz w:val="24"/>
          <w:szCs w:val="24"/>
        </w:rPr>
        <w:t>?</w:t>
      </w:r>
      <w:r w:rsidR="00CA2219">
        <w:rPr>
          <w:rFonts w:ascii="Times New Roman" w:hAnsi="Times New Roman" w:cs="Times New Roman"/>
          <w:b/>
          <w:sz w:val="24"/>
          <w:szCs w:val="24"/>
        </w:rPr>
        <w:t xml:space="preserve"> </w:t>
      </w:r>
    </w:p>
    <w:p w:rsidR="00347572" w:rsidRDefault="00347572" w:rsidP="00347572">
      <w:pPr>
        <w:pStyle w:val="bbc-bm53ic"/>
        <w:shd w:val="clear" w:color="auto" w:fill="FDFDFD"/>
        <w:spacing w:after="0"/>
        <w:jc w:val="both"/>
        <w:rPr>
          <w:b/>
          <w:shd w:val="clear" w:color="auto" w:fill="FFFFFF"/>
        </w:rPr>
      </w:pPr>
      <w:r>
        <w:rPr>
          <w:b/>
        </w:rPr>
        <w:t xml:space="preserve">(Marzo 2022) </w:t>
      </w:r>
      <w:r w:rsidRPr="00347572">
        <w:rPr>
          <w:b/>
          <w:shd w:val="clear" w:color="auto" w:fill="FFFFFF"/>
        </w:rPr>
        <w:t>El ataque ruso a Ucrania ha pill</w:t>
      </w:r>
      <w:r w:rsidR="00787383">
        <w:rPr>
          <w:b/>
          <w:shd w:val="clear" w:color="auto" w:fill="FFFFFF"/>
        </w:rPr>
        <w:t>ado desprevenidos a los europeos</w:t>
      </w:r>
      <w:r w:rsidRPr="00347572">
        <w:rPr>
          <w:b/>
          <w:shd w:val="clear" w:color="auto" w:fill="FFFFFF"/>
        </w:rPr>
        <w:t xml:space="preserve"> en todos los sentidos. No es sólo que muchos de los gobernantes no se esperaran una ofensiva de este calado, tal como sí avanzaba la inteligencia estadou</w:t>
      </w:r>
      <w:r w:rsidR="00C26078">
        <w:rPr>
          <w:b/>
          <w:shd w:val="clear" w:color="auto" w:fill="FFFFFF"/>
        </w:rPr>
        <w:t>nidense</w:t>
      </w:r>
      <w:r w:rsidRPr="00347572">
        <w:rPr>
          <w:b/>
          <w:shd w:val="clear" w:color="auto" w:fill="FFFFFF"/>
        </w:rPr>
        <w:t xml:space="preserve">, sino que tampoco estaban preparados para el reemplazo de los recursos energéticos y alimenticios, afectados por el conflicto. </w:t>
      </w:r>
      <w:r w:rsidR="00C26078">
        <w:rPr>
          <w:b/>
          <w:shd w:val="clear" w:color="auto" w:fill="FFFFFF"/>
        </w:rPr>
        <w:t>¿Revisará la Unión Europea su autarquía estratégica?</w:t>
      </w:r>
    </w:p>
    <w:p w:rsidR="00347572" w:rsidRPr="00347572" w:rsidRDefault="00347572" w:rsidP="00347572">
      <w:pPr>
        <w:pStyle w:val="bbc-bm53ic"/>
        <w:shd w:val="clear" w:color="auto" w:fill="FDFDFD"/>
        <w:spacing w:after="0"/>
        <w:jc w:val="both"/>
        <w:rPr>
          <w:b/>
          <w:shd w:val="clear" w:color="auto" w:fill="FFFFFF"/>
        </w:rPr>
      </w:pPr>
      <w:r>
        <w:rPr>
          <w:b/>
          <w:shd w:val="clear" w:color="auto" w:fill="FFFFFF"/>
        </w:rPr>
        <w:t>¿Cómo reaccionará Occidente si China decide invadir Taiwán?</w:t>
      </w:r>
      <w:r w:rsidR="00C26078">
        <w:rPr>
          <w:b/>
          <w:shd w:val="clear" w:color="auto" w:fill="FFFFFF"/>
        </w:rPr>
        <w:t xml:space="preserve"> ¿También dirá EEUU que el asunto no va con ellos, y que es “peccata minuta” ante el riesgo de una guerra mundial?</w:t>
      </w:r>
      <w:r w:rsidR="00787383">
        <w:rPr>
          <w:b/>
          <w:shd w:val="clear" w:color="auto" w:fill="FFFFFF"/>
        </w:rPr>
        <w:t xml:space="preserve"> ¿Se hincará</w:t>
      </w:r>
      <w:r w:rsidR="00F51882">
        <w:rPr>
          <w:b/>
          <w:shd w:val="clear" w:color="auto" w:fill="FFFFFF"/>
        </w:rPr>
        <w:t>n ante la dictadura china</w:t>
      </w:r>
      <w:r w:rsidR="00C26078">
        <w:rPr>
          <w:b/>
          <w:shd w:val="clear" w:color="auto" w:fill="FFFFFF"/>
        </w:rPr>
        <w:t>, co</w:t>
      </w:r>
      <w:r w:rsidR="00F51882">
        <w:rPr>
          <w:b/>
          <w:shd w:val="clear" w:color="auto" w:fill="FFFFFF"/>
        </w:rPr>
        <w:t>mo</w:t>
      </w:r>
      <w:r w:rsidR="00787383">
        <w:rPr>
          <w:b/>
          <w:shd w:val="clear" w:color="auto" w:fill="FFFFFF"/>
        </w:rPr>
        <w:t xml:space="preserve"> lo hace la UE </w:t>
      </w:r>
      <w:r w:rsidR="00F51882">
        <w:rPr>
          <w:b/>
          <w:shd w:val="clear" w:color="auto" w:fill="FFFFFF"/>
        </w:rPr>
        <w:t>ante el sátrapa</w:t>
      </w:r>
      <w:r w:rsidR="00C26078">
        <w:rPr>
          <w:b/>
          <w:shd w:val="clear" w:color="auto" w:fill="FFFFFF"/>
        </w:rPr>
        <w:t xml:space="preserve"> ruso?</w:t>
      </w:r>
      <w:r>
        <w:rPr>
          <w:b/>
          <w:shd w:val="clear" w:color="auto" w:fill="FFFFFF"/>
        </w:rPr>
        <w:t xml:space="preserve"> </w:t>
      </w:r>
      <w:r w:rsidR="00F51882">
        <w:rPr>
          <w:b/>
          <w:shd w:val="clear" w:color="auto" w:fill="FFFFFF"/>
        </w:rPr>
        <w:t xml:space="preserve"> Sería bueno que en la próxima reunión del Foro de Davos se discutiera sobre ello. </w:t>
      </w:r>
      <w:r>
        <w:rPr>
          <w:b/>
          <w:shd w:val="clear" w:color="auto" w:fill="FFFFFF"/>
        </w:rPr>
        <w:t xml:space="preserve"> </w:t>
      </w:r>
    </w:p>
    <w:sectPr w:rsidR="00347572" w:rsidRPr="0034757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6F03D1"/>
    <w:multiLevelType w:val="multilevel"/>
    <w:tmpl w:val="39805A18"/>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nsid w:val="1EA01FA0"/>
    <w:multiLevelType w:val="multilevel"/>
    <w:tmpl w:val="CF2C59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EBF6F35"/>
    <w:multiLevelType w:val="multilevel"/>
    <w:tmpl w:val="486A8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81A43AE"/>
    <w:multiLevelType w:val="multilevel"/>
    <w:tmpl w:val="657CBF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01265D2"/>
    <w:multiLevelType w:val="multilevel"/>
    <w:tmpl w:val="E5B4B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C2C1685"/>
    <w:multiLevelType w:val="hybridMultilevel"/>
    <w:tmpl w:val="C57CE072"/>
    <w:lvl w:ilvl="0" w:tplc="763403F2">
      <w:numFmt w:val="bullet"/>
      <w:lvlText w:val="-"/>
      <w:lvlJc w:val="left"/>
      <w:pPr>
        <w:ind w:left="720" w:hanging="360"/>
      </w:pPr>
      <w:rPr>
        <w:rFonts w:ascii="Times New Roman" w:eastAsiaTheme="minorHAnsi"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4"/>
  </w:num>
  <w:num w:numId="5">
    <w:abstractNumId w:val="5"/>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3BCE"/>
    <w:rsid w:val="000220D6"/>
    <w:rsid w:val="000E33A3"/>
    <w:rsid w:val="001715FB"/>
    <w:rsid w:val="00297184"/>
    <w:rsid w:val="002A0373"/>
    <w:rsid w:val="00337A96"/>
    <w:rsid w:val="00347572"/>
    <w:rsid w:val="004B008E"/>
    <w:rsid w:val="004B4A6B"/>
    <w:rsid w:val="0064679C"/>
    <w:rsid w:val="006C4E68"/>
    <w:rsid w:val="006F0D6A"/>
    <w:rsid w:val="0072432C"/>
    <w:rsid w:val="007611E7"/>
    <w:rsid w:val="00787383"/>
    <w:rsid w:val="007E47FB"/>
    <w:rsid w:val="00837194"/>
    <w:rsid w:val="008E5798"/>
    <w:rsid w:val="0096151B"/>
    <w:rsid w:val="009977F5"/>
    <w:rsid w:val="009A28FF"/>
    <w:rsid w:val="00A367F9"/>
    <w:rsid w:val="00C2114A"/>
    <w:rsid w:val="00C26078"/>
    <w:rsid w:val="00CA2219"/>
    <w:rsid w:val="00CB32B0"/>
    <w:rsid w:val="00CC4A77"/>
    <w:rsid w:val="00D93BCE"/>
    <w:rsid w:val="00DD7437"/>
    <w:rsid w:val="00DE2586"/>
    <w:rsid w:val="00DE6AA4"/>
    <w:rsid w:val="00F51882"/>
    <w:rsid w:val="00FD7583"/>
    <w:rsid w:val="00FE21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3BCE"/>
  </w:style>
  <w:style w:type="paragraph" w:styleId="Ttulo1">
    <w:name w:val="heading 1"/>
    <w:basedOn w:val="Normal"/>
    <w:link w:val="Ttulo1Car"/>
    <w:uiPriority w:val="9"/>
    <w:qFormat/>
    <w:rsid w:val="00D93BC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D93BC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D93BCE"/>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unhideWhenUsed/>
    <w:qFormat/>
    <w:rsid w:val="00D93BC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93BCE"/>
    <w:rPr>
      <w:rFonts w:ascii="Times New Roman" w:eastAsia="Times New Roman" w:hAnsi="Times New Roman" w:cs="Times New Roman"/>
      <w:b/>
      <w:bCs/>
      <w:kern w:val="36"/>
      <w:sz w:val="48"/>
      <w:szCs w:val="48"/>
      <w:lang w:eastAsia="es-ES"/>
    </w:rPr>
  </w:style>
  <w:style w:type="character" w:customStyle="1" w:styleId="Ttulo3Car">
    <w:name w:val="Título 3 Car"/>
    <w:basedOn w:val="Fuentedeprrafopredeter"/>
    <w:link w:val="Ttulo3"/>
    <w:uiPriority w:val="9"/>
    <w:rsid w:val="00D93BCE"/>
    <w:rPr>
      <w:rFonts w:ascii="Times New Roman" w:eastAsia="Times New Roman" w:hAnsi="Times New Roman" w:cs="Times New Roman"/>
      <w:b/>
      <w:bCs/>
      <w:sz w:val="27"/>
      <w:szCs w:val="27"/>
      <w:lang w:eastAsia="es-ES"/>
    </w:rPr>
  </w:style>
  <w:style w:type="character" w:customStyle="1" w:styleId="Ttulo4Car">
    <w:name w:val="Título 4 Car"/>
    <w:basedOn w:val="Fuentedeprrafopredeter"/>
    <w:link w:val="Ttulo4"/>
    <w:uiPriority w:val="9"/>
    <w:rsid w:val="00D93BCE"/>
    <w:rPr>
      <w:rFonts w:asciiTheme="majorHAnsi" w:eastAsiaTheme="majorEastAsia" w:hAnsiTheme="majorHAnsi" w:cstheme="majorBidi"/>
      <w:b/>
      <w:bCs/>
      <w:i/>
      <w:iCs/>
      <w:color w:val="4F81BD" w:themeColor="accent1"/>
    </w:rPr>
  </w:style>
  <w:style w:type="paragraph" w:styleId="NormalWeb">
    <w:name w:val="Normal (Web)"/>
    <w:basedOn w:val="Normal"/>
    <w:uiPriority w:val="99"/>
    <w:unhideWhenUsed/>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D93BC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93BCE"/>
    <w:rPr>
      <w:rFonts w:ascii="Tahoma" w:hAnsi="Tahoma" w:cs="Tahoma"/>
      <w:sz w:val="16"/>
      <w:szCs w:val="16"/>
    </w:rPr>
  </w:style>
  <w:style w:type="character" w:customStyle="1" w:styleId="Ttulo2Car">
    <w:name w:val="Título 2 Car"/>
    <w:basedOn w:val="Fuentedeprrafopredeter"/>
    <w:link w:val="Ttulo2"/>
    <w:uiPriority w:val="9"/>
    <w:rsid w:val="00D93BCE"/>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unhideWhenUsed/>
    <w:rsid w:val="00D93BCE"/>
    <w:rPr>
      <w:color w:val="0000FF"/>
      <w:u w:val="single"/>
    </w:rPr>
  </w:style>
  <w:style w:type="character" w:customStyle="1" w:styleId="chevon-arrow">
    <w:name w:val="chevon-arrow"/>
    <w:basedOn w:val="Fuentedeprrafopredeter"/>
    <w:rsid w:val="00D93BCE"/>
  </w:style>
  <w:style w:type="character" w:styleId="Textoennegrita">
    <w:name w:val="Strong"/>
    <w:basedOn w:val="Fuentedeprrafopredeter"/>
    <w:uiPriority w:val="22"/>
    <w:qFormat/>
    <w:rsid w:val="00D93BCE"/>
    <w:rPr>
      <w:b/>
      <w:bCs/>
    </w:rPr>
  </w:style>
  <w:style w:type="character" w:styleId="nfasis">
    <w:name w:val="Emphasis"/>
    <w:basedOn w:val="Fuentedeprrafopredeter"/>
    <w:uiPriority w:val="20"/>
    <w:qFormat/>
    <w:rsid w:val="00D93BCE"/>
    <w:rPr>
      <w:i/>
      <w:iCs/>
    </w:rPr>
  </w:style>
  <w:style w:type="character" w:customStyle="1" w:styleId="apple-converted-space">
    <w:name w:val="apple-converted-space"/>
    <w:basedOn w:val="Fuentedeprrafopredeter"/>
    <w:rsid w:val="00D93BCE"/>
  </w:style>
  <w:style w:type="paragraph" w:customStyle="1" w:styleId="supplementary">
    <w:name w:val="supplementary"/>
    <w:basedOn w:val="Normal"/>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D93BCE"/>
    <w:pPr>
      <w:ind w:left="720"/>
      <w:contextualSpacing/>
    </w:pPr>
  </w:style>
  <w:style w:type="paragraph" w:customStyle="1" w:styleId="bbc-bm53ic">
    <w:name w:val="bbc-bm53ic"/>
    <w:basedOn w:val="Normal"/>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D93BCE"/>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ExecutiveSummarytext">
    <w:name w:val="Executive Summary text"/>
    <w:basedOn w:val="Normal"/>
    <w:next w:val="Normal"/>
    <w:uiPriority w:val="99"/>
    <w:rsid w:val="00D93BCE"/>
    <w:pPr>
      <w:autoSpaceDE w:val="0"/>
      <w:autoSpaceDN w:val="0"/>
      <w:adjustRightInd w:val="0"/>
      <w:spacing w:after="0" w:line="240" w:lineRule="auto"/>
    </w:pPr>
    <w:rPr>
      <w:rFonts w:ascii="Arial" w:hAnsi="Arial" w:cs="Arial"/>
      <w:sz w:val="24"/>
      <w:szCs w:val="24"/>
    </w:rPr>
  </w:style>
  <w:style w:type="paragraph" w:styleId="Textoindependiente">
    <w:name w:val="Body Text"/>
    <w:basedOn w:val="Normal"/>
    <w:link w:val="TextoindependienteCar"/>
    <w:uiPriority w:val="99"/>
    <w:semiHidden/>
    <w:unhideWhenUsed/>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uiPriority w:val="99"/>
    <w:semiHidden/>
    <w:rsid w:val="00D93BCE"/>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D93BC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3BCE"/>
  </w:style>
  <w:style w:type="paragraph" w:styleId="Ttulo1">
    <w:name w:val="heading 1"/>
    <w:basedOn w:val="Normal"/>
    <w:link w:val="Ttulo1Car"/>
    <w:uiPriority w:val="9"/>
    <w:qFormat/>
    <w:rsid w:val="00D93BC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D93BC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D93BCE"/>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unhideWhenUsed/>
    <w:qFormat/>
    <w:rsid w:val="00D93BC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93BCE"/>
    <w:rPr>
      <w:rFonts w:ascii="Times New Roman" w:eastAsia="Times New Roman" w:hAnsi="Times New Roman" w:cs="Times New Roman"/>
      <w:b/>
      <w:bCs/>
      <w:kern w:val="36"/>
      <w:sz w:val="48"/>
      <w:szCs w:val="48"/>
      <w:lang w:eastAsia="es-ES"/>
    </w:rPr>
  </w:style>
  <w:style w:type="character" w:customStyle="1" w:styleId="Ttulo3Car">
    <w:name w:val="Título 3 Car"/>
    <w:basedOn w:val="Fuentedeprrafopredeter"/>
    <w:link w:val="Ttulo3"/>
    <w:uiPriority w:val="9"/>
    <w:rsid w:val="00D93BCE"/>
    <w:rPr>
      <w:rFonts w:ascii="Times New Roman" w:eastAsia="Times New Roman" w:hAnsi="Times New Roman" w:cs="Times New Roman"/>
      <w:b/>
      <w:bCs/>
      <w:sz w:val="27"/>
      <w:szCs w:val="27"/>
      <w:lang w:eastAsia="es-ES"/>
    </w:rPr>
  </w:style>
  <w:style w:type="character" w:customStyle="1" w:styleId="Ttulo4Car">
    <w:name w:val="Título 4 Car"/>
    <w:basedOn w:val="Fuentedeprrafopredeter"/>
    <w:link w:val="Ttulo4"/>
    <w:uiPriority w:val="9"/>
    <w:rsid w:val="00D93BCE"/>
    <w:rPr>
      <w:rFonts w:asciiTheme="majorHAnsi" w:eastAsiaTheme="majorEastAsia" w:hAnsiTheme="majorHAnsi" w:cstheme="majorBidi"/>
      <w:b/>
      <w:bCs/>
      <w:i/>
      <w:iCs/>
      <w:color w:val="4F81BD" w:themeColor="accent1"/>
    </w:rPr>
  </w:style>
  <w:style w:type="paragraph" w:styleId="NormalWeb">
    <w:name w:val="Normal (Web)"/>
    <w:basedOn w:val="Normal"/>
    <w:uiPriority w:val="99"/>
    <w:unhideWhenUsed/>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D93BC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93BCE"/>
    <w:rPr>
      <w:rFonts w:ascii="Tahoma" w:hAnsi="Tahoma" w:cs="Tahoma"/>
      <w:sz w:val="16"/>
      <w:szCs w:val="16"/>
    </w:rPr>
  </w:style>
  <w:style w:type="character" w:customStyle="1" w:styleId="Ttulo2Car">
    <w:name w:val="Título 2 Car"/>
    <w:basedOn w:val="Fuentedeprrafopredeter"/>
    <w:link w:val="Ttulo2"/>
    <w:uiPriority w:val="9"/>
    <w:rsid w:val="00D93BCE"/>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unhideWhenUsed/>
    <w:rsid w:val="00D93BCE"/>
    <w:rPr>
      <w:color w:val="0000FF"/>
      <w:u w:val="single"/>
    </w:rPr>
  </w:style>
  <w:style w:type="character" w:customStyle="1" w:styleId="chevon-arrow">
    <w:name w:val="chevon-arrow"/>
    <w:basedOn w:val="Fuentedeprrafopredeter"/>
    <w:rsid w:val="00D93BCE"/>
  </w:style>
  <w:style w:type="character" w:styleId="Textoennegrita">
    <w:name w:val="Strong"/>
    <w:basedOn w:val="Fuentedeprrafopredeter"/>
    <w:uiPriority w:val="22"/>
    <w:qFormat/>
    <w:rsid w:val="00D93BCE"/>
    <w:rPr>
      <w:b/>
      <w:bCs/>
    </w:rPr>
  </w:style>
  <w:style w:type="character" w:styleId="nfasis">
    <w:name w:val="Emphasis"/>
    <w:basedOn w:val="Fuentedeprrafopredeter"/>
    <w:uiPriority w:val="20"/>
    <w:qFormat/>
    <w:rsid w:val="00D93BCE"/>
    <w:rPr>
      <w:i/>
      <w:iCs/>
    </w:rPr>
  </w:style>
  <w:style w:type="character" w:customStyle="1" w:styleId="apple-converted-space">
    <w:name w:val="apple-converted-space"/>
    <w:basedOn w:val="Fuentedeprrafopredeter"/>
    <w:rsid w:val="00D93BCE"/>
  </w:style>
  <w:style w:type="paragraph" w:customStyle="1" w:styleId="supplementary">
    <w:name w:val="supplementary"/>
    <w:basedOn w:val="Normal"/>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D93BCE"/>
    <w:pPr>
      <w:ind w:left="720"/>
      <w:contextualSpacing/>
    </w:pPr>
  </w:style>
  <w:style w:type="paragraph" w:customStyle="1" w:styleId="bbc-bm53ic">
    <w:name w:val="bbc-bm53ic"/>
    <w:basedOn w:val="Normal"/>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D93BCE"/>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ExecutiveSummarytext">
    <w:name w:val="Executive Summary text"/>
    <w:basedOn w:val="Normal"/>
    <w:next w:val="Normal"/>
    <w:uiPriority w:val="99"/>
    <w:rsid w:val="00D93BCE"/>
    <w:pPr>
      <w:autoSpaceDE w:val="0"/>
      <w:autoSpaceDN w:val="0"/>
      <w:adjustRightInd w:val="0"/>
      <w:spacing w:after="0" w:line="240" w:lineRule="auto"/>
    </w:pPr>
    <w:rPr>
      <w:rFonts w:ascii="Arial" w:hAnsi="Arial" w:cs="Arial"/>
      <w:sz w:val="24"/>
      <w:szCs w:val="24"/>
    </w:rPr>
  </w:style>
  <w:style w:type="paragraph" w:styleId="Textoindependiente">
    <w:name w:val="Body Text"/>
    <w:basedOn w:val="Normal"/>
    <w:link w:val="TextoindependienteCar"/>
    <w:uiPriority w:val="99"/>
    <w:semiHidden/>
    <w:unhideWhenUsed/>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uiPriority w:val="99"/>
    <w:semiHidden/>
    <w:rsid w:val="00D93BCE"/>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D93BC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D93B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jpeg"/><Relationship Id="rId21" Type="http://schemas.openxmlformats.org/officeDocument/2006/relationships/hyperlink" Target="http://reports.weforum.org/global-risks-report-2021/imperfect-markets-a-disorderly-industrial-shakeout/" TargetMode="External"/><Relationship Id="rId42" Type="http://schemas.openxmlformats.org/officeDocument/2006/relationships/hyperlink" Target="http://reports.weforum.org/global-risks-report-2021/error-404-barriers-to-digital-inclusivity/" TargetMode="External"/><Relationship Id="rId63" Type="http://schemas.openxmlformats.org/officeDocument/2006/relationships/hyperlink" Target="http://reports.weforum.org/global-risks-report-2021/middle-power-morass-navigating-global-divides/" TargetMode="External"/><Relationship Id="rId84" Type="http://schemas.openxmlformats.org/officeDocument/2006/relationships/image" Target="media/image21.png"/><Relationship Id="rId138" Type="http://schemas.openxmlformats.org/officeDocument/2006/relationships/image" Target="media/image67.png"/><Relationship Id="rId107" Type="http://schemas.openxmlformats.org/officeDocument/2006/relationships/hyperlink" Target="https://www.weforum.org/reports/global-risks-report-2022/in-full/chapter-5-crowding-and-competition-in-space#chapter-5-crowding-and-competition-in-space" TargetMode="External"/><Relationship Id="rId11" Type="http://schemas.openxmlformats.org/officeDocument/2006/relationships/hyperlink" Target="https://www.imf.org/en/Publications/WEO" TargetMode="External"/><Relationship Id="rId32" Type="http://schemas.openxmlformats.org/officeDocument/2006/relationships/hyperlink" Target="https://www.pbl.nl/en/publicaties/klimaat-en-energieverkenning-2019" TargetMode="External"/><Relationship Id="rId53" Type="http://schemas.openxmlformats.org/officeDocument/2006/relationships/hyperlink" Target="http://reports.weforum.org/global-risks-report-2021/error-404-barriers-to-digital-inclusivity/" TargetMode="External"/><Relationship Id="rId74" Type="http://schemas.openxmlformats.org/officeDocument/2006/relationships/hyperlink" Target="http://reports.weforum.org/global-risks-report-2021/pandemials-youth-in-an-age-of-lost-opportunity/" TargetMode="External"/><Relationship Id="rId128" Type="http://schemas.openxmlformats.org/officeDocument/2006/relationships/image" Target="media/image57.jpeg"/><Relationship Id="rId149"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image" Target="media/image30.jpeg"/><Relationship Id="rId22" Type="http://schemas.openxmlformats.org/officeDocument/2006/relationships/hyperlink" Target="http://reports.weforum.org/global-risks-report-2021/survey-results/the-global-risks-network-2021/" TargetMode="External"/><Relationship Id="rId27" Type="http://schemas.openxmlformats.org/officeDocument/2006/relationships/hyperlink" Target="http://reports.weforum.org/global-risks-report-2021/hindsight-reflections-on-responses-to-covid-19/" TargetMode="External"/><Relationship Id="rId43" Type="http://schemas.openxmlformats.org/officeDocument/2006/relationships/hyperlink" Target="http://reports.weforum.org/global-risks-report-2021/survey-results/the-global-risks-landscape-2021/" TargetMode="External"/><Relationship Id="rId48" Type="http://schemas.openxmlformats.org/officeDocument/2006/relationships/hyperlink" Target="http://reports.weforum.org/global-risks-report-2021/error-404-barriers-to-digital-inclusivity/" TargetMode="External"/><Relationship Id="rId64" Type="http://schemas.openxmlformats.org/officeDocument/2006/relationships/hyperlink" Target="http://reports.weforum.org/global-risks-report-2021/global-risks-2021-fractured-future/" TargetMode="External"/><Relationship Id="rId69" Type="http://schemas.openxmlformats.org/officeDocument/2006/relationships/hyperlink" Target="https://www.worldbank.org/en/topic/trade/brief/coronavirus-covid-19-trade-policy-database-food-and-medical-products" TargetMode="External"/><Relationship Id="rId113" Type="http://schemas.openxmlformats.org/officeDocument/2006/relationships/image" Target="media/image45.jpeg"/><Relationship Id="rId118" Type="http://schemas.openxmlformats.org/officeDocument/2006/relationships/image" Target="media/image49.jpeg"/><Relationship Id="rId134" Type="http://schemas.openxmlformats.org/officeDocument/2006/relationships/image" Target="media/image63.jpeg"/><Relationship Id="rId139" Type="http://schemas.openxmlformats.org/officeDocument/2006/relationships/image" Target="media/image68.png"/><Relationship Id="rId80" Type="http://schemas.openxmlformats.org/officeDocument/2006/relationships/image" Target="media/image17.png"/><Relationship Id="rId85" Type="http://schemas.openxmlformats.org/officeDocument/2006/relationships/image" Target="media/image22.png"/><Relationship Id="rId12" Type="http://schemas.openxmlformats.org/officeDocument/2006/relationships/image" Target="media/image4.png"/><Relationship Id="rId17" Type="http://schemas.openxmlformats.org/officeDocument/2006/relationships/hyperlink" Target="http://reports.weforum.org/global-risks-report-2021/pandemials-youth-in-an-age-of-lost-opportunity/" TargetMode="External"/><Relationship Id="rId33" Type="http://schemas.openxmlformats.org/officeDocument/2006/relationships/hyperlink" Target="https://unctad.org/news/covid-19s-economic-fallout-will-long-outlive-health-crisis-report-warns" TargetMode="External"/><Relationship Id="rId38" Type="http://schemas.openxmlformats.org/officeDocument/2006/relationships/hyperlink" Target="http://reports.weforum.org/global-risks-report-2021/survey-results/the-global-risks-network-2021/" TargetMode="External"/><Relationship Id="rId59" Type="http://schemas.openxmlformats.org/officeDocument/2006/relationships/image" Target="media/image11.png"/><Relationship Id="rId103" Type="http://schemas.openxmlformats.org/officeDocument/2006/relationships/hyperlink" Target="https://www.weforum.org/reports/global-risks-report-2022/in-full/chapter-4-barriers-to-migration#chapter-4-barriers-to-migration" TargetMode="External"/><Relationship Id="rId108" Type="http://schemas.openxmlformats.org/officeDocument/2006/relationships/image" Target="media/image40.png"/><Relationship Id="rId124" Type="http://schemas.openxmlformats.org/officeDocument/2006/relationships/image" Target="media/image53.jpeg"/><Relationship Id="rId129" Type="http://schemas.openxmlformats.org/officeDocument/2006/relationships/image" Target="media/image58.jpeg"/><Relationship Id="rId54" Type="http://schemas.openxmlformats.org/officeDocument/2006/relationships/image" Target="media/image10.png"/><Relationship Id="rId70" Type="http://schemas.openxmlformats.org/officeDocument/2006/relationships/hyperlink" Target="http://reports.weforum.org/global-risks-report-2021/error-404-barriers-to-digital-inclusivity/" TargetMode="External"/><Relationship Id="rId75" Type="http://schemas.openxmlformats.org/officeDocument/2006/relationships/hyperlink" Target="http://reports.weforum.org/global-risks-report-2021/error-404-barriers-to-digital-inclusivity/" TargetMode="External"/><Relationship Id="rId91" Type="http://schemas.openxmlformats.org/officeDocument/2006/relationships/image" Target="media/image27.jpeg"/><Relationship Id="rId96" Type="http://schemas.openxmlformats.org/officeDocument/2006/relationships/image" Target="media/image31.jpeg"/><Relationship Id="rId140" Type="http://schemas.openxmlformats.org/officeDocument/2006/relationships/image" Target="media/image69.png"/><Relationship Id="rId145" Type="http://schemas.openxmlformats.org/officeDocument/2006/relationships/image" Target="media/image73.png"/><Relationship Id="rId1" Type="http://schemas.openxmlformats.org/officeDocument/2006/relationships/numbering" Target="numbering.xml"/><Relationship Id="rId6" Type="http://schemas.openxmlformats.org/officeDocument/2006/relationships/hyperlink" Target="http://www3.weforum.org/docs/WEF_The_Global_Risks_Report_2021.pdf" TargetMode="External"/><Relationship Id="rId23" Type="http://schemas.openxmlformats.org/officeDocument/2006/relationships/image" Target="media/image5.png"/><Relationship Id="rId28" Type="http://schemas.openxmlformats.org/officeDocument/2006/relationships/hyperlink" Target="http://reports.weforum.org/global-risks-report-2021/middle-power-morass-navigating-global-divides/" TargetMode="External"/><Relationship Id="rId49" Type="http://schemas.openxmlformats.org/officeDocument/2006/relationships/hyperlink" Target="http://reports.weforum.org/global-risks-report-2021/imperfect-markets-a-disorderly-industrial-shakeout/" TargetMode="External"/><Relationship Id="rId114" Type="http://schemas.openxmlformats.org/officeDocument/2006/relationships/hyperlink" Target="https://www.weforum.org/reports/global-risks-report-2022/in-full/chapter-6-refreshing-resilience-from-covid-19-lessons-to-a-whole-of-society-response#chapter-6-refreshing-resilience-from-covid-19-lessons-to-a-whole-of-society-response" TargetMode="External"/><Relationship Id="rId119" Type="http://schemas.openxmlformats.org/officeDocument/2006/relationships/hyperlink" Target="https://www.weforum.org/reports/global-risks-report-2022/in-full/appendix-a-descriptions-of-global-risks-2022#appendix-a-descriptions-of-global-risks-2022" TargetMode="External"/><Relationship Id="rId44" Type="http://schemas.openxmlformats.org/officeDocument/2006/relationships/image" Target="media/image8.png"/><Relationship Id="rId60" Type="http://schemas.openxmlformats.org/officeDocument/2006/relationships/hyperlink" Target="https://blogs.worldbank.org/developmenttalk/global-state-small-business-during-covid-19-gender-inequalities" TargetMode="External"/><Relationship Id="rId65" Type="http://schemas.openxmlformats.org/officeDocument/2006/relationships/image" Target="media/image12.png"/><Relationship Id="rId81" Type="http://schemas.openxmlformats.org/officeDocument/2006/relationships/image" Target="media/image18.png"/><Relationship Id="rId86" Type="http://schemas.openxmlformats.org/officeDocument/2006/relationships/hyperlink" Target="https://www.weforum.org/reports/global-risks-report-2022/in-full/chapter-1-global-risks-2022-worlds-apart#chapter-1-global-risks-2022-worlds-apart" TargetMode="External"/><Relationship Id="rId130" Type="http://schemas.openxmlformats.org/officeDocument/2006/relationships/image" Target="media/image59.jpeg"/><Relationship Id="rId135" Type="http://schemas.openxmlformats.org/officeDocument/2006/relationships/image" Target="media/image64.jpeg"/><Relationship Id="rId13" Type="http://schemas.openxmlformats.org/officeDocument/2006/relationships/hyperlink" Target="https://data.oecd.org/leadind/business-confidence-index-bci.htm" TargetMode="External"/><Relationship Id="rId18" Type="http://schemas.openxmlformats.org/officeDocument/2006/relationships/hyperlink" Target="http://reports.weforum.org/global-risks-report-2021/error-404-barriers-to-digital-inclusivity/" TargetMode="External"/><Relationship Id="rId39" Type="http://schemas.openxmlformats.org/officeDocument/2006/relationships/hyperlink" Target="http://reports.weforum.org/global-risks-report-2021/survey-results/the-global-risks-landscape-2021/" TargetMode="External"/><Relationship Id="rId109" Type="http://schemas.openxmlformats.org/officeDocument/2006/relationships/image" Target="media/image41.jpeg"/><Relationship Id="rId34" Type="http://schemas.openxmlformats.org/officeDocument/2006/relationships/image" Target="media/image7.png"/><Relationship Id="rId50" Type="http://schemas.openxmlformats.org/officeDocument/2006/relationships/hyperlink" Target="http://reports.weforum.org/global-risks-report-2021/middle-power-morass-navigating-global-divides/" TargetMode="External"/><Relationship Id="rId55" Type="http://schemas.openxmlformats.org/officeDocument/2006/relationships/hyperlink" Target="https://specopssoft.com/blog/countries-experiencing-significant-cyber-attacks/" TargetMode="External"/><Relationship Id="rId76" Type="http://schemas.openxmlformats.org/officeDocument/2006/relationships/hyperlink" Target="http://reports.weforum.org/global-risks-report-2021/global-risks-2021-fractured-future/" TargetMode="External"/><Relationship Id="rId97" Type="http://schemas.openxmlformats.org/officeDocument/2006/relationships/image" Target="media/image32.jpeg"/><Relationship Id="rId104" Type="http://schemas.openxmlformats.org/officeDocument/2006/relationships/image" Target="media/image37.jpeg"/><Relationship Id="rId120" Type="http://schemas.openxmlformats.org/officeDocument/2006/relationships/image" Target="media/image50.jpeg"/><Relationship Id="rId125" Type="http://schemas.openxmlformats.org/officeDocument/2006/relationships/image" Target="media/image54.jpeg"/><Relationship Id="rId141" Type="http://schemas.openxmlformats.org/officeDocument/2006/relationships/image" Target="media/image70.png"/><Relationship Id="rId146" Type="http://schemas.openxmlformats.org/officeDocument/2006/relationships/image" Target="media/image74.png"/><Relationship Id="rId7" Type="http://schemas.openxmlformats.org/officeDocument/2006/relationships/image" Target="media/image1.png"/><Relationship Id="rId71" Type="http://schemas.openxmlformats.org/officeDocument/2006/relationships/hyperlink" Target="http://reports.weforum.org/global-risks-report-2021/global-risks-2021-fractured-future/" TargetMode="External"/><Relationship Id="rId92" Type="http://schemas.openxmlformats.org/officeDocument/2006/relationships/image" Target="media/image28.jpeg"/><Relationship Id="rId2" Type="http://schemas.openxmlformats.org/officeDocument/2006/relationships/styles" Target="styles.xml"/><Relationship Id="rId29" Type="http://schemas.openxmlformats.org/officeDocument/2006/relationships/hyperlink" Target="http://reports.weforum.org/global-risks-report-2021/hindsight-reflections-on-responses-to-covid-19/" TargetMode="External"/><Relationship Id="rId24" Type="http://schemas.openxmlformats.org/officeDocument/2006/relationships/hyperlink" Target="https://www.imf.org/en/Topics/imf-and-covid19/Policy-Responses-to-COVID-19" TargetMode="External"/><Relationship Id="rId40" Type="http://schemas.openxmlformats.org/officeDocument/2006/relationships/hyperlink" Target="http://reports.weforum.org/global-risks-report-2021/imperfect-markets-a-disorderly-industrial-shakeout/" TargetMode="External"/><Relationship Id="rId45" Type="http://schemas.openxmlformats.org/officeDocument/2006/relationships/hyperlink" Target="https://www.ilo.org/wcmsp5/groups/public/---dgreports/---dcomm/documents/briefingnote/wcms_745963.pdf" TargetMode="External"/><Relationship Id="rId66" Type="http://schemas.openxmlformats.org/officeDocument/2006/relationships/hyperlink" Target="https://www.csis.org/analysis/international-financial-institutions-covid-19-funding-rebounds-september-remains-below" TargetMode="External"/><Relationship Id="rId87" Type="http://schemas.openxmlformats.org/officeDocument/2006/relationships/image" Target="media/image23.jpeg"/><Relationship Id="rId110" Type="http://schemas.openxmlformats.org/officeDocument/2006/relationships/image" Target="media/image42.jpeg"/><Relationship Id="rId115" Type="http://schemas.openxmlformats.org/officeDocument/2006/relationships/image" Target="media/image46.jpeg"/><Relationship Id="rId131" Type="http://schemas.openxmlformats.org/officeDocument/2006/relationships/image" Target="media/image60.jpeg"/><Relationship Id="rId136" Type="http://schemas.openxmlformats.org/officeDocument/2006/relationships/image" Target="media/image65.jpeg"/><Relationship Id="rId61" Type="http://schemas.openxmlformats.org/officeDocument/2006/relationships/hyperlink" Target="http://reports.weforum.org/global-risks-report-2021/middle-power-morass-navigating-global-divides/" TargetMode="External"/><Relationship Id="rId82" Type="http://schemas.openxmlformats.org/officeDocument/2006/relationships/image" Target="media/image19.png"/><Relationship Id="rId19" Type="http://schemas.openxmlformats.org/officeDocument/2006/relationships/hyperlink" Target="http://reports.weforum.org/global-risks-report-2021/survey-results/the-global-risks-landscape-2021/" TargetMode="External"/><Relationship Id="rId14" Type="http://schemas.openxmlformats.org/officeDocument/2006/relationships/hyperlink" Target="http://www.mohrss.gov.cn/SYrlzyhshbzb/zwgk/szrs/tjsj/202004/W020200423600503595588.pdf" TargetMode="External"/><Relationship Id="rId30" Type="http://schemas.openxmlformats.org/officeDocument/2006/relationships/hyperlink" Target="http://reports.weforum.org/global-risks-report-2021/methodology/" TargetMode="External"/><Relationship Id="rId35" Type="http://schemas.openxmlformats.org/officeDocument/2006/relationships/hyperlink" Target="https://data.worldbank.org/indicator/IT.NET.USER.ZS?most_recent_value_desc=true" TargetMode="External"/><Relationship Id="rId56" Type="http://schemas.openxmlformats.org/officeDocument/2006/relationships/hyperlink" Target="https://csis-website-prod.s3.amazonaws.com/s3fs-public/201106_Significant_Cyber_Events_List.pdf" TargetMode="External"/><Relationship Id="rId77" Type="http://schemas.openxmlformats.org/officeDocument/2006/relationships/hyperlink" Target="http://reports.weforum.org/global-risks-report-2021/imperfect-markets-a-disorderly-industrial-shakeout/" TargetMode="External"/><Relationship Id="rId100" Type="http://schemas.openxmlformats.org/officeDocument/2006/relationships/image" Target="media/image34.jpeg"/><Relationship Id="rId105" Type="http://schemas.openxmlformats.org/officeDocument/2006/relationships/image" Target="media/image38.jpeg"/><Relationship Id="rId126" Type="http://schemas.openxmlformats.org/officeDocument/2006/relationships/image" Target="media/image55.jpeg"/><Relationship Id="rId147" Type="http://schemas.openxmlformats.org/officeDocument/2006/relationships/image" Target="media/image75.png"/><Relationship Id="rId8" Type="http://schemas.openxmlformats.org/officeDocument/2006/relationships/image" Target="media/image2.png"/><Relationship Id="rId51" Type="http://schemas.openxmlformats.org/officeDocument/2006/relationships/image" Target="media/image9.png"/><Relationship Id="rId72" Type="http://schemas.openxmlformats.org/officeDocument/2006/relationships/hyperlink" Target="http://reports.weforum.org/global-risks-report-2021/global-risks-2021-fractured-future/" TargetMode="External"/><Relationship Id="rId93" Type="http://schemas.openxmlformats.org/officeDocument/2006/relationships/hyperlink" Target="https://www.weforum.org/reports/global-risks-report-2022/in-full/chapter-2-degrees-of-disorderly-climate-transition#chapter-2-degrees-of-disorderly-climate-transition" TargetMode="External"/><Relationship Id="rId98" Type="http://schemas.openxmlformats.org/officeDocument/2006/relationships/image" Target="media/image33.jpeg"/><Relationship Id="rId121" Type="http://schemas.openxmlformats.org/officeDocument/2006/relationships/image" Target="media/image51.jpeg"/><Relationship Id="rId142" Type="http://schemas.openxmlformats.org/officeDocument/2006/relationships/image" Target="media/image71.png"/><Relationship Id="rId3" Type="http://schemas.microsoft.com/office/2007/relationships/stylesWithEffects" Target="stylesWithEffects.xml"/><Relationship Id="rId25" Type="http://schemas.openxmlformats.org/officeDocument/2006/relationships/hyperlink" Target="https://www.imf.org/en/Publications/WEO/Issues/2020/09/30/world-economic-outlook-october-2020" TargetMode="External"/><Relationship Id="rId46" Type="http://schemas.openxmlformats.org/officeDocument/2006/relationships/hyperlink" Target="http://reports.weforum.org/global-risks-report-2021/global-risks-2021-fractured-future/" TargetMode="External"/><Relationship Id="rId67" Type="http://schemas.openxmlformats.org/officeDocument/2006/relationships/image" Target="media/image13.png"/><Relationship Id="rId116" Type="http://schemas.openxmlformats.org/officeDocument/2006/relationships/image" Target="media/image47.jpeg"/><Relationship Id="rId137" Type="http://schemas.openxmlformats.org/officeDocument/2006/relationships/image" Target="media/image66.png"/><Relationship Id="rId20" Type="http://schemas.openxmlformats.org/officeDocument/2006/relationships/hyperlink" Target="http://reports.weforum.org/global-risks-report-2021/survey-results/global-risks-horizon/" TargetMode="External"/><Relationship Id="rId41" Type="http://schemas.openxmlformats.org/officeDocument/2006/relationships/hyperlink" Target="http://reports.weforum.org/global-risks-report-2021/global-risks-2021-fractured-future/" TargetMode="External"/><Relationship Id="rId62" Type="http://schemas.openxmlformats.org/officeDocument/2006/relationships/hyperlink" Target="http://reports.weforum.org/global-risks-report-2021/error-404-barriers-to-digital-inclusivity/" TargetMode="External"/><Relationship Id="rId83" Type="http://schemas.openxmlformats.org/officeDocument/2006/relationships/image" Target="media/image20.png"/><Relationship Id="rId88" Type="http://schemas.openxmlformats.org/officeDocument/2006/relationships/image" Target="media/image24.jpeg"/><Relationship Id="rId111" Type="http://schemas.openxmlformats.org/officeDocument/2006/relationships/image" Target="media/image43.jpeg"/><Relationship Id="rId132" Type="http://schemas.openxmlformats.org/officeDocument/2006/relationships/image" Target="media/image61.jpeg"/><Relationship Id="rId15" Type="http://schemas.openxmlformats.org/officeDocument/2006/relationships/hyperlink" Target="http://www.mohrss.gov.cn/SYrlzyhshbzb/zwgk/szrs/tjsj/202007/W020200724600005492242.pdf" TargetMode="External"/><Relationship Id="rId36" Type="http://schemas.openxmlformats.org/officeDocument/2006/relationships/hyperlink" Target="http://reports.weforum.org/global-risks-report-2021/global-risks-2021-fractured-future/" TargetMode="External"/><Relationship Id="rId57" Type="http://schemas.openxmlformats.org/officeDocument/2006/relationships/hyperlink" Target="http://reports.weforum.org/global-risks-report-2021/survey-results/global-risks-horizon/" TargetMode="External"/><Relationship Id="rId106" Type="http://schemas.openxmlformats.org/officeDocument/2006/relationships/image" Target="media/image39.jpeg"/><Relationship Id="rId127" Type="http://schemas.openxmlformats.org/officeDocument/2006/relationships/image" Target="media/image56.jpeg"/><Relationship Id="rId10" Type="http://schemas.openxmlformats.org/officeDocument/2006/relationships/image" Target="media/image3.png"/><Relationship Id="rId31" Type="http://schemas.openxmlformats.org/officeDocument/2006/relationships/image" Target="media/image6.png"/><Relationship Id="rId52" Type="http://schemas.openxmlformats.org/officeDocument/2006/relationships/hyperlink" Target="http://reports.weforum.org/global-risks-report-2021/survey-results/global-risks-horizon/" TargetMode="External"/><Relationship Id="rId73" Type="http://schemas.openxmlformats.org/officeDocument/2006/relationships/hyperlink" Target="http://reports.weforum.org/global-risks-report-2021/pandemials-youth-in-an-age-of-lost-opportunity/" TargetMode="External"/><Relationship Id="rId78" Type="http://schemas.openxmlformats.org/officeDocument/2006/relationships/image" Target="media/image15.png"/><Relationship Id="rId94" Type="http://schemas.openxmlformats.org/officeDocument/2006/relationships/image" Target="media/image29.jpeg"/><Relationship Id="rId99" Type="http://schemas.openxmlformats.org/officeDocument/2006/relationships/hyperlink" Target="https://www.weforum.org/reports/global-risks-report-2022/in-full/chapter-3-digital-dependencies-and-cyber-vulnerabilities#chapter-3-digital-dependencies-and-cyber-vulnerabilities" TargetMode="External"/><Relationship Id="rId101" Type="http://schemas.openxmlformats.org/officeDocument/2006/relationships/image" Target="media/image35.jpeg"/><Relationship Id="rId122" Type="http://schemas.openxmlformats.org/officeDocument/2006/relationships/image" Target="media/image52.jpeg"/><Relationship Id="rId143" Type="http://schemas.openxmlformats.org/officeDocument/2006/relationships/hyperlink" Target="http://www.pwc.com/structure" TargetMode="External"/><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reports.weforum.org/global-risks-report-2021/hindsight-reflections-on-responses-to-covid-19/" TargetMode="External"/><Relationship Id="rId26" Type="http://schemas.openxmlformats.org/officeDocument/2006/relationships/hyperlink" Target="http://reports.weforum.org/global-risks-report-2021/pandemials-youth-in-an-age-of-lost-opportunity/" TargetMode="External"/><Relationship Id="rId47" Type="http://schemas.openxmlformats.org/officeDocument/2006/relationships/hyperlink" Target="http://reports.weforum.org/global-risks-report-2021/imperfect-markets-a-disorderly-industrial-shakeout/" TargetMode="External"/><Relationship Id="rId68" Type="http://schemas.openxmlformats.org/officeDocument/2006/relationships/image" Target="media/image14.png"/><Relationship Id="rId89" Type="http://schemas.openxmlformats.org/officeDocument/2006/relationships/image" Target="media/image25.jpeg"/><Relationship Id="rId112" Type="http://schemas.openxmlformats.org/officeDocument/2006/relationships/image" Target="media/image44.jpeg"/><Relationship Id="rId133" Type="http://schemas.openxmlformats.org/officeDocument/2006/relationships/image" Target="media/image62.jpeg"/><Relationship Id="rId16" Type="http://schemas.openxmlformats.org/officeDocument/2006/relationships/hyperlink" Target="http://reports.weforum.org/global-risks-report-2021/hindsight-reflections-on-responses-to-covid-19/" TargetMode="External"/><Relationship Id="rId37" Type="http://schemas.openxmlformats.org/officeDocument/2006/relationships/hyperlink" Target="http://reports.weforum.org/global-risks-report-2021/imperfect-markets-a-disorderly-industrial-shakeout/" TargetMode="External"/><Relationship Id="rId58" Type="http://schemas.openxmlformats.org/officeDocument/2006/relationships/hyperlink" Target="http://reports.weforum.org/global-risks-report-2021/global-risks-2021-fractured-future/" TargetMode="External"/><Relationship Id="rId79" Type="http://schemas.openxmlformats.org/officeDocument/2006/relationships/image" Target="media/image16.png"/><Relationship Id="rId102" Type="http://schemas.openxmlformats.org/officeDocument/2006/relationships/image" Target="media/image36.jpeg"/><Relationship Id="rId123" Type="http://schemas.openxmlformats.org/officeDocument/2006/relationships/hyperlink" Target="https://www.weforum.org/reports/global-risks-report-2022/in-full/appendix-a-descriptions-of-global-risks-2022#appendix-b-executive-opinion-survey-national-risk-perceptions" TargetMode="External"/><Relationship Id="rId144" Type="http://schemas.openxmlformats.org/officeDocument/2006/relationships/image" Target="media/image72.png"/><Relationship Id="rId90" Type="http://schemas.openxmlformats.org/officeDocument/2006/relationships/image" Target="media/image2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178</Pages>
  <Words>70054</Words>
  <Characters>385300</Characters>
  <Application>Microsoft Office Word</Application>
  <DocSecurity>0</DocSecurity>
  <Lines>3210</Lines>
  <Paragraphs>908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454446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2022-03-15T10:36:00Z</dcterms:created>
  <dcterms:modified xsi:type="dcterms:W3CDTF">2022-03-15T10:36:00Z</dcterms:modified>
</cp:coreProperties>
</file>