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642A" w:rsidRDefault="00D0642A" w:rsidP="00D0642A">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Del European Green Dream,</w:t>
      </w:r>
      <w:r w:rsidRPr="004F2667">
        <w:rPr>
          <w:rFonts w:ascii="Times New Roman" w:hAnsi="Times New Roman" w:cs="Times New Roman"/>
          <w:b/>
          <w:sz w:val="24"/>
          <w:szCs w:val="24"/>
        </w:rPr>
        <w:t xml:space="preserve"> al European</w:t>
      </w:r>
      <w:r>
        <w:rPr>
          <w:rFonts w:ascii="Times New Roman" w:hAnsi="Times New Roman" w:cs="Times New Roman"/>
          <w:b/>
          <w:sz w:val="24"/>
          <w:szCs w:val="24"/>
        </w:rPr>
        <w:t xml:space="preserve"> Black Nightmare (de Eco-friendly, a</w:t>
      </w:r>
      <w:r w:rsidRPr="004F2667">
        <w:rPr>
          <w:rFonts w:ascii="Times New Roman" w:hAnsi="Times New Roman" w:cs="Times New Roman"/>
          <w:b/>
          <w:sz w:val="24"/>
          <w:szCs w:val="24"/>
        </w:rPr>
        <w:t xml:space="preserve"> Eco</w:t>
      </w:r>
      <w:r>
        <w:rPr>
          <w:rFonts w:ascii="Times New Roman" w:hAnsi="Times New Roman" w:cs="Times New Roman"/>
          <w:b/>
          <w:sz w:val="24"/>
          <w:szCs w:val="24"/>
        </w:rPr>
        <w:t>-suicida</w:t>
      </w:r>
      <w:r w:rsidRPr="004F2667">
        <w:rPr>
          <w:rFonts w:ascii="Times New Roman" w:hAnsi="Times New Roman" w:cs="Times New Roman"/>
          <w:b/>
          <w:sz w:val="24"/>
          <w:szCs w:val="24"/>
        </w:rPr>
        <w:t>)</w:t>
      </w:r>
      <w:r>
        <w:rPr>
          <w:rFonts w:ascii="Times New Roman" w:hAnsi="Times New Roman" w:cs="Times New Roman"/>
          <w:b/>
          <w:sz w:val="24"/>
          <w:szCs w:val="24"/>
        </w:rPr>
        <w:t xml:space="preserve"> - Si la UE quiere sobrevivir, debe prepararse para lo peor</w:t>
      </w:r>
      <w:r w:rsidR="001C4B21">
        <w:rPr>
          <w:rFonts w:ascii="Times New Roman" w:hAnsi="Times New Roman" w:cs="Times New Roman"/>
          <w:b/>
          <w:sz w:val="24"/>
          <w:szCs w:val="24"/>
        </w:rPr>
        <w:t xml:space="preserve"> (Parte I)</w:t>
      </w:r>
    </w:p>
    <w:p w:rsidR="00D0642A" w:rsidRDefault="00D0642A" w:rsidP="00D0642A">
      <w:pPr>
        <w:spacing w:line="240" w:lineRule="auto"/>
        <w:jc w:val="both"/>
        <w:rPr>
          <w:rFonts w:ascii="Times New Roman" w:hAnsi="Times New Roman" w:cs="Times New Roman"/>
          <w:b/>
          <w:sz w:val="24"/>
          <w:szCs w:val="24"/>
        </w:rPr>
      </w:pPr>
      <w:r>
        <w:rPr>
          <w:noProof/>
          <w:lang w:eastAsia="es-ES"/>
        </w:rPr>
        <w:drawing>
          <wp:inline distT="0" distB="0" distL="0" distR="0" wp14:anchorId="17BC7A90" wp14:editId="34B6B0B8">
            <wp:extent cx="5731510" cy="3479845"/>
            <wp:effectExtent l="0" t="0" r="2540" b="6350"/>
            <wp:docPr id="9" name="Imagen 9" descr="¿Hacia dónde va la crisis energética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cia dónde va la crisis energética en Europ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479845"/>
                    </a:xfrm>
                    <a:prstGeom prst="rect">
                      <a:avLst/>
                    </a:prstGeom>
                    <a:noFill/>
                    <a:ln>
                      <a:noFill/>
                    </a:ln>
                  </pic:spPr>
                </pic:pic>
              </a:graphicData>
            </a:graphic>
          </wp:inline>
        </w:drawing>
      </w:r>
    </w:p>
    <w:p w:rsidR="00D0642A" w:rsidRDefault="00D0642A" w:rsidP="00D0642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Introducción: (Feb. 2022) La Unión Europea, atrapada entre la pandemia y la guerra </w:t>
      </w:r>
    </w:p>
    <w:p w:rsidR="00D0642A" w:rsidRDefault="00D0642A" w:rsidP="00D0642A">
      <w:pPr>
        <w:spacing w:line="240" w:lineRule="auto"/>
        <w:jc w:val="both"/>
        <w:rPr>
          <w:rFonts w:ascii="Times New Roman" w:hAnsi="Times New Roman" w:cs="Times New Roman"/>
          <w:b/>
          <w:sz w:val="24"/>
          <w:szCs w:val="24"/>
        </w:rPr>
      </w:pPr>
      <w:r>
        <w:rPr>
          <w:noProof/>
          <w:lang w:eastAsia="es-ES"/>
        </w:rPr>
        <w:drawing>
          <wp:inline distT="0" distB="0" distL="0" distR="0" wp14:anchorId="5FA6447B" wp14:editId="089E0106">
            <wp:extent cx="5731510" cy="3346450"/>
            <wp:effectExtent l="0" t="0" r="2540" b="6350"/>
            <wp:docPr id="167" name="Imagen 167" descr="Foto: Floración de los girasoles. (EFE/Ronald Wit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Floración de los girasoles. (EFE/Ronald Wittek)"/>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346450"/>
                    </a:xfrm>
                    <a:prstGeom prst="rect">
                      <a:avLst/>
                    </a:prstGeom>
                    <a:noFill/>
                    <a:ln>
                      <a:noFill/>
                    </a:ln>
                  </pic:spPr>
                </pic:pic>
              </a:graphicData>
            </a:graphic>
          </wp:inline>
        </w:drawing>
      </w:r>
    </w:p>
    <w:p w:rsidR="00D0642A" w:rsidRPr="00DC33F0" w:rsidRDefault="00D0642A" w:rsidP="00D0642A">
      <w:pPr>
        <w:spacing w:line="240" w:lineRule="auto"/>
        <w:jc w:val="both"/>
        <w:rPr>
          <w:rFonts w:ascii="Times New Roman" w:hAnsi="Times New Roman" w:cs="Times New Roman"/>
          <w:b/>
          <w:sz w:val="24"/>
          <w:szCs w:val="24"/>
        </w:rPr>
      </w:pPr>
      <w:r w:rsidRPr="00DC33F0">
        <w:rPr>
          <w:rFonts w:ascii="Times New Roman" w:hAnsi="Times New Roman" w:cs="Times New Roman"/>
          <w:b/>
          <w:sz w:val="24"/>
          <w:szCs w:val="24"/>
        </w:rPr>
        <w:t>Está surgiendo un nuevo mundo. La esperanza de unas relaciones pacíficas se desvanece. Tal vez, haya llegado el momento en el que la Unión Europea deba resolver qué quiere ser de mayor (en la oscuridad puede que hayan pasado a verse mejor).</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lastRenderedPageBreak/>
        <w:t>La gran paradoja de la guerra de Ucrania es que la Unión Europea y la OTAN vayan a salvarse y a resultar reforzadas gracias a las agresiones de Putin. La combinación de conflicto, crisis de suministros y alta inflación es inevitablemente desestabilizadora.</w:t>
      </w:r>
    </w:p>
    <w:p w:rsidR="00D0642A" w:rsidRPr="000055D6" w:rsidRDefault="00D0642A" w:rsidP="00D0642A">
      <w:pPr>
        <w:spacing w:line="240" w:lineRule="auto"/>
        <w:jc w:val="both"/>
        <w:rPr>
          <w:rFonts w:ascii="Times New Roman" w:hAnsi="Times New Roman" w:cs="Times New Roman"/>
          <w:sz w:val="24"/>
          <w:szCs w:val="24"/>
          <w:shd w:val="clear" w:color="auto" w:fill="FFFFFF"/>
        </w:rPr>
      </w:pPr>
      <w:r w:rsidRPr="000055D6">
        <w:rPr>
          <w:rFonts w:ascii="Times New Roman" w:hAnsi="Times New Roman" w:cs="Times New Roman"/>
          <w:sz w:val="24"/>
          <w:szCs w:val="24"/>
          <w:shd w:val="clear" w:color="auto" w:fill="FFFFFF"/>
        </w:rPr>
        <w:t>“No hay mayor villanía que ignorar el sufrimiento de la gente”, decía </w:t>
      </w:r>
      <w:r w:rsidRPr="000055D6">
        <w:rPr>
          <w:rStyle w:val="Textoennegrita"/>
          <w:rFonts w:ascii="Times New Roman" w:hAnsi="Times New Roman" w:cs="Times New Roman"/>
          <w:b w:val="0"/>
          <w:sz w:val="24"/>
          <w:szCs w:val="24"/>
          <w:shd w:val="clear" w:color="auto" w:fill="FFFFFF"/>
        </w:rPr>
        <w:t>Pavese</w:t>
      </w:r>
      <w:r w:rsidRPr="000055D6">
        <w:rPr>
          <w:rFonts w:ascii="Times New Roman" w:hAnsi="Times New Roman" w:cs="Times New Roman"/>
          <w:sz w:val="24"/>
          <w:szCs w:val="24"/>
          <w:shd w:val="clear" w:color="auto" w:fill="FFFFFF"/>
        </w:rPr>
        <w:t>. Ni mayor error. Los líderes europeos se muestran ajenos a la general penuria. “Nos trata(n) como bultos de un árbol hueco”, diría </w:t>
      </w:r>
      <w:r w:rsidRPr="000055D6">
        <w:rPr>
          <w:rStyle w:val="Textoennegrita"/>
          <w:rFonts w:ascii="Times New Roman" w:hAnsi="Times New Roman" w:cs="Times New Roman"/>
          <w:b w:val="0"/>
          <w:sz w:val="24"/>
          <w:szCs w:val="24"/>
          <w:shd w:val="clear" w:color="auto" w:fill="FFFFFF"/>
        </w:rPr>
        <w:t>Turgeniev</w:t>
      </w:r>
      <w:r w:rsidRPr="000055D6">
        <w:rPr>
          <w:rFonts w:ascii="Times New Roman" w:hAnsi="Times New Roman" w:cs="Times New Roman"/>
          <w:sz w:val="24"/>
          <w:szCs w:val="24"/>
          <w:shd w:val="clear" w:color="auto" w:fill="FFFFFF"/>
        </w:rPr>
        <w:t>. El estrépito de los precios todo lo eclipsa.  Tanta mentira, tanto engaño, tanta trola empieza a pasar factura. </w:t>
      </w:r>
    </w:p>
    <w:p w:rsidR="00D0642A" w:rsidRPr="000055D6" w:rsidRDefault="00D0642A" w:rsidP="00D0642A">
      <w:pPr>
        <w:spacing w:line="240" w:lineRule="auto"/>
        <w:jc w:val="both"/>
        <w:rPr>
          <w:rFonts w:ascii="Times New Roman" w:hAnsi="Times New Roman" w:cs="Times New Roman"/>
          <w:sz w:val="24"/>
          <w:szCs w:val="24"/>
          <w:shd w:val="clear" w:color="auto" w:fill="FFFFFF"/>
        </w:rPr>
      </w:pPr>
      <w:r w:rsidRPr="000055D6">
        <w:rPr>
          <w:rFonts w:ascii="Times New Roman" w:hAnsi="Times New Roman" w:cs="Times New Roman"/>
          <w:sz w:val="24"/>
          <w:szCs w:val="24"/>
          <w:shd w:val="clear" w:color="auto" w:fill="FFFFFF"/>
        </w:rPr>
        <w:t>P</w:t>
      </w:r>
      <w:r w:rsidR="00DC33F0" w:rsidRPr="000055D6">
        <w:rPr>
          <w:rFonts w:ascii="Times New Roman" w:hAnsi="Times New Roman" w:cs="Times New Roman"/>
          <w:sz w:val="24"/>
          <w:szCs w:val="24"/>
          <w:shd w:val="clear" w:color="auto" w:fill="FFFFFF"/>
        </w:rPr>
        <w:t>rimero la pandemia del C</w:t>
      </w:r>
      <w:r w:rsidRPr="000055D6">
        <w:rPr>
          <w:rFonts w:ascii="Times New Roman" w:hAnsi="Times New Roman" w:cs="Times New Roman"/>
          <w:sz w:val="24"/>
          <w:szCs w:val="24"/>
          <w:shd w:val="clear" w:color="auto" w:fill="FFFFFF"/>
        </w:rPr>
        <w:t>ovid y enseguida la invasión de Ucrania han impulsado avances en la Unión Europea de importancia decisiva, en áreas inexploradas como la sanidad o bloqueadas por la regla impuesta de la unanimidad para la adoptar decisiones, como en el caso de la política exterior, defensa, migraciones, y de últimas, energía, ecología y alimentos.</w:t>
      </w:r>
    </w:p>
    <w:p w:rsidR="00D0642A" w:rsidRPr="000055D6" w:rsidRDefault="00D0642A" w:rsidP="00D0642A">
      <w:pPr>
        <w:spacing w:line="240" w:lineRule="auto"/>
        <w:jc w:val="both"/>
        <w:rPr>
          <w:rFonts w:ascii="Times New Roman" w:hAnsi="Times New Roman" w:cs="Times New Roman"/>
          <w:sz w:val="24"/>
          <w:szCs w:val="24"/>
          <w:shd w:val="clear" w:color="auto" w:fill="FFFFFF"/>
        </w:rPr>
      </w:pPr>
      <w:r w:rsidRPr="000055D6">
        <w:rPr>
          <w:rFonts w:ascii="Times New Roman" w:hAnsi="Times New Roman" w:cs="Times New Roman"/>
          <w:sz w:val="24"/>
          <w:szCs w:val="24"/>
          <w:shd w:val="clear" w:color="auto" w:fill="FFFFFF"/>
        </w:rPr>
        <w:t>En cuanto a la Alianza Atlántica, en muerte cerebral según diagnóstico del presidente francés, Emmanuel Macron, y sumida en la abominación por el anterior presidente norteamericano, Donald Trump, los blindados avanzando sobre los campos y los aviones bombardeando las ciudades de Ucrania han logrado despertarla del coma y que dejara de cuestionarse la revisión de su concepto estratégico, al percibir el estímulo infalible de la agresión armada.</w:t>
      </w:r>
    </w:p>
    <w:p w:rsidR="00D0642A" w:rsidRPr="000055D6" w:rsidRDefault="00D0642A" w:rsidP="00D0642A">
      <w:pPr>
        <w:spacing w:line="240" w:lineRule="auto"/>
        <w:jc w:val="both"/>
        <w:rPr>
          <w:rFonts w:ascii="Times New Roman" w:hAnsi="Times New Roman" w:cs="Times New Roman"/>
          <w:sz w:val="24"/>
          <w:szCs w:val="24"/>
          <w:shd w:val="clear" w:color="auto" w:fill="FFFFFF"/>
        </w:rPr>
      </w:pPr>
      <w:r w:rsidRPr="000055D6">
        <w:rPr>
          <w:rFonts w:ascii="Times New Roman" w:hAnsi="Times New Roman" w:cs="Times New Roman"/>
          <w:sz w:val="24"/>
          <w:szCs w:val="24"/>
          <w:shd w:val="clear" w:color="auto" w:fill="FFFFFF"/>
        </w:rPr>
        <w:t>La situación actual (febrero/marzo 2022) puede ser un buen punto de partida y una oportunidad para replantearse nuestro actual modelo energético y de alimentación. “Europa ha cambiado bajo el impacto de la pandemia. Cambiará más rápido y más fuerte bajo el impacto de la guerra”. Con estas palabras, Emmanuel Macron inició la cumbre informal de dos días de jefes de Estado y de Gobierno de la Unión Europea, en Versalles (10 y 11 de marzo 2022). No le falta razón, la invasión de Ucrania hace la transformación del modelo económico en Europa más urgente y más pertinente que nunca.</w:t>
      </w:r>
    </w:p>
    <w:p w:rsidR="00D0642A" w:rsidRPr="000055D6" w:rsidRDefault="00D0642A" w:rsidP="00D0642A">
      <w:pPr>
        <w:spacing w:line="240" w:lineRule="auto"/>
        <w:jc w:val="both"/>
        <w:rPr>
          <w:rFonts w:ascii="Times New Roman" w:hAnsi="Times New Roman" w:cs="Times New Roman"/>
          <w:b/>
          <w:sz w:val="24"/>
          <w:szCs w:val="24"/>
        </w:rPr>
      </w:pPr>
      <w:r w:rsidRPr="000055D6">
        <w:rPr>
          <w:rFonts w:ascii="Times New Roman" w:hAnsi="Times New Roman" w:cs="Times New Roman"/>
          <w:b/>
          <w:sz w:val="24"/>
          <w:szCs w:val="24"/>
        </w:rPr>
        <w:t>La Unión Europea se hace trampas en el solitario</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El “mensaje” de la Comisión Europea al Foro Económico Mundial (Davos), Greenpeace, Greta Thunberg, y otros “zumbados” de la “tierra plana”: “Europa acabará muerta, pero resiliente” (“la valentía es una virtud de subtenientes” - Conrad).</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La “realpolitik” de la Unión Europea (gestada, parida, y arropada, por la Cancillería Federal Alemana), se demuestra absurda, tramposa y opaca, cual es norma de la casa.</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Cumplido un mes de la invasión de Ucrania por Rusia, la UE no ha sido capaz de aprobar, aplicar o disponer una sola medida para afrontar los desastres de la crisis de abastecimientos, ni en el plano energético, ni en el alimenticio,</w:t>
      </w:r>
      <w:r w:rsidR="00DC33F0" w:rsidRPr="000055D6">
        <w:rPr>
          <w:rFonts w:ascii="Times New Roman" w:hAnsi="Times New Roman" w:cs="Times New Roman"/>
          <w:sz w:val="24"/>
          <w:szCs w:val="24"/>
        </w:rPr>
        <w:t xml:space="preserve"> ni en el económico,</w:t>
      </w:r>
      <w:r w:rsidRPr="000055D6">
        <w:rPr>
          <w:rFonts w:ascii="Times New Roman" w:hAnsi="Times New Roman" w:cs="Times New Roman"/>
          <w:sz w:val="24"/>
          <w:szCs w:val="24"/>
        </w:rPr>
        <w:t xml:space="preserve"> </w:t>
      </w:r>
      <w:r w:rsidR="00DC33F0" w:rsidRPr="000055D6">
        <w:rPr>
          <w:rFonts w:ascii="Times New Roman" w:hAnsi="Times New Roman" w:cs="Times New Roman"/>
          <w:sz w:val="24"/>
          <w:szCs w:val="24"/>
        </w:rPr>
        <w:t xml:space="preserve">ni en el social, </w:t>
      </w:r>
      <w:r w:rsidRPr="000055D6">
        <w:rPr>
          <w:rFonts w:ascii="Times New Roman" w:hAnsi="Times New Roman" w:cs="Times New Roman"/>
          <w:sz w:val="24"/>
          <w:szCs w:val="24"/>
        </w:rPr>
        <w:t>ni en</w:t>
      </w:r>
      <w:r w:rsidR="00DC33F0" w:rsidRPr="000055D6">
        <w:rPr>
          <w:rFonts w:ascii="Times New Roman" w:hAnsi="Times New Roman" w:cs="Times New Roman"/>
          <w:sz w:val="24"/>
          <w:szCs w:val="24"/>
        </w:rPr>
        <w:t xml:space="preserve"> el diplomático,</w:t>
      </w:r>
      <w:r w:rsidRPr="000055D6">
        <w:rPr>
          <w:rFonts w:ascii="Times New Roman" w:hAnsi="Times New Roman" w:cs="Times New Roman"/>
          <w:sz w:val="24"/>
          <w:szCs w:val="24"/>
        </w:rPr>
        <w:t>… Todo son titubeos y zigzagueos, manotazos de un zombi perdido en las tinieblas de un film de serie B.</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Mientras, la guerra de Putin carente de razón alguna que justifique la sumisión de un país y la anexión de un territorio por la fuerza de las armas, levanta una polvareda cegadora, la Unión Europea permanece paralizada, conteniendo el aliento, incapacitada voluntariamente para enfrentarse a una multitud de acontecimientos desfavorables.</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Frente al esperpento de una nueva guerra en Europa, ante tal rosario de desaciertos, disparates y estruendosos patinazos, para una sociedad que se siente desamparada, sin nadie a quien recurrir, sin un maldito clavo de esperanza al que aferrarse, solo queda una pregunta desesperada: ¿Hay alguien al mando?</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lastRenderedPageBreak/>
        <w:t>En una situación que bordea la pesadilla y antecede al pánico, con los supermercados en fase de desabastecimiento, la inflación lanzando los precios a la estratosfera, las facturas de combustibles, electricidad y gas a niveles siderales, los coletazos de la pandemia, apenas hay respuesta eficaz o sensata desde la Unión Europea. La Comisión eco-feminista, progre, globalista, multilateral, virtual, pragmática, pacifista, dialogante, consensual, resiliente… ha demostrado ser el artefacto más inservible de la reciente historia europea, una colección de pazguatos resentidos, gandules excelsos, ignorantes revenidos, incapaces de hilvanar una sola respuesta a la descomunal tormenta que todo lo arrasa.</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Solo falta que la presidenta de la Comisión Europea Ursula von der Leyen (política, y médica alemana), en una constatación perfecta de la inutilidad, salga en “Euronews”, para anunciar que la Unión Europea: “está un peldaño más cerca de tocar fondo”.</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El mal del malvado siempre tiene un porqué que le beneficia a él y eso lo diferencia del mal del idiota, que es capaz de reventarlo todo sin beneficio para sí mismo. Y mientras, los europeos, continúan esperando que alguien les cuente una verdad incómoda.</w:t>
      </w:r>
    </w:p>
    <w:p w:rsidR="00D0642A" w:rsidRPr="000055D6" w:rsidRDefault="000055D6"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¿E</w:t>
      </w:r>
      <w:r w:rsidR="00D0642A" w:rsidRPr="000055D6">
        <w:rPr>
          <w:rFonts w:ascii="Times New Roman" w:hAnsi="Times New Roman" w:cs="Times New Roman"/>
          <w:sz w:val="24"/>
          <w:szCs w:val="24"/>
        </w:rPr>
        <w:t>s incongruente apostar por aprovisionamientos de países tan inestables (como Ucrania) o tan dictatoriales (como Rusia, o China), cuando la UE se niega a volver a la energía nuclear y los hidrocarburos, o a explotar mediante fracking unas reservas europeas que se suponen importantes, o cuando resuelve abandonar (o desalentar) las actividades agrícolas propias que le permitirían alcanzar la soberanía alimentaria? Por supuesto. Y por eso merecen el repudio.</w:t>
      </w:r>
    </w:p>
    <w:p w:rsidR="00D0642A" w:rsidRPr="000055D6" w:rsidRDefault="00D0642A" w:rsidP="00D0642A">
      <w:pPr>
        <w:spacing w:line="240" w:lineRule="auto"/>
        <w:jc w:val="both"/>
        <w:rPr>
          <w:rFonts w:ascii="Times New Roman" w:hAnsi="Times New Roman" w:cs="Times New Roman"/>
          <w:sz w:val="24"/>
          <w:szCs w:val="24"/>
        </w:rPr>
      </w:pPr>
      <w:r w:rsidRPr="000055D6">
        <w:rPr>
          <w:rFonts w:ascii="Times New Roman" w:hAnsi="Times New Roman" w:cs="Times New Roman"/>
          <w:sz w:val="24"/>
          <w:szCs w:val="24"/>
        </w:rPr>
        <w:t>¿Eso es realpolitik? La que no evita guerras, y reconoce un mundo que no nos conviene, pero que sí le interesa a terceros países. Los mercaderes europeos aceptan el camino de los otros.</w:t>
      </w:r>
    </w:p>
    <w:p w:rsidR="00D0642A" w:rsidRPr="000055D6" w:rsidRDefault="00D0642A" w:rsidP="00D0642A">
      <w:pPr>
        <w:pStyle w:val="NormalWeb"/>
        <w:spacing w:after="0"/>
        <w:jc w:val="both"/>
        <w:textAlignment w:val="baseline"/>
        <w:rPr>
          <w:b/>
        </w:rPr>
      </w:pPr>
      <w:r w:rsidRPr="000055D6">
        <w:rPr>
          <w:b/>
        </w:rPr>
        <w:t>El populismo pedante de unos burócratas que fingen guiarnos a través de la oscuridad</w:t>
      </w:r>
    </w:p>
    <w:p w:rsidR="00D0642A" w:rsidRPr="000055D6" w:rsidRDefault="000055D6" w:rsidP="00D0642A">
      <w:pPr>
        <w:pStyle w:val="NormalWeb"/>
        <w:spacing w:after="0"/>
        <w:jc w:val="both"/>
        <w:textAlignment w:val="baseline"/>
      </w:pPr>
      <w:r w:rsidRPr="000055D6">
        <w:t>Complejo</w:t>
      </w:r>
      <w:r w:rsidR="00D0642A" w:rsidRPr="000055D6">
        <w:t xml:space="preserve"> de inferioridad, cuando se trata de negociar (litigar, debatir, competir) con los EEUU o China… y fatua superioridad moral, cuando se trata de aplicar políticas (dogmas (paradigmas, mantras), que puedan afectar a los ciudadanos europeos. El oxímoron de los líderes europeos: ser buenos con los malos, y malos con los buenos. O sea.</w:t>
      </w:r>
    </w:p>
    <w:p w:rsidR="00D0642A" w:rsidRPr="000055D6" w:rsidRDefault="00D0642A" w:rsidP="00D0642A">
      <w:pPr>
        <w:pStyle w:val="NormalWeb"/>
        <w:spacing w:after="0"/>
        <w:jc w:val="both"/>
        <w:textAlignment w:val="baseline"/>
        <w:rPr>
          <w:shd w:val="clear" w:color="auto" w:fill="FFFFFF"/>
        </w:rPr>
      </w:pPr>
      <w:r w:rsidRPr="000055D6">
        <w:rPr>
          <w:rStyle w:val="Textoennegrita"/>
          <w:rFonts w:eastAsiaTheme="majorEastAsia"/>
          <w:b w:val="0"/>
          <w:shd w:val="clear" w:color="auto" w:fill="FFFFFF"/>
        </w:rPr>
        <w:t>Nadie da un euro por la Comisión Europea. El ilusionismo barato suministrado estos años desde Bruselas ya no sirve. Esos eslóganes estúpidos, esas poses pretenciosas, esas comparecencias huecas funcionaban en tiempos apacibles</w:t>
      </w:r>
      <w:r w:rsidRPr="000055D6">
        <w:rPr>
          <w:shd w:val="clear" w:color="auto" w:fill="FFFFFF"/>
        </w:rPr>
        <w:t>, cuando la ciudanía consumía</w:t>
      </w:r>
      <w:r w:rsidR="000055D6" w:rsidRPr="000055D6">
        <w:rPr>
          <w:shd w:val="clear" w:color="auto" w:fill="FFFFFF"/>
        </w:rPr>
        <w:t>,</w:t>
      </w:r>
      <w:r w:rsidRPr="000055D6">
        <w:rPr>
          <w:shd w:val="clear" w:color="auto" w:fill="FFFFFF"/>
        </w:rPr>
        <w:t xml:space="preserve"> y no había crisis. Ahora Europa reclama seriedad</w:t>
      </w:r>
      <w:r w:rsidR="000055D6" w:rsidRPr="000055D6">
        <w:rPr>
          <w:shd w:val="clear" w:color="auto" w:fill="FFFFFF"/>
        </w:rPr>
        <w:t>,</w:t>
      </w:r>
      <w:r w:rsidRPr="000055D6">
        <w:rPr>
          <w:shd w:val="clear" w:color="auto" w:fill="FFFFFF"/>
        </w:rPr>
        <w:t xml:space="preserve"> y </w:t>
      </w:r>
      <w:hyperlink r:id="rId8" w:tgtFrame="_blank" w:history="1">
        <w:r w:rsidRPr="000055D6">
          <w:rPr>
            <w:rStyle w:val="Hipervnculo"/>
            <w:color w:val="auto"/>
            <w:u w:val="none"/>
            <w:shd w:val="clear" w:color="auto" w:fill="FFFFFF"/>
          </w:rPr>
          <w:t xml:space="preserve">la población eleva la voz, </w:t>
        </w:r>
      </w:hyperlink>
      <w:r w:rsidRPr="000055D6">
        <w:rPr>
          <w:shd w:val="clear" w:color="auto" w:fill="FFFFFF"/>
        </w:rPr>
        <w:t>quizás esta vez con acierto. Y aunque así no sea. </w:t>
      </w:r>
      <w:r w:rsidRPr="000055D6">
        <w:rPr>
          <w:rStyle w:val="Textoennegrita"/>
          <w:rFonts w:eastAsiaTheme="majorEastAsia"/>
          <w:b w:val="0"/>
          <w:shd w:val="clear" w:color="auto" w:fill="FFFFFF"/>
        </w:rPr>
        <w:t>Algo ha mudado en el tuétano de una sociedad harta</w:t>
      </w:r>
      <w:r w:rsidRPr="000055D6">
        <w:rPr>
          <w:shd w:val="clear" w:color="auto" w:fill="FFFFFF"/>
        </w:rPr>
        <w:t> del catecismo woke, las tontadas de género (todas y todes), la cultura de la cancelación, la verborragia ecologista, el dispendio desaforado, el gasto interminable, el engaño persistente, la deuda impagable, esa profusa ineptitud que ha colocado a Europa en el lugar postrero de la fila de la recuperación post pandemia.</w:t>
      </w:r>
    </w:p>
    <w:p w:rsidR="00D0642A" w:rsidRPr="000055D6" w:rsidRDefault="00D0642A" w:rsidP="00D0642A">
      <w:pPr>
        <w:pStyle w:val="NormalWeb"/>
        <w:spacing w:after="0"/>
        <w:jc w:val="both"/>
        <w:textAlignment w:val="baseline"/>
        <w:rPr>
          <w:shd w:val="clear" w:color="auto" w:fill="FFFFFF"/>
        </w:rPr>
      </w:pPr>
      <w:r w:rsidRPr="000055D6">
        <w:rPr>
          <w:shd w:val="clear" w:color="auto" w:fill="FFFFFF"/>
        </w:rPr>
        <w:t>A la ciudadanía europea se le acabó la paciencia y a la Comisión Europea las trampas. Ni los que los nombraron para tan “anodino” cargo, se fían de ellos para continuar medrando.</w:t>
      </w:r>
    </w:p>
    <w:p w:rsidR="00D0642A" w:rsidRPr="000055D6" w:rsidRDefault="00D0642A" w:rsidP="00D0642A">
      <w:pPr>
        <w:pStyle w:val="NormalWeb"/>
        <w:spacing w:after="0"/>
        <w:jc w:val="both"/>
        <w:textAlignment w:val="baseline"/>
        <w:rPr>
          <w:shd w:val="clear" w:color="auto" w:fill="FFFFFF"/>
        </w:rPr>
      </w:pPr>
      <w:r w:rsidRPr="000055D6">
        <w:rPr>
          <w:shd w:val="clear" w:color="auto" w:fill="FFFFFF"/>
        </w:rPr>
        <w:t>Diseñaron una Europa dividida entre funcionarios y empleados precarios en el sector servicios (que en muchos casos, deben aceptar el humillante papel de “falsos autónomos”). Renunciaron a la autonomía industrial, abandonaron la soberanía alimentaria, cancelaron las opciones energéticas independientes, abdicaron de una fuerza militar europea… ¿and now?</w:t>
      </w:r>
    </w:p>
    <w:p w:rsidR="00D0642A" w:rsidRDefault="00D0642A" w:rsidP="00D0642A">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xml:space="preserve">- </w:t>
      </w:r>
      <w:r w:rsidR="0046570B">
        <w:rPr>
          <w:rFonts w:ascii="Times New Roman" w:hAnsi="Times New Roman" w:cs="Times New Roman"/>
          <w:b/>
          <w:sz w:val="24"/>
          <w:szCs w:val="24"/>
          <w:shd w:val="clear" w:color="auto" w:fill="FFFFFF"/>
        </w:rPr>
        <w:t>La “costosa” dependencia</w:t>
      </w:r>
      <w:r w:rsidRPr="00D0642A">
        <w:rPr>
          <w:rFonts w:ascii="Times New Roman" w:hAnsi="Times New Roman" w:cs="Times New Roman"/>
          <w:b/>
          <w:sz w:val="24"/>
          <w:szCs w:val="24"/>
          <w:shd w:val="clear" w:color="auto" w:fill="FFFFFF"/>
        </w:rPr>
        <w:t xml:space="preserve"> energética de la Unión Europea</w:t>
      </w:r>
      <w:r w:rsidR="0046570B">
        <w:rPr>
          <w:rFonts w:ascii="Times New Roman" w:hAnsi="Times New Roman" w:cs="Times New Roman"/>
          <w:b/>
          <w:sz w:val="24"/>
          <w:szCs w:val="24"/>
          <w:shd w:val="clear" w:color="auto" w:fill="FFFFFF"/>
        </w:rPr>
        <w:t xml:space="preserve"> </w:t>
      </w:r>
    </w:p>
    <w:p w:rsidR="007C220D" w:rsidRPr="00D0642A" w:rsidRDefault="007C220D" w:rsidP="00D0642A">
      <w:pPr>
        <w:spacing w:line="240" w:lineRule="auto"/>
        <w:jc w:val="both"/>
        <w:rPr>
          <w:rFonts w:ascii="Times New Roman" w:hAnsi="Times New Roman" w:cs="Times New Roman"/>
          <w:b/>
          <w:sz w:val="24"/>
          <w:szCs w:val="24"/>
          <w:shd w:val="clear" w:color="auto" w:fill="FFFFFF"/>
        </w:rPr>
      </w:pPr>
      <w:r>
        <w:rPr>
          <w:noProof/>
          <w:lang w:eastAsia="es-ES"/>
        </w:rPr>
        <w:drawing>
          <wp:inline distT="0" distB="0" distL="0" distR="0">
            <wp:extent cx="5734050" cy="2984500"/>
            <wp:effectExtent l="0" t="0" r="0" b="6350"/>
            <wp:docPr id="35" name="Imagen 35" descr="Vladímir Putin anuncia que el gasoducto Nord Stream 2 está listo para  funcionar | Euro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ladímir Putin anuncia que el gasoducto Nord Stream 2 está listo para  funcionar | Euronew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2983178"/>
                    </a:xfrm>
                    <a:prstGeom prst="rect">
                      <a:avLst/>
                    </a:prstGeom>
                    <a:noFill/>
                    <a:ln>
                      <a:noFill/>
                    </a:ln>
                  </pic:spPr>
                </pic:pic>
              </a:graphicData>
            </a:graphic>
          </wp:inline>
        </w:drawing>
      </w:r>
    </w:p>
    <w:p w:rsidR="00D0642A" w:rsidRDefault="00D0642A" w:rsidP="00D0642A">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¿De dónde viene la</w:t>
      </w:r>
      <w:r w:rsidRPr="00EE7AD9">
        <w:rPr>
          <w:rFonts w:ascii="Times New Roman" w:hAnsi="Times New Roman" w:cs="Times New Roman"/>
          <w:b/>
          <w:sz w:val="24"/>
          <w:szCs w:val="24"/>
          <w:shd w:val="clear" w:color="auto" w:fill="FFFFFF"/>
        </w:rPr>
        <w:t xml:space="preserve"> energía</w:t>
      </w:r>
      <w:r>
        <w:rPr>
          <w:rFonts w:ascii="Times New Roman" w:hAnsi="Times New Roman" w:cs="Times New Roman"/>
          <w:b/>
          <w:sz w:val="24"/>
          <w:szCs w:val="24"/>
          <w:shd w:val="clear" w:color="auto" w:fill="FFFFFF"/>
        </w:rPr>
        <w:t xml:space="preserve"> de la Unión Europea</w:t>
      </w:r>
      <w:r w:rsidRPr="00EE7AD9">
        <w:rPr>
          <w:rFonts w:ascii="Times New Roman" w:hAnsi="Times New Roman" w:cs="Times New Roman"/>
          <w:b/>
          <w:sz w:val="24"/>
          <w:szCs w:val="24"/>
          <w:shd w:val="clear" w:color="auto" w:fill="FFFFFF"/>
        </w:rPr>
        <w:t>?</w:t>
      </w:r>
    </w:p>
    <w:p w:rsidR="00D0642A" w:rsidRPr="00B476DB" w:rsidRDefault="00D0642A" w:rsidP="00D0642A">
      <w:pPr>
        <w:spacing w:line="240" w:lineRule="auto"/>
        <w:jc w:val="both"/>
        <w:rPr>
          <w:rFonts w:ascii="Times New Roman" w:hAnsi="Times New Roman" w:cs="Times New Roman"/>
          <w:color w:val="FF0000"/>
          <w:sz w:val="24"/>
          <w:szCs w:val="24"/>
          <w:shd w:val="clear" w:color="auto" w:fill="FFFFFF"/>
        </w:rPr>
      </w:pPr>
      <w:r w:rsidRPr="00B476DB">
        <w:rPr>
          <w:rFonts w:ascii="Times New Roman" w:hAnsi="Times New Roman" w:cs="Times New Roman"/>
          <w:sz w:val="24"/>
          <w:szCs w:val="24"/>
          <w:shd w:val="clear" w:color="auto" w:fill="FFFFFF"/>
        </w:rPr>
        <w:t>(Fuente: Comisión Europea y Eurostat)</w:t>
      </w:r>
    </w:p>
    <w:p w:rsidR="00D0642A" w:rsidRPr="00420B84" w:rsidRDefault="00D0642A" w:rsidP="00D0642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t>La energía disponible en la Unión Europea proviene de energía producida en la UE y de energía importada de terceros países. En 2019, la UE produjo alrededor del 39 % de su propia energía, mien</w:t>
      </w:r>
      <w:r>
        <w:rPr>
          <w:rFonts w:ascii="Times New Roman" w:hAnsi="Times New Roman" w:cs="Times New Roman"/>
          <w:sz w:val="24"/>
          <w:szCs w:val="24"/>
          <w:shd w:val="clear" w:color="auto" w:fill="FFFFFF"/>
        </w:rPr>
        <w:t>tras que el 61 % fue importado.</w:t>
      </w:r>
    </w:p>
    <w:p w:rsidR="00D0642A" w:rsidRPr="00420B84" w:rsidRDefault="00D0642A" w:rsidP="00D0642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t>Las importaciones y la producción forman juntas las fuentes de energía disponibles en la UE</w:t>
      </w:r>
      <w:r w:rsidR="007C220D">
        <w:rPr>
          <w:rFonts w:ascii="Times New Roman" w:hAnsi="Times New Roman" w:cs="Times New Roman"/>
          <w:sz w:val="24"/>
          <w:szCs w:val="24"/>
          <w:shd w:val="clear" w:color="auto" w:fill="FFFFFF"/>
        </w:rPr>
        <w:t>.</w:t>
      </w:r>
    </w:p>
    <w:p w:rsidR="00D0642A" w:rsidRPr="00420B84" w:rsidRDefault="00D0642A" w:rsidP="00D0642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t xml:space="preserve">Para obtener una buena visión general de la energía total disponible en la UE, la producción de energía siempre debe ponerse en </w:t>
      </w:r>
      <w:r>
        <w:rPr>
          <w:rFonts w:ascii="Times New Roman" w:hAnsi="Times New Roman" w:cs="Times New Roman"/>
          <w:sz w:val="24"/>
          <w:szCs w:val="24"/>
          <w:shd w:val="clear" w:color="auto" w:fill="FFFFFF"/>
        </w:rPr>
        <w:t>contexto con las importaciones.</w:t>
      </w:r>
    </w:p>
    <w:p w:rsidR="00D0642A" w:rsidRDefault="00D0642A" w:rsidP="00D0642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t>En 2019, el mix energético en la UE, es decir, el abanico de fuentes de energía disponibles, estuvo compuesto principalmente por cinco fuentes diferentes: Productos derivados del petróleo (incluido el petróleo crudo) (36 %), gas natural (22 %), energía renovable (15 %), energía nuclear y combustible</w:t>
      </w:r>
      <w:r>
        <w:rPr>
          <w:rFonts w:ascii="Times New Roman" w:hAnsi="Times New Roman" w:cs="Times New Roman"/>
          <w:sz w:val="24"/>
          <w:szCs w:val="24"/>
          <w:shd w:val="clear" w:color="auto" w:fill="FFFFFF"/>
        </w:rPr>
        <w:t>s fósiles sólidos (ambos 13 %).</w:t>
      </w:r>
    </w:p>
    <w:p w:rsidR="004611C9" w:rsidRPr="00420B84" w:rsidRDefault="004611C9"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005464C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w:t>
      </w:r>
      <w:r w:rsidRPr="00420B84">
        <w:rPr>
          <w:rFonts w:ascii="Times New Roman" w:hAnsi="Times New Roman" w:cs="Times New Roman"/>
          <w:noProof/>
          <w:sz w:val="24"/>
          <w:szCs w:val="24"/>
          <w:shd w:val="clear" w:color="auto" w:fill="FFFFFF"/>
          <w:lang w:eastAsia="es-ES"/>
        </w:rPr>
        <w:drawing>
          <wp:inline distT="0" distB="0" distL="0" distR="0" wp14:anchorId="62E61F3D" wp14:editId="31495348">
            <wp:extent cx="3073400" cy="2432050"/>
            <wp:effectExtent l="0" t="0" r="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73400" cy="2432050"/>
                    </a:xfrm>
                    <a:prstGeom prst="rect">
                      <a:avLst/>
                    </a:prstGeom>
                  </pic:spPr>
                </pic:pic>
              </a:graphicData>
            </a:graphic>
          </wp:inline>
        </w:drawing>
      </w:r>
    </w:p>
    <w:p w:rsidR="007C220D" w:rsidRDefault="00D0642A" w:rsidP="00D0642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sz w:val="24"/>
          <w:szCs w:val="24"/>
          <w:shd w:val="clear" w:color="auto" w:fill="FFFFFF"/>
        </w:rPr>
        <w:lastRenderedPageBreak/>
        <w:t xml:space="preserve">Las participaciones de las diferentes fuentes de energía en el energía total disponible varían considerablemente entre los Estados miembros. Los productos derivados del petróleo (incluido el petróleo crudo) representan una parte significativa de la energía total disponible en Chipre (90 %), Malta (87 %) y Luxemburgo (65 %), mientras que el gas natural representa algo más de un tercio en Italia (39 %). y los Países Bajos (37 %). Más de la mitad de la energía disponible en Estonia (60 %) y el 43 % en Polonia provienen de combustibles fósiles sólidos, mientras que la energía nuclear representa el 41 % en Francia y el 31 % en Suecia. La energía renovable representa el 41 % </w:t>
      </w:r>
      <w:r>
        <w:rPr>
          <w:rFonts w:ascii="Times New Roman" w:hAnsi="Times New Roman" w:cs="Times New Roman"/>
          <w:sz w:val="24"/>
          <w:szCs w:val="24"/>
          <w:shd w:val="clear" w:color="auto" w:fill="FFFFFF"/>
        </w:rPr>
        <w:t>en Suecia y el 37 % en Letonia.</w:t>
      </w:r>
    </w:p>
    <w:p w:rsidR="00D0642A" w:rsidRPr="00420B84"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Proporción de productos energéticos en la energía total disponible</w:t>
      </w:r>
    </w:p>
    <w:p w:rsidR="00D0642A" w:rsidRDefault="00D0642A" w:rsidP="00D0642A">
      <w:pPr>
        <w:spacing w:line="240" w:lineRule="auto"/>
        <w:jc w:val="both"/>
        <w:rPr>
          <w:rFonts w:ascii="Times New Roman" w:hAnsi="Times New Roman" w:cs="Times New Roman"/>
          <w:sz w:val="24"/>
          <w:szCs w:val="24"/>
          <w:shd w:val="clear" w:color="auto" w:fill="FFFFFF"/>
        </w:rPr>
      </w:pPr>
      <w:r w:rsidRPr="00420B84">
        <w:rPr>
          <w:rFonts w:ascii="Times New Roman" w:hAnsi="Times New Roman" w:cs="Times New Roman"/>
          <w:noProof/>
          <w:sz w:val="24"/>
          <w:szCs w:val="24"/>
          <w:shd w:val="clear" w:color="auto" w:fill="FFFFFF"/>
          <w:lang w:eastAsia="es-ES"/>
        </w:rPr>
        <w:drawing>
          <wp:inline distT="0" distB="0" distL="0" distR="0" wp14:anchorId="5B84E185" wp14:editId="13CC9E7C">
            <wp:extent cx="5734050" cy="2565400"/>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564264"/>
                    </a:xfrm>
                    <a:prstGeom prst="rect">
                      <a:avLst/>
                    </a:prstGeom>
                  </pic:spPr>
                </pic:pic>
              </a:graphicData>
            </a:graphic>
          </wp:inline>
        </w:drawing>
      </w:r>
    </w:p>
    <w:p w:rsidR="00D0642A" w:rsidRDefault="007C220D"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p>
    <w:p w:rsidR="00D0642A" w:rsidRDefault="00D0642A" w:rsidP="00D0642A">
      <w:pPr>
        <w:spacing w:line="240" w:lineRule="auto"/>
        <w:jc w:val="both"/>
        <w:rPr>
          <w:rFonts w:ascii="Times New Roman" w:hAnsi="Times New Roman" w:cs="Times New Roman"/>
          <w:sz w:val="24"/>
          <w:szCs w:val="24"/>
          <w:shd w:val="clear" w:color="auto" w:fill="FFFFFF"/>
        </w:rPr>
      </w:pPr>
      <w:r w:rsidRPr="0029035C">
        <w:rPr>
          <w:rFonts w:ascii="Times New Roman" w:hAnsi="Times New Roman" w:cs="Times New Roman"/>
          <w:noProof/>
          <w:sz w:val="24"/>
          <w:szCs w:val="24"/>
          <w:shd w:val="clear" w:color="auto" w:fill="FFFFFF"/>
          <w:lang w:eastAsia="es-ES"/>
        </w:rPr>
        <w:drawing>
          <wp:inline distT="0" distB="0" distL="0" distR="0" wp14:anchorId="23B0F17D" wp14:editId="562D1D3A">
            <wp:extent cx="5731510" cy="3689966"/>
            <wp:effectExtent l="0" t="0" r="254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689966"/>
                    </a:xfrm>
                    <a:prstGeom prst="rect">
                      <a:avLst/>
                    </a:prstGeom>
                  </pic:spPr>
                </pic:pic>
              </a:graphicData>
            </a:graphic>
          </wp:inline>
        </w:drawing>
      </w:r>
    </w:p>
    <w:p w:rsidR="004611C9" w:rsidRDefault="00D0642A" w:rsidP="00D0642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noProof/>
          <w:sz w:val="24"/>
          <w:szCs w:val="24"/>
          <w:shd w:val="clear" w:color="auto" w:fill="FFFFFF"/>
          <w:lang w:eastAsia="es-ES"/>
        </w:rPr>
        <w:lastRenderedPageBreak/>
        <w:drawing>
          <wp:inline distT="0" distB="0" distL="0" distR="0" wp14:anchorId="42DFFA73" wp14:editId="2597E944">
            <wp:extent cx="5734050" cy="168223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1681488"/>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noProof/>
          <w:sz w:val="24"/>
          <w:szCs w:val="24"/>
          <w:shd w:val="clear" w:color="auto" w:fill="FFFFFF"/>
          <w:lang w:eastAsia="es-ES"/>
        </w:rPr>
        <w:drawing>
          <wp:inline distT="0" distB="0" distL="0" distR="0" wp14:anchorId="5F082786" wp14:editId="56E11625">
            <wp:extent cx="5731510" cy="2971690"/>
            <wp:effectExtent l="0" t="0" r="254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2971690"/>
                    </a:xfrm>
                    <a:prstGeom prst="rect">
                      <a:avLst/>
                    </a:prstGeom>
                  </pic:spPr>
                </pic:pic>
              </a:graphicData>
            </a:graphic>
          </wp:inline>
        </w:drawing>
      </w:r>
    </w:p>
    <w:p w:rsidR="004611C9" w:rsidRDefault="00D0642A" w:rsidP="00D0642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noProof/>
          <w:sz w:val="24"/>
          <w:szCs w:val="24"/>
          <w:shd w:val="clear" w:color="auto" w:fill="FFFFFF"/>
          <w:lang w:eastAsia="es-ES"/>
        </w:rPr>
        <w:drawing>
          <wp:inline distT="0" distB="0" distL="0" distR="0" wp14:anchorId="7D432A37" wp14:editId="14B78A14">
            <wp:extent cx="5835650" cy="18161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843850" cy="1818652"/>
                    </a:xfrm>
                    <a:prstGeom prst="rect">
                      <a:avLst/>
                    </a:prstGeom>
                  </pic:spPr>
                </pic:pic>
              </a:graphicData>
            </a:graphic>
          </wp:inline>
        </w:drawing>
      </w:r>
    </w:p>
    <w:p w:rsidR="00D0642A" w:rsidRPr="00FC1F7F" w:rsidRDefault="00D0642A" w:rsidP="00D0642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¿Qué energía se produce en la UE?</w:t>
      </w:r>
    </w:p>
    <w:p w:rsidR="00D0642A" w:rsidRPr="00EE7AD9" w:rsidRDefault="00D0642A" w:rsidP="00D0642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sz w:val="24"/>
          <w:szCs w:val="24"/>
          <w:shd w:val="clear" w:color="auto" w:fill="FFFFFF"/>
        </w:rPr>
        <w:t>La producción de energía en la UE se distribuye a través de una gama de diferentes fuentes de energía: combustibles fósiles sólidos, gas natural, petróleo crudo, energía nuclear y energía renovable (tales como energía h</w:t>
      </w:r>
      <w:r>
        <w:rPr>
          <w:rFonts w:ascii="Times New Roman" w:hAnsi="Times New Roman" w:cs="Times New Roman"/>
          <w:sz w:val="24"/>
          <w:szCs w:val="24"/>
          <w:shd w:val="clear" w:color="auto" w:fill="FFFFFF"/>
        </w:rPr>
        <w:t>idroeléctrica, eólica y solar).</w:t>
      </w:r>
    </w:p>
    <w:p w:rsidR="00D0642A" w:rsidRPr="00EE7AD9" w:rsidRDefault="00D0642A" w:rsidP="00D0642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sz w:val="24"/>
          <w:szCs w:val="24"/>
          <w:shd w:val="clear" w:color="auto" w:fill="FFFFFF"/>
        </w:rPr>
        <w:t>La energía renovable (37 % de la producción total de energía de la UE) fue la fuente que más contribuyó a la producción de energía en la UE en 2019. La energía nuclear (32 %) fue la segunda fuente más importante, seguida de los combustibles sólidos (19 %), el gas natura</w:t>
      </w:r>
      <w:r>
        <w:rPr>
          <w:rFonts w:ascii="Times New Roman" w:hAnsi="Times New Roman" w:cs="Times New Roman"/>
          <w:sz w:val="24"/>
          <w:szCs w:val="24"/>
          <w:shd w:val="clear" w:color="auto" w:fill="FFFFFF"/>
        </w:rPr>
        <w:t>l (8 %) y petróleo crudo (4 %).</w:t>
      </w:r>
    </w:p>
    <w:p w:rsidR="00D0642A" w:rsidRPr="00EE7AD9" w:rsidRDefault="00D0642A" w:rsidP="00D0642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sz w:val="24"/>
          <w:szCs w:val="24"/>
          <w:shd w:val="clear" w:color="auto" w:fill="FFFFFF"/>
        </w:rPr>
        <w:lastRenderedPageBreak/>
        <w:t>Sin embargo, la producción de energía es muy diferente de un Estado miembro a otro. La importancia de la energía nuclear es particularmente alta en Francia (78 % de la producción nacional total de energía), Bélgica (71 %) y Eslovaquia (58 %). La energía renovable es la principal fuente de energía producida en varios Estados miembros, con más del 90 % (de la energía producida dentro del país) en Malta, Letonia, Portugal y Chipre. Los combustibles sólidos tienen la mayor importancia en Polonia (77 %), Estonia (62 %), Chequia (52 %) y Grecia (49 %), mientras que el gas natural es la principal fuente de energía producida en los Países Bajos (72 %). El petróleo crudo es la principal fuente de energía producida en Dinamarca (41 %).</w:t>
      </w:r>
    </w:p>
    <w:p w:rsidR="004611C9" w:rsidRDefault="00D0642A" w:rsidP="00D0642A">
      <w:pPr>
        <w:spacing w:line="240" w:lineRule="auto"/>
        <w:jc w:val="both"/>
        <w:rPr>
          <w:rFonts w:ascii="Times New Roman" w:hAnsi="Times New Roman" w:cs="Times New Roman"/>
          <w:sz w:val="24"/>
          <w:szCs w:val="24"/>
          <w:shd w:val="clear" w:color="auto" w:fill="FFFFFF"/>
        </w:rPr>
      </w:pPr>
      <w:r w:rsidRPr="00EE7AD9">
        <w:rPr>
          <w:rFonts w:ascii="Times New Roman" w:hAnsi="Times New Roman" w:cs="Times New Roman"/>
          <w:sz w:val="24"/>
          <w:szCs w:val="24"/>
          <w:shd w:val="clear" w:color="auto" w:fill="FFFFFF"/>
        </w:rPr>
        <w:t>Participación en la producción de energía por fuente, 2019</w:t>
      </w:r>
    </w:p>
    <w:p w:rsidR="00D0642A"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007C220D">
        <w:rPr>
          <w:rFonts w:ascii="Times New Roman" w:hAnsi="Times New Roman" w:cs="Times New Roman"/>
          <w:sz w:val="24"/>
          <w:szCs w:val="24"/>
          <w:shd w:val="clear" w:color="auto" w:fill="FFFFFF"/>
        </w:rPr>
        <w:t xml:space="preserve">     </w:t>
      </w:r>
      <w:r w:rsidR="004611C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w:t>
      </w:r>
      <w:r w:rsidRPr="00832DB2">
        <w:rPr>
          <w:rFonts w:ascii="Times New Roman" w:hAnsi="Times New Roman" w:cs="Times New Roman"/>
          <w:noProof/>
          <w:sz w:val="24"/>
          <w:szCs w:val="24"/>
          <w:shd w:val="clear" w:color="auto" w:fill="FFFFFF"/>
          <w:lang w:eastAsia="es-ES"/>
        </w:rPr>
        <w:drawing>
          <wp:inline distT="0" distB="0" distL="0" distR="0" wp14:anchorId="6C880B96" wp14:editId="3A316B29">
            <wp:extent cx="2787650" cy="25781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88041" cy="2578462"/>
                    </a:xfrm>
                    <a:prstGeom prst="rect">
                      <a:avLst/>
                    </a:prstGeom>
                  </pic:spPr>
                </pic:pic>
              </a:graphicData>
            </a:graphic>
          </wp:inline>
        </w:drawing>
      </w:r>
    </w:p>
    <w:p w:rsidR="007C220D" w:rsidRDefault="007C220D" w:rsidP="00D0642A">
      <w:pPr>
        <w:spacing w:line="240" w:lineRule="auto"/>
        <w:jc w:val="both"/>
        <w:rPr>
          <w:rFonts w:ascii="Times New Roman" w:hAnsi="Times New Roman" w:cs="Times New Roman"/>
          <w:sz w:val="24"/>
          <w:szCs w:val="24"/>
          <w:shd w:val="clear" w:color="auto" w:fill="FFFFFF"/>
        </w:rPr>
      </w:pPr>
    </w:p>
    <w:p w:rsidR="00D0642A" w:rsidRDefault="00D0642A" w:rsidP="00D0642A">
      <w:pPr>
        <w:spacing w:line="240" w:lineRule="auto"/>
        <w:jc w:val="both"/>
        <w:rPr>
          <w:rFonts w:ascii="Times New Roman" w:hAnsi="Times New Roman" w:cs="Times New Roman"/>
          <w:sz w:val="24"/>
          <w:szCs w:val="24"/>
          <w:shd w:val="clear" w:color="auto" w:fill="FFFFFF"/>
        </w:rPr>
      </w:pPr>
      <w:r w:rsidRPr="00832DB2">
        <w:rPr>
          <w:rFonts w:ascii="Times New Roman" w:hAnsi="Times New Roman" w:cs="Times New Roman"/>
          <w:noProof/>
          <w:sz w:val="24"/>
          <w:szCs w:val="24"/>
          <w:shd w:val="clear" w:color="auto" w:fill="FFFFFF"/>
          <w:lang w:eastAsia="es-ES"/>
        </w:rPr>
        <w:drawing>
          <wp:inline distT="0" distB="0" distL="0" distR="0" wp14:anchorId="41FA24B7" wp14:editId="345F4EA2">
            <wp:extent cx="5727699" cy="3771900"/>
            <wp:effectExtent l="0" t="0" r="698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3774410"/>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E54D6B">
        <w:rPr>
          <w:rFonts w:ascii="Times New Roman" w:hAnsi="Times New Roman" w:cs="Times New Roman"/>
          <w:noProof/>
          <w:sz w:val="24"/>
          <w:szCs w:val="24"/>
          <w:shd w:val="clear" w:color="auto" w:fill="FFFFFF"/>
          <w:lang w:eastAsia="es-ES"/>
        </w:rPr>
        <w:lastRenderedPageBreak/>
        <w:drawing>
          <wp:inline distT="0" distB="0" distL="0" distR="0" wp14:anchorId="24A67A51" wp14:editId="21AF2F93">
            <wp:extent cx="5886450" cy="149860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885657" cy="1498398"/>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E54D6B">
        <w:rPr>
          <w:rFonts w:ascii="Times New Roman" w:hAnsi="Times New Roman" w:cs="Times New Roman"/>
          <w:noProof/>
          <w:sz w:val="24"/>
          <w:szCs w:val="24"/>
          <w:shd w:val="clear" w:color="auto" w:fill="FFFFFF"/>
          <w:lang w:eastAsia="es-ES"/>
        </w:rPr>
        <w:drawing>
          <wp:inline distT="0" distB="0" distL="0" distR="0" wp14:anchorId="77620583" wp14:editId="067A6229">
            <wp:extent cx="4984750" cy="3289115"/>
            <wp:effectExtent l="0" t="0" r="635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982542" cy="3287658"/>
                    </a:xfrm>
                    <a:prstGeom prst="rect">
                      <a:avLst/>
                    </a:prstGeom>
                  </pic:spPr>
                </pic:pic>
              </a:graphicData>
            </a:graphic>
          </wp:inline>
        </w:drawing>
      </w:r>
      <w:r w:rsidRPr="005F77BB">
        <w:rPr>
          <w:noProof/>
          <w:lang w:eastAsia="es-ES"/>
        </w:rPr>
        <w:t xml:space="preserve"> </w:t>
      </w:r>
      <w:r w:rsidRPr="005F77BB">
        <w:rPr>
          <w:rFonts w:ascii="Times New Roman" w:hAnsi="Times New Roman" w:cs="Times New Roman"/>
          <w:noProof/>
          <w:sz w:val="24"/>
          <w:szCs w:val="24"/>
          <w:shd w:val="clear" w:color="auto" w:fill="FFFFFF"/>
          <w:lang w:eastAsia="es-ES"/>
        </w:rPr>
        <w:drawing>
          <wp:inline distT="0" distB="0" distL="0" distR="0" wp14:anchorId="20148435" wp14:editId="4E209967">
            <wp:extent cx="527050" cy="3295647"/>
            <wp:effectExtent l="0" t="0" r="6350"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9062" cy="3308228"/>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E54D6B">
        <w:rPr>
          <w:rFonts w:ascii="Times New Roman" w:hAnsi="Times New Roman" w:cs="Times New Roman"/>
          <w:noProof/>
          <w:sz w:val="24"/>
          <w:szCs w:val="24"/>
          <w:shd w:val="clear" w:color="auto" w:fill="FFFFFF"/>
          <w:lang w:eastAsia="es-ES"/>
        </w:rPr>
        <w:drawing>
          <wp:inline distT="0" distB="0" distL="0" distR="0" wp14:anchorId="392D3FB7" wp14:editId="17F22115">
            <wp:extent cx="5181600" cy="1459855"/>
            <wp:effectExtent l="0" t="0" r="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179305" cy="1459208"/>
                    </a:xfrm>
                    <a:prstGeom prst="rect">
                      <a:avLst/>
                    </a:prstGeom>
                  </pic:spPr>
                </pic:pic>
              </a:graphicData>
            </a:graphic>
          </wp:inline>
        </w:drawing>
      </w:r>
      <w:r w:rsidRPr="005F77BB">
        <w:rPr>
          <w:rFonts w:ascii="Times New Roman" w:hAnsi="Times New Roman" w:cs="Times New Roman"/>
          <w:noProof/>
          <w:sz w:val="24"/>
          <w:szCs w:val="24"/>
          <w:shd w:val="clear" w:color="auto" w:fill="FFFFFF"/>
          <w:lang w:eastAsia="es-ES"/>
        </w:rPr>
        <w:drawing>
          <wp:inline distT="0" distB="0" distL="0" distR="0" wp14:anchorId="3EEBCEB0" wp14:editId="77650848">
            <wp:extent cx="298450" cy="1498600"/>
            <wp:effectExtent l="0" t="0" r="635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8889" cy="1500805"/>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p>
    <w:p w:rsidR="00D0642A" w:rsidRPr="00FC1F7F" w:rsidRDefault="00D0642A" w:rsidP="00D0642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¿De dónde importa la energía la Unión Europea?</w:t>
      </w:r>
    </w:p>
    <w:p w:rsidR="00D0642A" w:rsidRPr="005F77BB"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¿Qué importa</w:t>
      </w:r>
      <w:r w:rsidRPr="005F77BB">
        <w:rPr>
          <w:rFonts w:ascii="Times New Roman" w:hAnsi="Times New Roman" w:cs="Times New Roman"/>
          <w:sz w:val="24"/>
          <w:szCs w:val="24"/>
          <w:shd w:val="clear" w:color="auto" w:fill="FFFFFF"/>
        </w:rPr>
        <w:t>?</w:t>
      </w:r>
    </w:p>
    <w:p w:rsidR="00D0642A" w:rsidRPr="005F77BB" w:rsidRDefault="00D0642A" w:rsidP="00D0642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Para su propio consumo, la UE también necesita energía que se importa de terceros países. En 2019, el principal producto energético importado fue productos derivados del petróleo (incluido el petróleo crudo, que es el componente principal), que representa casi dos tercios de las importaciones de energía en la UE, seguido del gas (27 %) y combustibles fósiles sólidos (6 %).</w:t>
      </w:r>
    </w:p>
    <w:p w:rsidR="00D0642A" w:rsidRPr="005F77BB" w:rsidRDefault="00D0642A" w:rsidP="00D0642A">
      <w:pPr>
        <w:spacing w:line="240" w:lineRule="auto"/>
        <w:jc w:val="both"/>
        <w:rPr>
          <w:rFonts w:ascii="Times New Roman" w:hAnsi="Times New Roman" w:cs="Times New Roman"/>
          <w:sz w:val="24"/>
          <w:szCs w:val="24"/>
          <w:shd w:val="clear" w:color="auto" w:fill="FFFFFF"/>
        </w:rPr>
      </w:pPr>
    </w:p>
    <w:p w:rsidR="00D0642A" w:rsidRPr="005F77BB" w:rsidRDefault="00D0642A" w:rsidP="00D0642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lastRenderedPageBreak/>
        <w:t>Rusia es el principal proveedor de la UE de petróleo crudo, gas natural y combustibles fósiles sólidos</w:t>
      </w:r>
    </w:p>
    <w:p w:rsidR="00D0642A" w:rsidRPr="005F77BB" w:rsidRDefault="00D0642A" w:rsidP="00D0642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La estabilidad del suministro energético de la UE puede verse amenazada si una gran proporción de las importaciones se concentra entre relativamente pocos socios externos. En 2019, casi dos tercios de las importaciones de petróleo crudo extracomunitario provinieron de Rusia (27 %), Irak (9 %), Nigeria y Arabia Saudita (ambos 8 %) y Kazajstán y Noruega (ambos 7 %). Un análisis similar muestra que casi las tres cuartas partes de las importaciones de gas natural de la UE procedían de Rusia (41 %), Noruega (16 %), Argelia (8 %) y Qatar (5 %), mientras que más de las tres cuartas partes del combustible sólido (principalmente carbón) las importaciones procedían de Rusia (47 %), Estados Un</w:t>
      </w:r>
      <w:r>
        <w:rPr>
          <w:rFonts w:ascii="Times New Roman" w:hAnsi="Times New Roman" w:cs="Times New Roman"/>
          <w:sz w:val="24"/>
          <w:szCs w:val="24"/>
          <w:shd w:val="clear" w:color="auto" w:fill="FFFFFF"/>
        </w:rPr>
        <w:t>idos (18 %) y Australia (14 %).</w:t>
      </w:r>
    </w:p>
    <w:p w:rsidR="00D0642A" w:rsidRPr="005F77BB" w:rsidRDefault="00D0642A" w:rsidP="00D0642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Diferentes patrones entre los Estados miembros de la UE</w:t>
      </w:r>
    </w:p>
    <w:p w:rsidR="00D0642A" w:rsidRDefault="00D0642A" w:rsidP="00D0642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Más del 80 % de las importaciones de energía son derivados del petróleo en Chipre, Malta, Grecia y Suecia, y más de un tercio es gas en Hungría, Italia, Austria y Eslovaquia. Alrededor del 20 % de las importaciones de energía son combustibles s</w:t>
      </w:r>
      <w:r>
        <w:rPr>
          <w:rFonts w:ascii="Times New Roman" w:hAnsi="Times New Roman" w:cs="Times New Roman"/>
          <w:sz w:val="24"/>
          <w:szCs w:val="24"/>
          <w:shd w:val="clear" w:color="auto" w:fill="FFFFFF"/>
        </w:rPr>
        <w:t>ólidos en Polonia y Eslovaquia.</w:t>
      </w:r>
    </w:p>
    <w:p w:rsidR="00D0642A" w:rsidRDefault="00D0642A" w:rsidP="00D0642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4C2B2B22" wp14:editId="2F229EE7">
            <wp:extent cx="5728478" cy="2781300"/>
            <wp:effectExtent l="0" t="0" r="5715" b="0"/>
            <wp:docPr id="18" name="Imagen 18" descr="Importaciones de la UE de combustible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portaciones de la UE de combustible sólid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782772"/>
                    </a:xfrm>
                    <a:prstGeom prst="rect">
                      <a:avLst/>
                    </a:prstGeom>
                    <a:noFill/>
                    <a:ln>
                      <a:noFill/>
                    </a:ln>
                  </pic:spPr>
                </pic:pic>
              </a:graphicData>
            </a:graphic>
          </wp:inline>
        </w:drawing>
      </w:r>
    </w:p>
    <w:p w:rsidR="00D0642A" w:rsidRPr="005F77BB" w:rsidRDefault="00D0642A" w:rsidP="00D0642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7A0E6B56" wp14:editId="1638AEAB">
            <wp:extent cx="5728478" cy="2647950"/>
            <wp:effectExtent l="0" t="0" r="5715" b="0"/>
            <wp:docPr id="19" name="Imagen 19" descr="Importaciones de la UE de gas nat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portaciones de la UE de gas natura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649351"/>
                    </a:xfrm>
                    <a:prstGeom prst="rect">
                      <a:avLst/>
                    </a:prstGeom>
                    <a:noFill/>
                    <a:ln>
                      <a:noFill/>
                    </a:ln>
                  </pic:spPr>
                </pic:pic>
              </a:graphicData>
            </a:graphic>
          </wp:inline>
        </w:drawing>
      </w:r>
    </w:p>
    <w:p w:rsidR="00D0642A" w:rsidRPr="00FC1F7F" w:rsidRDefault="00D0642A" w:rsidP="00D0642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lastRenderedPageBreak/>
        <w:t>¿Cuán dependiente es la UE de la energía producida fuera de la región?</w:t>
      </w:r>
    </w:p>
    <w:p w:rsidR="00D0642A" w:rsidRPr="005F77BB" w:rsidRDefault="00D0642A" w:rsidP="00D0642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 xml:space="preserve">La tasa de dependencia muestra hasta qué punto una economía depende de las importaciones para satisfacer sus necesidades energéticas. Se mide por la participación de las importaciones netas (importaciones - exportaciones) en el consumo interior bruto de energía (es decir, la suma de la energía producida y las importaciones netas). En la UE en 2019, la tasa de dependencia era igual al 61 %, lo que significa que más de la mitad de las necesidades energéticas de la UE se cubrieron con importaciones netas. Esta tasa va desde más del 90 % en Malta, Luxemburgo y Chipre hasta el 5 % en Estonia. La tasa de dependencia de las importaciones de energía ha aumentado desde el año 2000, cuando era sólo </w:t>
      </w:r>
      <w:r>
        <w:rPr>
          <w:rFonts w:ascii="Times New Roman" w:hAnsi="Times New Roman" w:cs="Times New Roman"/>
          <w:sz w:val="24"/>
          <w:szCs w:val="24"/>
          <w:shd w:val="clear" w:color="auto" w:fill="FFFFFF"/>
        </w:rPr>
        <w:t>del 56 %.</w:t>
      </w:r>
    </w:p>
    <w:p w:rsidR="00D0642A" w:rsidRDefault="00D0642A" w:rsidP="00D0642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Como se mencionó en la parte que trata sobre las importaciones de energía, la UE depende principalmente de Rusia para las importaciones de petróleo crudo, gas natural y combustibles sólidos, seguida de Noruega para el petróleo crudo y el gas natural.</w:t>
      </w:r>
    </w:p>
    <w:p w:rsidR="00D0642A" w:rsidRDefault="00D0642A" w:rsidP="00D0642A">
      <w:pPr>
        <w:spacing w:line="240" w:lineRule="auto"/>
        <w:jc w:val="both"/>
        <w:rPr>
          <w:rFonts w:ascii="Times New Roman" w:hAnsi="Times New Roman" w:cs="Times New Roman"/>
          <w:sz w:val="24"/>
          <w:szCs w:val="24"/>
          <w:shd w:val="clear" w:color="auto" w:fill="FFFFFF"/>
        </w:rPr>
      </w:pPr>
    </w:p>
    <w:p w:rsidR="00D0642A" w:rsidRDefault="00D0642A" w:rsidP="00D0642A">
      <w:pPr>
        <w:spacing w:line="240" w:lineRule="auto"/>
        <w:jc w:val="both"/>
        <w:rPr>
          <w:rFonts w:ascii="Times New Roman" w:hAnsi="Times New Roman" w:cs="Times New Roman"/>
          <w:sz w:val="24"/>
          <w:szCs w:val="24"/>
          <w:shd w:val="clear" w:color="auto" w:fill="FFFFFF"/>
        </w:rPr>
      </w:pPr>
      <w:r w:rsidRPr="005F77BB">
        <w:rPr>
          <w:rFonts w:ascii="Times New Roman" w:hAnsi="Times New Roman" w:cs="Times New Roman"/>
          <w:sz w:val="24"/>
          <w:szCs w:val="24"/>
          <w:shd w:val="clear" w:color="auto" w:fill="FFFFFF"/>
        </w:rPr>
        <w:t>Tasa de dependencia energética</w:t>
      </w:r>
    </w:p>
    <w:p w:rsidR="004611C9" w:rsidRDefault="004611C9" w:rsidP="00D0642A">
      <w:pPr>
        <w:spacing w:line="240" w:lineRule="auto"/>
        <w:jc w:val="both"/>
        <w:rPr>
          <w:rFonts w:ascii="Times New Roman" w:hAnsi="Times New Roman" w:cs="Times New Roman"/>
          <w:sz w:val="24"/>
          <w:szCs w:val="24"/>
          <w:shd w:val="clear" w:color="auto" w:fill="FFFFFF"/>
        </w:rPr>
      </w:pPr>
    </w:p>
    <w:p w:rsidR="00D0642A" w:rsidRDefault="00D0642A" w:rsidP="00D0642A">
      <w:pPr>
        <w:spacing w:line="240" w:lineRule="auto"/>
        <w:jc w:val="both"/>
        <w:rPr>
          <w:rFonts w:ascii="Times New Roman" w:hAnsi="Times New Roman" w:cs="Times New Roman"/>
          <w:sz w:val="24"/>
          <w:szCs w:val="24"/>
          <w:shd w:val="clear" w:color="auto" w:fill="FFFFFF"/>
        </w:rPr>
      </w:pPr>
      <w:r w:rsidRPr="006A345C">
        <w:rPr>
          <w:rFonts w:ascii="Times New Roman" w:hAnsi="Times New Roman" w:cs="Times New Roman"/>
          <w:noProof/>
          <w:sz w:val="24"/>
          <w:szCs w:val="24"/>
          <w:shd w:val="clear" w:color="auto" w:fill="FFFFFF"/>
          <w:lang w:eastAsia="es-ES"/>
        </w:rPr>
        <w:drawing>
          <wp:inline distT="0" distB="0" distL="0" distR="0" wp14:anchorId="3E869B15" wp14:editId="4CF85A4E">
            <wp:extent cx="5676900" cy="37020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77693" cy="3702567"/>
                    </a:xfrm>
                    <a:prstGeom prst="rect">
                      <a:avLst/>
                    </a:prstGeom>
                  </pic:spPr>
                </pic:pic>
              </a:graphicData>
            </a:graphic>
          </wp:inline>
        </w:drawing>
      </w:r>
    </w:p>
    <w:p w:rsidR="00D0642A" w:rsidRPr="00C66722" w:rsidRDefault="00D0642A" w:rsidP="00D0642A">
      <w:pPr>
        <w:spacing w:line="240" w:lineRule="auto"/>
        <w:jc w:val="both"/>
        <w:rPr>
          <w:rFonts w:ascii="Times New Roman" w:hAnsi="Times New Roman" w:cs="Times New Roman"/>
          <w:sz w:val="24"/>
          <w:szCs w:val="24"/>
          <w:shd w:val="clear" w:color="auto" w:fill="FFFFFF"/>
        </w:rPr>
      </w:pPr>
    </w:p>
    <w:p w:rsidR="00D0642A" w:rsidRDefault="00D0642A" w:rsidP="00D0642A">
      <w:pPr>
        <w:spacing w:line="240" w:lineRule="auto"/>
        <w:jc w:val="both"/>
        <w:rPr>
          <w:rFonts w:ascii="Times New Roman" w:hAnsi="Times New Roman" w:cs="Times New Roman"/>
          <w:sz w:val="24"/>
          <w:szCs w:val="24"/>
          <w:shd w:val="clear" w:color="auto" w:fill="FFFFFF"/>
        </w:rPr>
      </w:pPr>
      <w:r w:rsidRPr="006A345C">
        <w:rPr>
          <w:rFonts w:ascii="Times New Roman" w:hAnsi="Times New Roman" w:cs="Times New Roman"/>
          <w:noProof/>
          <w:sz w:val="24"/>
          <w:szCs w:val="24"/>
          <w:shd w:val="clear" w:color="auto" w:fill="FFFFFF"/>
          <w:lang w:eastAsia="es-ES"/>
        </w:rPr>
        <w:lastRenderedPageBreak/>
        <w:drawing>
          <wp:inline distT="0" distB="0" distL="0" distR="0" wp14:anchorId="2A56040F" wp14:editId="40E672D7">
            <wp:extent cx="4311650" cy="63119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315428" cy="6317431"/>
                    </a:xfrm>
                    <a:prstGeom prst="rect">
                      <a:avLst/>
                    </a:prstGeom>
                  </pic:spPr>
                </pic:pic>
              </a:graphicData>
            </a:graphic>
          </wp:inline>
        </w:drawing>
      </w:r>
      <w:r>
        <w:rPr>
          <w:rFonts w:ascii="Times New Roman" w:hAnsi="Times New Roman" w:cs="Times New Roman"/>
          <w:sz w:val="24"/>
          <w:szCs w:val="24"/>
          <w:shd w:val="clear" w:color="auto" w:fill="FFFFFF"/>
        </w:rPr>
        <w:t xml:space="preserve">      </w:t>
      </w:r>
      <w:r w:rsidRPr="006A345C">
        <w:rPr>
          <w:rFonts w:ascii="Times New Roman" w:hAnsi="Times New Roman" w:cs="Times New Roman"/>
          <w:noProof/>
          <w:sz w:val="24"/>
          <w:szCs w:val="24"/>
          <w:shd w:val="clear" w:color="auto" w:fill="FFFFFF"/>
          <w:lang w:eastAsia="es-ES"/>
        </w:rPr>
        <w:drawing>
          <wp:inline distT="0" distB="0" distL="0" distR="0" wp14:anchorId="63D06F34" wp14:editId="4E471A92">
            <wp:extent cx="4159250" cy="2215873"/>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166312" cy="2219635"/>
                    </a:xfrm>
                    <a:prstGeom prst="rect">
                      <a:avLst/>
                    </a:prstGeom>
                  </pic:spPr>
                </pic:pic>
              </a:graphicData>
            </a:graphic>
          </wp:inline>
        </w:drawing>
      </w:r>
    </w:p>
    <w:p w:rsidR="00D0642A" w:rsidRPr="0046570B" w:rsidRDefault="00076E63"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D0642A" w:rsidRPr="00FC4CCC">
        <w:rPr>
          <w:rFonts w:ascii="Times New Roman" w:hAnsi="Times New Roman" w:cs="Times New Roman"/>
          <w:sz w:val="24"/>
          <w:szCs w:val="24"/>
          <w:shd w:val="clear" w:color="auto" w:fill="FFFFFF"/>
        </w:rPr>
        <w:t xml:space="preserve">Fuente: </w:t>
      </w:r>
      <w:hyperlink r:id="rId28" w:history="1">
        <w:r w:rsidR="00D0642A" w:rsidRPr="0046570B">
          <w:rPr>
            <w:rStyle w:val="Hipervnculo"/>
            <w:rFonts w:ascii="Times New Roman" w:hAnsi="Times New Roman" w:cs="Times New Roman"/>
            <w:color w:val="auto"/>
            <w:sz w:val="24"/>
            <w:szCs w:val="24"/>
            <w:u w:val="none"/>
            <w:shd w:val="clear" w:color="auto" w:fill="FFFFFF"/>
          </w:rPr>
          <w:t>https://ec.europa.eu/eurostat/web/energy/overview</w:t>
        </w:r>
      </w:hyperlink>
      <w:r>
        <w:rPr>
          <w:rStyle w:val="Hipervnculo"/>
          <w:rFonts w:ascii="Times New Roman" w:hAnsi="Times New Roman" w:cs="Times New Roman"/>
          <w:color w:val="auto"/>
          <w:sz w:val="24"/>
          <w:szCs w:val="24"/>
          <w:u w:val="none"/>
          <w:shd w:val="clear" w:color="auto" w:fill="FFFFFF"/>
        </w:rPr>
        <w:t>)</w:t>
      </w:r>
    </w:p>
    <w:p w:rsidR="00D0642A" w:rsidRPr="00FC1F7F" w:rsidRDefault="00D0642A" w:rsidP="00D0642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lastRenderedPageBreak/>
        <w:t>¿Qué tipo de energía se consume en la UE?</w:t>
      </w:r>
    </w:p>
    <w:p w:rsidR="00D0642A"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Fuera de la energía total disponible en la UE, alrededor de dos tercios son consumido</w:t>
      </w:r>
      <w:r>
        <w:rPr>
          <w:rFonts w:ascii="Times New Roman" w:hAnsi="Times New Roman" w:cs="Times New Roman"/>
          <w:sz w:val="24"/>
          <w:szCs w:val="24"/>
          <w:shd w:val="clear" w:color="auto" w:fill="FFFFFF"/>
        </w:rPr>
        <w:t>s</w:t>
      </w:r>
      <w:r w:rsidRPr="00C66722">
        <w:rPr>
          <w:rFonts w:ascii="Times New Roman" w:hAnsi="Times New Roman" w:cs="Times New Roman"/>
          <w:sz w:val="24"/>
          <w:szCs w:val="24"/>
          <w:shd w:val="clear" w:color="auto" w:fill="FFFFFF"/>
        </w:rPr>
        <w:t xml:space="preserve"> por los usuarios finales, por ejemplo, ciudadanos de la UE, industria, transporte, etc. La diferencia (alrededor de un tercio) se pierde principalmente durante la generación y distribución de electricidad, utilizada para respaldar los procesos de producción de energía o en usos no energéticos (como asfalto o betún).</w:t>
      </w:r>
    </w:p>
    <w:p w:rsidR="00D0642A" w:rsidRPr="00C66722"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Porcentaje de productos energéticos en el consumo total de energía final</w:t>
      </w:r>
    </w:p>
    <w:p w:rsidR="00D0642A"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noProof/>
          <w:sz w:val="24"/>
          <w:szCs w:val="24"/>
          <w:shd w:val="clear" w:color="auto" w:fill="FFFFFF"/>
          <w:lang w:eastAsia="es-ES"/>
        </w:rPr>
        <w:drawing>
          <wp:inline distT="0" distB="0" distL="0" distR="0" wp14:anchorId="31279B39" wp14:editId="577A9E31">
            <wp:extent cx="5731510" cy="2699198"/>
            <wp:effectExtent l="0" t="0" r="254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699198"/>
                    </a:xfrm>
                    <a:prstGeom prst="rect">
                      <a:avLst/>
                    </a:prstGeom>
                  </pic:spPr>
                </pic:pic>
              </a:graphicData>
            </a:graphic>
          </wp:inline>
        </w:drawing>
      </w:r>
    </w:p>
    <w:p w:rsidR="00D0642A" w:rsidRPr="00C66722" w:rsidRDefault="004611C9"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00D0642A" w:rsidRPr="00F54107">
        <w:rPr>
          <w:rFonts w:ascii="Times New Roman" w:hAnsi="Times New Roman" w:cs="Times New Roman"/>
          <w:noProof/>
          <w:sz w:val="24"/>
          <w:szCs w:val="24"/>
          <w:shd w:val="clear" w:color="auto" w:fill="FFFFFF"/>
          <w:lang w:eastAsia="es-ES"/>
        </w:rPr>
        <w:drawing>
          <wp:inline distT="0" distB="0" distL="0" distR="0" wp14:anchorId="08C9FEF6" wp14:editId="4846D38C">
            <wp:extent cx="3581400" cy="3117850"/>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581900" cy="3118285"/>
                    </a:xfrm>
                    <a:prstGeom prst="rect">
                      <a:avLst/>
                    </a:prstGeom>
                  </pic:spPr>
                </pic:pic>
              </a:graphicData>
            </a:graphic>
          </wp:inline>
        </w:drawing>
      </w:r>
    </w:p>
    <w:p w:rsidR="00D0642A" w:rsidRPr="00C66722"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Los derivados del petróleo son los más consumidos</w:t>
      </w:r>
    </w:p>
    <w:p w:rsidR="00D0642A" w:rsidRPr="00C66722"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 xml:space="preserve">En la UE en 2019, productos derivados del petróleo (como gasóleo de calefacción, gasolina, gasóleo), que representan el 41 % de consumo final de energía fueron los más consumidos, seguidos del gas natural y electricidad (ambos 21 %) y uso directo de renovables (no transformada en electricidad, p. ej., madera, energía solar térmica, geotermia o biogás para </w:t>
      </w:r>
      <w:r w:rsidRPr="00C66722">
        <w:rPr>
          <w:rFonts w:ascii="Times New Roman" w:hAnsi="Times New Roman" w:cs="Times New Roman"/>
          <w:sz w:val="24"/>
          <w:szCs w:val="24"/>
          <w:shd w:val="clear" w:color="auto" w:fill="FFFFFF"/>
        </w:rPr>
        <w:lastRenderedPageBreak/>
        <w:t>calefacción de espacios o producción de agua caliente) (10 %), calor derivado (como la calefacción urbana) (4 %) y  fósil sólido combustibles (principalmente carbón) (2 %). El consumo real de energía renovable es superior al 10 %, porque otras fuentes renovables están in</w:t>
      </w:r>
      <w:r>
        <w:rPr>
          <w:rFonts w:ascii="Times New Roman" w:hAnsi="Times New Roman" w:cs="Times New Roman"/>
          <w:sz w:val="24"/>
          <w:szCs w:val="24"/>
          <w:shd w:val="clear" w:color="auto" w:fill="FFFFFF"/>
        </w:rPr>
        <w:t xml:space="preserve">cluidas en la electricidad (p. </w:t>
      </w:r>
      <w:r w:rsidRPr="00C66722">
        <w:rPr>
          <w:rFonts w:ascii="Times New Roman" w:hAnsi="Times New Roman" w:cs="Times New Roman"/>
          <w:sz w:val="24"/>
          <w:szCs w:val="24"/>
          <w:shd w:val="clear" w:color="auto" w:fill="FFFFFF"/>
        </w:rPr>
        <w:t>energía hidráulica</w:t>
      </w:r>
      <w:r>
        <w:rPr>
          <w:rFonts w:ascii="Times New Roman" w:hAnsi="Times New Roman" w:cs="Times New Roman"/>
          <w:sz w:val="24"/>
          <w:szCs w:val="24"/>
          <w:shd w:val="clear" w:color="auto" w:fill="FFFFFF"/>
        </w:rPr>
        <w:t>, eólica o solar fotovoltaica).</w:t>
      </w:r>
    </w:p>
    <w:p w:rsidR="00D0642A" w:rsidRPr="00C66722"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 xml:space="preserve">Dentro de los Estados miembros de la UE, el patrón de consumo final de energía varía considerablemente. Los productos derivados del petróleo alcanzan el 61 % o más del consumo de energía final en Chipre y Luxemburgo, mientras que el gas representa casi el 30 % o más en los Países Bajos y Hungría. Las energías renovables alcanzan más del 20 % en Finlandia, Letonia y Suecia, mientras que el consumo de electricidad en Malta y Suecia supone más del 30 % </w:t>
      </w:r>
      <w:r>
        <w:rPr>
          <w:rFonts w:ascii="Times New Roman" w:hAnsi="Times New Roman" w:cs="Times New Roman"/>
          <w:sz w:val="24"/>
          <w:szCs w:val="24"/>
          <w:shd w:val="clear" w:color="auto" w:fill="FFFFFF"/>
        </w:rPr>
        <w:t>de su consumo final de energía.</w:t>
      </w:r>
    </w:p>
    <w:p w:rsidR="00D0642A" w:rsidRPr="00C66722"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El sector industrial consume un tercio del consumo final de energía en la UE</w:t>
      </w:r>
    </w:p>
    <w:p w:rsidR="00D0642A" w:rsidRPr="00C66722"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La energía es consumida por diferentes sectores de la economía: hogares (es decir, energía consumida en las viviendas de los ciudadanos), transporte (por ejemplo, ferrocarril, carretera, aviación nacional o navegación interior), industria, servicios (incluidos los servicios comerciales y públicos</w:t>
      </w:r>
      <w:r>
        <w:rPr>
          <w:rFonts w:ascii="Times New Roman" w:hAnsi="Times New Roman" w:cs="Times New Roman"/>
          <w:sz w:val="24"/>
          <w:szCs w:val="24"/>
          <w:shd w:val="clear" w:color="auto" w:fill="FFFFFF"/>
        </w:rPr>
        <w:t>) y agricultura y silvicultura.</w:t>
      </w:r>
    </w:p>
    <w:p w:rsidR="00D0642A" w:rsidRPr="00C66722"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En cuanto a los sectores de la UE que consumen más energía, el sector industrial (32 % del consumo final de energía) consume más energía, seguido del sector del transporte (28 %), los hogares (24 %), los servicios (12 %) y ag</w:t>
      </w:r>
      <w:r>
        <w:rPr>
          <w:rFonts w:ascii="Times New Roman" w:hAnsi="Times New Roman" w:cs="Times New Roman"/>
          <w:sz w:val="24"/>
          <w:szCs w:val="24"/>
          <w:shd w:val="clear" w:color="auto" w:fill="FFFFFF"/>
        </w:rPr>
        <w:t>ricultura y silvicultura (3 %).</w:t>
      </w:r>
    </w:p>
    <w:p w:rsidR="00D0642A" w:rsidRPr="00C66722"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Metodología</w:t>
      </w:r>
    </w:p>
    <w:p w:rsidR="00D0642A" w:rsidRPr="00C66722"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Para interpretar correctamente las estadísticas energéticas, es necesario distinguir entre productos energéticos primarios y secundarios. Un producto de energía primaria se extrae o captura directamente de los recursos naturales, como el petróleo crudo, la leña, el gas natural o el carbón. Los productos energéticos secundarios (como la electricidad o la gasolina para motores) se obtienen como resultado de un proceso de transformación, ya sea a partir de un producto energético primario o de otro secundario diferente.</w:t>
      </w:r>
    </w:p>
    <w:p w:rsidR="00D0642A" w:rsidRDefault="00D0642A" w:rsidP="00D0642A">
      <w:pPr>
        <w:spacing w:line="240" w:lineRule="auto"/>
        <w:jc w:val="both"/>
        <w:rPr>
          <w:rFonts w:ascii="Times New Roman" w:hAnsi="Times New Roman" w:cs="Times New Roman"/>
          <w:sz w:val="24"/>
          <w:szCs w:val="24"/>
          <w:shd w:val="clear" w:color="auto" w:fill="FFFFFF"/>
        </w:rPr>
      </w:pPr>
      <w:r w:rsidRPr="00C66722">
        <w:rPr>
          <w:rFonts w:ascii="Times New Roman" w:hAnsi="Times New Roman" w:cs="Times New Roman"/>
          <w:sz w:val="24"/>
          <w:szCs w:val="24"/>
          <w:shd w:val="clear" w:color="auto" w:fill="FFFFFF"/>
        </w:rPr>
        <w:t>Flujo de productos energéticos desde la producción hasta el consumo final</w:t>
      </w:r>
    </w:p>
    <w:p w:rsidR="00D0642A" w:rsidRDefault="00D0642A" w:rsidP="00D0642A">
      <w:pPr>
        <w:spacing w:line="240" w:lineRule="auto"/>
        <w:jc w:val="both"/>
        <w:rPr>
          <w:rFonts w:ascii="Times New Roman" w:hAnsi="Times New Roman" w:cs="Times New Roman"/>
          <w:sz w:val="24"/>
          <w:szCs w:val="24"/>
          <w:shd w:val="clear" w:color="auto" w:fill="FFFFFF"/>
        </w:rPr>
      </w:pPr>
      <w:r w:rsidRPr="00F54107">
        <w:rPr>
          <w:rFonts w:ascii="Times New Roman" w:hAnsi="Times New Roman" w:cs="Times New Roman"/>
          <w:noProof/>
          <w:sz w:val="24"/>
          <w:szCs w:val="24"/>
          <w:shd w:val="clear" w:color="auto" w:fill="FFFFFF"/>
          <w:lang w:eastAsia="es-ES"/>
        </w:rPr>
        <w:drawing>
          <wp:inline distT="0" distB="0" distL="0" distR="0" wp14:anchorId="42576E9C" wp14:editId="2F3B32E9">
            <wp:extent cx="5731510" cy="2129790"/>
            <wp:effectExtent l="0" t="0" r="2540" b="381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129790"/>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color w:val="FF0000"/>
          <w:sz w:val="24"/>
          <w:szCs w:val="24"/>
          <w:shd w:val="clear" w:color="auto" w:fill="FFFFFF"/>
        </w:rPr>
      </w:pPr>
    </w:p>
    <w:p w:rsidR="00D0642A" w:rsidRPr="00FC1F7F" w:rsidRDefault="00D0642A" w:rsidP="00D0642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¿Cuál es la fuente de la electricidad que consume la UE?</w:t>
      </w:r>
    </w:p>
    <w:p w:rsidR="00D0642A" w:rsidRPr="00F54107" w:rsidRDefault="00D0642A" w:rsidP="00D0642A">
      <w:pPr>
        <w:spacing w:line="240" w:lineRule="auto"/>
        <w:jc w:val="both"/>
        <w:rPr>
          <w:rFonts w:ascii="Times New Roman" w:hAnsi="Times New Roman" w:cs="Times New Roman"/>
          <w:sz w:val="24"/>
          <w:szCs w:val="24"/>
          <w:shd w:val="clear" w:color="auto" w:fill="FFFFFF"/>
        </w:rPr>
      </w:pPr>
      <w:r w:rsidRPr="00F54107">
        <w:rPr>
          <w:rFonts w:ascii="Times New Roman" w:hAnsi="Times New Roman" w:cs="Times New Roman"/>
          <w:sz w:val="24"/>
          <w:szCs w:val="24"/>
          <w:shd w:val="clear" w:color="auto" w:fill="FFFFFF"/>
        </w:rPr>
        <w:t>Casi el 40 % de la electricidad consumida en la UE procede de centrales eléctricas que queman combustibles fósiles</w:t>
      </w:r>
    </w:p>
    <w:p w:rsidR="00D0642A" w:rsidRPr="00F54107"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Alrededor del 21 % de la</w:t>
      </w:r>
      <w:r w:rsidRPr="00F54107">
        <w:rPr>
          <w:rFonts w:ascii="Times New Roman" w:hAnsi="Times New Roman" w:cs="Times New Roman"/>
          <w:sz w:val="24"/>
          <w:szCs w:val="24"/>
          <w:shd w:val="clear" w:color="auto" w:fill="FFFFFF"/>
        </w:rPr>
        <w:t xml:space="preserve"> energía final que consumimos es electricidad y proviene de diferentes fuentes. </w:t>
      </w:r>
      <w:r>
        <w:rPr>
          <w:rFonts w:ascii="Times New Roman" w:hAnsi="Times New Roman" w:cs="Times New Roman"/>
          <w:sz w:val="24"/>
          <w:szCs w:val="24"/>
          <w:shd w:val="clear" w:color="auto" w:fill="FFFFFF"/>
        </w:rPr>
        <w:t>En la UE en 2019, el 39 % de la</w:t>
      </w:r>
      <w:r w:rsidRPr="00F54107">
        <w:rPr>
          <w:rFonts w:ascii="Times New Roman" w:hAnsi="Times New Roman" w:cs="Times New Roman"/>
          <w:sz w:val="24"/>
          <w:szCs w:val="24"/>
          <w:shd w:val="clear" w:color="auto" w:fill="FFFFFF"/>
        </w:rPr>
        <w:t xml:space="preserve"> electricidad consumida procedían de centrales eléctricas que queman combustibles fósiles y el 35 % de Fuentes de energía renovable, mientras que el 26 % procedía de centrales nucleares. Entre las fuentes de energía renovables, la mayor parte de la electricidad consumida provino de turbinas de viento (13 %), plantas hidroeléctricas (12 %), biocombustibles (6 %) y energía s</w:t>
      </w:r>
      <w:r>
        <w:rPr>
          <w:rFonts w:ascii="Times New Roman" w:hAnsi="Times New Roman" w:cs="Times New Roman"/>
          <w:sz w:val="24"/>
          <w:szCs w:val="24"/>
          <w:shd w:val="clear" w:color="auto" w:fill="FFFFFF"/>
        </w:rPr>
        <w:t>olar (4 %).</w:t>
      </w:r>
    </w:p>
    <w:p w:rsidR="00D0642A" w:rsidRPr="00F54107" w:rsidRDefault="00D0642A" w:rsidP="00D0642A">
      <w:pPr>
        <w:spacing w:line="240" w:lineRule="auto"/>
        <w:jc w:val="both"/>
        <w:rPr>
          <w:rFonts w:ascii="Times New Roman" w:hAnsi="Times New Roman" w:cs="Times New Roman"/>
          <w:sz w:val="24"/>
          <w:szCs w:val="24"/>
          <w:shd w:val="clear" w:color="auto" w:fill="FFFFFF"/>
        </w:rPr>
      </w:pPr>
      <w:r w:rsidRPr="00F54107">
        <w:rPr>
          <w:rFonts w:ascii="Times New Roman" w:hAnsi="Times New Roman" w:cs="Times New Roman"/>
          <w:sz w:val="24"/>
          <w:szCs w:val="24"/>
          <w:shd w:val="clear" w:color="auto" w:fill="FFFFFF"/>
        </w:rPr>
        <w:t>Las fuentes de producción de electricidad varían entre los Estados miembros: alrededor del 90 % de la producción de electricidad provino de combustibles fósiles en Chipre y Malta, mientras que casi las tres cuartas partes (70 %) de la producción de electricidad provino de centrales nucleares en Francia, seguido del 54 % en Eslovaquia. En Dinamarca, más de la mitad de la producción de electricidad (55 %) provino de la energía eólica, mientras que alrededor del 60 % de la producción de electricidad en Austria provin</w:t>
      </w:r>
      <w:r>
        <w:rPr>
          <w:rFonts w:ascii="Times New Roman" w:hAnsi="Times New Roman" w:cs="Times New Roman"/>
          <w:sz w:val="24"/>
          <w:szCs w:val="24"/>
          <w:shd w:val="clear" w:color="auto" w:fill="FFFFFF"/>
        </w:rPr>
        <w:t>o de centrales hidroeléctricas.</w:t>
      </w:r>
    </w:p>
    <w:p w:rsidR="00D0642A" w:rsidRDefault="00D0642A" w:rsidP="00D0642A">
      <w:pPr>
        <w:spacing w:line="240" w:lineRule="auto"/>
        <w:jc w:val="both"/>
        <w:rPr>
          <w:rFonts w:ascii="Times New Roman" w:hAnsi="Times New Roman" w:cs="Times New Roman"/>
          <w:sz w:val="24"/>
          <w:szCs w:val="24"/>
          <w:shd w:val="clear" w:color="auto" w:fill="FFFFFF"/>
        </w:rPr>
      </w:pPr>
      <w:r w:rsidRPr="00F54107">
        <w:rPr>
          <w:rFonts w:ascii="Times New Roman" w:hAnsi="Times New Roman" w:cs="Times New Roman"/>
          <w:sz w:val="24"/>
          <w:szCs w:val="24"/>
          <w:shd w:val="clear" w:color="auto" w:fill="FFFFFF"/>
        </w:rPr>
        <w:t>Producción de electricidad en la UE por fuente, 2019</w:t>
      </w:r>
    </w:p>
    <w:p w:rsidR="00D0642A" w:rsidRPr="00F54107" w:rsidRDefault="00D0642A" w:rsidP="00D0642A">
      <w:pPr>
        <w:spacing w:line="240" w:lineRule="auto"/>
        <w:jc w:val="both"/>
        <w:rPr>
          <w:rFonts w:ascii="Times New Roman" w:hAnsi="Times New Roman" w:cs="Times New Roman"/>
          <w:sz w:val="24"/>
          <w:szCs w:val="24"/>
          <w:shd w:val="clear" w:color="auto" w:fill="FFFFFF"/>
        </w:rPr>
      </w:pPr>
      <w:r w:rsidRPr="00302E0F">
        <w:rPr>
          <w:rFonts w:ascii="Times New Roman" w:hAnsi="Times New Roman" w:cs="Times New Roman"/>
          <w:noProof/>
          <w:sz w:val="24"/>
          <w:szCs w:val="24"/>
          <w:shd w:val="clear" w:color="auto" w:fill="FFFFFF"/>
          <w:lang w:eastAsia="es-ES"/>
        </w:rPr>
        <w:drawing>
          <wp:inline distT="0" distB="0" distL="0" distR="0" wp14:anchorId="35E75C20" wp14:editId="07C5FC43">
            <wp:extent cx="5486400" cy="56578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7166" cy="5658640"/>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b/>
          <w:sz w:val="24"/>
          <w:szCs w:val="24"/>
          <w:shd w:val="clear" w:color="auto" w:fill="FFFFFF"/>
        </w:rPr>
      </w:pPr>
    </w:p>
    <w:p w:rsidR="00D0642A" w:rsidRDefault="00D0642A" w:rsidP="00D0642A">
      <w:pPr>
        <w:spacing w:line="240" w:lineRule="auto"/>
        <w:jc w:val="both"/>
        <w:rPr>
          <w:rFonts w:ascii="Times New Roman" w:hAnsi="Times New Roman" w:cs="Times New Roman"/>
          <w:b/>
          <w:sz w:val="24"/>
          <w:szCs w:val="24"/>
          <w:shd w:val="clear" w:color="auto" w:fill="FFFFFF"/>
        </w:rPr>
      </w:pPr>
      <w:r w:rsidRPr="00302E0F">
        <w:rPr>
          <w:rFonts w:ascii="Times New Roman" w:hAnsi="Times New Roman" w:cs="Times New Roman"/>
          <w:b/>
          <w:noProof/>
          <w:sz w:val="24"/>
          <w:szCs w:val="24"/>
          <w:shd w:val="clear" w:color="auto" w:fill="FFFFFF"/>
          <w:lang w:eastAsia="es-ES"/>
        </w:rPr>
        <w:lastRenderedPageBreak/>
        <w:drawing>
          <wp:inline distT="0" distB="0" distL="0" distR="0" wp14:anchorId="0E68E18B" wp14:editId="68A15C6C">
            <wp:extent cx="5731510" cy="808902"/>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808902"/>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b/>
          <w:sz w:val="24"/>
          <w:szCs w:val="24"/>
          <w:shd w:val="clear" w:color="auto" w:fill="FFFFFF"/>
        </w:rPr>
      </w:pPr>
      <w:r w:rsidRPr="00302E0F">
        <w:rPr>
          <w:rFonts w:ascii="Times New Roman" w:hAnsi="Times New Roman" w:cs="Times New Roman"/>
          <w:b/>
          <w:noProof/>
          <w:sz w:val="24"/>
          <w:szCs w:val="24"/>
          <w:shd w:val="clear" w:color="auto" w:fill="FFFFFF"/>
          <w:lang w:eastAsia="es-ES"/>
        </w:rPr>
        <w:drawing>
          <wp:inline distT="0" distB="0" distL="0" distR="0" wp14:anchorId="333E0128" wp14:editId="6CBF2BED">
            <wp:extent cx="5731510" cy="4521525"/>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4521525"/>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b/>
          <w:sz w:val="24"/>
          <w:szCs w:val="24"/>
          <w:shd w:val="clear" w:color="auto" w:fill="FFFFFF"/>
        </w:rPr>
      </w:pPr>
      <w:r w:rsidRPr="00C42D00">
        <w:rPr>
          <w:rFonts w:ascii="Times New Roman" w:hAnsi="Times New Roman" w:cs="Times New Roman"/>
          <w:b/>
          <w:noProof/>
          <w:sz w:val="24"/>
          <w:szCs w:val="24"/>
          <w:shd w:val="clear" w:color="auto" w:fill="FFFFFF"/>
          <w:lang w:eastAsia="es-ES"/>
        </w:rPr>
        <w:drawing>
          <wp:inline distT="0" distB="0" distL="0" distR="0" wp14:anchorId="4895793D" wp14:editId="295904FC">
            <wp:extent cx="5731510" cy="1366745"/>
            <wp:effectExtent l="0" t="0" r="2540" b="508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1366745"/>
                    </a:xfrm>
                    <a:prstGeom prst="rect">
                      <a:avLst/>
                    </a:prstGeom>
                  </pic:spPr>
                </pic:pic>
              </a:graphicData>
            </a:graphic>
          </wp:inline>
        </w:drawing>
      </w:r>
    </w:p>
    <w:p w:rsidR="00D0642A" w:rsidRPr="00FC1F7F" w:rsidRDefault="00D0642A" w:rsidP="00D0642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¿Cuánto cuesta la energía que consume la UE?</w:t>
      </w:r>
    </w:p>
    <w:p w:rsidR="00D0642A" w:rsidRPr="00C42D00" w:rsidRDefault="00D0642A" w:rsidP="00D0642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sz w:val="24"/>
          <w:szCs w:val="24"/>
          <w:shd w:val="clear" w:color="auto" w:fill="FFFFFF"/>
        </w:rPr>
        <w:t>Los precios de la electricidad para los hogares son más altos en Alemania, Dinamarca y Bélgica</w:t>
      </w:r>
    </w:p>
    <w:p w:rsidR="00D0642A" w:rsidRPr="00C42D00" w:rsidRDefault="00D0642A" w:rsidP="00D0642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sz w:val="24"/>
          <w:szCs w:val="24"/>
          <w:shd w:val="clear" w:color="auto" w:fill="FFFFFF"/>
        </w:rPr>
        <w:t>Para comparar los precios de la electricidad y el gas entre los Estados miembros, los precios nacionales se han convertido a euros. Las fluctuaciones de los tipos de cambio pueden afectar a los precios expresados ​​en euros para los Estados miembros no pertenecientes a la zona del euro.</w:t>
      </w:r>
    </w:p>
    <w:p w:rsidR="00D0642A" w:rsidRPr="00C42D00" w:rsidRDefault="00D0642A" w:rsidP="00D0642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sz w:val="24"/>
          <w:szCs w:val="24"/>
          <w:shd w:val="clear" w:color="auto" w:fill="FFFFFF"/>
        </w:rPr>
        <w:lastRenderedPageBreak/>
        <w:t>Para los consumidores domésticos medianos, los precios de la electricidad, incluidos impuestos y gravámenes, fueron los más altos en el segundo semestre de 2020 en Alemania (0,30 EUR por kWh), Dinamarca (0,28 EUR por kWh) y Bélgica (0,27 EUR por kWh), mientras que los precios más bajos se registraron en Bulgaria y Hungría (ambos 0,10 EUR por kWh). Sin embargo, cabe señalar que más de la mitad del precio de la electricidad en Dinamarca y Alemania consiste en impuestos y gravámenes, y casi un tercio en Bélgica. Además, en Bulgaria los impuestos y gravámenes representa</w:t>
      </w:r>
      <w:r>
        <w:rPr>
          <w:rFonts w:ascii="Times New Roman" w:hAnsi="Times New Roman" w:cs="Times New Roman"/>
          <w:sz w:val="24"/>
          <w:szCs w:val="24"/>
          <w:shd w:val="clear" w:color="auto" w:fill="FFFFFF"/>
        </w:rPr>
        <w:t>n el 17 % y en Hungría el 21 %.</w:t>
      </w:r>
    </w:p>
    <w:p w:rsidR="00D0642A" w:rsidRDefault="00D0642A" w:rsidP="00D0642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sz w:val="24"/>
          <w:szCs w:val="24"/>
          <w:shd w:val="clear" w:color="auto" w:fill="FFFFFF"/>
        </w:rPr>
        <w:t>Para los consumidores domésticos medianos, los precios del gas natural, incluidos impuestos y tasas, fueron más altos en el segundo semestre de 2020 en Suecia (0,11 EUR por kWh), los Países Bajos (0,10 EUR por kWh) e Italia y España (ambos 0,09 EUR por kWh) y más bajo en Letonia, Lituania, Hungría y Rumanía y Bulgaria (0,03 EUR por kWh cada uno). Los impuestos y gravámenes representan más de la mitad de los precios del gas en Dinamarca y los Países Bajos, casi un tercio en Suecia e Italia y casi una cuarta parte en España.</w:t>
      </w:r>
    </w:p>
    <w:p w:rsidR="00D0642A" w:rsidRDefault="00D0642A" w:rsidP="00D0642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noProof/>
          <w:sz w:val="24"/>
          <w:szCs w:val="24"/>
          <w:shd w:val="clear" w:color="auto" w:fill="FFFFFF"/>
          <w:lang w:eastAsia="es-ES"/>
        </w:rPr>
        <w:drawing>
          <wp:inline distT="0" distB="0" distL="0" distR="0" wp14:anchorId="135DB240" wp14:editId="0C8C0ED7">
            <wp:extent cx="5731510" cy="710315"/>
            <wp:effectExtent l="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710315"/>
                    </a:xfrm>
                    <a:prstGeom prst="rect">
                      <a:avLst/>
                    </a:prstGeom>
                  </pic:spPr>
                </pic:pic>
              </a:graphicData>
            </a:graphic>
          </wp:inline>
        </w:drawing>
      </w:r>
    </w:p>
    <w:p w:rsidR="00D0642A" w:rsidRPr="00C42D00" w:rsidRDefault="00D0642A" w:rsidP="00D0642A">
      <w:pPr>
        <w:spacing w:line="240" w:lineRule="auto"/>
        <w:jc w:val="both"/>
        <w:rPr>
          <w:rFonts w:ascii="Times New Roman" w:hAnsi="Times New Roman" w:cs="Times New Roman"/>
          <w:sz w:val="24"/>
          <w:szCs w:val="24"/>
          <w:shd w:val="clear" w:color="auto" w:fill="FFFFFF"/>
        </w:rPr>
      </w:pPr>
      <w:r w:rsidRPr="00C42D00">
        <w:rPr>
          <w:rFonts w:ascii="Times New Roman" w:hAnsi="Times New Roman" w:cs="Times New Roman"/>
          <w:noProof/>
          <w:sz w:val="24"/>
          <w:szCs w:val="24"/>
          <w:shd w:val="clear" w:color="auto" w:fill="FFFFFF"/>
          <w:lang w:eastAsia="es-ES"/>
        </w:rPr>
        <w:drawing>
          <wp:inline distT="0" distB="0" distL="0" distR="0" wp14:anchorId="5B062BCF" wp14:editId="16CB81F0">
            <wp:extent cx="5731510" cy="2579180"/>
            <wp:effectExtent l="0" t="0" r="254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2579180"/>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b/>
          <w:sz w:val="24"/>
          <w:szCs w:val="24"/>
          <w:shd w:val="clear" w:color="auto" w:fill="FFFFFF"/>
        </w:rPr>
      </w:pPr>
    </w:p>
    <w:p w:rsidR="00D0642A" w:rsidRPr="00163D8A" w:rsidRDefault="00D0642A" w:rsidP="00D0642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t>Los precios del gas para los consumidores no domésticos son los más altos en Finlandia y Suecia</w:t>
      </w:r>
    </w:p>
    <w:p w:rsidR="00D0642A" w:rsidRPr="00163D8A" w:rsidRDefault="00D0642A" w:rsidP="00D0642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t>Para los consumidores no domésticos, los precios de la electricidad (sin incluir el IVA y otros impuestos y gravámenes recuperables) en el segundo semestre de 2020 variaron de 0,18 EUR por kWh en Alemania y 0,15 EUR en Italia e Irland</w:t>
      </w:r>
      <w:r>
        <w:rPr>
          <w:rFonts w:ascii="Times New Roman" w:hAnsi="Times New Roman" w:cs="Times New Roman"/>
          <w:sz w:val="24"/>
          <w:szCs w:val="24"/>
          <w:shd w:val="clear" w:color="auto" w:fill="FFFFFF"/>
        </w:rPr>
        <w:t>a a 0,06 EUR por kWh en Suecia.</w:t>
      </w:r>
    </w:p>
    <w:p w:rsidR="00D0642A" w:rsidRPr="00163D8A" w:rsidRDefault="00D0642A" w:rsidP="00D0642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t>Para los consumidores no domésticos, los precios del gas natural (sin IVA y otros impuestos y gravámenes recuperables) en el segundo semestre de 2020 fueron más altos en Finlandia (0,049 EUR por kWh) y Suecia (0,037 EUR por kWh) y más bajos en Bulgaria (0,020 EUR por kWh).</w:t>
      </w:r>
    </w:p>
    <w:p w:rsidR="00D0642A" w:rsidRDefault="00D0642A" w:rsidP="00D0642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t>Para conocer los precios de la gasolina, el gasóleo y el gasóleo de calefacción, consulte el Boletín petrolero de la Dirección General de Energía de la Comisión Europea.</w:t>
      </w:r>
    </w:p>
    <w:p w:rsidR="00D0642A" w:rsidRDefault="00D0642A" w:rsidP="00D0642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noProof/>
          <w:sz w:val="24"/>
          <w:szCs w:val="24"/>
          <w:shd w:val="clear" w:color="auto" w:fill="FFFFFF"/>
          <w:lang w:eastAsia="es-ES"/>
        </w:rPr>
        <w:lastRenderedPageBreak/>
        <w:drawing>
          <wp:inline distT="0" distB="0" distL="0" distR="0" wp14:anchorId="62B5BA3A" wp14:editId="70B62633">
            <wp:extent cx="5727700" cy="4248150"/>
            <wp:effectExtent l="0" t="0" r="635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4250976"/>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noProof/>
          <w:sz w:val="24"/>
          <w:szCs w:val="24"/>
          <w:shd w:val="clear" w:color="auto" w:fill="FFFFFF"/>
          <w:lang w:eastAsia="es-ES"/>
        </w:rPr>
        <w:drawing>
          <wp:inline distT="0" distB="0" distL="0" distR="0" wp14:anchorId="511B8F68" wp14:editId="29596D09">
            <wp:extent cx="5733667" cy="4432300"/>
            <wp:effectExtent l="0" t="0" r="635"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4430632"/>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sz w:val="24"/>
          <w:szCs w:val="24"/>
          <w:shd w:val="clear" w:color="auto" w:fill="FFFFFF"/>
        </w:rPr>
        <w:lastRenderedPageBreak/>
        <w:t>Precios de la electricidad para consumidores domésticos - datos semestrale</w:t>
      </w:r>
      <w:r>
        <w:rPr>
          <w:rFonts w:ascii="Times New Roman" w:hAnsi="Times New Roman" w:cs="Times New Roman"/>
          <w:sz w:val="24"/>
          <w:szCs w:val="24"/>
          <w:shd w:val="clear" w:color="auto" w:fill="FFFFFF"/>
        </w:rPr>
        <w:t xml:space="preserve">s </w:t>
      </w:r>
      <w:r w:rsidRPr="00163D8A">
        <w:rPr>
          <w:rFonts w:ascii="Times New Roman" w:hAnsi="Times New Roman" w:cs="Times New Roman"/>
          <w:sz w:val="24"/>
          <w:szCs w:val="24"/>
          <w:shd w:val="clear" w:color="auto" w:fill="FFFFFF"/>
        </w:rPr>
        <w:t>(€/kWh)</w:t>
      </w:r>
    </w:p>
    <w:p w:rsidR="005464CF" w:rsidRDefault="005464CF" w:rsidP="00D0642A">
      <w:pPr>
        <w:spacing w:line="240" w:lineRule="auto"/>
        <w:jc w:val="both"/>
        <w:rPr>
          <w:rFonts w:ascii="Times New Roman" w:hAnsi="Times New Roman" w:cs="Times New Roman"/>
          <w:sz w:val="24"/>
          <w:szCs w:val="24"/>
          <w:shd w:val="clear" w:color="auto" w:fill="FFFFFF"/>
        </w:rPr>
      </w:pPr>
    </w:p>
    <w:p w:rsidR="00D0642A" w:rsidRPr="00163D8A"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1er Semestre 2008 - Banda DC</w:t>
      </w:r>
      <w:r w:rsidRPr="00FC1F7F">
        <w:rPr>
          <w:rFonts w:ascii="Times New Roman" w:hAnsi="Times New Roman" w:cs="Times New Roman"/>
          <w:sz w:val="24"/>
          <w:szCs w:val="24"/>
          <w:shd w:val="clear" w:color="auto" w:fill="FFFFFF"/>
        </w:rPr>
        <w:t>: 2 500 kWh &lt; Consumo &lt; 5 000 kWh</w:t>
      </w:r>
    </w:p>
    <w:p w:rsidR="00D0642A" w:rsidRDefault="00D0642A" w:rsidP="00D0642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noProof/>
          <w:sz w:val="24"/>
          <w:szCs w:val="24"/>
          <w:shd w:val="clear" w:color="auto" w:fill="FFFFFF"/>
          <w:lang w:eastAsia="es-ES"/>
        </w:rPr>
        <w:drawing>
          <wp:inline distT="0" distB="0" distL="0" distR="0" wp14:anchorId="7DB0BBCB" wp14:editId="00215A34">
            <wp:extent cx="6134100" cy="3486025"/>
            <wp:effectExtent l="0" t="0" r="0" b="63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138180" cy="3488344"/>
                    </a:xfrm>
                    <a:prstGeom prst="rect">
                      <a:avLst/>
                    </a:prstGeom>
                  </pic:spPr>
                </pic:pic>
              </a:graphicData>
            </a:graphic>
          </wp:inline>
        </w:drawing>
      </w:r>
    </w:p>
    <w:p w:rsidR="005464CF" w:rsidRDefault="005464CF" w:rsidP="00D0642A">
      <w:pPr>
        <w:spacing w:line="240" w:lineRule="auto"/>
        <w:jc w:val="both"/>
        <w:rPr>
          <w:rFonts w:ascii="Times New Roman" w:hAnsi="Times New Roman" w:cs="Times New Roman"/>
          <w:sz w:val="24"/>
          <w:szCs w:val="24"/>
          <w:shd w:val="clear" w:color="auto" w:fill="FFFFFF"/>
        </w:rPr>
      </w:pPr>
    </w:p>
    <w:p w:rsidR="00D0642A"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1er Semestre 2021 - Banda DC</w:t>
      </w:r>
      <w:r w:rsidRPr="00163D8A">
        <w:rPr>
          <w:rFonts w:ascii="Times New Roman" w:hAnsi="Times New Roman" w:cs="Times New Roman"/>
          <w:sz w:val="24"/>
          <w:szCs w:val="24"/>
          <w:shd w:val="clear" w:color="auto" w:fill="FFFFFF"/>
        </w:rPr>
        <w:t>: 2 500 kWh &lt; Consumo &lt; 5 000 kWh</w:t>
      </w:r>
    </w:p>
    <w:p w:rsidR="00D0642A" w:rsidRPr="00163D8A" w:rsidRDefault="00D0642A" w:rsidP="00D0642A">
      <w:pPr>
        <w:spacing w:line="240" w:lineRule="auto"/>
        <w:jc w:val="both"/>
        <w:rPr>
          <w:rFonts w:ascii="Times New Roman" w:hAnsi="Times New Roman" w:cs="Times New Roman"/>
          <w:sz w:val="24"/>
          <w:szCs w:val="24"/>
          <w:shd w:val="clear" w:color="auto" w:fill="FFFFFF"/>
        </w:rPr>
      </w:pPr>
      <w:r w:rsidRPr="00163D8A">
        <w:rPr>
          <w:rFonts w:ascii="Times New Roman" w:hAnsi="Times New Roman" w:cs="Times New Roman"/>
          <w:noProof/>
          <w:sz w:val="24"/>
          <w:szCs w:val="24"/>
          <w:shd w:val="clear" w:color="auto" w:fill="FFFFFF"/>
          <w:lang w:eastAsia="es-ES"/>
        </w:rPr>
        <w:drawing>
          <wp:inline distT="0" distB="0" distL="0" distR="0" wp14:anchorId="63D1E3BD" wp14:editId="061AA90C">
            <wp:extent cx="6165850" cy="3420639"/>
            <wp:effectExtent l="0" t="0" r="6350" b="889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176799" cy="3426713"/>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p>
    <w:p w:rsidR="0046570B" w:rsidRPr="0046570B" w:rsidRDefault="0046570B" w:rsidP="0046570B">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xml:space="preserve">- </w:t>
      </w:r>
      <w:r w:rsidR="002B7C74">
        <w:rPr>
          <w:rFonts w:ascii="Times New Roman" w:hAnsi="Times New Roman" w:cs="Times New Roman"/>
          <w:b/>
          <w:sz w:val="24"/>
          <w:szCs w:val="24"/>
          <w:shd w:val="clear" w:color="auto" w:fill="FFFFFF"/>
        </w:rPr>
        <w:t>L</w:t>
      </w:r>
      <w:r w:rsidRPr="0046570B">
        <w:rPr>
          <w:rFonts w:ascii="Times New Roman" w:hAnsi="Times New Roman" w:cs="Times New Roman"/>
          <w:b/>
          <w:sz w:val="24"/>
          <w:szCs w:val="24"/>
          <w:shd w:val="clear" w:color="auto" w:fill="FFFFFF"/>
        </w:rPr>
        <w:t>a política climá</w:t>
      </w:r>
      <w:r w:rsidR="00F63799">
        <w:rPr>
          <w:rFonts w:ascii="Times New Roman" w:hAnsi="Times New Roman" w:cs="Times New Roman"/>
          <w:b/>
          <w:sz w:val="24"/>
          <w:szCs w:val="24"/>
          <w:shd w:val="clear" w:color="auto" w:fill="FFFFFF"/>
        </w:rPr>
        <w:t>tica como</w:t>
      </w:r>
      <w:r>
        <w:rPr>
          <w:rFonts w:ascii="Times New Roman" w:hAnsi="Times New Roman" w:cs="Times New Roman"/>
          <w:b/>
          <w:sz w:val="24"/>
          <w:szCs w:val="24"/>
          <w:shd w:val="clear" w:color="auto" w:fill="FFFFFF"/>
        </w:rPr>
        <w:t xml:space="preserve"> principal condicionante</w:t>
      </w:r>
      <w:r w:rsidRPr="0046570B">
        <w:rPr>
          <w:rFonts w:ascii="Times New Roman" w:hAnsi="Times New Roman" w:cs="Times New Roman"/>
          <w:b/>
          <w:sz w:val="24"/>
          <w:szCs w:val="24"/>
          <w:shd w:val="clear" w:color="auto" w:fill="FFFFFF"/>
        </w:rPr>
        <w:t xml:space="preserve"> de la política energética</w:t>
      </w:r>
      <w:r w:rsidR="00F63799">
        <w:rPr>
          <w:rFonts w:ascii="Times New Roman" w:hAnsi="Times New Roman" w:cs="Times New Roman"/>
          <w:b/>
          <w:sz w:val="24"/>
          <w:szCs w:val="24"/>
          <w:shd w:val="clear" w:color="auto" w:fill="FFFFFF"/>
        </w:rPr>
        <w:t xml:space="preserve"> de la UE</w:t>
      </w:r>
      <w:r w:rsidR="002B7C74">
        <w:rPr>
          <w:rFonts w:ascii="Times New Roman" w:hAnsi="Times New Roman" w:cs="Times New Roman"/>
          <w:b/>
          <w:sz w:val="24"/>
          <w:szCs w:val="24"/>
          <w:shd w:val="clear" w:color="auto" w:fill="FFFFFF"/>
        </w:rPr>
        <w:t xml:space="preserve"> </w:t>
      </w:r>
    </w:p>
    <w:p w:rsidR="00D0642A" w:rsidRPr="00FC1F7F" w:rsidRDefault="00D0642A" w:rsidP="00D0642A">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¿De qué tratan el Pacto Verde Europeo y la Unión de la Energía?</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Pacto Verde Europeo  es la ambiciosa política climática de la UE que tiene como objetivo que Europa se convierta en el primer continente climáticamente neutral para 2050.</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En particular, alcanzar este objetivo requerirá la acción de todos los sectores de nuestra economía, incluida la inversión en tecnologías respetuosas con el medio ambiente, la descarbonización del sector energético, la garantía de que los edificios sean más eficientes energéticamente o el despliegue de formas más limpias d</w:t>
      </w:r>
      <w:r>
        <w:rPr>
          <w:rFonts w:ascii="Times New Roman" w:hAnsi="Times New Roman" w:cs="Times New Roman"/>
          <w:sz w:val="24"/>
          <w:szCs w:val="24"/>
          <w:shd w:val="clear" w:color="auto" w:fill="FFFFFF"/>
        </w:rPr>
        <w:t>e transporte público y privado.</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Unión de la Energía  es el principal instrumento de política energética para lograr las transformaciones necesarias para descarbonizar nuestro sistema energético. El objetivo de la Unión de la Energía es proporcionar a los consumidores de la UE (hogares y empresas) energía segura, soste</w:t>
      </w:r>
      <w:r>
        <w:rPr>
          <w:rFonts w:ascii="Times New Roman" w:hAnsi="Times New Roman" w:cs="Times New Roman"/>
          <w:sz w:val="24"/>
          <w:szCs w:val="24"/>
          <w:shd w:val="clear" w:color="auto" w:fill="FFFFFF"/>
        </w:rPr>
        <w:t>nible, competitiva y asequible.</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Para garantizar que las políticas y medidas en los distintos niveles sean coherentes, complementarias y suficientemente ambiciosas, la Unión de la Energía adoptó un sólido mecanismo de gobernanza, basado en planes nacionales</w:t>
      </w:r>
      <w:r>
        <w:rPr>
          <w:rFonts w:ascii="Times New Roman" w:hAnsi="Times New Roman" w:cs="Times New Roman"/>
          <w:sz w:val="24"/>
          <w:szCs w:val="24"/>
          <w:shd w:val="clear" w:color="auto" w:fill="FFFFFF"/>
        </w:rPr>
        <w:t xml:space="preserve"> integrados de energía y clima.</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uso de datos fiables de alta calidad para controlar los objetivos políticos del Pacto Verde Europeo y los paquetes de la Unión de la Energía mejorará la credibilidad de l</w:t>
      </w:r>
      <w:r>
        <w:rPr>
          <w:rFonts w:ascii="Times New Roman" w:hAnsi="Times New Roman" w:cs="Times New Roman"/>
          <w:sz w:val="24"/>
          <w:szCs w:val="24"/>
          <w:shd w:val="clear" w:color="auto" w:fill="FFFFFF"/>
        </w:rPr>
        <w:t>a política energética de la UE.</w:t>
      </w:r>
    </w:p>
    <w:p w:rsidR="00D0642A"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Estado de la Unión de la Energía supervisa los progresos realizados para lograr la transición hacia una economía baja en carbono, segura y competitiva. También destaca cada año los temas que requieren mayor atención.</w:t>
      </w:r>
    </w:p>
    <w:p w:rsidR="00D0642A"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noProof/>
          <w:sz w:val="24"/>
          <w:szCs w:val="24"/>
          <w:shd w:val="clear" w:color="auto" w:fill="FFFFFF"/>
          <w:lang w:eastAsia="es-ES"/>
        </w:rPr>
        <w:drawing>
          <wp:inline distT="0" distB="0" distL="0" distR="0" wp14:anchorId="32C60CAD" wp14:editId="72E10BD5">
            <wp:extent cx="5733133" cy="4044950"/>
            <wp:effectExtent l="0" t="0" r="127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4043805"/>
                    </a:xfrm>
                    <a:prstGeom prst="rect">
                      <a:avLst/>
                    </a:prstGeom>
                  </pic:spPr>
                </pic:pic>
              </a:graphicData>
            </a:graphic>
          </wp:inline>
        </w:drawing>
      </w:r>
    </w:p>
    <w:p w:rsidR="00D0642A" w:rsidRPr="0046570B" w:rsidRDefault="00D0642A" w:rsidP="00D0642A">
      <w:pPr>
        <w:spacing w:line="240" w:lineRule="auto"/>
        <w:jc w:val="both"/>
        <w:rPr>
          <w:rFonts w:ascii="Times New Roman" w:hAnsi="Times New Roman" w:cs="Times New Roman"/>
          <w:sz w:val="24"/>
          <w:szCs w:val="24"/>
          <w:u w:val="single"/>
          <w:shd w:val="clear" w:color="auto" w:fill="FFFFFF"/>
        </w:rPr>
      </w:pPr>
      <w:r w:rsidRPr="0046570B">
        <w:rPr>
          <w:rFonts w:ascii="Times New Roman" w:hAnsi="Times New Roman" w:cs="Times New Roman"/>
          <w:sz w:val="24"/>
          <w:szCs w:val="24"/>
          <w:u w:val="single"/>
          <w:shd w:val="clear" w:color="auto" w:fill="FFFFFF"/>
        </w:rPr>
        <w:lastRenderedPageBreak/>
        <w:t>Una transición energética limpia</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producción y el uso de energía representan más del 75 % de las emisiones de gases de efecto inv</w:t>
      </w:r>
      <w:r>
        <w:rPr>
          <w:rFonts w:ascii="Times New Roman" w:hAnsi="Times New Roman" w:cs="Times New Roman"/>
          <w:sz w:val="24"/>
          <w:szCs w:val="24"/>
          <w:shd w:val="clear" w:color="auto" w:fill="FFFFFF"/>
        </w:rPr>
        <w:t>ernadero de la UE. Por lo tanto</w:t>
      </w:r>
      <w:r w:rsidRPr="00FC1F7F">
        <w:rPr>
          <w:rFonts w:ascii="Times New Roman" w:hAnsi="Times New Roman" w:cs="Times New Roman"/>
          <w:sz w:val="24"/>
          <w:szCs w:val="24"/>
          <w:shd w:val="clear" w:color="auto" w:fill="FFFFFF"/>
        </w:rPr>
        <w:t>, descarbonizar el sistema energético de la UE es fundamental para alcanzar nuestros objetivos climáticos para 2030 y la estrategia a largo plazo de la UE de lograr la neutralidad de carbono para 2050.</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 xml:space="preserve">El Pacto Verde Europeo se centra en 3 principios clave para la transición hacia la energía limpia, que ayudarán a reducir las emisiones de gases de efecto invernadero y mejorarán la calidad </w:t>
      </w:r>
      <w:r>
        <w:rPr>
          <w:rFonts w:ascii="Times New Roman" w:hAnsi="Times New Roman" w:cs="Times New Roman"/>
          <w:sz w:val="24"/>
          <w:szCs w:val="24"/>
          <w:shd w:val="clear" w:color="auto" w:fill="FFFFFF"/>
        </w:rPr>
        <w:t>de vida de nuestros ciudadanos:</w:t>
      </w:r>
    </w:p>
    <w:p w:rsidR="00D0642A" w:rsidRPr="00B7695F" w:rsidRDefault="00D0642A" w:rsidP="00D0642A">
      <w:pPr>
        <w:pStyle w:val="Prrafodelista"/>
        <w:numPr>
          <w:ilvl w:val="0"/>
          <w:numId w:val="1"/>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garantizar un suministro de energía seguro y asequible en la UE</w:t>
      </w:r>
    </w:p>
    <w:p w:rsidR="00D0642A" w:rsidRDefault="00D0642A" w:rsidP="00D0642A">
      <w:pPr>
        <w:pStyle w:val="Prrafodelista"/>
        <w:numPr>
          <w:ilvl w:val="0"/>
          <w:numId w:val="1"/>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desarrollar un mercado energético de la UE totalmente integrado, interconectado y digitalizado</w:t>
      </w:r>
    </w:p>
    <w:p w:rsidR="00D0642A" w:rsidRPr="00B7695F" w:rsidRDefault="00D0642A" w:rsidP="00D0642A">
      <w:pPr>
        <w:pStyle w:val="Prrafodelista"/>
        <w:numPr>
          <w:ilvl w:val="0"/>
          <w:numId w:val="1"/>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priorizar la efi</w:t>
      </w:r>
      <w:r>
        <w:rPr>
          <w:rFonts w:ascii="Times New Roman" w:hAnsi="Times New Roman" w:cs="Times New Roman"/>
          <w:sz w:val="24"/>
          <w:szCs w:val="24"/>
          <w:shd w:val="clear" w:color="auto" w:fill="FFFFFF"/>
        </w:rPr>
        <w:t>ciencia energética</w:t>
      </w:r>
      <w:r w:rsidRPr="00B7695F">
        <w:rPr>
          <w:rFonts w:ascii="Times New Roman" w:hAnsi="Times New Roman" w:cs="Times New Roman"/>
          <w:sz w:val="24"/>
          <w:szCs w:val="24"/>
          <w:shd w:val="clear" w:color="auto" w:fill="FFFFFF"/>
        </w:rPr>
        <w:t>, mejorar el rendimiento energético de nuestros edificios y desarrollar un sector energético basado en gran medida en fuentes renovables</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Los principales objetivos de</w:t>
      </w:r>
      <w:r>
        <w:rPr>
          <w:rFonts w:ascii="Times New Roman" w:hAnsi="Times New Roman" w:cs="Times New Roman"/>
          <w:sz w:val="24"/>
          <w:szCs w:val="24"/>
          <w:shd w:val="clear" w:color="auto" w:fill="FFFFFF"/>
        </w:rPr>
        <w:t xml:space="preserve"> la Comisión para lograrlo son:</w:t>
      </w:r>
    </w:p>
    <w:p w:rsidR="00D0642A"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construir sistemas de energía interconectados y redes mejor integradas para apoyar l</w:t>
      </w:r>
      <w:r>
        <w:rPr>
          <w:rFonts w:ascii="Times New Roman" w:hAnsi="Times New Roman" w:cs="Times New Roman"/>
          <w:sz w:val="24"/>
          <w:szCs w:val="24"/>
          <w:shd w:val="clear" w:color="auto" w:fill="FFFFFF"/>
        </w:rPr>
        <w:t>as fuentes de energía renovable</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tecnologías innovadoras e infraestructura moderna</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impulsar la eficiencia energética y el ecodiseño de los productos</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descarbonizar el sector del gas y promover la integración inteligente entre sectores</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empoderar a los consumidores y ayudar a los países de la UE a abordar la pobreza energética</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las normas y tecnologías energéticas de la UE a nivel mundial</w:t>
      </w:r>
    </w:p>
    <w:p w:rsidR="00D0642A" w:rsidRPr="00FC1F7F"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desarrollar todo el potencial de la energía eólica marina en Europa</w:t>
      </w:r>
    </w:p>
    <w:p w:rsidR="00D0642A" w:rsidRDefault="00D0642A" w:rsidP="00D0642A">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Comisión Europea adoptó un conjunto de propuestas para hacer que las políticas climáticas, energéticas, de transporte y fiscales de la UE sean aptas para reducir las emisiones netas de gases de efecto invernadero en al menos un 55 % para 2030, en comparación con los niveles de 1990.</w:t>
      </w:r>
    </w:p>
    <w:p w:rsidR="00D0642A" w:rsidRPr="00B7695F" w:rsidRDefault="00D0642A" w:rsidP="00D0642A">
      <w:pPr>
        <w:spacing w:line="240" w:lineRule="auto"/>
        <w:jc w:val="both"/>
        <w:rPr>
          <w:rFonts w:ascii="Times New Roman" w:hAnsi="Times New Roman" w:cs="Times New Roman"/>
          <w:sz w:val="24"/>
          <w:szCs w:val="24"/>
          <w:u w:val="single"/>
          <w:shd w:val="clear" w:color="auto" w:fill="FFFFFF"/>
        </w:rPr>
      </w:pPr>
      <w:r w:rsidRPr="00B7695F">
        <w:rPr>
          <w:rFonts w:ascii="Times New Roman" w:hAnsi="Times New Roman" w:cs="Times New Roman"/>
          <w:sz w:val="24"/>
          <w:szCs w:val="24"/>
          <w:u w:val="single"/>
          <w:shd w:val="clear" w:color="auto" w:fill="FFFFFF"/>
        </w:rPr>
        <w:t>La neutralidad climática</w:t>
      </w:r>
    </w:p>
    <w:p w:rsidR="00D0642A" w:rsidRPr="00B7695F" w:rsidRDefault="00D0642A" w:rsidP="00D0642A">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El Pacto Verde Europeo tiene como objetivo conseguir que Europa sea climáticamente neutra de aquí a 2050. Para conseguir que este objetivo sea jurídicamente vinculante, la Comisión propuso la Ley Europea del Clima, que también establece un nuevo objetivo más ambicioso de una reducción neta de las emisiones de gases de efecto invernadero de al menos un -55 % hasta 2030, en comparación con los niveles de 1990.</w:t>
      </w:r>
    </w:p>
    <w:p w:rsidR="00D0642A" w:rsidRDefault="00D0642A" w:rsidP="00D0642A">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 xml:space="preserve">Para alcanzar nuestros objetivos de descarbonización, deben reducirse las emisiones en todos los sectores, desde la industria y la energía hasta el transporte y la agricultura. El cambio climático es una amenaza mundial y solamente puede abordarse mediante una respuesta global. Esta es la razón por la que la UE se compromete con sus socios internacionales en materia de acción por el clima y los apoya activamente, en particular a través de la </w:t>
      </w:r>
      <w:r w:rsidRPr="00B7695F">
        <w:rPr>
          <w:rFonts w:ascii="Times New Roman" w:hAnsi="Times New Roman" w:cs="Times New Roman"/>
          <w:sz w:val="24"/>
          <w:szCs w:val="24"/>
          <w:shd w:val="clear" w:color="auto" w:fill="FFFFFF"/>
        </w:rPr>
        <w:lastRenderedPageBreak/>
        <w:t>Convención Marco de las Naciones Unidas sobre el Cambio Climático (CMNUCC) y su Acuerdo de París. Paralelamente a las acciones de mitigación, la UE está tomando medidas en materia de adaptación al cambio climático para hacer frente a los efectos inevitables del cambio climático.</w:t>
      </w:r>
    </w:p>
    <w:p w:rsidR="00D0642A" w:rsidRPr="00DC134A" w:rsidRDefault="00D0642A" w:rsidP="00D0642A">
      <w:pPr>
        <w:spacing w:line="240" w:lineRule="auto"/>
        <w:jc w:val="both"/>
        <w:rPr>
          <w:rFonts w:ascii="Times New Roman" w:hAnsi="Times New Roman" w:cs="Times New Roman"/>
          <w:b/>
          <w:sz w:val="24"/>
          <w:szCs w:val="24"/>
          <w:shd w:val="clear" w:color="auto" w:fill="FFFFFF"/>
          <w:lang w:val="en-US"/>
        </w:rPr>
      </w:pPr>
      <w:r w:rsidRPr="00DC134A">
        <w:rPr>
          <w:rFonts w:ascii="Times New Roman" w:hAnsi="Times New Roman" w:cs="Times New Roman"/>
          <w:b/>
          <w:sz w:val="24"/>
          <w:szCs w:val="24"/>
          <w:shd w:val="clear" w:color="auto" w:fill="FFFFFF"/>
          <w:lang w:val="en-US"/>
        </w:rPr>
        <w:t>Report from the Commission to the European Parliament, the Council, the European and Social Committee and the Committee of the Regions</w:t>
      </w:r>
    </w:p>
    <w:p w:rsidR="00D0642A" w:rsidRDefault="00D0642A" w:rsidP="00D0642A">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State of the Energy Union 2021 -</w:t>
      </w:r>
      <w:r w:rsidRPr="00B7695F">
        <w:rPr>
          <w:rFonts w:ascii="Times New Roman" w:hAnsi="Times New Roman" w:cs="Times New Roman"/>
          <w:sz w:val="24"/>
          <w:szCs w:val="24"/>
          <w:shd w:val="clear" w:color="auto" w:fill="FFFFFF"/>
          <w:lang w:val="en-US"/>
        </w:rPr>
        <w:t xml:space="preserve"> Contributing to the Euro</w:t>
      </w:r>
      <w:r>
        <w:rPr>
          <w:rFonts w:ascii="Times New Roman" w:hAnsi="Times New Roman" w:cs="Times New Roman"/>
          <w:sz w:val="24"/>
          <w:szCs w:val="24"/>
          <w:shd w:val="clear" w:color="auto" w:fill="FFFFFF"/>
          <w:lang w:val="en-US"/>
        </w:rPr>
        <w:t xml:space="preserve">pean Green Deal and the Union’s recovery </w:t>
      </w:r>
      <w:r w:rsidRPr="00B7695F">
        <w:rPr>
          <w:rFonts w:ascii="Times New Roman" w:hAnsi="Times New Roman" w:cs="Times New Roman"/>
          <w:sz w:val="24"/>
          <w:szCs w:val="24"/>
          <w:shd w:val="clear" w:color="auto" w:fill="FFFFFF"/>
          <w:lang w:val="en-US"/>
        </w:rPr>
        <w:t>(pursuant to Regulation (EU) 2018/1999 on the Gov</w:t>
      </w:r>
      <w:r>
        <w:rPr>
          <w:rFonts w:ascii="Times New Roman" w:hAnsi="Times New Roman" w:cs="Times New Roman"/>
          <w:sz w:val="24"/>
          <w:szCs w:val="24"/>
          <w:shd w:val="clear" w:color="auto" w:fill="FFFFFF"/>
          <w:lang w:val="en-US"/>
        </w:rPr>
        <w:t xml:space="preserve">ernance of the Energy Union and </w:t>
      </w:r>
      <w:r w:rsidRPr="00DC134A">
        <w:rPr>
          <w:rFonts w:ascii="Times New Roman" w:hAnsi="Times New Roman" w:cs="Times New Roman"/>
          <w:sz w:val="24"/>
          <w:szCs w:val="24"/>
          <w:shd w:val="clear" w:color="auto" w:fill="FFFFFF"/>
          <w:lang w:val="en-US"/>
        </w:rPr>
        <w:t>Climate Action)</w:t>
      </w:r>
    </w:p>
    <w:p w:rsidR="00D0642A" w:rsidRDefault="00D0642A" w:rsidP="00D0642A">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Introduction and highlights</w:t>
      </w:r>
    </w:p>
    <w:p w:rsidR="00D0642A" w:rsidRDefault="00D0642A" w:rsidP="00D0642A">
      <w:pPr>
        <w:spacing w:line="240" w:lineRule="auto"/>
        <w:jc w:val="both"/>
        <w:rPr>
          <w:rFonts w:ascii="Times New Roman" w:hAnsi="Times New Roman" w:cs="Times New Roman"/>
          <w:b/>
          <w:sz w:val="24"/>
          <w:szCs w:val="24"/>
          <w:shd w:val="clear" w:color="auto" w:fill="FFFFFF"/>
          <w:lang w:val="en-US"/>
        </w:rPr>
      </w:pPr>
      <w:r w:rsidRPr="00DC134A">
        <w:rPr>
          <w:rFonts w:ascii="Times New Roman" w:hAnsi="Times New Roman" w:cs="Times New Roman"/>
          <w:b/>
          <w:noProof/>
          <w:sz w:val="24"/>
          <w:szCs w:val="24"/>
          <w:shd w:val="clear" w:color="auto" w:fill="FFFFFF"/>
          <w:lang w:eastAsia="es-ES"/>
        </w:rPr>
        <w:drawing>
          <wp:inline distT="0" distB="0" distL="0" distR="0" wp14:anchorId="31EA03BE" wp14:editId="799E6BCF">
            <wp:extent cx="5657849" cy="4470400"/>
            <wp:effectExtent l="0" t="0" r="635"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658640" cy="4471025"/>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b/>
          <w:sz w:val="24"/>
          <w:szCs w:val="24"/>
          <w:shd w:val="clear" w:color="auto" w:fill="FFFFFF"/>
          <w:lang w:val="en-US"/>
        </w:rPr>
      </w:pPr>
      <w:r w:rsidRPr="00DC134A">
        <w:rPr>
          <w:rFonts w:ascii="Times New Roman" w:hAnsi="Times New Roman" w:cs="Times New Roman"/>
          <w:b/>
          <w:noProof/>
          <w:sz w:val="24"/>
          <w:szCs w:val="24"/>
          <w:shd w:val="clear" w:color="auto" w:fill="FFFFFF"/>
          <w:lang w:eastAsia="es-ES"/>
        </w:rPr>
        <w:lastRenderedPageBreak/>
        <w:drawing>
          <wp:inline distT="0" distB="0" distL="0" distR="0" wp14:anchorId="4767958D" wp14:editId="6BE11A30">
            <wp:extent cx="5581649" cy="4013200"/>
            <wp:effectExtent l="0" t="0" r="635"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582429" cy="4013761"/>
                    </a:xfrm>
                    <a:prstGeom prst="rect">
                      <a:avLst/>
                    </a:prstGeom>
                  </pic:spPr>
                </pic:pic>
              </a:graphicData>
            </a:graphic>
          </wp:inline>
        </w:drawing>
      </w:r>
    </w:p>
    <w:p w:rsidR="00D0642A" w:rsidRPr="00DC134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C</w:t>
      </w:r>
      <w:r>
        <w:rPr>
          <w:rFonts w:ascii="Times New Roman" w:hAnsi="Times New Roman" w:cs="Times New Roman"/>
          <w:sz w:val="24"/>
          <w:szCs w:val="24"/>
          <w:shd w:val="clear" w:color="auto" w:fill="FFFFFF"/>
          <w:lang w:val="en-US"/>
        </w:rPr>
        <w:t>onclusion</w:t>
      </w:r>
    </w:p>
    <w:p w:rsidR="00D0642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This 2021 stocktaking of the State of the E</w:t>
      </w:r>
      <w:r>
        <w:rPr>
          <w:rFonts w:ascii="Times New Roman" w:hAnsi="Times New Roman" w:cs="Times New Roman"/>
          <w:sz w:val="24"/>
          <w:szCs w:val="24"/>
          <w:shd w:val="clear" w:color="auto" w:fill="FFFFFF"/>
          <w:lang w:val="en-US"/>
        </w:rPr>
        <w:t xml:space="preserve">nergy Union 2021 shows that the </w:t>
      </w:r>
      <w:r w:rsidRPr="00DC134A">
        <w:rPr>
          <w:rFonts w:ascii="Times New Roman" w:hAnsi="Times New Roman" w:cs="Times New Roman"/>
          <w:sz w:val="24"/>
          <w:szCs w:val="24"/>
          <w:shd w:val="clear" w:color="auto" w:fill="FFFFFF"/>
          <w:lang w:val="en-US"/>
        </w:rPr>
        <w:t>implementation of EU energy and climate policies is contributing to the delive</w:t>
      </w:r>
      <w:r>
        <w:rPr>
          <w:rFonts w:ascii="Times New Roman" w:hAnsi="Times New Roman" w:cs="Times New Roman"/>
          <w:sz w:val="24"/>
          <w:szCs w:val="24"/>
          <w:shd w:val="clear" w:color="auto" w:fill="FFFFFF"/>
          <w:lang w:val="en-US"/>
        </w:rPr>
        <w:t xml:space="preserve">ry of </w:t>
      </w:r>
      <w:r w:rsidRPr="00DC134A">
        <w:rPr>
          <w:rFonts w:ascii="Times New Roman" w:hAnsi="Times New Roman" w:cs="Times New Roman"/>
          <w:sz w:val="24"/>
          <w:szCs w:val="24"/>
          <w:shd w:val="clear" w:color="auto" w:fill="FFFFFF"/>
          <w:lang w:val="en-US"/>
        </w:rPr>
        <w:t>the European Green Deal and to the recovery f</w:t>
      </w:r>
      <w:r>
        <w:rPr>
          <w:rFonts w:ascii="Times New Roman" w:hAnsi="Times New Roman" w:cs="Times New Roman"/>
          <w:sz w:val="24"/>
          <w:szCs w:val="24"/>
          <w:shd w:val="clear" w:color="auto" w:fill="FFFFFF"/>
          <w:lang w:val="en-US"/>
        </w:rPr>
        <w:t xml:space="preserve">rom the impacts of the COVID-19 </w:t>
      </w:r>
      <w:r w:rsidRPr="00DC134A">
        <w:rPr>
          <w:rFonts w:ascii="Times New Roman" w:hAnsi="Times New Roman" w:cs="Times New Roman"/>
          <w:sz w:val="24"/>
          <w:szCs w:val="24"/>
          <w:shd w:val="clear" w:color="auto" w:fill="FFFFFF"/>
          <w:lang w:val="en-US"/>
        </w:rPr>
        <w:t xml:space="preserve">crisis. Based on this analysis and on the Communication </w:t>
      </w:r>
      <w:r>
        <w:rPr>
          <w:rFonts w:ascii="Times New Roman" w:hAnsi="Times New Roman" w:cs="Times New Roman"/>
          <w:sz w:val="24"/>
          <w:szCs w:val="24"/>
          <w:shd w:val="clear" w:color="auto" w:fill="FFFFFF"/>
          <w:lang w:val="en-US"/>
        </w:rPr>
        <w:t xml:space="preserve">“Tackling rising energy prices: </w:t>
      </w:r>
      <w:r w:rsidRPr="00DC134A">
        <w:rPr>
          <w:rFonts w:ascii="Times New Roman" w:hAnsi="Times New Roman" w:cs="Times New Roman"/>
          <w:sz w:val="24"/>
          <w:szCs w:val="24"/>
          <w:shd w:val="clear" w:color="auto" w:fill="FFFFFF"/>
          <w:lang w:val="en-US"/>
        </w:rPr>
        <w:t>a toolbox for action and support”, the Commission wo</w:t>
      </w:r>
      <w:r>
        <w:rPr>
          <w:rFonts w:ascii="Times New Roman" w:hAnsi="Times New Roman" w:cs="Times New Roman"/>
          <w:sz w:val="24"/>
          <w:szCs w:val="24"/>
          <w:shd w:val="clear" w:color="auto" w:fill="FFFFFF"/>
          <w:lang w:val="en-US"/>
        </w:rPr>
        <w:t xml:space="preserve">uld highlight the following six </w:t>
      </w:r>
      <w:r w:rsidRPr="00DC134A">
        <w:rPr>
          <w:rFonts w:ascii="Times New Roman" w:hAnsi="Times New Roman" w:cs="Times New Roman"/>
          <w:sz w:val="24"/>
          <w:szCs w:val="24"/>
          <w:shd w:val="clear" w:color="auto" w:fill="FFFFFF"/>
          <w:lang w:val="en-US"/>
        </w:rPr>
        <w:t>a</w:t>
      </w:r>
      <w:r>
        <w:rPr>
          <w:rFonts w:ascii="Times New Roman" w:hAnsi="Times New Roman" w:cs="Times New Roman"/>
          <w:sz w:val="24"/>
          <w:szCs w:val="24"/>
          <w:shd w:val="clear" w:color="auto" w:fill="FFFFFF"/>
          <w:lang w:val="en-US"/>
        </w:rPr>
        <w:t xml:space="preserve">reas for further action. </w:t>
      </w:r>
    </w:p>
    <w:p w:rsidR="00D0642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The Commission will continue monitoring energy p</w:t>
      </w:r>
      <w:r>
        <w:rPr>
          <w:rFonts w:ascii="Times New Roman" w:hAnsi="Times New Roman" w:cs="Times New Roman"/>
          <w:sz w:val="24"/>
          <w:szCs w:val="24"/>
          <w:shd w:val="clear" w:color="auto" w:fill="FFFFFF"/>
          <w:lang w:val="en-US"/>
        </w:rPr>
        <w:t xml:space="preserve">rice developments to ensure its </w:t>
      </w:r>
      <w:r w:rsidRPr="00DC134A">
        <w:rPr>
          <w:rFonts w:ascii="Times New Roman" w:hAnsi="Times New Roman" w:cs="Times New Roman"/>
          <w:sz w:val="24"/>
          <w:szCs w:val="24"/>
          <w:shd w:val="clear" w:color="auto" w:fill="FFFFFF"/>
          <w:lang w:val="en-US"/>
        </w:rPr>
        <w:t>response to the current energy price surge remain</w:t>
      </w:r>
      <w:r>
        <w:rPr>
          <w:rFonts w:ascii="Times New Roman" w:hAnsi="Times New Roman" w:cs="Times New Roman"/>
          <w:sz w:val="24"/>
          <w:szCs w:val="24"/>
          <w:shd w:val="clear" w:color="auto" w:fill="FFFFFF"/>
          <w:lang w:val="en-US"/>
        </w:rPr>
        <w:t xml:space="preserve">s proportionate and focussed on </w:t>
      </w:r>
      <w:r w:rsidRPr="00DC134A">
        <w:rPr>
          <w:rFonts w:ascii="Times New Roman" w:hAnsi="Times New Roman" w:cs="Times New Roman"/>
          <w:sz w:val="24"/>
          <w:szCs w:val="24"/>
          <w:shd w:val="clear" w:color="auto" w:fill="FFFFFF"/>
          <w:lang w:val="en-US"/>
        </w:rPr>
        <w:t>those most affected.</w:t>
      </w:r>
    </w:p>
    <w:p w:rsidR="00D0642A" w:rsidRPr="00DC134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The Commission will continue to put in place a le</w:t>
      </w:r>
      <w:r>
        <w:rPr>
          <w:rFonts w:ascii="Times New Roman" w:hAnsi="Times New Roman" w:cs="Times New Roman"/>
          <w:sz w:val="24"/>
          <w:szCs w:val="24"/>
          <w:shd w:val="clear" w:color="auto" w:fill="FFFFFF"/>
          <w:lang w:val="en-US"/>
        </w:rPr>
        <w:t xml:space="preserve">gislative framework fit for our </w:t>
      </w:r>
      <w:r w:rsidRPr="00DC134A">
        <w:rPr>
          <w:rFonts w:ascii="Times New Roman" w:hAnsi="Times New Roman" w:cs="Times New Roman"/>
          <w:sz w:val="24"/>
          <w:szCs w:val="24"/>
          <w:shd w:val="clear" w:color="auto" w:fill="FFFFFF"/>
          <w:lang w:val="en-US"/>
        </w:rPr>
        <w:t>enhanced climate and energy targets. This will include the revisi</w:t>
      </w:r>
      <w:r>
        <w:rPr>
          <w:rFonts w:ascii="Times New Roman" w:hAnsi="Times New Roman" w:cs="Times New Roman"/>
          <w:sz w:val="24"/>
          <w:szCs w:val="24"/>
          <w:shd w:val="clear" w:color="auto" w:fill="FFFFFF"/>
          <w:lang w:val="en-US"/>
        </w:rPr>
        <w:t xml:space="preserve">on of the Energy </w:t>
      </w:r>
      <w:r w:rsidRPr="00DC134A">
        <w:rPr>
          <w:rFonts w:ascii="Times New Roman" w:hAnsi="Times New Roman" w:cs="Times New Roman"/>
          <w:sz w:val="24"/>
          <w:szCs w:val="24"/>
          <w:shd w:val="clear" w:color="auto" w:fill="FFFFFF"/>
          <w:lang w:val="en-US"/>
        </w:rPr>
        <w:t>Performance in Buildings Directive and init</w:t>
      </w:r>
      <w:r>
        <w:rPr>
          <w:rFonts w:ascii="Times New Roman" w:hAnsi="Times New Roman" w:cs="Times New Roman"/>
          <w:sz w:val="24"/>
          <w:szCs w:val="24"/>
          <w:shd w:val="clear" w:color="auto" w:fill="FFFFFF"/>
          <w:lang w:val="en-US"/>
        </w:rPr>
        <w:t xml:space="preserve">iatives on hydrogen, gas market </w:t>
      </w:r>
      <w:r w:rsidRPr="00DC134A">
        <w:rPr>
          <w:rFonts w:ascii="Times New Roman" w:hAnsi="Times New Roman" w:cs="Times New Roman"/>
          <w:sz w:val="24"/>
          <w:szCs w:val="24"/>
          <w:shd w:val="clear" w:color="auto" w:fill="FFFFFF"/>
          <w:lang w:val="en-US"/>
        </w:rPr>
        <w:t>decarbonisation and methane, to be adopted later thi</w:t>
      </w:r>
      <w:r>
        <w:rPr>
          <w:rFonts w:ascii="Times New Roman" w:hAnsi="Times New Roman" w:cs="Times New Roman"/>
          <w:sz w:val="24"/>
          <w:szCs w:val="24"/>
          <w:shd w:val="clear" w:color="auto" w:fill="FFFFFF"/>
          <w:lang w:val="en-US"/>
        </w:rPr>
        <w:t xml:space="preserve">s year. The Commission calls on </w:t>
      </w:r>
      <w:r w:rsidRPr="00DC134A">
        <w:rPr>
          <w:rFonts w:ascii="Times New Roman" w:hAnsi="Times New Roman" w:cs="Times New Roman"/>
          <w:sz w:val="24"/>
          <w:szCs w:val="24"/>
          <w:shd w:val="clear" w:color="auto" w:fill="FFFFFF"/>
          <w:lang w:val="en-US"/>
        </w:rPr>
        <w:t>the European Parliament, the Council and the consultative committees to make pro</w:t>
      </w:r>
      <w:r>
        <w:rPr>
          <w:rFonts w:ascii="Times New Roman" w:hAnsi="Times New Roman" w:cs="Times New Roman"/>
          <w:sz w:val="24"/>
          <w:szCs w:val="24"/>
          <w:shd w:val="clear" w:color="auto" w:fill="FFFFFF"/>
          <w:lang w:val="en-US"/>
        </w:rPr>
        <w:t xml:space="preserve">gress </w:t>
      </w:r>
      <w:r w:rsidRPr="00DC134A">
        <w:rPr>
          <w:rFonts w:ascii="Times New Roman" w:hAnsi="Times New Roman" w:cs="Times New Roman"/>
          <w:sz w:val="24"/>
          <w:szCs w:val="24"/>
          <w:shd w:val="clear" w:color="auto" w:fill="FFFFFF"/>
          <w:lang w:val="en-US"/>
        </w:rPr>
        <w:t>on the adoption of these proposal alongside the July packa</w:t>
      </w:r>
      <w:r>
        <w:rPr>
          <w:rFonts w:ascii="Times New Roman" w:hAnsi="Times New Roman" w:cs="Times New Roman"/>
          <w:sz w:val="24"/>
          <w:szCs w:val="24"/>
          <w:shd w:val="clear" w:color="auto" w:fill="FFFFFF"/>
          <w:lang w:val="en-US"/>
        </w:rPr>
        <w:t xml:space="preserve">ge, and stresses the importance </w:t>
      </w:r>
      <w:r w:rsidRPr="00DC134A">
        <w:rPr>
          <w:rFonts w:ascii="Times New Roman" w:hAnsi="Times New Roman" w:cs="Times New Roman"/>
          <w:sz w:val="24"/>
          <w:szCs w:val="24"/>
          <w:shd w:val="clear" w:color="auto" w:fill="FFFFFF"/>
          <w:lang w:val="en-US"/>
        </w:rPr>
        <w:t>of maintaining its ambition, integrity and consistency.</w:t>
      </w:r>
    </w:p>
    <w:p w:rsidR="00D0642A" w:rsidRPr="00DC134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Further public and private investments in energy effi</w:t>
      </w:r>
      <w:r>
        <w:rPr>
          <w:rFonts w:ascii="Times New Roman" w:hAnsi="Times New Roman" w:cs="Times New Roman"/>
          <w:sz w:val="24"/>
          <w:szCs w:val="24"/>
          <w:shd w:val="clear" w:color="auto" w:fill="FFFFFF"/>
          <w:lang w:val="en-US"/>
        </w:rPr>
        <w:t xml:space="preserve">ciency and renewable energy, in </w:t>
      </w:r>
      <w:r w:rsidRPr="00DC134A">
        <w:rPr>
          <w:rFonts w:ascii="Times New Roman" w:hAnsi="Times New Roman" w:cs="Times New Roman"/>
          <w:sz w:val="24"/>
          <w:szCs w:val="24"/>
          <w:shd w:val="clear" w:color="auto" w:fill="FFFFFF"/>
          <w:lang w:val="en-US"/>
        </w:rPr>
        <w:t>particular in wind and solar, storage and decentralised elec</w:t>
      </w:r>
      <w:r>
        <w:rPr>
          <w:rFonts w:ascii="Times New Roman" w:hAnsi="Times New Roman" w:cs="Times New Roman"/>
          <w:sz w:val="24"/>
          <w:szCs w:val="24"/>
          <w:shd w:val="clear" w:color="auto" w:fill="FFFFFF"/>
          <w:lang w:val="en-US"/>
        </w:rPr>
        <w:t xml:space="preserve">tricity production, are crucial </w:t>
      </w:r>
      <w:r w:rsidRPr="00DC134A">
        <w:rPr>
          <w:rFonts w:ascii="Times New Roman" w:hAnsi="Times New Roman" w:cs="Times New Roman"/>
          <w:sz w:val="24"/>
          <w:szCs w:val="24"/>
          <w:shd w:val="clear" w:color="auto" w:fill="FFFFFF"/>
          <w:lang w:val="en-US"/>
        </w:rPr>
        <w:t>for the transition, increasing resilience and mitigating renew</w:t>
      </w:r>
      <w:r>
        <w:rPr>
          <w:rFonts w:ascii="Times New Roman" w:hAnsi="Times New Roman" w:cs="Times New Roman"/>
          <w:sz w:val="24"/>
          <w:szCs w:val="24"/>
          <w:shd w:val="clear" w:color="auto" w:fill="FFFFFF"/>
          <w:lang w:val="en-US"/>
        </w:rPr>
        <w:t xml:space="preserve">ed electricity price increases. </w:t>
      </w:r>
      <w:r w:rsidRPr="00DC134A">
        <w:rPr>
          <w:rFonts w:ascii="Times New Roman" w:hAnsi="Times New Roman" w:cs="Times New Roman"/>
          <w:sz w:val="24"/>
          <w:szCs w:val="24"/>
          <w:shd w:val="clear" w:color="auto" w:fill="FFFFFF"/>
          <w:lang w:val="en-US"/>
        </w:rPr>
        <w:t xml:space="preserve">In 2022, the Commission intends to adopt an EU Solar Energy Strategy, </w:t>
      </w:r>
      <w:r>
        <w:rPr>
          <w:rFonts w:ascii="Times New Roman" w:hAnsi="Times New Roman" w:cs="Times New Roman"/>
          <w:sz w:val="24"/>
          <w:szCs w:val="24"/>
          <w:shd w:val="clear" w:color="auto" w:fill="FFFFFF"/>
          <w:lang w:val="en-US"/>
        </w:rPr>
        <w:t xml:space="preserve">covering the </w:t>
      </w:r>
      <w:r w:rsidRPr="00DC134A">
        <w:rPr>
          <w:rFonts w:ascii="Times New Roman" w:hAnsi="Times New Roman" w:cs="Times New Roman"/>
          <w:sz w:val="24"/>
          <w:szCs w:val="24"/>
          <w:shd w:val="clear" w:color="auto" w:fill="FFFFFF"/>
          <w:lang w:val="en-US"/>
        </w:rPr>
        <w:t>existing barriers that are hampering and conditions tha</w:t>
      </w:r>
      <w:r>
        <w:rPr>
          <w:rFonts w:ascii="Times New Roman" w:hAnsi="Times New Roman" w:cs="Times New Roman"/>
          <w:sz w:val="24"/>
          <w:szCs w:val="24"/>
          <w:shd w:val="clear" w:color="auto" w:fill="FFFFFF"/>
          <w:lang w:val="en-US"/>
        </w:rPr>
        <w:t xml:space="preserve">t will enable the deployment of </w:t>
      </w:r>
      <w:r w:rsidRPr="00DC134A">
        <w:rPr>
          <w:rFonts w:ascii="Times New Roman" w:hAnsi="Times New Roman" w:cs="Times New Roman"/>
          <w:sz w:val="24"/>
          <w:szCs w:val="24"/>
          <w:shd w:val="clear" w:color="auto" w:fill="FFFFFF"/>
          <w:lang w:val="en-US"/>
        </w:rPr>
        <w:t>solar energy capacity required by 2030 and by 2050.</w:t>
      </w:r>
    </w:p>
    <w:p w:rsidR="00D0642A" w:rsidRPr="00DC134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 xml:space="preserve">It is necessary to address barriers to investment in the </w:t>
      </w:r>
      <w:r>
        <w:rPr>
          <w:rFonts w:ascii="Times New Roman" w:hAnsi="Times New Roman" w:cs="Times New Roman"/>
          <w:sz w:val="24"/>
          <w:szCs w:val="24"/>
          <w:shd w:val="clear" w:color="auto" w:fill="FFFFFF"/>
          <w:lang w:val="en-US"/>
        </w:rPr>
        <w:t xml:space="preserve">transition if businesses are to </w:t>
      </w:r>
      <w:r w:rsidRPr="00DC134A">
        <w:rPr>
          <w:rFonts w:ascii="Times New Roman" w:hAnsi="Times New Roman" w:cs="Times New Roman"/>
          <w:sz w:val="24"/>
          <w:szCs w:val="24"/>
          <w:shd w:val="clear" w:color="auto" w:fill="FFFFFF"/>
          <w:lang w:val="en-US"/>
        </w:rPr>
        <w:t>take a leading role and the EU and its Member State</w:t>
      </w:r>
      <w:r>
        <w:rPr>
          <w:rFonts w:ascii="Times New Roman" w:hAnsi="Times New Roman" w:cs="Times New Roman"/>
          <w:sz w:val="24"/>
          <w:szCs w:val="24"/>
          <w:shd w:val="clear" w:color="auto" w:fill="FFFFFF"/>
          <w:lang w:val="en-US"/>
        </w:rPr>
        <w:t xml:space="preserve">s are to attract investment. In </w:t>
      </w:r>
      <w:r w:rsidRPr="00DC134A">
        <w:rPr>
          <w:rFonts w:ascii="Times New Roman" w:hAnsi="Times New Roman" w:cs="Times New Roman"/>
          <w:sz w:val="24"/>
          <w:szCs w:val="24"/>
          <w:shd w:val="clear" w:color="auto" w:fill="FFFFFF"/>
          <w:lang w:val="en-US"/>
        </w:rPr>
        <w:t xml:space="preserve">particular, </w:t>
      </w:r>
      <w:r w:rsidRPr="00DC134A">
        <w:rPr>
          <w:rFonts w:ascii="Times New Roman" w:hAnsi="Times New Roman" w:cs="Times New Roman"/>
          <w:sz w:val="24"/>
          <w:szCs w:val="24"/>
          <w:shd w:val="clear" w:color="auto" w:fill="FFFFFF"/>
          <w:lang w:val="en-US"/>
        </w:rPr>
        <w:lastRenderedPageBreak/>
        <w:t>streamlined permit procedures create t</w:t>
      </w:r>
      <w:r>
        <w:rPr>
          <w:rFonts w:ascii="Times New Roman" w:hAnsi="Times New Roman" w:cs="Times New Roman"/>
          <w:sz w:val="24"/>
          <w:szCs w:val="24"/>
          <w:shd w:val="clear" w:color="auto" w:fill="FFFFFF"/>
          <w:lang w:val="en-US"/>
        </w:rPr>
        <w:t xml:space="preserve">he necessary predictability for </w:t>
      </w:r>
      <w:r w:rsidRPr="00DC134A">
        <w:rPr>
          <w:rFonts w:ascii="Times New Roman" w:hAnsi="Times New Roman" w:cs="Times New Roman"/>
          <w:sz w:val="24"/>
          <w:szCs w:val="24"/>
          <w:shd w:val="clear" w:color="auto" w:fill="FFFFFF"/>
          <w:lang w:val="en-US"/>
        </w:rPr>
        <w:t>investors in the energy sector and beyond. Phasing o</w:t>
      </w:r>
      <w:r>
        <w:rPr>
          <w:rFonts w:ascii="Times New Roman" w:hAnsi="Times New Roman" w:cs="Times New Roman"/>
          <w:sz w:val="24"/>
          <w:szCs w:val="24"/>
          <w:shd w:val="clear" w:color="auto" w:fill="FFFFFF"/>
          <w:lang w:val="en-US"/>
        </w:rPr>
        <w:t xml:space="preserve">ut grid bottlenecks and swiftly </w:t>
      </w:r>
      <w:r w:rsidRPr="00DC134A">
        <w:rPr>
          <w:rFonts w:ascii="Times New Roman" w:hAnsi="Times New Roman" w:cs="Times New Roman"/>
          <w:sz w:val="24"/>
          <w:szCs w:val="24"/>
          <w:shd w:val="clear" w:color="auto" w:fill="FFFFFF"/>
          <w:lang w:val="en-US"/>
        </w:rPr>
        <w:t>removing barriers to renewable energy integration while</w:t>
      </w:r>
      <w:r>
        <w:rPr>
          <w:rFonts w:ascii="Times New Roman" w:hAnsi="Times New Roman" w:cs="Times New Roman"/>
          <w:sz w:val="24"/>
          <w:szCs w:val="24"/>
          <w:shd w:val="clear" w:color="auto" w:fill="FFFFFF"/>
          <w:lang w:val="en-US"/>
        </w:rPr>
        <w:t xml:space="preserve"> nurturing social acceptance of </w:t>
      </w:r>
      <w:r w:rsidRPr="00DC134A">
        <w:rPr>
          <w:rFonts w:ascii="Times New Roman" w:hAnsi="Times New Roman" w:cs="Times New Roman"/>
          <w:sz w:val="24"/>
          <w:szCs w:val="24"/>
          <w:shd w:val="clear" w:color="auto" w:fill="FFFFFF"/>
          <w:lang w:val="en-US"/>
        </w:rPr>
        <w:t>renewables can speed up the transition further. In 2022</w:t>
      </w:r>
      <w:r>
        <w:rPr>
          <w:rFonts w:ascii="Times New Roman" w:hAnsi="Times New Roman" w:cs="Times New Roman"/>
          <w:sz w:val="24"/>
          <w:szCs w:val="24"/>
          <w:shd w:val="clear" w:color="auto" w:fill="FFFFFF"/>
          <w:lang w:val="en-US"/>
        </w:rPr>
        <w:t xml:space="preserve">, the Commission plans to issue </w:t>
      </w:r>
      <w:r w:rsidRPr="00DC134A">
        <w:rPr>
          <w:rFonts w:ascii="Times New Roman" w:hAnsi="Times New Roman" w:cs="Times New Roman"/>
          <w:sz w:val="24"/>
          <w:szCs w:val="24"/>
          <w:shd w:val="clear" w:color="auto" w:fill="FFFFFF"/>
          <w:lang w:val="en-US"/>
        </w:rPr>
        <w:t>guidance to Member States on streamlined permit an</w:t>
      </w:r>
      <w:r>
        <w:rPr>
          <w:rFonts w:ascii="Times New Roman" w:hAnsi="Times New Roman" w:cs="Times New Roman"/>
          <w:sz w:val="24"/>
          <w:szCs w:val="24"/>
          <w:shd w:val="clear" w:color="auto" w:fill="FFFFFF"/>
          <w:lang w:val="en-US"/>
        </w:rPr>
        <w:t xml:space="preserve">d administrative procedures for </w:t>
      </w:r>
      <w:r w:rsidRPr="00DC134A">
        <w:rPr>
          <w:rFonts w:ascii="Times New Roman" w:hAnsi="Times New Roman" w:cs="Times New Roman"/>
          <w:sz w:val="24"/>
          <w:szCs w:val="24"/>
          <w:shd w:val="clear" w:color="auto" w:fill="FFFFFF"/>
          <w:lang w:val="en-US"/>
        </w:rPr>
        <w:t>renewables deployment.</w:t>
      </w:r>
    </w:p>
    <w:p w:rsidR="00D0642A" w:rsidRPr="00DC134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Fossil fuel subsidies should come to an end. With low</w:t>
      </w:r>
      <w:r>
        <w:rPr>
          <w:rFonts w:ascii="Times New Roman" w:hAnsi="Times New Roman" w:cs="Times New Roman"/>
          <w:sz w:val="24"/>
          <w:szCs w:val="24"/>
          <w:shd w:val="clear" w:color="auto" w:fill="FFFFFF"/>
          <w:lang w:val="en-US"/>
        </w:rPr>
        <w:t xml:space="preserve">er expenditures for fossil fuel </w:t>
      </w:r>
      <w:r w:rsidRPr="00DC134A">
        <w:rPr>
          <w:rFonts w:ascii="Times New Roman" w:hAnsi="Times New Roman" w:cs="Times New Roman"/>
          <w:sz w:val="24"/>
          <w:szCs w:val="24"/>
          <w:shd w:val="clear" w:color="auto" w:fill="FFFFFF"/>
          <w:lang w:val="en-US"/>
        </w:rPr>
        <w:t>subsidies and pollution related disease, national budgets</w:t>
      </w:r>
      <w:r>
        <w:rPr>
          <w:rFonts w:ascii="Times New Roman" w:hAnsi="Times New Roman" w:cs="Times New Roman"/>
          <w:sz w:val="24"/>
          <w:szCs w:val="24"/>
          <w:shd w:val="clear" w:color="auto" w:fill="FFFFFF"/>
          <w:lang w:val="en-US"/>
        </w:rPr>
        <w:t xml:space="preserve"> will have a greater margin for </w:t>
      </w:r>
      <w:r w:rsidRPr="00DC134A">
        <w:rPr>
          <w:rFonts w:ascii="Times New Roman" w:hAnsi="Times New Roman" w:cs="Times New Roman"/>
          <w:sz w:val="24"/>
          <w:szCs w:val="24"/>
          <w:shd w:val="clear" w:color="auto" w:fill="FFFFFF"/>
          <w:lang w:val="en-US"/>
        </w:rPr>
        <w:t>investments in innovative technologies, in green skills, and in mitigating potent</w:t>
      </w:r>
      <w:r>
        <w:rPr>
          <w:rFonts w:ascii="Times New Roman" w:hAnsi="Times New Roman" w:cs="Times New Roman"/>
          <w:sz w:val="24"/>
          <w:szCs w:val="24"/>
          <w:shd w:val="clear" w:color="auto" w:fill="FFFFFF"/>
          <w:lang w:val="en-US"/>
        </w:rPr>
        <w:t xml:space="preserve">ial </w:t>
      </w:r>
      <w:r w:rsidRPr="00DC134A">
        <w:rPr>
          <w:rFonts w:ascii="Times New Roman" w:hAnsi="Times New Roman" w:cs="Times New Roman"/>
          <w:sz w:val="24"/>
          <w:szCs w:val="24"/>
          <w:shd w:val="clear" w:color="auto" w:fill="FFFFFF"/>
          <w:lang w:val="en-US"/>
        </w:rPr>
        <w:t>distributional effects of the transition. In 2022, the</w:t>
      </w:r>
      <w:r>
        <w:rPr>
          <w:rFonts w:ascii="Times New Roman" w:hAnsi="Times New Roman" w:cs="Times New Roman"/>
          <w:sz w:val="24"/>
          <w:szCs w:val="24"/>
          <w:shd w:val="clear" w:color="auto" w:fill="FFFFFF"/>
          <w:lang w:val="en-US"/>
        </w:rPr>
        <w:t xml:space="preserve"> Commission intends to adopt an </w:t>
      </w:r>
      <w:r w:rsidRPr="00DC134A">
        <w:rPr>
          <w:rFonts w:ascii="Times New Roman" w:hAnsi="Times New Roman" w:cs="Times New Roman"/>
          <w:sz w:val="24"/>
          <w:szCs w:val="24"/>
          <w:shd w:val="clear" w:color="auto" w:fill="FFFFFF"/>
          <w:lang w:val="en-US"/>
        </w:rPr>
        <w:t>implementing act on NECP progress reporting; this sho</w:t>
      </w:r>
      <w:r>
        <w:rPr>
          <w:rFonts w:ascii="Times New Roman" w:hAnsi="Times New Roman" w:cs="Times New Roman"/>
          <w:sz w:val="24"/>
          <w:szCs w:val="24"/>
          <w:shd w:val="clear" w:color="auto" w:fill="FFFFFF"/>
          <w:lang w:val="en-US"/>
        </w:rPr>
        <w:t xml:space="preserve">uld help to ensure more uniform </w:t>
      </w:r>
      <w:r w:rsidRPr="00DC134A">
        <w:rPr>
          <w:rFonts w:ascii="Times New Roman" w:hAnsi="Times New Roman" w:cs="Times New Roman"/>
          <w:sz w:val="24"/>
          <w:szCs w:val="24"/>
          <w:shd w:val="clear" w:color="auto" w:fill="FFFFFF"/>
          <w:lang w:val="en-US"/>
        </w:rPr>
        <w:t>reporting on the phasing out of energy subsidies, in particular for fossil fuels.</w:t>
      </w:r>
    </w:p>
    <w:p w:rsidR="00D0642A" w:rsidRPr="00DC134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Energy poverty will continue to require specifi</w:t>
      </w:r>
      <w:r>
        <w:rPr>
          <w:rFonts w:ascii="Times New Roman" w:hAnsi="Times New Roman" w:cs="Times New Roman"/>
          <w:sz w:val="24"/>
          <w:szCs w:val="24"/>
          <w:shd w:val="clear" w:color="auto" w:fill="FFFFFF"/>
          <w:lang w:val="en-US"/>
        </w:rPr>
        <w:t xml:space="preserve">c attention, in particular in a </w:t>
      </w:r>
      <w:r w:rsidRPr="00DC134A">
        <w:rPr>
          <w:rFonts w:ascii="Times New Roman" w:hAnsi="Times New Roman" w:cs="Times New Roman"/>
          <w:sz w:val="24"/>
          <w:szCs w:val="24"/>
          <w:shd w:val="clear" w:color="auto" w:fill="FFFFFF"/>
          <w:lang w:val="en-US"/>
        </w:rPr>
        <w:t>situation where higher energy prices aff</w:t>
      </w:r>
      <w:r>
        <w:rPr>
          <w:rFonts w:ascii="Times New Roman" w:hAnsi="Times New Roman" w:cs="Times New Roman"/>
          <w:sz w:val="24"/>
          <w:szCs w:val="24"/>
          <w:shd w:val="clear" w:color="auto" w:fill="FFFFFF"/>
          <w:lang w:val="en-US"/>
        </w:rPr>
        <w:t xml:space="preserve">ect low and lower-middle-income </w:t>
      </w:r>
      <w:r w:rsidRPr="00DC134A">
        <w:rPr>
          <w:rFonts w:ascii="Times New Roman" w:hAnsi="Times New Roman" w:cs="Times New Roman"/>
          <w:sz w:val="24"/>
          <w:szCs w:val="24"/>
          <w:shd w:val="clear" w:color="auto" w:fill="FFFFFF"/>
          <w:lang w:val="en-US"/>
        </w:rPr>
        <w:t>households due to spending higher shares of their in</w:t>
      </w:r>
      <w:r>
        <w:rPr>
          <w:rFonts w:ascii="Times New Roman" w:hAnsi="Times New Roman" w:cs="Times New Roman"/>
          <w:sz w:val="24"/>
          <w:szCs w:val="24"/>
          <w:shd w:val="clear" w:color="auto" w:fill="FFFFFF"/>
          <w:lang w:val="en-US"/>
        </w:rPr>
        <w:t xml:space="preserve">comes on energy. The Commission </w:t>
      </w:r>
      <w:r w:rsidRPr="00DC134A">
        <w:rPr>
          <w:rFonts w:ascii="Times New Roman" w:hAnsi="Times New Roman" w:cs="Times New Roman"/>
          <w:sz w:val="24"/>
          <w:szCs w:val="24"/>
          <w:shd w:val="clear" w:color="auto" w:fill="FFFFFF"/>
          <w:lang w:val="en-US"/>
        </w:rPr>
        <w:t>is engaging with Member States and energy regula</w:t>
      </w:r>
      <w:r>
        <w:rPr>
          <w:rFonts w:ascii="Times New Roman" w:hAnsi="Times New Roman" w:cs="Times New Roman"/>
          <w:sz w:val="24"/>
          <w:szCs w:val="24"/>
          <w:shd w:val="clear" w:color="auto" w:fill="FFFFFF"/>
          <w:lang w:val="en-US"/>
        </w:rPr>
        <w:t xml:space="preserve">tors to best protect vulnerable </w:t>
      </w:r>
      <w:r w:rsidRPr="00DC134A">
        <w:rPr>
          <w:rFonts w:ascii="Times New Roman" w:hAnsi="Times New Roman" w:cs="Times New Roman"/>
          <w:sz w:val="24"/>
          <w:szCs w:val="24"/>
          <w:shd w:val="clear" w:color="auto" w:fill="FFFFFF"/>
          <w:lang w:val="en-US"/>
        </w:rPr>
        <w:t>consumers and will propose rules for improving the ene</w:t>
      </w:r>
      <w:r>
        <w:rPr>
          <w:rFonts w:ascii="Times New Roman" w:hAnsi="Times New Roman" w:cs="Times New Roman"/>
          <w:sz w:val="24"/>
          <w:szCs w:val="24"/>
          <w:shd w:val="clear" w:color="auto" w:fill="FFFFFF"/>
          <w:lang w:val="en-US"/>
        </w:rPr>
        <w:t xml:space="preserve">rgy performance of the European </w:t>
      </w:r>
      <w:r w:rsidRPr="00DC134A">
        <w:rPr>
          <w:rFonts w:ascii="Times New Roman" w:hAnsi="Times New Roman" w:cs="Times New Roman"/>
          <w:sz w:val="24"/>
          <w:szCs w:val="24"/>
          <w:shd w:val="clear" w:color="auto" w:fill="FFFFFF"/>
          <w:lang w:val="en-US"/>
        </w:rPr>
        <w:t>building stock. The Commission is closely monitoring the</w:t>
      </w:r>
      <w:r>
        <w:rPr>
          <w:rFonts w:ascii="Times New Roman" w:hAnsi="Times New Roman" w:cs="Times New Roman"/>
          <w:sz w:val="24"/>
          <w:szCs w:val="24"/>
          <w:shd w:val="clear" w:color="auto" w:fill="FFFFFF"/>
          <w:lang w:val="en-US"/>
        </w:rPr>
        <w:t xml:space="preserve"> implementation of the existing </w:t>
      </w:r>
      <w:r w:rsidRPr="00DC134A">
        <w:rPr>
          <w:rFonts w:ascii="Times New Roman" w:hAnsi="Times New Roman" w:cs="Times New Roman"/>
          <w:sz w:val="24"/>
          <w:szCs w:val="24"/>
          <w:shd w:val="clear" w:color="auto" w:fill="FFFFFF"/>
          <w:lang w:val="en-US"/>
        </w:rPr>
        <w:t>legislation to ensure the empowerment and the prote</w:t>
      </w:r>
      <w:r>
        <w:rPr>
          <w:rFonts w:ascii="Times New Roman" w:hAnsi="Times New Roman" w:cs="Times New Roman"/>
          <w:sz w:val="24"/>
          <w:szCs w:val="24"/>
          <w:shd w:val="clear" w:color="auto" w:fill="FFFFFF"/>
          <w:lang w:val="en-US"/>
        </w:rPr>
        <w:t xml:space="preserve">ction of all European consumers </w:t>
      </w:r>
      <w:r w:rsidRPr="00DC134A">
        <w:rPr>
          <w:rFonts w:ascii="Times New Roman" w:hAnsi="Times New Roman" w:cs="Times New Roman"/>
          <w:sz w:val="24"/>
          <w:szCs w:val="24"/>
          <w:shd w:val="clear" w:color="auto" w:fill="FFFFFF"/>
          <w:lang w:val="en-US"/>
        </w:rPr>
        <w:t>with special focus on the most vulnerable. Consumers sh</w:t>
      </w:r>
      <w:r>
        <w:rPr>
          <w:rFonts w:ascii="Times New Roman" w:hAnsi="Times New Roman" w:cs="Times New Roman"/>
          <w:sz w:val="24"/>
          <w:szCs w:val="24"/>
          <w:shd w:val="clear" w:color="auto" w:fill="FFFFFF"/>
          <w:lang w:val="en-US"/>
        </w:rPr>
        <w:t xml:space="preserve">ould be able to actively engage </w:t>
      </w:r>
      <w:r w:rsidRPr="00DC134A">
        <w:rPr>
          <w:rFonts w:ascii="Times New Roman" w:hAnsi="Times New Roman" w:cs="Times New Roman"/>
          <w:sz w:val="24"/>
          <w:szCs w:val="24"/>
          <w:shd w:val="clear" w:color="auto" w:fill="FFFFFF"/>
          <w:lang w:val="en-US"/>
        </w:rPr>
        <w:t>in the energy market and benefit from a high degree of protection and empowerment.</w:t>
      </w:r>
    </w:p>
    <w:p w:rsidR="00D0642A" w:rsidRPr="00DC134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With the EU’s share in global GHG emissions declining to 8%, international</w:t>
      </w:r>
      <w:r>
        <w:rPr>
          <w:rFonts w:ascii="Times New Roman" w:hAnsi="Times New Roman" w:cs="Times New Roman"/>
          <w:sz w:val="24"/>
          <w:szCs w:val="24"/>
          <w:shd w:val="clear" w:color="auto" w:fill="FFFFFF"/>
          <w:lang w:val="en-US"/>
        </w:rPr>
        <w:t xml:space="preserve"> </w:t>
      </w:r>
      <w:r w:rsidRPr="00DC134A">
        <w:rPr>
          <w:rFonts w:ascii="Times New Roman" w:hAnsi="Times New Roman" w:cs="Times New Roman"/>
          <w:sz w:val="24"/>
          <w:szCs w:val="24"/>
          <w:shd w:val="clear" w:color="auto" w:fill="FFFFFF"/>
          <w:lang w:val="en-US"/>
        </w:rPr>
        <w:t>cooperation (in settings such as the UNFCCC, the UN</w:t>
      </w:r>
      <w:r>
        <w:rPr>
          <w:rFonts w:ascii="Times New Roman" w:hAnsi="Times New Roman" w:cs="Times New Roman"/>
          <w:sz w:val="24"/>
          <w:szCs w:val="24"/>
          <w:shd w:val="clear" w:color="auto" w:fill="FFFFFF"/>
          <w:lang w:val="en-US"/>
        </w:rPr>
        <w:t xml:space="preserve"> High Level Dialogue on Energy, </w:t>
      </w:r>
      <w:r w:rsidRPr="00DC134A">
        <w:rPr>
          <w:rFonts w:ascii="Times New Roman" w:hAnsi="Times New Roman" w:cs="Times New Roman"/>
          <w:sz w:val="24"/>
          <w:szCs w:val="24"/>
          <w:shd w:val="clear" w:color="auto" w:fill="FFFFFF"/>
          <w:lang w:val="en-US"/>
        </w:rPr>
        <w:t>the G20, and the Energy Community) is indispensable f</w:t>
      </w:r>
      <w:r>
        <w:rPr>
          <w:rFonts w:ascii="Times New Roman" w:hAnsi="Times New Roman" w:cs="Times New Roman"/>
          <w:sz w:val="24"/>
          <w:szCs w:val="24"/>
          <w:shd w:val="clear" w:color="auto" w:fill="FFFFFF"/>
          <w:lang w:val="en-US"/>
        </w:rPr>
        <w:t xml:space="preserve">or effective climate action and </w:t>
      </w:r>
      <w:r w:rsidRPr="00DC134A">
        <w:rPr>
          <w:rFonts w:ascii="Times New Roman" w:hAnsi="Times New Roman" w:cs="Times New Roman"/>
          <w:sz w:val="24"/>
          <w:szCs w:val="24"/>
          <w:shd w:val="clear" w:color="auto" w:fill="FFFFFF"/>
          <w:lang w:val="en-US"/>
        </w:rPr>
        <w:t xml:space="preserve">for seizing the full GHG emission reduction potential. </w:t>
      </w:r>
      <w:r>
        <w:rPr>
          <w:rFonts w:ascii="Times New Roman" w:hAnsi="Times New Roman" w:cs="Times New Roman"/>
          <w:sz w:val="24"/>
          <w:szCs w:val="24"/>
          <w:shd w:val="clear" w:color="auto" w:fill="FFFFFF"/>
          <w:lang w:val="en-US"/>
        </w:rPr>
        <w:t xml:space="preserve">This requires an EU strategy on </w:t>
      </w:r>
      <w:r w:rsidRPr="00DC134A">
        <w:rPr>
          <w:rFonts w:ascii="Times New Roman" w:hAnsi="Times New Roman" w:cs="Times New Roman"/>
          <w:sz w:val="24"/>
          <w:szCs w:val="24"/>
          <w:shd w:val="clear" w:color="auto" w:fill="FFFFFF"/>
          <w:lang w:val="en-US"/>
        </w:rPr>
        <w:t>external energy engagement, on which the Commission is currently working.</w:t>
      </w:r>
    </w:p>
    <w:p w:rsidR="00D0642A" w:rsidRDefault="00D0642A" w:rsidP="00D0642A">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Dialogue with the European Parliament, the Council, int</w:t>
      </w:r>
      <w:r>
        <w:rPr>
          <w:rFonts w:ascii="Times New Roman" w:hAnsi="Times New Roman" w:cs="Times New Roman"/>
          <w:sz w:val="24"/>
          <w:szCs w:val="24"/>
          <w:shd w:val="clear" w:color="auto" w:fill="FFFFFF"/>
          <w:lang w:val="en-US"/>
        </w:rPr>
        <w:t xml:space="preserve">ernational partners, and public </w:t>
      </w:r>
      <w:r w:rsidRPr="00DC134A">
        <w:rPr>
          <w:rFonts w:ascii="Times New Roman" w:hAnsi="Times New Roman" w:cs="Times New Roman"/>
          <w:sz w:val="24"/>
          <w:szCs w:val="24"/>
          <w:shd w:val="clear" w:color="auto" w:fill="FFFFFF"/>
          <w:lang w:val="en-US"/>
        </w:rPr>
        <w:t>and private stakeholders continues to be crucial, also i</w:t>
      </w:r>
      <w:r>
        <w:rPr>
          <w:rFonts w:ascii="Times New Roman" w:hAnsi="Times New Roman" w:cs="Times New Roman"/>
          <w:sz w:val="24"/>
          <w:szCs w:val="24"/>
          <w:shd w:val="clear" w:color="auto" w:fill="FFFFFF"/>
          <w:lang w:val="en-US"/>
        </w:rPr>
        <w:t xml:space="preserve">n 2021. In the preparations for </w:t>
      </w:r>
      <w:r w:rsidRPr="00DC134A">
        <w:rPr>
          <w:rFonts w:ascii="Times New Roman" w:hAnsi="Times New Roman" w:cs="Times New Roman"/>
          <w:sz w:val="24"/>
          <w:szCs w:val="24"/>
          <w:shd w:val="clear" w:color="auto" w:fill="FFFFFF"/>
          <w:lang w:val="en-US"/>
        </w:rPr>
        <w:t>COP26 in Glasgow, this dialogue focuses on the signifi</w:t>
      </w:r>
      <w:r>
        <w:rPr>
          <w:rFonts w:ascii="Times New Roman" w:hAnsi="Times New Roman" w:cs="Times New Roman"/>
          <w:sz w:val="24"/>
          <w:szCs w:val="24"/>
          <w:shd w:val="clear" w:color="auto" w:fill="FFFFFF"/>
          <w:lang w:val="en-US"/>
        </w:rPr>
        <w:t xml:space="preserve">cant contribution of the energy </w:t>
      </w:r>
      <w:r w:rsidRPr="00DC134A">
        <w:rPr>
          <w:rFonts w:ascii="Times New Roman" w:hAnsi="Times New Roman" w:cs="Times New Roman"/>
          <w:sz w:val="24"/>
          <w:szCs w:val="24"/>
          <w:shd w:val="clear" w:color="auto" w:fill="FFFFFF"/>
          <w:lang w:val="en-US"/>
        </w:rPr>
        <w:t>system can make to decarbonisation as outlined in thi</w:t>
      </w:r>
      <w:r>
        <w:rPr>
          <w:rFonts w:ascii="Times New Roman" w:hAnsi="Times New Roman" w:cs="Times New Roman"/>
          <w:sz w:val="24"/>
          <w:szCs w:val="24"/>
          <w:shd w:val="clear" w:color="auto" w:fill="FFFFFF"/>
          <w:lang w:val="en-US"/>
        </w:rPr>
        <w:t xml:space="preserve">s Communication and the Climate </w:t>
      </w:r>
      <w:r w:rsidRPr="00DC134A">
        <w:rPr>
          <w:rFonts w:ascii="Times New Roman" w:hAnsi="Times New Roman" w:cs="Times New Roman"/>
          <w:sz w:val="24"/>
          <w:szCs w:val="24"/>
          <w:shd w:val="clear" w:color="auto" w:fill="FFFFFF"/>
          <w:lang w:val="en-US"/>
        </w:rPr>
        <w:t>Action Progress Report. In parallel with the legislative wor</w:t>
      </w:r>
      <w:r>
        <w:rPr>
          <w:rFonts w:ascii="Times New Roman" w:hAnsi="Times New Roman" w:cs="Times New Roman"/>
          <w:sz w:val="24"/>
          <w:szCs w:val="24"/>
          <w:shd w:val="clear" w:color="auto" w:fill="FFFFFF"/>
          <w:lang w:val="en-US"/>
        </w:rPr>
        <w:t>k on the proposals of the first part of the “</w:t>
      </w:r>
      <w:r w:rsidRPr="00DC134A">
        <w:rPr>
          <w:rFonts w:ascii="Times New Roman" w:hAnsi="Times New Roman" w:cs="Times New Roman"/>
          <w:sz w:val="24"/>
          <w:szCs w:val="24"/>
          <w:shd w:val="clear" w:color="auto" w:fill="FFFFFF"/>
          <w:lang w:val="en-US"/>
        </w:rPr>
        <w:t>Delivering the European Green Deal” pa</w:t>
      </w:r>
      <w:r>
        <w:rPr>
          <w:rFonts w:ascii="Times New Roman" w:hAnsi="Times New Roman" w:cs="Times New Roman"/>
          <w:sz w:val="24"/>
          <w:szCs w:val="24"/>
          <w:shd w:val="clear" w:color="auto" w:fill="FFFFFF"/>
          <w:lang w:val="en-US"/>
        </w:rPr>
        <w:t xml:space="preserve">ckage of July 2021, stakeholder </w:t>
      </w:r>
      <w:r w:rsidRPr="00DC134A">
        <w:rPr>
          <w:rFonts w:ascii="Times New Roman" w:hAnsi="Times New Roman" w:cs="Times New Roman"/>
          <w:sz w:val="24"/>
          <w:szCs w:val="24"/>
          <w:shd w:val="clear" w:color="auto" w:fill="FFFFFF"/>
          <w:lang w:val="en-US"/>
        </w:rPr>
        <w:t>exchanges should take place on challenges, including administrative barriers, consu</w:t>
      </w:r>
      <w:r>
        <w:rPr>
          <w:rFonts w:ascii="Times New Roman" w:hAnsi="Times New Roman" w:cs="Times New Roman"/>
          <w:sz w:val="24"/>
          <w:szCs w:val="24"/>
          <w:shd w:val="clear" w:color="auto" w:fill="FFFFFF"/>
          <w:lang w:val="en-US"/>
        </w:rPr>
        <w:t xml:space="preserve">mer </w:t>
      </w:r>
      <w:r w:rsidRPr="00DC134A">
        <w:rPr>
          <w:rFonts w:ascii="Times New Roman" w:hAnsi="Times New Roman" w:cs="Times New Roman"/>
          <w:sz w:val="24"/>
          <w:szCs w:val="24"/>
          <w:shd w:val="clear" w:color="auto" w:fill="FFFFFF"/>
          <w:lang w:val="en-US"/>
        </w:rPr>
        <w:t>empowerment and the implementation of related energy legislation.</w:t>
      </w:r>
    </w:p>
    <w:p w:rsidR="00D0642A" w:rsidRPr="00034603" w:rsidRDefault="00D0642A" w:rsidP="00D0642A">
      <w:pPr>
        <w:spacing w:line="240" w:lineRule="auto"/>
        <w:jc w:val="both"/>
        <w:rPr>
          <w:rFonts w:ascii="Times New Roman" w:hAnsi="Times New Roman" w:cs="Times New Roman"/>
          <w:b/>
          <w:sz w:val="24"/>
          <w:szCs w:val="24"/>
          <w:shd w:val="clear" w:color="auto" w:fill="FFFFFF"/>
        </w:rPr>
      </w:pPr>
      <w:r w:rsidRPr="00034603">
        <w:rPr>
          <w:rFonts w:ascii="Times New Roman" w:hAnsi="Times New Roman" w:cs="Times New Roman"/>
          <w:b/>
          <w:sz w:val="24"/>
          <w:szCs w:val="24"/>
          <w:shd w:val="clear" w:color="auto" w:fill="FFFFFF"/>
        </w:rPr>
        <w:t>Haciendo realidad el Pacto Verde Europeo</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14 de julio de 2021, la Comisión Europea dio a conocer su plan para alcanzar una reducción de emisiones del 55% para 2030, primer paso de la neutralidad en carbono fijada para 2050.</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Nuestro objetivo es convertir a Europa en el primer continente climáticamente neutro del mundo.</w:t>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Estas propuestas tienen como objetivo hacer que todos los sectores de la economía de la UE estén en condiciones de hacer frente a este desafío. Pusieron a la UE en el camino para alcanzar sus objetivos climáticos para 2030 de una manera justa, rentable y competitiva.</w:t>
      </w:r>
    </w:p>
    <w:p w:rsidR="00D0642A" w:rsidRDefault="00D0642A" w:rsidP="00D0642A">
      <w:pPr>
        <w:spacing w:line="240" w:lineRule="auto"/>
        <w:jc w:val="both"/>
        <w:rPr>
          <w:rFonts w:ascii="Times New Roman" w:hAnsi="Times New Roman" w:cs="Times New Roman"/>
          <w:sz w:val="24"/>
          <w:szCs w:val="24"/>
          <w:shd w:val="clear" w:color="auto" w:fill="FFFFFF"/>
        </w:rPr>
      </w:pP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Transformando nuestra economía y nuestras sociedades</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cambio climático es el mayor desafío de nuestro tiempo. Y es una oportunidad para const</w:t>
      </w:r>
      <w:r>
        <w:rPr>
          <w:rFonts w:ascii="Times New Roman" w:hAnsi="Times New Roman" w:cs="Times New Roman"/>
          <w:sz w:val="24"/>
          <w:szCs w:val="24"/>
          <w:shd w:val="clear" w:color="auto" w:fill="FFFFFF"/>
        </w:rPr>
        <w:t>ruir un nuevo modelo económico.</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El Pacto Verde Europeo estableció el modelo </w:t>
      </w:r>
      <w:r>
        <w:rPr>
          <w:rFonts w:ascii="Times New Roman" w:hAnsi="Times New Roman" w:cs="Times New Roman"/>
          <w:sz w:val="24"/>
          <w:szCs w:val="24"/>
          <w:shd w:val="clear" w:color="auto" w:fill="FFFFFF"/>
        </w:rPr>
        <w:t>para este cambio transformador.</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Los 27 Estados miembros de la UE se comprometieron a convertir a la UE en el primer continente climáticamente neutral para 2050. Para lograrlo, se comprometieron a reducir las emisiones en al menos un 55 % para 2030, en compar</w:t>
      </w:r>
      <w:r>
        <w:rPr>
          <w:rFonts w:ascii="Times New Roman" w:hAnsi="Times New Roman" w:cs="Times New Roman"/>
          <w:sz w:val="24"/>
          <w:szCs w:val="24"/>
          <w:shd w:val="clear" w:color="auto" w:fill="FFFFFF"/>
        </w:rPr>
        <w:t xml:space="preserve">ación con los niveles de 1990. </w:t>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Esto creará nuevas oportunidades para la innovación, la inversión y el empleo, además de:</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eastAsia="es-ES"/>
        </w:rPr>
        <w:drawing>
          <wp:inline distT="0" distB="0" distL="0" distR="0" wp14:anchorId="124136C6" wp14:editId="6ADF12D5">
            <wp:extent cx="5731774" cy="1841500"/>
            <wp:effectExtent l="0" t="0" r="254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1841415"/>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Al mismo tiempo, garantizará que haya oportunidades para todos, apoyando a los ciudadanos vulnerables abordando la desigualdad y la pobreza energética y fortaleciendo la competitividad de las empresas europeas.</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eastAsia="es-ES"/>
        </w:rPr>
        <w:drawing>
          <wp:inline distT="0" distB="0" distL="0" distR="0" wp14:anchorId="0E7B08A0" wp14:editId="2106A424">
            <wp:extent cx="5733623" cy="3549650"/>
            <wp:effectExtent l="0" t="0" r="63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548342"/>
                    </a:xfrm>
                    <a:prstGeom prst="rect">
                      <a:avLst/>
                    </a:prstGeom>
                  </pic:spPr>
                </pic:pic>
              </a:graphicData>
            </a:graphic>
          </wp:inline>
        </w:drawing>
      </w:r>
      <w:r w:rsidRPr="00034603">
        <w:rPr>
          <w:rFonts w:ascii="Times New Roman" w:hAnsi="Times New Roman" w:cs="Times New Roman"/>
          <w:sz w:val="24"/>
          <w:szCs w:val="24"/>
          <w:shd w:val="clear" w:color="auto" w:fill="FFFFFF"/>
        </w:rPr>
        <w:t>La Comisión también promueve el crecimiento del mercado de vehículos de emisiones cero y bajas. En particular, busca que los ciudadanos dispongan de la infraestructura necesaria para recargar estos vehículos, tanto e</w:t>
      </w:r>
      <w:r>
        <w:rPr>
          <w:rFonts w:ascii="Times New Roman" w:hAnsi="Times New Roman" w:cs="Times New Roman"/>
          <w:sz w:val="24"/>
          <w:szCs w:val="24"/>
          <w:shd w:val="clear" w:color="auto" w:fill="FFFFFF"/>
        </w:rPr>
        <w:t>n trayectos cortos como largos.</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Además, a partir de 2026, el transporte por carretera estará cubierto por el comercio de emisiones, poniendo precio a la contaminación, estimulando el uso de combustibles más limpios y reinvi</w:t>
      </w:r>
      <w:r>
        <w:rPr>
          <w:rFonts w:ascii="Times New Roman" w:hAnsi="Times New Roman" w:cs="Times New Roman"/>
          <w:sz w:val="24"/>
          <w:szCs w:val="24"/>
          <w:shd w:val="clear" w:color="auto" w:fill="FFFFFF"/>
        </w:rPr>
        <w:t>rtiendo en tecnologías limpias.</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La Comisión también propone una fijación de precios del carbono para el sector de la aviación, que hasta ahora se beneficiaba de una excepción. También propone promover los combustibles de aviación sostenibles, con la obligación de que los aviones utilicen combustibles mixtos sostenibles para todas las salidas </w:t>
      </w:r>
      <w:r>
        <w:rPr>
          <w:rFonts w:ascii="Times New Roman" w:hAnsi="Times New Roman" w:cs="Times New Roman"/>
          <w:sz w:val="24"/>
          <w:szCs w:val="24"/>
          <w:shd w:val="clear" w:color="auto" w:fill="FFFFFF"/>
        </w:rPr>
        <w:t>desde los aeropuertos de la UE.</w:t>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Para garantizar una contribución justa del sector marítimo al esfuerzo por descarbonizar nuestra economía, la Comisión propone extender el precio del carbono a este sector. La Comisión también establecerá objetivos para que los principales puertos sirvan a los buques con energía en tierra, reduciendo el uso de combustibles contaminantes que también d</w:t>
      </w:r>
      <w:r>
        <w:rPr>
          <w:rFonts w:ascii="Times New Roman" w:hAnsi="Times New Roman" w:cs="Times New Roman"/>
          <w:sz w:val="24"/>
          <w:szCs w:val="24"/>
          <w:shd w:val="clear" w:color="auto" w:fill="FFFFFF"/>
        </w:rPr>
        <w:t>añan la calidad del aire local.</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eastAsia="es-ES"/>
        </w:rPr>
        <w:drawing>
          <wp:inline distT="0" distB="0" distL="0" distR="0" wp14:anchorId="6C7C406C" wp14:editId="75C0623F">
            <wp:extent cx="5728381" cy="4108450"/>
            <wp:effectExtent l="0" t="0" r="5715"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4110694"/>
                    </a:xfrm>
                    <a:prstGeom prst="rect">
                      <a:avLst/>
                    </a:prstGeom>
                  </pic:spPr>
                </pic:pic>
              </a:graphicData>
            </a:graphic>
          </wp:inline>
        </w:drawing>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Se espera que la electrificación de la economía y el mayor uso de energías renovables generen mayor empleo en estos sectores. El aumento de la eficiencia energética de los edificios también creará puestos de trabajo en la construcción, con una mayor dema</w:t>
      </w:r>
      <w:r>
        <w:rPr>
          <w:rFonts w:ascii="Times New Roman" w:hAnsi="Times New Roman" w:cs="Times New Roman"/>
          <w:sz w:val="24"/>
          <w:szCs w:val="24"/>
          <w:shd w:val="clear" w:color="auto" w:fill="FFFFFF"/>
        </w:rPr>
        <w:t>nda de mano de obra local.</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Queremos preservar nuestra ambición climática evitando que los esfuerzos de nuestra industria para reducir las emisiones se vean socavados por la comp</w:t>
      </w:r>
      <w:r>
        <w:rPr>
          <w:rFonts w:ascii="Times New Roman" w:hAnsi="Times New Roman" w:cs="Times New Roman"/>
          <w:sz w:val="24"/>
          <w:szCs w:val="24"/>
          <w:shd w:val="clear" w:color="auto" w:fill="FFFFFF"/>
        </w:rPr>
        <w:t>etencia desleal del extranjero.</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Por lo tanto, la Comisión propone un mecanismo para garantizar que, incluso cuando sean de países con normas climáticas menos estrictas, las empresas que importan a la UE también tienen que pagar un precio de carbono.</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eastAsia="es-ES"/>
        </w:rPr>
        <w:lastRenderedPageBreak/>
        <w:drawing>
          <wp:inline distT="0" distB="0" distL="0" distR="0" wp14:anchorId="125EF1A0" wp14:editId="5F68397A">
            <wp:extent cx="5727140" cy="2260600"/>
            <wp:effectExtent l="0" t="0" r="6985"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262325"/>
                    </a:xfrm>
                    <a:prstGeom prst="rect">
                      <a:avLst/>
                    </a:prstGeom>
                  </pic:spPr>
                </pic:pic>
              </a:graphicData>
            </a:graphic>
          </wp:inline>
        </w:drawing>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Comisión propone aumentar el objetivo vinculante de fuentes renovables en la combinación energética de la UE al 40 %. Las propuestas promueven la adopción de combustibles renovables, como el hidrógeno en la industria y el transpo</w:t>
      </w:r>
      <w:r>
        <w:rPr>
          <w:rFonts w:ascii="Times New Roman" w:hAnsi="Times New Roman" w:cs="Times New Roman"/>
          <w:sz w:val="24"/>
          <w:szCs w:val="24"/>
          <w:shd w:val="clear" w:color="auto" w:fill="FFFFFF"/>
        </w:rPr>
        <w:t>rte, con objetivos adicionales.</w:t>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Además, la reducción del consumo de energía es fundamental para reducir tanto las emisiones como los costes energéticos para los consumidores y la industria. La Comisión propone aumentar los objetivos de eficiencia energética a nivel de la UE y hacerlos vinculantes, para lograr para 2030 una reducción general del 36-39 % del consumo de energía final y primaria.</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eastAsia="es-ES"/>
        </w:rPr>
        <w:drawing>
          <wp:inline distT="0" distB="0" distL="0" distR="0" wp14:anchorId="20D37DF7" wp14:editId="6C9441EC">
            <wp:extent cx="5729443" cy="1168400"/>
            <wp:effectExtent l="0" t="0" r="508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1168822"/>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sistema fiscal para los productos energéticos también debe apoyar la transición verde brindando los incentivos adecuados. La Comisión propone alinear los tipos impositivos mínimos para la calefacción y el transporte con nuestros objetivos climáticos, mitigando al mismo tiempo el impacto social y apoyando a los ciudadanos vulnerables.</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eastAsia="es-ES"/>
        </w:rPr>
        <w:drawing>
          <wp:inline distT="0" distB="0" distL="0" distR="0" wp14:anchorId="020F3FE2" wp14:editId="1E128105">
            <wp:extent cx="5727699" cy="2298700"/>
            <wp:effectExtent l="0" t="0" r="6985"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300230"/>
                    </a:xfrm>
                    <a:prstGeom prst="rect">
                      <a:avLst/>
                    </a:prstGeom>
                  </pic:spPr>
                </pic:pic>
              </a:graphicData>
            </a:graphic>
          </wp:inline>
        </w:drawing>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El nuevo Fondo Social para el Clima apoyará a los ciudadanos de la UE más afectados o en riesgo de pobreza energética o de movilidad. Ayudará a mitigar los costos para los más expuestos a los cambios, para garantizar que la transición sea</w:t>
      </w:r>
      <w:r>
        <w:rPr>
          <w:rFonts w:ascii="Times New Roman" w:hAnsi="Times New Roman" w:cs="Times New Roman"/>
          <w:sz w:val="24"/>
          <w:szCs w:val="24"/>
          <w:shd w:val="clear" w:color="auto" w:fill="FFFFFF"/>
        </w:rPr>
        <w:t xml:space="preserve"> justa y no deje a nadie atrás.</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Proporcionará 72.</w:t>
      </w:r>
      <w:r w:rsidRPr="00034603">
        <w:rPr>
          <w:rFonts w:ascii="Times New Roman" w:hAnsi="Times New Roman" w:cs="Times New Roman"/>
          <w:sz w:val="24"/>
          <w:szCs w:val="24"/>
          <w:shd w:val="clear" w:color="auto" w:fill="FFFFFF"/>
        </w:rPr>
        <w:t>200 millones EUR durante 7 años en financiación para la renovación de edificios, el acceso a la movilidad de emisiones cero y bajas, o i</w:t>
      </w:r>
      <w:r>
        <w:rPr>
          <w:rFonts w:ascii="Times New Roman" w:hAnsi="Times New Roman" w:cs="Times New Roman"/>
          <w:sz w:val="24"/>
          <w:szCs w:val="24"/>
          <w:shd w:val="clear" w:color="auto" w:fill="FFFFFF"/>
        </w:rPr>
        <w:t>ncluso el apoyo a los ingresos.</w:t>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Además de los hogares, los edificios públicos también deben renovarse para usar más energía renovable y ser más efi</w:t>
      </w:r>
      <w:r>
        <w:rPr>
          <w:rFonts w:ascii="Times New Roman" w:hAnsi="Times New Roman" w:cs="Times New Roman"/>
          <w:sz w:val="24"/>
          <w:szCs w:val="24"/>
          <w:shd w:val="clear" w:color="auto" w:fill="FFFFFF"/>
        </w:rPr>
        <w:t>cientes energéticamente.</w:t>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Comisión propone:</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exigir a los Estados miembros que renueven anualmente al menos el 3 % de la superficie total de todos los edificios públicos</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establecer un punto de referencia del 49 % de las energías renovables en los edificios para 2030</w:t>
      </w:r>
    </w:p>
    <w:p w:rsidR="00D0642A"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exigir a los Estados miembros que aumenten el uso de energías renovables en calefacción y refrigeración en +1,1 puntos porcentuales cada año, hasta 2030</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eastAsia="es-ES"/>
        </w:rPr>
        <w:drawing>
          <wp:inline distT="0" distB="0" distL="0" distR="0" wp14:anchorId="32B4C40D" wp14:editId="5BD1F2D9">
            <wp:extent cx="5731510" cy="2548562"/>
            <wp:effectExtent l="0" t="0" r="2540" b="444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2548562"/>
                    </a:xfrm>
                    <a:prstGeom prst="rect">
                      <a:avLst/>
                    </a:prstGeom>
                  </pic:spPr>
                </pic:pic>
              </a:graphicData>
            </a:graphic>
          </wp:inline>
        </w:drawing>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Restaurar la naturaleza y permitir que la biodiversidad vuelva a prosperar ofrece una solución rápida y económica par</w:t>
      </w:r>
      <w:r>
        <w:rPr>
          <w:rFonts w:ascii="Times New Roman" w:hAnsi="Times New Roman" w:cs="Times New Roman"/>
          <w:sz w:val="24"/>
          <w:szCs w:val="24"/>
          <w:shd w:val="clear" w:color="auto" w:fill="FFFFFF"/>
        </w:rPr>
        <w:t>a absorber y almacenar carbono.</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La Comisión propone, por tanto, restaurar los bosques, los suelos, los humedales y las turberas de Europa. Esto aumentará la absorción de CO2 y hará que nuestro medio ambiente sea más </w:t>
      </w:r>
      <w:r>
        <w:rPr>
          <w:rFonts w:ascii="Times New Roman" w:hAnsi="Times New Roman" w:cs="Times New Roman"/>
          <w:sz w:val="24"/>
          <w:szCs w:val="24"/>
          <w:shd w:val="clear" w:color="auto" w:fill="FFFFFF"/>
        </w:rPr>
        <w:t>resistente al cambio climático.</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Una gestión circular y sostenible de estos recursos permitirá</w:t>
      </w:r>
      <w:r>
        <w:rPr>
          <w:rFonts w:ascii="Times New Roman" w:hAnsi="Times New Roman" w:cs="Times New Roman"/>
          <w:sz w:val="24"/>
          <w:szCs w:val="24"/>
          <w:shd w:val="clear" w:color="auto" w:fill="FFFFFF"/>
        </w:rPr>
        <w:t>:</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mejorar nuestras condiciones de vida</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mantener un ambiente saludable</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crear empleos de calidad</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proporcionar recursos energéticos sostenibles</w:t>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Nuevos objetivos para la remoción natural de carbono:</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eastAsia="es-ES"/>
        </w:rPr>
        <w:drawing>
          <wp:inline distT="0" distB="0" distL="0" distR="0" wp14:anchorId="1C1995C7" wp14:editId="1C93B71B">
            <wp:extent cx="5731510" cy="1473904"/>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1473904"/>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bioenergía contribuye a la eliminación gradual de los combustibles fósiles y la descarbonización de la economía de la UE. Pero debe ser utilizado de forma sostenible. La Comisión propone nuevos criterios estrictos para evitar la tala forestal insostenible y proteger áreas de gran valor para la biodiversidad.</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eastAsia="es-ES"/>
        </w:rPr>
        <w:drawing>
          <wp:inline distT="0" distB="0" distL="0" distR="0" wp14:anchorId="3EB4B1A7" wp14:editId="35101F1F">
            <wp:extent cx="5731510" cy="2479368"/>
            <wp:effectExtent l="0" t="0" r="254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479368"/>
                    </a:xfrm>
                    <a:prstGeom prst="rect">
                      <a:avLst/>
                    </a:prstGeom>
                  </pic:spPr>
                </pic:pic>
              </a:graphicData>
            </a:graphic>
          </wp:inline>
        </w:drawing>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Acuerdo Verde Europeo ya ha dado un ejemplo positivo y ha llevado a los principales socios internacionales a establecer sus propias fechas objetivo</w:t>
      </w:r>
      <w:r>
        <w:rPr>
          <w:rFonts w:ascii="Times New Roman" w:hAnsi="Times New Roman" w:cs="Times New Roman"/>
          <w:sz w:val="24"/>
          <w:szCs w:val="24"/>
          <w:shd w:val="clear" w:color="auto" w:fill="FFFFFF"/>
        </w:rPr>
        <w:t xml:space="preserve"> para la neutralidad climática.</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Con la inversión en tecnologías de energía renovable, estamos desarrollando experiencia y productos que también b</w:t>
      </w:r>
      <w:r>
        <w:rPr>
          <w:rFonts w:ascii="Times New Roman" w:hAnsi="Times New Roman" w:cs="Times New Roman"/>
          <w:sz w:val="24"/>
          <w:szCs w:val="24"/>
          <w:shd w:val="clear" w:color="auto" w:fill="FFFFFF"/>
        </w:rPr>
        <w:t>eneficiarán al resto del mundo.</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Con el cambio hacia el transporte ecológico, crearemos empresas líderes en el mundo que puedan servir a un mercado global en crecimiento. Al trabajar con nuestros socios internacionales, juntos reduciremos las emisiones en el transporte marítimo </w:t>
      </w:r>
      <w:r>
        <w:rPr>
          <w:rFonts w:ascii="Times New Roman" w:hAnsi="Times New Roman" w:cs="Times New Roman"/>
          <w:sz w:val="24"/>
          <w:szCs w:val="24"/>
          <w:shd w:val="clear" w:color="auto" w:fill="FFFFFF"/>
        </w:rPr>
        <w:t>y la aviación en todo el mundo.</w:t>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UE compartirá estas propuestas e ideas con sus socios internacionales en la Conferencia sobre Cambio Climático COP26 de la ONU en Glasgow en noviembre.</w:t>
      </w:r>
    </w:p>
    <w:p w:rsidR="00D0642A" w:rsidRPr="00034603" w:rsidRDefault="00D0642A" w:rsidP="00D0642A">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eastAsia="es-ES"/>
        </w:rPr>
        <w:drawing>
          <wp:inline distT="0" distB="0" distL="0" distR="0" wp14:anchorId="6C5AFC48" wp14:editId="798D55D5">
            <wp:extent cx="5731510" cy="1220395"/>
            <wp:effectExtent l="0" t="0" r="254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1220395"/>
                    </a:xfrm>
                    <a:prstGeom prst="rect">
                      <a:avLst/>
                    </a:prstGeom>
                  </pic:spPr>
                </pic:pic>
              </a:graphicData>
            </a:graphic>
          </wp:inline>
        </w:drawing>
      </w:r>
    </w:p>
    <w:p w:rsidR="00D0642A" w:rsidRDefault="00D0642A" w:rsidP="00D0642A">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Pasos clave</w:t>
      </w:r>
    </w:p>
    <w:p w:rsidR="00D0642A" w:rsidRPr="004808B8" w:rsidRDefault="00D0642A" w:rsidP="00D0642A">
      <w:pPr>
        <w:numPr>
          <w:ilvl w:val="0"/>
          <w:numId w:val="2"/>
        </w:numPr>
        <w:shd w:val="clear" w:color="auto" w:fill="FFFFFF"/>
        <w:spacing w:before="100" w:beforeAutospacing="1" w:after="100" w:afterAutospacing="1" w:line="240" w:lineRule="auto"/>
        <w:rPr>
          <w:rFonts w:ascii="Times New Roman" w:hAnsi="Times New Roman" w:cs="Times New Roman"/>
          <w:b/>
          <w:bCs/>
          <w:sz w:val="24"/>
          <w:szCs w:val="24"/>
        </w:rPr>
      </w:pPr>
      <w:r w:rsidRPr="004808B8">
        <w:rPr>
          <w:rFonts w:ascii="Times New Roman" w:hAnsi="Times New Roman" w:cs="Times New Roman"/>
          <w:b/>
          <w:bCs/>
          <w:sz w:val="24"/>
          <w:szCs w:val="24"/>
        </w:rPr>
        <w:t>diciembre 2019</w:t>
      </w:r>
    </w:p>
    <w:p w:rsidR="00D0642A" w:rsidRPr="004808B8" w:rsidRDefault="00D0642A" w:rsidP="00D0642A">
      <w:pPr>
        <w:pStyle w:val="NormalWeb"/>
        <w:shd w:val="clear" w:color="auto" w:fill="FFFFFF"/>
        <w:spacing w:before="0" w:beforeAutospacing="0"/>
        <w:ind w:left="720"/>
        <w:jc w:val="both"/>
      </w:pPr>
      <w:r w:rsidRPr="004808B8">
        <w:t>La Comisión presenta el Pacto Verde Europeo, comprometiéndose con la neutralidad climática para 2050</w:t>
      </w:r>
    </w:p>
    <w:p w:rsidR="00D0642A" w:rsidRPr="004808B8" w:rsidRDefault="00D0642A" w:rsidP="00D0642A">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marzo 2020</w:t>
      </w:r>
    </w:p>
    <w:p w:rsidR="00D0642A" w:rsidRPr="004808B8" w:rsidRDefault="00D0642A" w:rsidP="00D0642A">
      <w:pPr>
        <w:pStyle w:val="NormalWeb"/>
        <w:shd w:val="clear" w:color="auto" w:fill="FFFFFF"/>
        <w:spacing w:before="0" w:beforeAutospacing="0"/>
        <w:ind w:left="720"/>
        <w:jc w:val="both"/>
      </w:pPr>
      <w:r w:rsidRPr="004808B8">
        <w:t>La Comisión propone la Ley Europea del Clima para incluir el objetivo de neutralidad climática para 2050 en una legislación vinculante</w:t>
      </w:r>
    </w:p>
    <w:p w:rsidR="00D0642A" w:rsidRPr="004808B8" w:rsidRDefault="00D0642A" w:rsidP="00D0642A">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septiembre 2020</w:t>
      </w:r>
    </w:p>
    <w:p w:rsidR="00D0642A" w:rsidRPr="004808B8" w:rsidRDefault="00D0642A" w:rsidP="00D0642A">
      <w:pPr>
        <w:pStyle w:val="NormalWeb"/>
        <w:shd w:val="clear" w:color="auto" w:fill="FFFFFF"/>
        <w:spacing w:before="0" w:beforeAutospacing="0"/>
        <w:ind w:left="720"/>
        <w:jc w:val="both"/>
      </w:pPr>
      <w:r w:rsidRPr="004808B8">
        <w:t>La Comisión propone un nuevo objetivo de la UE para reducir las emisiones netas en al menos un 55 % para 2030 y añadirlo a la Ley Europea del Clima</w:t>
      </w:r>
    </w:p>
    <w:p w:rsidR="00D0642A" w:rsidRPr="004808B8" w:rsidRDefault="00D0642A" w:rsidP="00D0642A">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diciembre 2020</w:t>
      </w:r>
    </w:p>
    <w:p w:rsidR="00D0642A" w:rsidRPr="004808B8" w:rsidRDefault="00D0642A" w:rsidP="00D0642A">
      <w:pPr>
        <w:pStyle w:val="NormalWeb"/>
        <w:shd w:val="clear" w:color="auto" w:fill="FFFFFF"/>
        <w:spacing w:before="0" w:beforeAutospacing="0"/>
        <w:ind w:left="720"/>
        <w:jc w:val="both"/>
      </w:pPr>
      <w:r w:rsidRPr="004808B8">
        <w:t>Los líderes europeos respaldan el objetivo propuesto por la Comisión de reducir las emisiones netas en al menos un 55 % para 2030</w:t>
      </w:r>
    </w:p>
    <w:p w:rsidR="00D0642A" w:rsidRPr="004808B8" w:rsidRDefault="00D0642A" w:rsidP="00D0642A">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abril 2021</w:t>
      </w:r>
    </w:p>
    <w:p w:rsidR="00D0642A" w:rsidRPr="004808B8" w:rsidRDefault="00D0642A" w:rsidP="00D0642A">
      <w:pPr>
        <w:pStyle w:val="NormalWeb"/>
        <w:shd w:val="clear" w:color="auto" w:fill="FFFFFF"/>
        <w:spacing w:before="0" w:beforeAutospacing="0"/>
        <w:ind w:left="720"/>
        <w:jc w:val="both"/>
      </w:pPr>
      <w:r w:rsidRPr="004808B8">
        <w:t>Acuerdo político alcanzado sobre la Ley Europea del Clima por el Parlamento Europeo y los Estados miembros</w:t>
      </w:r>
    </w:p>
    <w:p w:rsidR="00D0642A" w:rsidRPr="004808B8" w:rsidRDefault="00D0642A" w:rsidP="00D0642A">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junio 2021</w:t>
      </w:r>
    </w:p>
    <w:p w:rsidR="00D0642A" w:rsidRPr="004808B8" w:rsidRDefault="00D0642A" w:rsidP="00D0642A">
      <w:pPr>
        <w:pStyle w:val="NormalWeb"/>
        <w:shd w:val="clear" w:color="auto" w:fill="FFFFFF"/>
        <w:spacing w:before="0" w:beforeAutospacing="0"/>
        <w:ind w:left="720"/>
        <w:jc w:val="both"/>
      </w:pPr>
      <w:r w:rsidRPr="004808B8">
        <w:t>Entra en vigor la Ley Europea del Clima</w:t>
      </w:r>
    </w:p>
    <w:p w:rsidR="00D0642A" w:rsidRPr="004808B8" w:rsidRDefault="00D0642A" w:rsidP="00D0642A">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julio 2021</w:t>
      </w:r>
    </w:p>
    <w:p w:rsidR="00D0642A" w:rsidRPr="004808B8" w:rsidRDefault="00D0642A" w:rsidP="00D0642A">
      <w:pPr>
        <w:pStyle w:val="NormalWeb"/>
        <w:shd w:val="clear" w:color="auto" w:fill="FFFFFF"/>
        <w:spacing w:before="0" w:beforeAutospacing="0"/>
        <w:ind w:left="720"/>
        <w:jc w:val="both"/>
      </w:pPr>
      <w:r w:rsidRPr="004808B8">
        <w:t>La Comisión presenta un paquete de propuestas para transformar nuestra economía y alcanzar nuestros objetivos climáticos para 20</w:t>
      </w:r>
      <w:r>
        <w:t xml:space="preserve">30. El Parlamento Europeo y los </w:t>
      </w:r>
      <w:r w:rsidRPr="004808B8">
        <w:t>Estados miembros negociarán y adoptarán un paquete de legislación para alcanzar nuestros objetivos climáticos para 2030</w:t>
      </w:r>
    </w:p>
    <w:p w:rsidR="00D0642A" w:rsidRPr="004808B8" w:rsidRDefault="00D0642A" w:rsidP="00D0642A">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septiembre 2021</w:t>
      </w:r>
    </w:p>
    <w:p w:rsidR="00D0642A" w:rsidRPr="0046570B" w:rsidRDefault="0098611F" w:rsidP="00D0642A">
      <w:pPr>
        <w:pStyle w:val="NormalWeb"/>
        <w:shd w:val="clear" w:color="auto" w:fill="FFFFFF"/>
        <w:spacing w:before="0" w:beforeAutospacing="0"/>
        <w:ind w:left="720"/>
        <w:jc w:val="both"/>
      </w:pPr>
      <w:hyperlink r:id="rId55" w:history="1">
        <w:r w:rsidR="00D0642A" w:rsidRPr="0046570B">
          <w:rPr>
            <w:rStyle w:val="Hipervnculo"/>
            <w:color w:val="auto"/>
            <w:u w:val="none"/>
          </w:rPr>
          <w:t>Nueva Bauhaus europea: nuevas acciones y financiación</w:t>
        </w:r>
      </w:hyperlink>
    </w:p>
    <w:p w:rsidR="00D0642A" w:rsidRPr="004808B8" w:rsidRDefault="00D0642A" w:rsidP="00D0642A">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2030</w:t>
      </w:r>
    </w:p>
    <w:p w:rsidR="00D0642A" w:rsidRPr="004808B8" w:rsidRDefault="00D0642A" w:rsidP="00D0642A">
      <w:pPr>
        <w:pStyle w:val="NormalWeb"/>
        <w:shd w:val="clear" w:color="auto" w:fill="FFFFFF"/>
        <w:spacing w:before="0" w:beforeAutospacing="0"/>
        <w:ind w:left="720"/>
        <w:jc w:val="both"/>
      </w:pPr>
      <w:r w:rsidRPr="004808B8">
        <w:t>La UE logrará una reducción de las emisiones de al menos un 55 % en comparación con los niveles de 1990</w:t>
      </w:r>
    </w:p>
    <w:p w:rsidR="00D0642A" w:rsidRDefault="00D0642A" w:rsidP="00D0642A">
      <w:pPr>
        <w:numPr>
          <w:ilvl w:val="0"/>
          <w:numId w:val="2"/>
        </w:numPr>
        <w:shd w:val="clear" w:color="auto" w:fill="FFFFFF"/>
        <w:spacing w:before="100" w:beforeAutospacing="1" w:after="0"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2050</w:t>
      </w:r>
    </w:p>
    <w:p w:rsidR="00D0642A" w:rsidRDefault="00D0642A" w:rsidP="00D0642A">
      <w:pPr>
        <w:pStyle w:val="NormalWeb"/>
        <w:shd w:val="clear" w:color="auto" w:fill="FFFFFF"/>
        <w:spacing w:before="0" w:beforeAutospacing="0"/>
        <w:ind w:firstLine="708"/>
        <w:jc w:val="both"/>
      </w:pPr>
      <w:r w:rsidRPr="004808B8">
        <w:t>La UE será climáticamente neutral</w:t>
      </w:r>
    </w:p>
    <w:p w:rsidR="00BF5D7B" w:rsidRDefault="00BF5D7B" w:rsidP="00BF5D7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6F04C6">
        <w:rPr>
          <w:rFonts w:ascii="Times New Roman" w:hAnsi="Times New Roman" w:cs="Times New Roman"/>
          <w:b/>
          <w:sz w:val="24"/>
          <w:szCs w:val="24"/>
        </w:rPr>
        <w:t xml:space="preserve">La verdad de la milanesa: </w:t>
      </w:r>
      <w:r>
        <w:rPr>
          <w:rFonts w:ascii="Times New Roman" w:hAnsi="Times New Roman" w:cs="Times New Roman"/>
          <w:b/>
          <w:sz w:val="24"/>
          <w:szCs w:val="24"/>
        </w:rPr>
        <w:t xml:space="preserve">Putin tiene a la Unión Europea, agarrada por los </w:t>
      </w:r>
      <w:r w:rsidR="008A5228">
        <w:rPr>
          <w:rFonts w:ascii="Times New Roman" w:hAnsi="Times New Roman" w:cs="Times New Roman"/>
          <w:b/>
          <w:sz w:val="24"/>
          <w:szCs w:val="24"/>
        </w:rPr>
        <w:t>“</w:t>
      </w:r>
      <w:r>
        <w:rPr>
          <w:rFonts w:ascii="Times New Roman" w:hAnsi="Times New Roman" w:cs="Times New Roman"/>
          <w:b/>
          <w:sz w:val="24"/>
          <w:szCs w:val="24"/>
        </w:rPr>
        <w:t>eier”</w:t>
      </w:r>
    </w:p>
    <w:p w:rsidR="00BF5D7B" w:rsidRDefault="00BF5D7B" w:rsidP="00BF5D7B">
      <w:pPr>
        <w:spacing w:line="240" w:lineRule="auto"/>
        <w:jc w:val="both"/>
        <w:rPr>
          <w:rFonts w:ascii="Times New Roman" w:hAnsi="Times New Roman" w:cs="Times New Roman"/>
          <w:b/>
          <w:sz w:val="24"/>
          <w:szCs w:val="24"/>
        </w:rPr>
      </w:pPr>
      <w:r>
        <w:rPr>
          <w:noProof/>
          <w:lang w:eastAsia="es-ES"/>
        </w:rPr>
        <w:drawing>
          <wp:inline distT="0" distB="0" distL="0" distR="0" wp14:anchorId="5A2D9164" wp14:editId="212F8292">
            <wp:extent cx="5731510" cy="3085075"/>
            <wp:effectExtent l="0" t="0" r="2540" b="1270"/>
            <wp:docPr id="31" name="Imagen 31" descr="La invasión rusa de Ucrania y el temor a la escasez de suministro 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invasión rusa de Ucrania y el temor a la escasez de suministro han..."/>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3085075"/>
                    </a:xfrm>
                    <a:prstGeom prst="rect">
                      <a:avLst/>
                    </a:prstGeom>
                    <a:noFill/>
                    <a:ln>
                      <a:noFill/>
                    </a:ln>
                  </pic:spPr>
                </pic:pic>
              </a:graphicData>
            </a:graphic>
          </wp:inline>
        </w:drawing>
      </w:r>
    </w:p>
    <w:p w:rsidR="00BF5D7B" w:rsidRPr="00EE7814"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7814">
        <w:rPr>
          <w:rFonts w:ascii="Times New Roman" w:hAnsi="Times New Roman" w:cs="Times New Roman"/>
          <w:sz w:val="24"/>
          <w:szCs w:val="24"/>
          <w:u w:val="single"/>
        </w:rPr>
        <w:t xml:space="preserve">Bruselas propone definitivamente que la energía </w:t>
      </w:r>
      <w:r>
        <w:rPr>
          <w:rFonts w:ascii="Times New Roman" w:hAnsi="Times New Roman" w:cs="Times New Roman"/>
          <w:sz w:val="24"/>
          <w:szCs w:val="24"/>
          <w:u w:val="single"/>
        </w:rPr>
        <w:t>nuclear y el gas se consideren “verdes”</w:t>
      </w:r>
      <w:r>
        <w:rPr>
          <w:rFonts w:ascii="Times New Roman" w:hAnsi="Times New Roman" w:cs="Times New Roman"/>
          <w:sz w:val="24"/>
          <w:szCs w:val="24"/>
        </w:rPr>
        <w:t xml:space="preserve"> (Cinco Días - </w:t>
      </w:r>
      <w:r w:rsidRPr="00EE7814">
        <w:rPr>
          <w:rFonts w:ascii="Times New Roman" w:hAnsi="Times New Roman" w:cs="Times New Roman"/>
          <w:b/>
          <w:sz w:val="24"/>
          <w:szCs w:val="24"/>
        </w:rPr>
        <w:t>2/2/22</w:t>
      </w:r>
      <w:r>
        <w:rPr>
          <w:rFonts w:ascii="Times New Roman" w:hAnsi="Times New Roman" w:cs="Times New Roman"/>
          <w:sz w:val="24"/>
          <w:szCs w:val="24"/>
        </w:rPr>
        <w:t>)</w:t>
      </w:r>
    </w:p>
    <w:p w:rsidR="00BF5D7B" w:rsidRPr="009E6DBD" w:rsidRDefault="00BF5D7B" w:rsidP="00BF5D7B">
      <w:pPr>
        <w:spacing w:line="240" w:lineRule="auto"/>
        <w:jc w:val="both"/>
        <w:rPr>
          <w:rFonts w:ascii="Times New Roman" w:hAnsi="Times New Roman" w:cs="Times New Roman"/>
          <w:color w:val="FF0000"/>
          <w:sz w:val="24"/>
          <w:szCs w:val="24"/>
        </w:rPr>
      </w:pPr>
      <w:r w:rsidRPr="009E6DBD">
        <w:rPr>
          <w:rFonts w:ascii="Times New Roman" w:hAnsi="Times New Roman" w:cs="Times New Roman"/>
          <w:color w:val="FF0000"/>
          <w:sz w:val="24"/>
          <w:szCs w:val="24"/>
        </w:rPr>
        <w:t>El informe de la Comisión Europea cuenta con el rechazo inicial de España, Austria, Luxemburgo y Dinamarca</w:t>
      </w:r>
    </w:p>
    <w:p w:rsidR="00BF5D7B" w:rsidRPr="009E6DBD" w:rsidRDefault="00BF5D7B" w:rsidP="00BF5D7B">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La Comisión Europea (CE) presentó este miércoles su propuesta final para que la energía nuclear y ciertas plantas de generación eléctrica a partir del</w:t>
      </w:r>
      <w:r>
        <w:rPr>
          <w:rFonts w:ascii="Times New Roman" w:hAnsi="Times New Roman" w:cs="Times New Roman"/>
          <w:color w:val="FF0000"/>
          <w:sz w:val="24"/>
          <w:szCs w:val="24"/>
          <w:u w:val="single"/>
        </w:rPr>
        <w:t xml:space="preserve"> gas se consideren inversiones “verdes”</w:t>
      </w:r>
      <w:r w:rsidRPr="009E6DBD">
        <w:rPr>
          <w:rFonts w:ascii="Times New Roman" w:hAnsi="Times New Roman" w:cs="Times New Roman"/>
          <w:color w:val="FF0000"/>
          <w:sz w:val="24"/>
          <w:szCs w:val="24"/>
          <w:u w:val="single"/>
        </w:rPr>
        <w:t>, una controvertida iniciativa que podrían bloquear los Estados miembros o el Parlamento Europeo.</w:t>
      </w:r>
    </w:p>
    <w:p w:rsidR="00BF5D7B" w:rsidRPr="009E6DBD" w:rsidRDefault="00BF5D7B" w:rsidP="00BF5D7B">
      <w:pPr>
        <w:spacing w:line="240" w:lineRule="auto"/>
        <w:jc w:val="both"/>
        <w:rPr>
          <w:rFonts w:ascii="Times New Roman" w:hAnsi="Times New Roman" w:cs="Times New Roman"/>
          <w:sz w:val="24"/>
          <w:szCs w:val="24"/>
          <w:u w:val="single"/>
        </w:rPr>
      </w:pPr>
      <w:r w:rsidRPr="009E6DBD">
        <w:rPr>
          <w:rFonts w:ascii="Times New Roman" w:hAnsi="Times New Roman" w:cs="Times New Roman"/>
          <w:sz w:val="24"/>
          <w:szCs w:val="24"/>
          <w:u w:val="single"/>
        </w:rPr>
        <w:t>Así consta en la propuesta sobre esas dos fuentes de generación de energía del Ejecutivo comunitario conocida como taxonomía, un sistema que pretende distinguir las tecnologías sostenibles de las que no lo son para orientar las inversiones en la transición ecológica.</w:t>
      </w:r>
    </w:p>
    <w:p w:rsidR="00BF5D7B" w:rsidRPr="009E6DBD" w:rsidRDefault="00BF5D7B" w:rsidP="00BF5D7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Comisión ha concluido que “</w:t>
      </w:r>
      <w:r w:rsidRPr="009E6DBD">
        <w:rPr>
          <w:rFonts w:ascii="Times New Roman" w:hAnsi="Times New Roman" w:cs="Times New Roman"/>
          <w:color w:val="FF0000"/>
          <w:sz w:val="24"/>
          <w:szCs w:val="24"/>
          <w:u w:val="single"/>
        </w:rPr>
        <w:t>hay un papel para las inversiones en gas y nucl</w:t>
      </w:r>
      <w:r>
        <w:rPr>
          <w:rFonts w:ascii="Times New Roman" w:hAnsi="Times New Roman" w:cs="Times New Roman"/>
          <w:color w:val="FF0000"/>
          <w:sz w:val="24"/>
          <w:szCs w:val="24"/>
          <w:u w:val="single"/>
        </w:rPr>
        <w:t>ear en la transición energética”</w:t>
      </w:r>
      <w:r w:rsidRPr="009E6DBD">
        <w:rPr>
          <w:rFonts w:ascii="Times New Roman" w:hAnsi="Times New Roman" w:cs="Times New Roman"/>
          <w:color w:val="FF0000"/>
          <w:sz w:val="24"/>
          <w:szCs w:val="24"/>
          <w:u w:val="single"/>
        </w:rPr>
        <w:t xml:space="preserve"> aunque sólo durante un período limitado de tiempo y con condiciones para que contribuyan a la descarbonización de la economía a mitad de siglo, indicaron fuentes europeas, informa Efe.</w:t>
      </w:r>
    </w:p>
    <w:p w:rsidR="00BF5D7B" w:rsidRPr="009E6DBD" w:rsidRDefault="00BF5D7B" w:rsidP="00BF5D7B">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Bruselas asume que ni el gas ni la energía nuclear son energías neutras a nivel climático, ni tampoco renovable</w:t>
      </w:r>
      <w:r>
        <w:rPr>
          <w:rFonts w:ascii="Times New Roman" w:hAnsi="Times New Roman" w:cs="Times New Roman"/>
          <w:color w:val="FF0000"/>
          <w:sz w:val="24"/>
          <w:szCs w:val="24"/>
          <w:u w:val="single"/>
        </w:rPr>
        <w:t>s, pero defiende su papel como “actividades de transición”</w:t>
      </w:r>
      <w:r w:rsidRPr="009E6DBD">
        <w:rPr>
          <w:rFonts w:ascii="Times New Roman" w:hAnsi="Times New Roman" w:cs="Times New Roman"/>
          <w:color w:val="FF0000"/>
          <w:sz w:val="24"/>
          <w:szCs w:val="24"/>
          <w:u w:val="single"/>
        </w:rPr>
        <w:t xml:space="preserve"> para alcanzar el objetivo de una economía descarbonizada en 2050, un concepto recogido en el segundo párrafo del proyecto presentado.</w:t>
      </w:r>
    </w:p>
    <w:p w:rsidR="00BF5D7B" w:rsidRPr="00EE7814" w:rsidRDefault="00BF5D7B" w:rsidP="00BF5D7B">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Ante las reservas de la plataforma de expertos que emitió un informe crítico y al rechazo de varios países, entre ellos España, Bruselas defiende que el acto delegado adoptado por</w:t>
      </w:r>
      <w:r>
        <w:rPr>
          <w:rFonts w:ascii="Times New Roman" w:hAnsi="Times New Roman" w:cs="Times New Roman"/>
          <w:sz w:val="24"/>
          <w:szCs w:val="24"/>
        </w:rPr>
        <w:t xml:space="preserve"> el Colegio de Comisarios fija “estrictas condiciones”</w:t>
      </w:r>
      <w:r w:rsidRPr="00EE7814">
        <w:rPr>
          <w:rFonts w:ascii="Times New Roman" w:hAnsi="Times New Roman" w:cs="Times New Roman"/>
          <w:sz w:val="24"/>
          <w:szCs w:val="24"/>
        </w:rPr>
        <w:t xml:space="preserve"> para el gas y la energía nuclear, al tiempo que prevé sanciones para las compañías que no cumplan. Sin embargo, desoye las recomendaciones de los expertos de reducir los niveles de emisiones fijados en 270 gramos de CO2/kWh para plantas de gas h</w:t>
      </w:r>
      <w:r>
        <w:rPr>
          <w:rFonts w:ascii="Times New Roman" w:hAnsi="Times New Roman" w:cs="Times New Roman"/>
          <w:sz w:val="24"/>
          <w:szCs w:val="24"/>
        </w:rPr>
        <w:t>asta los 100 gramos de CO2/kWh.</w:t>
      </w:r>
    </w:p>
    <w:p w:rsidR="00BF5D7B" w:rsidRPr="00EE7814"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Centrales hasta 2035</w:t>
      </w:r>
    </w:p>
    <w:p w:rsidR="00BF5D7B" w:rsidRPr="009E6DBD" w:rsidRDefault="00BF5D7B" w:rsidP="00BF5D7B">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El proyecto final adoptado por la Comisión Europea amplía la posibilidad de seguir construyendo centrales de ciclo combinado de gas hasta 2035, frente los límites fijados en el borrador en dos etapas: 2026 y 2030. Con todo, se condiciona este nuevo horizonte al cambio del combustible de estas plantas de energía de gas a gas de bajas emisiones de carbono o hidrógeno.</w:t>
      </w:r>
    </w:p>
    <w:p w:rsidR="00BF5D7B" w:rsidRPr="00EE7814" w:rsidRDefault="00BF5D7B" w:rsidP="00BF5D7B">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Además, estas instalaciones sólo podrán ser construidas en países donde sustituyan a centrales de carbón o que utilicen combustibles fósiles altamente contaminantes, pero no sería una opción para los nueve Estados miembro que ya han dejado atrás el carbón, han apuntado fue</w:t>
      </w:r>
      <w:r>
        <w:rPr>
          <w:rFonts w:ascii="Times New Roman" w:hAnsi="Times New Roman" w:cs="Times New Roman"/>
          <w:sz w:val="24"/>
          <w:szCs w:val="24"/>
        </w:rPr>
        <w:t>ntes del Ejecutivo comunitario.</w:t>
      </w:r>
    </w:p>
    <w:p w:rsidR="00BF5D7B" w:rsidRPr="00EE7814" w:rsidRDefault="00BF5D7B" w:rsidP="00BF5D7B">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En una rueda de prensa en Bruselas para dar cuenta de la decisión, la comisaria de Servicios Financieros, Mairead McGuinness, ha admitido que el Ejecutivo c</w:t>
      </w:r>
      <w:r>
        <w:rPr>
          <w:rFonts w:ascii="Times New Roman" w:hAnsi="Times New Roman" w:cs="Times New Roman"/>
          <w:sz w:val="24"/>
          <w:szCs w:val="24"/>
        </w:rPr>
        <w:t>omunitario es consciente de la “</w:t>
      </w:r>
      <w:r w:rsidRPr="00EE7814">
        <w:rPr>
          <w:rFonts w:ascii="Times New Roman" w:hAnsi="Times New Roman" w:cs="Times New Roman"/>
          <w:sz w:val="24"/>
          <w:szCs w:val="24"/>
        </w:rPr>
        <w:t>gran divi</w:t>
      </w:r>
      <w:r>
        <w:rPr>
          <w:rFonts w:ascii="Times New Roman" w:hAnsi="Times New Roman" w:cs="Times New Roman"/>
          <w:sz w:val="24"/>
          <w:szCs w:val="24"/>
        </w:rPr>
        <w:t>sión”</w:t>
      </w:r>
      <w:r w:rsidRPr="00EE7814">
        <w:rPr>
          <w:rFonts w:ascii="Times New Roman" w:hAnsi="Times New Roman" w:cs="Times New Roman"/>
          <w:sz w:val="24"/>
          <w:szCs w:val="24"/>
        </w:rPr>
        <w:t xml:space="preserve"> que genera esta reforma, pero ha defendido que</w:t>
      </w:r>
      <w:r>
        <w:rPr>
          <w:rFonts w:ascii="Times New Roman" w:hAnsi="Times New Roman" w:cs="Times New Roman"/>
          <w:sz w:val="24"/>
          <w:szCs w:val="24"/>
        </w:rPr>
        <w:t xml:space="preserve"> el documento final refleja un “equilibrio”</w:t>
      </w:r>
      <w:r w:rsidRPr="00EE7814">
        <w:rPr>
          <w:rFonts w:ascii="Times New Roman" w:hAnsi="Times New Roman" w:cs="Times New Roman"/>
          <w:sz w:val="24"/>
          <w:szCs w:val="24"/>
        </w:rPr>
        <w:t xml:space="preserve"> entre las opinion</w:t>
      </w:r>
      <w:r>
        <w:rPr>
          <w:rFonts w:ascii="Times New Roman" w:hAnsi="Times New Roman" w:cs="Times New Roman"/>
          <w:sz w:val="24"/>
          <w:szCs w:val="24"/>
        </w:rPr>
        <w:t>es fundamentales de cada parte.</w:t>
      </w:r>
    </w:p>
    <w:p w:rsidR="00BF5D7B" w:rsidRPr="009E6DBD" w:rsidRDefault="00BF5D7B" w:rsidP="00BF5D7B">
      <w:pPr>
        <w:spacing w:line="240" w:lineRule="auto"/>
        <w:jc w:val="both"/>
        <w:rPr>
          <w:rFonts w:ascii="Times New Roman" w:hAnsi="Times New Roman" w:cs="Times New Roman"/>
          <w:color w:val="FF0000"/>
          <w:sz w:val="24"/>
          <w:szCs w:val="24"/>
          <w:u w:val="single"/>
        </w:rPr>
      </w:pPr>
      <w:r w:rsidRPr="00EE7814">
        <w:rPr>
          <w:rFonts w:ascii="Times New Roman" w:hAnsi="Times New Roman" w:cs="Times New Roman"/>
          <w:sz w:val="24"/>
          <w:szCs w:val="24"/>
        </w:rPr>
        <w:t xml:space="preserve">A partir de ahora se abre un periodo de cuatro meses, prorrogable dos más, tras el cual entrará en vigor salvo que lo tumbe una mayoría simple del Parlamento Europeo o una mayoría inversa de 20 países que sumen al menos el 65% de la población de la UE. </w:t>
      </w:r>
      <w:r w:rsidRPr="009E6DBD">
        <w:rPr>
          <w:rFonts w:ascii="Times New Roman" w:hAnsi="Times New Roman" w:cs="Times New Roman"/>
          <w:color w:val="FF0000"/>
          <w:sz w:val="24"/>
          <w:szCs w:val="24"/>
          <w:u w:val="single"/>
        </w:rPr>
        <w:t>Si bien Francia y Alemania respaldan el proyecto, España, Austria, Dinamarca y Luxemburgo se posicionan en contra.</w:t>
      </w:r>
    </w:p>
    <w:p w:rsidR="00BF5D7B" w:rsidRPr="00534F5C"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4F5C">
        <w:rPr>
          <w:rFonts w:ascii="Times New Roman" w:hAnsi="Times New Roman" w:cs="Times New Roman"/>
          <w:sz w:val="24"/>
          <w:szCs w:val="24"/>
          <w:u w:val="single"/>
        </w:rPr>
        <w:t>Cómo reducir la ventaja de Putin sobre Europa</w:t>
      </w:r>
      <w:r>
        <w:rPr>
          <w:rFonts w:ascii="Times New Roman" w:hAnsi="Times New Roman" w:cs="Times New Roman"/>
          <w:sz w:val="24"/>
          <w:szCs w:val="24"/>
        </w:rPr>
        <w:t xml:space="preserve"> (El Economista - </w:t>
      </w:r>
      <w:r w:rsidRPr="00534F5C">
        <w:rPr>
          <w:rFonts w:ascii="Times New Roman" w:hAnsi="Times New Roman" w:cs="Times New Roman"/>
          <w:b/>
          <w:sz w:val="24"/>
          <w:szCs w:val="24"/>
        </w:rPr>
        <w:t>4/2/22</w:t>
      </w:r>
      <w:r>
        <w:rPr>
          <w:rFonts w:ascii="Times New Roman" w:hAnsi="Times New Roman" w:cs="Times New Roman"/>
          <w:sz w:val="24"/>
          <w:szCs w:val="24"/>
        </w:rPr>
        <w:t>)</w:t>
      </w:r>
    </w:p>
    <w:p w:rsidR="00BF5D7B" w:rsidRPr="000A0F92" w:rsidRDefault="00BF5D7B" w:rsidP="00BF5D7B">
      <w:pPr>
        <w:spacing w:line="240" w:lineRule="auto"/>
        <w:jc w:val="both"/>
        <w:rPr>
          <w:rFonts w:ascii="Times New Roman" w:hAnsi="Times New Roman" w:cs="Times New Roman"/>
          <w:color w:val="FF0000"/>
          <w:sz w:val="24"/>
          <w:szCs w:val="24"/>
        </w:rPr>
      </w:pPr>
      <w:r w:rsidRPr="000A0F92">
        <w:rPr>
          <w:rFonts w:ascii="Times New Roman" w:hAnsi="Times New Roman" w:cs="Times New Roman"/>
          <w:color w:val="FF0000"/>
          <w:sz w:val="24"/>
          <w:szCs w:val="24"/>
        </w:rPr>
        <w:t>La dependencia del gas ruso impide a la UE ejercer mayor presión sobre Moscú</w:t>
      </w:r>
    </w:p>
    <w:p w:rsidR="00BF5D7B" w:rsidRPr="00534F5C"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34F5C">
        <w:rPr>
          <w:rFonts w:ascii="Times New Roman" w:hAnsi="Times New Roman" w:cs="Times New Roman"/>
          <w:sz w:val="24"/>
          <w:szCs w:val="24"/>
        </w:rPr>
        <w:t>Daniel Gros</w:t>
      </w:r>
      <w:r>
        <w:rPr>
          <w:rFonts w:ascii="Times New Roman" w:hAnsi="Times New Roman" w:cs="Times New Roman"/>
          <w:sz w:val="24"/>
          <w:szCs w:val="24"/>
        </w:rPr>
        <w:t>)</w:t>
      </w:r>
    </w:p>
    <w:p w:rsidR="00BF5D7B" w:rsidRPr="000A0F92" w:rsidRDefault="00BF5D7B" w:rsidP="00BF5D7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Debido a que Estados Unidos es quien lidera el esfuerzo para evitar una invasión rusa a Ucrania, los funcionarios de la Unión Europea son un manojo de nervios. Europa no sólo está ausente de la mesa de negociaciones, ellos se quejan, señalando, además, que la seguridad de Europa está en juego.</w:t>
      </w:r>
    </w:p>
    <w:p w:rsidR="00BF5D7B" w:rsidRPr="00534F5C" w:rsidRDefault="00BF5D7B" w:rsidP="00BF5D7B">
      <w:pPr>
        <w:spacing w:line="240" w:lineRule="auto"/>
        <w:jc w:val="both"/>
        <w:rPr>
          <w:rFonts w:ascii="Times New Roman" w:hAnsi="Times New Roman" w:cs="Times New Roman"/>
          <w:sz w:val="24"/>
          <w:szCs w:val="24"/>
        </w:rPr>
      </w:pPr>
      <w:r w:rsidRPr="000A0F92">
        <w:rPr>
          <w:rFonts w:ascii="Times New Roman" w:hAnsi="Times New Roman" w:cs="Times New Roman"/>
          <w:color w:val="FF0000"/>
          <w:sz w:val="24"/>
          <w:szCs w:val="24"/>
          <w:u w:val="single"/>
        </w:rPr>
        <w:t>Pero la UE no está preparada para hacerle frente al presidente ruso Vladimir Putin</w:t>
      </w:r>
      <w:r w:rsidRPr="00534F5C">
        <w:rPr>
          <w:rFonts w:ascii="Times New Roman" w:hAnsi="Times New Roman" w:cs="Times New Roman"/>
          <w:sz w:val="24"/>
          <w:szCs w:val="24"/>
        </w:rPr>
        <w:t xml:space="preserve">. </w:t>
      </w:r>
      <w:r w:rsidRPr="000A0F92">
        <w:rPr>
          <w:rFonts w:ascii="Times New Roman" w:hAnsi="Times New Roman" w:cs="Times New Roman"/>
          <w:color w:val="FF0000"/>
          <w:sz w:val="24"/>
          <w:szCs w:val="24"/>
          <w:u w:val="single"/>
        </w:rPr>
        <w:t xml:space="preserve">La UE busca </w:t>
      </w:r>
      <w:r>
        <w:rPr>
          <w:rFonts w:ascii="Times New Roman" w:hAnsi="Times New Roman" w:cs="Times New Roman"/>
          <w:color w:val="FF0000"/>
          <w:sz w:val="24"/>
          <w:szCs w:val="24"/>
          <w:u w:val="single"/>
        </w:rPr>
        <w:t>establecerse como una potencia “blanda”</w:t>
      </w:r>
      <w:r w:rsidRPr="000A0F92">
        <w:rPr>
          <w:rFonts w:ascii="Times New Roman" w:hAnsi="Times New Roman" w:cs="Times New Roman"/>
          <w:color w:val="FF0000"/>
          <w:sz w:val="24"/>
          <w:szCs w:val="24"/>
          <w:u w:val="single"/>
        </w:rPr>
        <w:t xml:space="preserve"> y posmoderna, y Putin sólo conoce el poder duro.</w:t>
      </w:r>
      <w:r w:rsidRPr="00534F5C">
        <w:rPr>
          <w:rFonts w:ascii="Times New Roman" w:hAnsi="Times New Roman" w:cs="Times New Roman"/>
          <w:sz w:val="24"/>
          <w:szCs w:val="24"/>
        </w:rPr>
        <w:t xml:space="preserve"> Además, la UE no puede intentar utilizar los instrumentos de poder blando con los que cuenta, debido a que aún continúa dependiendo del gas ruso para mantener encendidas tanto las luces </w:t>
      </w:r>
      <w:r>
        <w:rPr>
          <w:rFonts w:ascii="Times New Roman" w:hAnsi="Times New Roman" w:cs="Times New Roman"/>
          <w:sz w:val="24"/>
          <w:szCs w:val="24"/>
        </w:rPr>
        <w:t>como los calefactores europeos.</w:t>
      </w:r>
    </w:p>
    <w:p w:rsidR="00BF5D7B" w:rsidRPr="000A0F92" w:rsidRDefault="00BF5D7B" w:rsidP="00BF5D7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El recientemente finalizado gasoducto Nord Stream 2</w:t>
      </w:r>
      <w:r w:rsidRPr="00534F5C">
        <w:rPr>
          <w:rFonts w:ascii="Times New Roman" w:hAnsi="Times New Roman" w:cs="Times New Roman"/>
          <w:sz w:val="24"/>
          <w:szCs w:val="24"/>
        </w:rPr>
        <w:t xml:space="preserve"> que transporta gas ruso directamente a Alemania a través del Mar Báltico, ha atraído mucha atención en su calidad de moneda de cambio diplomática. </w:t>
      </w:r>
      <w:r w:rsidRPr="000A0F92">
        <w:rPr>
          <w:rFonts w:ascii="Times New Roman" w:hAnsi="Times New Roman" w:cs="Times New Roman"/>
          <w:sz w:val="24"/>
          <w:szCs w:val="24"/>
          <w:u w:val="single"/>
        </w:rPr>
        <w:t>Mientras que algunos sostienen que el proyecto ha dado a Rusia demasiada influencia sobre Europa, otros guardan esperanzas sobre que la amenaza de perder el gasoducto, que aún no está en funcionamiento, pueda disuadir a Rusia en cuanto a llevar a cabo una invasión de Ucrania.</w:t>
      </w:r>
    </w:p>
    <w:p w:rsidR="00BF5D7B" w:rsidRPr="00534F5C" w:rsidRDefault="00BF5D7B" w:rsidP="00BF5D7B">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En tales debates, el foco de atención se ha centrado a menudo en la responsabilidad supuestamente asumida por Alemania, el principal defensor europeo del proyecto. Sin embargo, si se toma en cuenta la constante integración de los mercados nacionales de gas de Europa, esto tiene poco sentido. En un mercado integrado, cualquier acción debe ll</w:t>
      </w:r>
      <w:r>
        <w:rPr>
          <w:rFonts w:ascii="Times New Roman" w:hAnsi="Times New Roman" w:cs="Times New Roman"/>
          <w:sz w:val="24"/>
          <w:szCs w:val="24"/>
        </w:rPr>
        <w:t>evarse a cabo a nivel de la UE.</w:t>
      </w:r>
    </w:p>
    <w:p w:rsidR="00BF5D7B" w:rsidRPr="000A0F92" w:rsidRDefault="00BF5D7B" w:rsidP="00BF5D7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lastRenderedPageBreak/>
        <w:t>Además, a la hora de determinar las medidas que se deben tomar, es importante reconocer que Nord Stream 2 no es ni de lejos tan significativo como se lo suele mostrar. A largo plazo, el gasoducto tendrá poco impacto en la seguridad energética de Europa.</w:t>
      </w:r>
    </w:p>
    <w:p w:rsidR="00BF5D7B" w:rsidRPr="000A0F92" w:rsidRDefault="00BF5D7B" w:rsidP="00BF5D7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Para empezar, es poco probable que un gasoducto Nord Stream 2 en funcionamiento suponga un aumento significativo de las exportaciones totales de gas natural ruso a Europa. Simplemente permitirá que Rusia reduzca su uso de los gasoductos que atraviesan Ucrania, y por consiguiente reduciría drásticamente el pago de derechos de tránsito que constituyen una porción importante del presupuesto ucraniano.</w:t>
      </w:r>
    </w:p>
    <w:p w:rsidR="00BF5D7B" w:rsidRPr="000A0F92" w:rsidRDefault="00BF5D7B" w:rsidP="00BF5D7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En términos más generales, la importancia de los gasoductos estratégicos está siendo erosionada por un desplazamiento hacia el envío de hidrocarburos en forma de gas natural licuado (GNL). Se ha prestado mucha atención a las exportaciones de GNL de Estados Unidos a Europa, pero ellas son sólo una parte de una tendencia más amplia. A nivel mundial, ahora se envía más gas entre regiones del que se transfiere a través de gaseoductos.</w:t>
      </w:r>
    </w:p>
    <w:p w:rsidR="00BF5D7B" w:rsidRPr="00534F5C" w:rsidRDefault="00BF5D7B" w:rsidP="00BF5D7B">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El envío de GNL ha ganado popularidad debido a que una vez que se lo coloca en un buque cisterna especial, la distancia que debe recorrer se traduce en una diferencia relativamente pequeña. Como resultado de ello, en tiempos normales, los precios en Europa y Asia tienden a estar altamente correlacionados. El costo del envío de GNL sigue siendo más alto que el costo del envío de petróleo, y la liquidez del mercado de GNL (y, por lo tanto, su capacidad para responder a los cambios de demanda a corto plazo) sigue siendo limitada. Pero la tendencia hacia un mer</w:t>
      </w:r>
      <w:r>
        <w:rPr>
          <w:rFonts w:ascii="Times New Roman" w:hAnsi="Times New Roman" w:cs="Times New Roman"/>
          <w:sz w:val="24"/>
          <w:szCs w:val="24"/>
        </w:rPr>
        <w:t>cado global integrado es clara.</w:t>
      </w:r>
    </w:p>
    <w:p w:rsidR="00BF5D7B" w:rsidRPr="00C17457" w:rsidRDefault="00BF5D7B" w:rsidP="00BF5D7B">
      <w:pPr>
        <w:spacing w:line="240" w:lineRule="auto"/>
        <w:jc w:val="both"/>
        <w:rPr>
          <w:rFonts w:ascii="Times New Roman" w:hAnsi="Times New Roman" w:cs="Times New Roman"/>
          <w:color w:val="FF0000"/>
          <w:sz w:val="24"/>
          <w:szCs w:val="24"/>
          <w:u w:val="single"/>
        </w:rPr>
      </w:pPr>
      <w:r w:rsidRPr="00C17457">
        <w:rPr>
          <w:rFonts w:ascii="Times New Roman" w:hAnsi="Times New Roman" w:cs="Times New Roman"/>
          <w:color w:val="FF0000"/>
          <w:sz w:val="24"/>
          <w:szCs w:val="24"/>
          <w:u w:val="single"/>
        </w:rPr>
        <w:t>Hoy en día, el gas ruso sigue siendo algo más barato para la mayor parte de Europa. Pero el precio político de la dependencia (Rusia sigue siendo el mayor proveedor de gas natural de la UE) se ha convertido en inaceptable. La buena noticia es que Europa tiene la capacidad de importar suficiente GNL para compensar la pérdida de gas ruso. La mala noticia es que llevará algún tiempo movilizar sus capacidades para ello.</w:t>
      </w:r>
    </w:p>
    <w:p w:rsidR="00BF5D7B" w:rsidRPr="00C17457" w:rsidRDefault="00BF5D7B" w:rsidP="00BF5D7B">
      <w:pPr>
        <w:spacing w:line="240" w:lineRule="auto"/>
        <w:jc w:val="both"/>
        <w:rPr>
          <w:rFonts w:ascii="Times New Roman" w:hAnsi="Times New Roman" w:cs="Times New Roman"/>
          <w:sz w:val="24"/>
          <w:szCs w:val="24"/>
          <w:u w:val="single"/>
        </w:rPr>
      </w:pPr>
      <w:r w:rsidRPr="00C17457">
        <w:rPr>
          <w:rFonts w:ascii="Times New Roman" w:hAnsi="Times New Roman" w:cs="Times New Roman"/>
          <w:sz w:val="24"/>
          <w:szCs w:val="24"/>
          <w:u w:val="single"/>
        </w:rPr>
        <w:t>Entonces, ¿cómo puede la UE protegerse contra el riesgo a corto plazo de que Rusia retenga los suministros por razones políticas, e incluso pueda la UE tomar una postura que le permita imponer sanciones al sector del gas de Rusia?</w:t>
      </w:r>
    </w:p>
    <w:p w:rsidR="00BF5D7B" w:rsidRPr="00534F5C" w:rsidRDefault="00BF5D7B" w:rsidP="00BF5D7B">
      <w:pPr>
        <w:spacing w:line="240" w:lineRule="auto"/>
        <w:jc w:val="both"/>
        <w:rPr>
          <w:rFonts w:ascii="Times New Roman" w:hAnsi="Times New Roman" w:cs="Times New Roman"/>
          <w:sz w:val="24"/>
          <w:szCs w:val="24"/>
        </w:rPr>
      </w:pPr>
      <w:r w:rsidRPr="00C17457">
        <w:rPr>
          <w:rFonts w:ascii="Times New Roman" w:hAnsi="Times New Roman" w:cs="Times New Roman"/>
          <w:color w:val="FF0000"/>
          <w:sz w:val="24"/>
          <w:szCs w:val="24"/>
          <w:u w:val="single"/>
        </w:rPr>
        <w:t>Un primer paso sencillo sería exigir a los proveedores de gas que completen sus inventarios al final del verano</w:t>
      </w:r>
      <w:r w:rsidRPr="00534F5C">
        <w:rPr>
          <w:rFonts w:ascii="Times New Roman" w:hAnsi="Times New Roman" w:cs="Times New Roman"/>
          <w:sz w:val="24"/>
          <w:szCs w:val="24"/>
        </w:rPr>
        <w:t>. Esto no iría a favor de los intereses comerciales de dichos proveedores, pero reforzaría la seguridad energética de Europa. Se debe prestar especial atención a las instalaciones de almacenamiento controladas por la empresa rusa Gazprom, que el año pasado se llenaron menos en comparación con otros sitios de almacenamiento comercial, lo que dejó a la UE expuesta a sufrir una grave es</w:t>
      </w:r>
      <w:r>
        <w:rPr>
          <w:rFonts w:ascii="Times New Roman" w:hAnsi="Times New Roman" w:cs="Times New Roman"/>
          <w:sz w:val="24"/>
          <w:szCs w:val="24"/>
        </w:rPr>
        <w:t>casez este invierno.</w:t>
      </w:r>
    </w:p>
    <w:p w:rsidR="00BF5D7B" w:rsidRPr="00534F5C" w:rsidRDefault="00BF5D7B" w:rsidP="00BF5D7B">
      <w:pPr>
        <w:spacing w:line="240" w:lineRule="auto"/>
        <w:jc w:val="both"/>
        <w:rPr>
          <w:rFonts w:ascii="Times New Roman" w:hAnsi="Times New Roman" w:cs="Times New Roman"/>
          <w:sz w:val="24"/>
          <w:szCs w:val="24"/>
        </w:rPr>
      </w:pPr>
      <w:r w:rsidRPr="00C17457">
        <w:rPr>
          <w:rFonts w:ascii="Times New Roman" w:hAnsi="Times New Roman" w:cs="Times New Roman"/>
          <w:color w:val="FF0000"/>
          <w:sz w:val="24"/>
          <w:szCs w:val="24"/>
          <w:u w:val="single"/>
        </w:rPr>
        <w:t>Pero se necesitan más medidas. Europa también debería crear una Reserva Estratégica Europea de Gas (REEG) que contenga suficiente suministro para unos tres meses de consumo</w:t>
      </w:r>
      <w:r w:rsidRPr="00534F5C">
        <w:rPr>
          <w:rFonts w:ascii="Times New Roman" w:hAnsi="Times New Roman" w:cs="Times New Roman"/>
          <w:sz w:val="24"/>
          <w:szCs w:val="24"/>
        </w:rPr>
        <w:t>. Al dar a la UE un margen para adquirir más gas de otros productores, una reserva estratégica reduciría la vulnerabilidad de Europa a las perturbaciones a corto plazo, incluida la posible pérdida de suministros rusos, y fortal</w:t>
      </w:r>
      <w:r>
        <w:rPr>
          <w:rFonts w:ascii="Times New Roman" w:hAnsi="Times New Roman" w:cs="Times New Roman"/>
          <w:sz w:val="24"/>
          <w:szCs w:val="24"/>
        </w:rPr>
        <w:t>ecería su posición geopolítica.</w:t>
      </w:r>
    </w:p>
    <w:p w:rsidR="00BF5D7B" w:rsidRPr="00534F5C" w:rsidRDefault="00BF5D7B" w:rsidP="00BF5D7B">
      <w:pPr>
        <w:spacing w:line="240" w:lineRule="auto"/>
        <w:jc w:val="both"/>
        <w:rPr>
          <w:rFonts w:ascii="Times New Roman" w:hAnsi="Times New Roman" w:cs="Times New Roman"/>
          <w:sz w:val="24"/>
          <w:szCs w:val="24"/>
        </w:rPr>
      </w:pPr>
      <w:r w:rsidRPr="00C17457">
        <w:rPr>
          <w:rFonts w:ascii="Times New Roman" w:hAnsi="Times New Roman" w:cs="Times New Roman"/>
          <w:sz w:val="24"/>
          <w:szCs w:val="24"/>
          <w:u w:val="single"/>
        </w:rPr>
        <w:t>No se podría crear una REEG de la noche a la mañana, y la misma requeriría de cierta inversión inicial</w:t>
      </w:r>
      <w:r w:rsidRPr="00534F5C">
        <w:rPr>
          <w:rFonts w:ascii="Times New Roman" w:hAnsi="Times New Roman" w:cs="Times New Roman"/>
          <w:sz w:val="24"/>
          <w:szCs w:val="24"/>
        </w:rPr>
        <w:t xml:space="preserve">. Pero se podría acumular una reserva sustancial de gas en unos pocos años, y los costos no deberían ser excesivos, especialmente en un momento en el que las tasas de interés están en niveles ultra bajos (la UE aún puede emitir bonos a diez años pagando unos pocos puntos básicos). Las estimaciones basadas en las reservas de gas existentes indican que </w:t>
      </w:r>
      <w:r w:rsidRPr="00534F5C">
        <w:rPr>
          <w:rFonts w:ascii="Times New Roman" w:hAnsi="Times New Roman" w:cs="Times New Roman"/>
          <w:sz w:val="24"/>
          <w:szCs w:val="24"/>
        </w:rPr>
        <w:lastRenderedPageBreak/>
        <w:t>el establecimiento de</w:t>
      </w:r>
      <w:r>
        <w:rPr>
          <w:rFonts w:ascii="Times New Roman" w:hAnsi="Times New Roman" w:cs="Times New Roman"/>
          <w:sz w:val="24"/>
          <w:szCs w:val="24"/>
        </w:rPr>
        <w:t xml:space="preserve"> la REEG costaría alrededor de </w:t>
      </w:r>
      <w:r w:rsidRPr="00534F5C">
        <w:rPr>
          <w:rFonts w:ascii="Times New Roman" w:hAnsi="Times New Roman" w:cs="Times New Roman"/>
          <w:sz w:val="24"/>
          <w:szCs w:val="24"/>
        </w:rPr>
        <w:t>10 mil millones ($</w:t>
      </w:r>
      <w:r>
        <w:rPr>
          <w:rFonts w:ascii="Times New Roman" w:hAnsi="Times New Roman" w:cs="Times New Roman"/>
          <w:sz w:val="24"/>
          <w:szCs w:val="24"/>
        </w:rPr>
        <w:t xml:space="preserve"> </w:t>
      </w:r>
      <w:r w:rsidRPr="00534F5C">
        <w:rPr>
          <w:rFonts w:ascii="Times New Roman" w:hAnsi="Times New Roman" w:cs="Times New Roman"/>
          <w:sz w:val="24"/>
          <w:szCs w:val="24"/>
        </w:rPr>
        <w:t>11.2 mil millones). Si se amortiza a lo largo de una década, se trata de una cantidad claramente asequ</w:t>
      </w:r>
      <w:r>
        <w:rPr>
          <w:rFonts w:ascii="Times New Roman" w:hAnsi="Times New Roman" w:cs="Times New Roman"/>
          <w:sz w:val="24"/>
          <w:szCs w:val="24"/>
        </w:rPr>
        <w:t xml:space="preserve">ible de </w:t>
      </w:r>
      <w:r w:rsidRPr="00534F5C">
        <w:rPr>
          <w:rFonts w:ascii="Times New Roman" w:hAnsi="Times New Roman" w:cs="Times New Roman"/>
          <w:sz w:val="24"/>
          <w:szCs w:val="24"/>
        </w:rPr>
        <w:t>1 mil millones al año, aproximadamente el</w:t>
      </w:r>
      <w:r>
        <w:rPr>
          <w:rFonts w:ascii="Times New Roman" w:hAnsi="Times New Roman" w:cs="Times New Roman"/>
          <w:sz w:val="24"/>
          <w:szCs w:val="24"/>
        </w:rPr>
        <w:t xml:space="preserve"> 0,5% del presupuesto de la UE.</w:t>
      </w:r>
    </w:p>
    <w:p w:rsidR="00BF5D7B" w:rsidRPr="00C17457" w:rsidRDefault="00BF5D7B" w:rsidP="00BF5D7B">
      <w:pPr>
        <w:spacing w:line="240" w:lineRule="auto"/>
        <w:jc w:val="both"/>
        <w:rPr>
          <w:rFonts w:ascii="Times New Roman" w:hAnsi="Times New Roman" w:cs="Times New Roman"/>
          <w:sz w:val="24"/>
          <w:szCs w:val="24"/>
          <w:u w:val="single"/>
        </w:rPr>
      </w:pPr>
      <w:r w:rsidRPr="00C17457">
        <w:rPr>
          <w:rFonts w:ascii="Times New Roman" w:hAnsi="Times New Roman" w:cs="Times New Roman"/>
          <w:sz w:val="24"/>
          <w:szCs w:val="24"/>
          <w:u w:val="single"/>
        </w:rPr>
        <w:t xml:space="preserve">Una REEG también beneficiaría a Ucrania. Este país ya puede recibir gas de Europa a través del gasoducto de la Hermandad que normalmente transporta gas desde Rusia a Europa, </w:t>
      </w:r>
      <w:r>
        <w:rPr>
          <w:rFonts w:ascii="Times New Roman" w:hAnsi="Times New Roman" w:cs="Times New Roman"/>
          <w:sz w:val="24"/>
          <w:szCs w:val="24"/>
          <w:u w:val="single"/>
        </w:rPr>
        <w:t>gracias a la capacidad de “flujo inverso”</w:t>
      </w:r>
      <w:r w:rsidRPr="00C17457">
        <w:rPr>
          <w:rFonts w:ascii="Times New Roman" w:hAnsi="Times New Roman" w:cs="Times New Roman"/>
          <w:sz w:val="24"/>
          <w:szCs w:val="24"/>
          <w:u w:val="single"/>
        </w:rPr>
        <w:t xml:space="preserve"> que tiene el mismo. Pero, sin reservas propias, la UE no puede hacer mucho por Ucrania si Rusia renueva sus amenazas de cortar el suministro de gas a Ucrania.</w:t>
      </w:r>
    </w:p>
    <w:p w:rsidR="00BF5D7B" w:rsidRPr="00C17457" w:rsidRDefault="00BF5D7B" w:rsidP="00BF5D7B">
      <w:pPr>
        <w:spacing w:line="240" w:lineRule="auto"/>
        <w:jc w:val="both"/>
        <w:rPr>
          <w:rFonts w:ascii="Times New Roman" w:hAnsi="Times New Roman" w:cs="Times New Roman"/>
          <w:sz w:val="24"/>
          <w:szCs w:val="24"/>
          <w:u w:val="single"/>
        </w:rPr>
      </w:pPr>
      <w:r w:rsidRPr="00C17457">
        <w:rPr>
          <w:rFonts w:ascii="Times New Roman" w:hAnsi="Times New Roman" w:cs="Times New Roman"/>
          <w:sz w:val="24"/>
          <w:szCs w:val="24"/>
          <w:u w:val="single"/>
        </w:rPr>
        <w:t>Además, dicha reserva crearía una dependencia unilateral más favorable, ya que Rusia dependería en gran medida del mercado europeo. Las ganancias provenientes de las exportaciones de gas a Europa representan una fracción significativa de las ganancias totales de Rusia por exportaciones y de los ingresos públicos del gobierno de Rusia, pero sólo representan una pequeña fracción de la economía europea.</w:t>
      </w:r>
    </w:p>
    <w:p w:rsidR="00BF5D7B" w:rsidRPr="00C17457" w:rsidRDefault="00BF5D7B" w:rsidP="00BF5D7B">
      <w:pPr>
        <w:spacing w:line="240" w:lineRule="auto"/>
        <w:jc w:val="both"/>
        <w:rPr>
          <w:rFonts w:ascii="Times New Roman" w:hAnsi="Times New Roman" w:cs="Times New Roman"/>
          <w:color w:val="FF0000"/>
          <w:sz w:val="24"/>
          <w:szCs w:val="24"/>
          <w:u w:val="single"/>
        </w:rPr>
      </w:pPr>
      <w:r w:rsidRPr="00C17457">
        <w:rPr>
          <w:rFonts w:ascii="Times New Roman" w:hAnsi="Times New Roman" w:cs="Times New Roman"/>
          <w:color w:val="FF0000"/>
          <w:sz w:val="24"/>
          <w:szCs w:val="24"/>
          <w:u w:val="single"/>
        </w:rPr>
        <w:t>Si se permite el funcionamiento del gasoducto Nord Stream 2, una opción que sólo debería considerarse si no se produce un ataque a Ucrania, la dependencia de Rusia de Europa en su calidad de cliente confiable también aumentaría. Rusia sólo podría reducir esta dependencia de Europa construyendo una costosa infraestructura para exportación de GNL desde instalaciones más cercanas a sus yacimientos que se encuentran cerca del círculo polar ártico, o invirtiendo en un gasoducto aún más caro con dirección a China.</w:t>
      </w:r>
    </w:p>
    <w:p w:rsidR="00BF5D7B" w:rsidRPr="00C17457" w:rsidRDefault="00BF5D7B" w:rsidP="00BF5D7B">
      <w:pPr>
        <w:spacing w:line="240" w:lineRule="auto"/>
        <w:jc w:val="both"/>
        <w:rPr>
          <w:rFonts w:ascii="Times New Roman" w:hAnsi="Times New Roman" w:cs="Times New Roman"/>
          <w:color w:val="FF0000"/>
          <w:sz w:val="24"/>
          <w:szCs w:val="24"/>
          <w:u w:val="single"/>
        </w:rPr>
      </w:pPr>
      <w:r w:rsidRPr="00C17457">
        <w:rPr>
          <w:rFonts w:ascii="Times New Roman" w:hAnsi="Times New Roman" w:cs="Times New Roman"/>
          <w:color w:val="FF0000"/>
          <w:sz w:val="24"/>
          <w:szCs w:val="24"/>
          <w:u w:val="single"/>
        </w:rPr>
        <w:t>La crisis en Ucrania ha dejado claro que, a pes</w:t>
      </w:r>
      <w:r>
        <w:rPr>
          <w:rFonts w:ascii="Times New Roman" w:hAnsi="Times New Roman" w:cs="Times New Roman"/>
          <w:color w:val="FF0000"/>
          <w:sz w:val="24"/>
          <w:szCs w:val="24"/>
          <w:u w:val="single"/>
        </w:rPr>
        <w:t>ar de toda la palabrería sobre “autonomía estratégica”</w:t>
      </w:r>
      <w:r w:rsidRPr="00C17457">
        <w:rPr>
          <w:rFonts w:ascii="Times New Roman" w:hAnsi="Times New Roman" w:cs="Times New Roman"/>
          <w:color w:val="FF0000"/>
          <w:sz w:val="24"/>
          <w:szCs w:val="24"/>
          <w:u w:val="single"/>
        </w:rPr>
        <w:t>, la UE sigue dependiendo en gran medida de las garantías de seguridad de Estados Unidos. Esto no cambiará en el corto plazo. Pero, al reforzar su seguridad energética, Europa puede al menos aumentar su capacidad para desplegar los pocos instrumentos de poder blando que tiene a la mano.</w:t>
      </w:r>
    </w:p>
    <w:p w:rsidR="00BF5D7B" w:rsidRPr="00120A4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90948">
        <w:rPr>
          <w:rFonts w:ascii="Times New Roman" w:hAnsi="Times New Roman" w:cs="Times New Roman"/>
          <w:sz w:val="24"/>
          <w:szCs w:val="24"/>
          <w:u w:val="single"/>
        </w:rPr>
        <w:t>La batalla europea por la soberanía energética</w:t>
      </w:r>
      <w:r>
        <w:rPr>
          <w:rFonts w:ascii="Times New Roman" w:hAnsi="Times New Roman" w:cs="Times New Roman"/>
          <w:color w:val="FF0000"/>
          <w:sz w:val="24"/>
          <w:szCs w:val="24"/>
        </w:rPr>
        <w:t xml:space="preserve"> </w:t>
      </w:r>
      <w:r>
        <w:rPr>
          <w:rFonts w:ascii="Times New Roman" w:hAnsi="Times New Roman" w:cs="Times New Roman"/>
          <w:sz w:val="24"/>
          <w:szCs w:val="24"/>
        </w:rPr>
        <w:t xml:space="preserve">(Cinco Días - </w:t>
      </w:r>
      <w:r w:rsidRPr="00120A4B">
        <w:rPr>
          <w:rFonts w:ascii="Times New Roman" w:hAnsi="Times New Roman" w:cs="Times New Roman"/>
          <w:b/>
          <w:sz w:val="24"/>
          <w:szCs w:val="24"/>
        </w:rPr>
        <w:t>10/2/22</w:t>
      </w:r>
      <w:r>
        <w:rPr>
          <w:rFonts w:ascii="Times New Roman" w:hAnsi="Times New Roman" w:cs="Times New Roman"/>
          <w:sz w:val="24"/>
          <w:szCs w:val="24"/>
        </w:rPr>
        <w:t>)</w:t>
      </w:r>
    </w:p>
    <w:p w:rsidR="00BF5D7B" w:rsidRPr="00603F4A" w:rsidRDefault="00BF5D7B" w:rsidP="00BF5D7B">
      <w:pPr>
        <w:spacing w:line="240" w:lineRule="auto"/>
        <w:jc w:val="both"/>
        <w:rPr>
          <w:rFonts w:ascii="Times New Roman" w:hAnsi="Times New Roman" w:cs="Times New Roman"/>
          <w:color w:val="FF0000"/>
          <w:sz w:val="24"/>
          <w:szCs w:val="24"/>
        </w:rPr>
      </w:pPr>
      <w:r w:rsidRPr="00603F4A">
        <w:rPr>
          <w:rFonts w:ascii="Times New Roman" w:hAnsi="Times New Roman" w:cs="Times New Roman"/>
          <w:color w:val="FF0000"/>
          <w:sz w:val="24"/>
          <w:szCs w:val="24"/>
        </w:rPr>
        <w:t>La crisis ucraniana ha expuesto el flanco más débil de la economía europea en un momento crítico para la transición hacia un modelo descarbonizado. Éste es el contexto, las causas, las consecuencias y los escenarios de futuro de la ausencia de soberanía energética en el Viejo Continente.</w:t>
      </w:r>
    </w:p>
    <w:p w:rsidR="00BF5D7B" w:rsidRPr="00120A4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(Por Gabriela López Escalante - Luis Alberto Peralta)</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Una Europa ya castigada por la pandemia ha visto aflorar en este invierno una debilidad que no es nueva, pero cuyos efectos secundarios han crecido de manera exponencial: su dependencia de las importaciones energéticas. </w:t>
      </w:r>
      <w:r w:rsidRPr="00603F4A">
        <w:rPr>
          <w:rFonts w:ascii="Times New Roman" w:hAnsi="Times New Roman" w:cs="Times New Roman"/>
          <w:sz w:val="24"/>
          <w:szCs w:val="24"/>
          <w:u w:val="single"/>
        </w:rPr>
        <w:t>El compromiso con la transición ecológica ha obligado a la región, antes adicta al carbón, a migrar hacia otras fuentes. Al no contar aún con la infraestructura energética verde suficiente para autoabastecerse, el Viejo continente ha entrado en un terreno inexplorado.</w:t>
      </w:r>
      <w:r w:rsidRPr="00120A4B">
        <w:rPr>
          <w:rFonts w:ascii="Times New Roman" w:hAnsi="Times New Roman" w:cs="Times New Roman"/>
          <w:sz w:val="24"/>
          <w:szCs w:val="24"/>
        </w:rPr>
        <w:t xml:space="preserve"> En este contexto, los vientos de guerra en Ucrania traen consigo la escasez del gas, una materia prima clave en su sistema energético cuyo grifo se abre desde Moscú.</w:t>
      </w:r>
    </w:p>
    <w:p w:rsidR="00BF5D7B" w:rsidRPr="00603F4A" w:rsidRDefault="00BF5D7B" w:rsidP="00BF5D7B">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 xml:space="preserve">La región ha recortado en un 42,7% la producción de electricidad basada en hidrocarburos sólidos respecto a la media de las dos décadas anteriores. Como consecuencia, ha quedado al albur de la generación renovable (dependiente del clima) y, en particular, de las “energías de transición” como el gas: un mercado dominado por jugadores oportunistas como Rusia y donde aparecen duros competidores como China e India. Se formula así una pregunta </w:t>
      </w:r>
      <w:r w:rsidRPr="00603F4A">
        <w:rPr>
          <w:rFonts w:ascii="Times New Roman" w:hAnsi="Times New Roman" w:cs="Times New Roman"/>
          <w:color w:val="FF0000"/>
          <w:sz w:val="24"/>
          <w:szCs w:val="24"/>
          <w:u w:val="single"/>
        </w:rPr>
        <w:lastRenderedPageBreak/>
        <w:t>fundamental para el futuro del continente: ¿Será Europa capaz de alcanzar la soberanía energética?</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drawing>
          <wp:inline distT="0" distB="0" distL="0" distR="0" wp14:anchorId="36B0DB54" wp14:editId="39DAF983">
            <wp:extent cx="5731510" cy="4856475"/>
            <wp:effectExtent l="0" t="0" r="2540" b="190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856475"/>
                    </a:xfrm>
                    <a:prstGeom prst="rect">
                      <a:avLst/>
                    </a:prstGeom>
                  </pic:spPr>
                </pic:pic>
              </a:graphicData>
            </a:graphic>
          </wp:inline>
        </w:drawing>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su flexibilidad y menor nivel de emisiones, el gas es la fuente más accesible para economías altamente dependientes del carbón como Alemania. Hoy por hoy, este combustible genera alrededor del 20% de la producción eléctrica europea, según Eurostat. En España la producción a partir de gas representó alrededor del 27% del sistema eléctrico en 2021, y en enero se alcanzó el 33,5% del total</w:t>
      </w:r>
      <w:r>
        <w:rPr>
          <w:rFonts w:ascii="Times New Roman" w:hAnsi="Times New Roman" w:cs="Times New Roman"/>
          <w:sz w:val="24"/>
          <w:szCs w:val="24"/>
        </w:rPr>
        <w:t>, según datos de Red Eléctrica.</w:t>
      </w:r>
    </w:p>
    <w:p w:rsidR="00BF5D7B" w:rsidRPr="00120A4B" w:rsidRDefault="00BF5D7B" w:rsidP="00BF5D7B">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t>El problema es que Europa tampoco tiene gas, y que el mercado mundial está sujeto a una elevada tensión</w:t>
      </w:r>
      <w:r w:rsidRPr="00120A4B">
        <w:rPr>
          <w:rFonts w:ascii="Times New Roman" w:hAnsi="Times New Roman" w:cs="Times New Roman"/>
          <w:sz w:val="24"/>
          <w:szCs w:val="24"/>
        </w:rPr>
        <w:t xml:space="preserve">. La reactivación económica en el último tramo de la pandemia puso de manifiesto este delicado equilibrio: </w:t>
      </w:r>
      <w:r w:rsidRPr="00603F4A">
        <w:rPr>
          <w:rFonts w:ascii="Times New Roman" w:hAnsi="Times New Roman" w:cs="Times New Roman"/>
          <w:sz w:val="24"/>
          <w:szCs w:val="24"/>
          <w:u w:val="single"/>
        </w:rPr>
        <w:t>las disrupciones del suministro de gas natural licuado (GNL) estadounidense a mediados de año se unieron a un aumento en la demanda generada por la descarbonización de gigantes como China o, en mucha menor medida, India, dando como resultado una fuerte subida de precios desde verano</w:t>
      </w:r>
      <w:r w:rsidRPr="00120A4B">
        <w:rPr>
          <w:rFonts w:ascii="Times New Roman" w:hAnsi="Times New Roman" w:cs="Times New Roman"/>
          <w:sz w:val="24"/>
          <w:szCs w:val="24"/>
        </w:rPr>
        <w:t>. La disminución del suministro ruso ligada a la crisis ucraniana ha terminado de cuadrar una tormenta perfecta, que ha disparado los precios del gas y el</w:t>
      </w:r>
      <w:r>
        <w:rPr>
          <w:rFonts w:ascii="Times New Roman" w:hAnsi="Times New Roman" w:cs="Times New Roman"/>
          <w:sz w:val="24"/>
          <w:szCs w:val="24"/>
        </w:rPr>
        <w:t xml:space="preserve"> coste de la energía eléctrica.</w:t>
      </w:r>
    </w:p>
    <w:p w:rsidR="00BF5D7B" w:rsidRPr="00603F4A" w:rsidRDefault="00BF5D7B" w:rsidP="00BF5D7B">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 xml:space="preserve">El precio de los futuros del gas en el mercado neerlandés, referente europeo, refleja esta alocada carrera: de los 20 euros por </w:t>
      </w:r>
      <w:r w:rsidR="009C20F1" w:rsidRPr="00603F4A">
        <w:rPr>
          <w:rFonts w:ascii="Times New Roman" w:hAnsi="Times New Roman" w:cs="Times New Roman"/>
          <w:color w:val="FF0000"/>
          <w:sz w:val="24"/>
          <w:szCs w:val="24"/>
          <w:u w:val="single"/>
        </w:rPr>
        <w:t>megavatio</w:t>
      </w:r>
      <w:r w:rsidRPr="00603F4A">
        <w:rPr>
          <w:rFonts w:ascii="Times New Roman" w:hAnsi="Times New Roman" w:cs="Times New Roman"/>
          <w:color w:val="FF0000"/>
          <w:sz w:val="24"/>
          <w:szCs w:val="24"/>
          <w:u w:val="single"/>
        </w:rPr>
        <w:t xml:space="preserve"> en marzo pasó a 40 en agosto,  volvió a duplicarse en septiembre hasta los 80 y, tras moderarse en noviembre, llegó a un pico de 166 el 21 de diciembre, desde el que ha caído un 50%. Aun así está un 300% por encima de la </w:t>
      </w:r>
      <w:r w:rsidRPr="00603F4A">
        <w:rPr>
          <w:rFonts w:ascii="Times New Roman" w:hAnsi="Times New Roman" w:cs="Times New Roman"/>
          <w:color w:val="FF0000"/>
          <w:sz w:val="24"/>
          <w:szCs w:val="24"/>
          <w:u w:val="single"/>
        </w:rPr>
        <w:lastRenderedPageBreak/>
        <w:t>media de 2020, y no se normalizará hasta 2024, de acuerdo con las cifras de los futuros a más largo plazo de Intercontinental Exchange.</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drawing>
          <wp:inline distT="0" distB="0" distL="0" distR="0" wp14:anchorId="20A2E1D2" wp14:editId="23BDF6DA">
            <wp:extent cx="5731510" cy="3928166"/>
            <wp:effectExtent l="0" t="0" r="254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3928166"/>
                    </a:xfrm>
                    <a:prstGeom prst="rect">
                      <a:avLst/>
                    </a:prstGeom>
                  </pic:spPr>
                </pic:pic>
              </a:graphicData>
            </a:graphic>
          </wp:inline>
        </w:drawing>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Los socios europeos son conscientes de su situación, hasta el punto de que la agencia Eurostat dispone de un indicador espe</w:t>
      </w:r>
      <w:r>
        <w:rPr>
          <w:rFonts w:ascii="Times New Roman" w:hAnsi="Times New Roman" w:cs="Times New Roman"/>
          <w:sz w:val="24"/>
          <w:szCs w:val="24"/>
        </w:rPr>
        <w:t>cífico para la “dependencia energética”</w:t>
      </w:r>
      <w:r w:rsidRPr="00120A4B">
        <w:rPr>
          <w:rFonts w:ascii="Times New Roman" w:hAnsi="Times New Roman" w:cs="Times New Roman"/>
          <w:sz w:val="24"/>
          <w:szCs w:val="24"/>
        </w:rPr>
        <w:t xml:space="preserve"> de los 27. De media, </w:t>
      </w:r>
      <w:r w:rsidRPr="00603F4A">
        <w:rPr>
          <w:rFonts w:ascii="Times New Roman" w:hAnsi="Times New Roman" w:cs="Times New Roman"/>
          <w:color w:val="FF0000"/>
          <w:sz w:val="24"/>
          <w:szCs w:val="24"/>
          <w:u w:val="single"/>
        </w:rPr>
        <w:t>el 57,5% de la energía que consume el bloque es de origen extracomunitario</w:t>
      </w:r>
      <w:r w:rsidRPr="00120A4B">
        <w:rPr>
          <w:rFonts w:ascii="Times New Roman" w:hAnsi="Times New Roman" w:cs="Times New Roman"/>
          <w:sz w:val="24"/>
          <w:szCs w:val="24"/>
        </w:rPr>
        <w:t>. Italia lidera la lista entre los países más grandes de la UE, con un 73,4%, seguida de España con un 67,9% y Alemania con un 63,6%. Francia es el único de los gigantes europeos que se encuentra por debajo de la media, con un 44,4%, en parte graci</w:t>
      </w:r>
      <w:r>
        <w:rPr>
          <w:rFonts w:ascii="Times New Roman" w:hAnsi="Times New Roman" w:cs="Times New Roman"/>
          <w:sz w:val="24"/>
          <w:szCs w:val="24"/>
        </w:rPr>
        <w:t>as a su abastecimiento nuclear.</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Esta dependencia tiene importantes matices en función de la fiabilidad de la fuente de suministro y de la concentración de las importaciones. Exportadores como Argelia, Noruega o Rusia, que dominan el mercado europeo, tienen diferentes grados de influencia en cada país dependiendo del peso de sus envíos en cada respectivo mix energético. Así mismo, el nivel de interconexión con el sistema de gas europeo o el acceso al mercado del GNL, que proviene principalmente Estados Unidos y Oriente Medio, son factores que pueden mitigar o empeorar el imp</w:t>
      </w:r>
      <w:r>
        <w:rPr>
          <w:rFonts w:ascii="Times New Roman" w:hAnsi="Times New Roman" w:cs="Times New Roman"/>
          <w:sz w:val="24"/>
          <w:szCs w:val="24"/>
        </w:rPr>
        <w:t>acto de los flujos del mercado.</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Gas, el as económico de Rusia</w:t>
      </w:r>
    </w:p>
    <w:p w:rsidR="00BF5D7B" w:rsidRPr="00603F4A" w:rsidRDefault="00BF5D7B" w:rsidP="00BF5D7B">
      <w:pPr>
        <w:spacing w:line="240" w:lineRule="auto"/>
        <w:jc w:val="both"/>
        <w:rPr>
          <w:rFonts w:ascii="Times New Roman" w:hAnsi="Times New Roman" w:cs="Times New Roman"/>
          <w:color w:val="FF0000"/>
          <w:sz w:val="24"/>
          <w:szCs w:val="24"/>
          <w:u w:val="single"/>
        </w:rPr>
      </w:pPr>
      <w:r w:rsidRPr="00120A4B">
        <w:rPr>
          <w:rFonts w:ascii="Times New Roman" w:hAnsi="Times New Roman" w:cs="Times New Roman"/>
          <w:sz w:val="24"/>
          <w:szCs w:val="24"/>
        </w:rPr>
        <w:t xml:space="preserve">En este contexto, la concentración de varias decenas de miles de soldados e ingentes cantidades de material militar ruso en la frontera ucraniana solo ha aumentado la presión energética sobre Europa, que ahora se traslada al plano geopolítico. </w:t>
      </w:r>
      <w:r w:rsidRPr="00603F4A">
        <w:rPr>
          <w:rFonts w:ascii="Times New Roman" w:hAnsi="Times New Roman" w:cs="Times New Roman"/>
          <w:color w:val="FF0000"/>
          <w:sz w:val="24"/>
          <w:szCs w:val="24"/>
          <w:u w:val="single"/>
        </w:rPr>
        <w:t>El Kremlin maneja alrededor del 40% del suministro de gas europeo a través de la empresa estata</w:t>
      </w:r>
      <w:r>
        <w:rPr>
          <w:rFonts w:ascii="Times New Roman" w:hAnsi="Times New Roman" w:cs="Times New Roman"/>
          <w:color w:val="FF0000"/>
          <w:sz w:val="24"/>
          <w:szCs w:val="24"/>
          <w:u w:val="single"/>
        </w:rPr>
        <w:t>l Gazprom, y ha utilizado esta “arma del gas”</w:t>
      </w:r>
      <w:r w:rsidRPr="00603F4A">
        <w:rPr>
          <w:rFonts w:ascii="Times New Roman" w:hAnsi="Times New Roman" w:cs="Times New Roman"/>
          <w:color w:val="FF0000"/>
          <w:sz w:val="24"/>
          <w:szCs w:val="24"/>
          <w:u w:val="single"/>
        </w:rPr>
        <w:t xml:space="preserve"> para presionar al bloque y alejarlo de las ex repúblicas soviéticas, su histórica área de influencia.</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lastRenderedPageBreak/>
        <w:t>Según la Agencia Internacional de Energía, Moscú ha reducido en un 25% interanual los envíos de gas a la región durante el último trimestre de 2021. Este movimiento solo se podría explicar por su agenda política, afirma la institución, ya que en el contexto de los precios altos del gas mantener el suministro habría generado una jugosa rentabilidad para las exportaciones rusas.</w:t>
      </w:r>
    </w:p>
    <w:p w:rsidR="00BF5D7B" w:rsidRPr="00603F4A" w:rsidRDefault="00BF5D7B" w:rsidP="00BF5D7B">
      <w:pPr>
        <w:spacing w:line="240" w:lineRule="auto"/>
        <w:jc w:val="both"/>
        <w:rPr>
          <w:rFonts w:ascii="Times New Roman" w:hAnsi="Times New Roman" w:cs="Times New Roman"/>
          <w:sz w:val="24"/>
          <w:szCs w:val="24"/>
          <w:u w:val="single"/>
        </w:rPr>
      </w:pPr>
      <w:r w:rsidRPr="00603F4A">
        <w:rPr>
          <w:rFonts w:ascii="Times New Roman" w:hAnsi="Times New Roman" w:cs="Times New Roman"/>
          <w:sz w:val="24"/>
          <w:szCs w:val="24"/>
          <w:u w:val="single"/>
        </w:rPr>
        <w:t>Los recortes rusos se han dado esencialmente en dos de las cuatro rutas empleadas: el gasoducto “Yamal-Europa”, que atraviesa Bielorrusia y Polonia para llegar a Alemania, y el corredor ucraniano, que conecta Rusia con los países al sur de Alemania. Específicamente, este corredor ha pasado de movilizar alrededor del 45% de los envíos rusos en 2019 a cerca del 20% en 2022, según los datos del Ministerio de Energía de Ucrania.</w:t>
      </w:r>
    </w:p>
    <w:p w:rsidR="00BF5D7B" w:rsidRDefault="00BF5D7B" w:rsidP="00BF5D7B">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t>El Kremlin tiene más influencia sobre algunos países que sobre otros. En Alemania, la principal economía del bloque, las importaciones rusas suponen entre un 60% y un 65% del total del gas consumido, mientras que en Italia ronda el 40%. En países como Austria la dependencia es tal que el Gobierno incluso ha advertido sobre posibles apagones ante la caída en el suministro</w:t>
      </w:r>
      <w:r w:rsidRPr="00120A4B">
        <w:rPr>
          <w:rFonts w:ascii="Times New Roman" w:hAnsi="Times New Roman" w:cs="Times New Roman"/>
          <w:sz w:val="24"/>
          <w:szCs w:val="24"/>
        </w:rPr>
        <w:t>. España y Francia, no obstante, están en una situación diferente. Aunque siguen siendo vulnerables ante las subidas de precio del mercado, las importaciones africanas protegen a sus sistemas ante las turbulencias rusas. Tan solo un 10,5% del suministro de la península, cuyo principal proveedor es Argelia, proviene de Rusia. Para los franceses, esta cifra se mantiene cerca del 17%.</w:t>
      </w:r>
    </w:p>
    <w:p w:rsidR="00BF5D7B" w:rsidRPr="00120A4B"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noProof/>
          <w:sz w:val="24"/>
          <w:szCs w:val="24"/>
          <w:lang w:eastAsia="es-ES"/>
        </w:rPr>
        <w:drawing>
          <wp:inline distT="0" distB="0" distL="0" distR="0" wp14:anchorId="49B3E090" wp14:editId="14BAC636">
            <wp:extent cx="5731510" cy="4874233"/>
            <wp:effectExtent l="0" t="0" r="2540" b="317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4874233"/>
                    </a:xfrm>
                    <a:prstGeom prst="rect">
                      <a:avLst/>
                    </a:prstGeom>
                  </pic:spPr>
                </pic:pic>
              </a:graphicData>
            </a:graphic>
          </wp:inline>
        </w:drawing>
      </w:r>
    </w:p>
    <w:p w:rsidR="00BF5D7B" w:rsidRPr="00120A4B" w:rsidRDefault="00BF5D7B" w:rsidP="00BF5D7B">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lastRenderedPageBreak/>
        <w:t>La disminución de los flujos también se da en el contexto de un nivel anormalmente bajo en las reservas de gas europeas, que a principios de febrero se encuentran a un 35% de su capacidad, en contraste con el 48% en estas fechas de 2021, según datos de la agencia Gas Infrastructure Europe</w:t>
      </w:r>
      <w:r w:rsidRPr="00120A4B">
        <w:rPr>
          <w:rFonts w:ascii="Times New Roman" w:hAnsi="Times New Roman" w:cs="Times New Roman"/>
          <w:sz w:val="24"/>
          <w:szCs w:val="24"/>
        </w:rPr>
        <w:t xml:space="preserve">. De acuerdo con Fatih Birol, jefe de la Agencia Internacional de Energía, este déficit está principalmente localizado en los depósitos alimentados por Gazprom, que ha elegido recortar sus envíos al mínimo estipulado en los contratos, incluso en un entorno de precios </w:t>
      </w:r>
      <w:r w:rsidR="009C20F1" w:rsidRPr="00120A4B">
        <w:rPr>
          <w:rFonts w:ascii="Times New Roman" w:hAnsi="Times New Roman" w:cs="Times New Roman"/>
          <w:sz w:val="24"/>
          <w:szCs w:val="24"/>
        </w:rPr>
        <w:t>estratosféricos</w:t>
      </w:r>
      <w:r w:rsidRPr="00120A4B">
        <w:rPr>
          <w:rFonts w:ascii="Times New Roman" w:hAnsi="Times New Roman" w:cs="Times New Roman"/>
          <w:sz w:val="24"/>
          <w:szCs w:val="24"/>
        </w:rPr>
        <w:t>.</w:t>
      </w:r>
    </w:p>
    <w:p w:rsidR="00BF5D7B" w:rsidRPr="00120A4B" w:rsidRDefault="00BF5D7B" w:rsidP="00BF5D7B">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Gobierno de Vladimir Putin ha promovido intensamente la aprobación del Nord Stream 2, la vía gemela del gasoducto báltico Nord Stream, que sin paradas intermedias permitirá duplicar las exportaciones directas a Alemania. El proyecto, que ha costado en torno a 9.500 millones de euros y fue financiado al 50% por empresas europeas como Shell, Engie, y las alemanas OMV y Uniper, permitirá redirigir los envíos rusos sin cruzar el territorio de las exrepúblicas soviéticas</w:t>
      </w:r>
      <w:r w:rsidRPr="00120A4B">
        <w:rPr>
          <w:rFonts w:ascii="Times New Roman" w:hAnsi="Times New Roman" w:cs="Times New Roman"/>
          <w:sz w:val="24"/>
          <w:szCs w:val="24"/>
        </w:rPr>
        <w:t>. Fuentes del Gobierno ucraniano han indicado a Cinco Días que su utilización podría representar un ahorro de alrededor de 1.500 millones de dólares anuales en derechos de tránsito que el gigante paga por el paso de sus exp</w:t>
      </w:r>
      <w:r>
        <w:rPr>
          <w:rFonts w:ascii="Times New Roman" w:hAnsi="Times New Roman" w:cs="Times New Roman"/>
          <w:sz w:val="24"/>
          <w:szCs w:val="24"/>
        </w:rPr>
        <w:t>ortaciones a través de Ucrania.</w:t>
      </w:r>
    </w:p>
    <w:p w:rsidR="00BF5D7B" w:rsidRPr="00120A4B" w:rsidRDefault="00BF5D7B" w:rsidP="00BF5D7B">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futuro del gasoducto, sin embargo, permanece incierto precisamente a causa de la concentración de tropas rusas en la frontera ucrania</w:t>
      </w:r>
      <w:r w:rsidRPr="00120A4B">
        <w:rPr>
          <w:rFonts w:ascii="Times New Roman" w:hAnsi="Times New Roman" w:cs="Times New Roman"/>
          <w:sz w:val="24"/>
          <w:szCs w:val="24"/>
        </w:rPr>
        <w:t>. Si bien el vicepresidente de la Comisión Europea, Valdis Dombrovskis, aseguró el 31 de enero que la aprobación del duc</w:t>
      </w:r>
      <w:r w:rsidR="009C20F1">
        <w:rPr>
          <w:rFonts w:ascii="Times New Roman" w:hAnsi="Times New Roman" w:cs="Times New Roman"/>
          <w:sz w:val="24"/>
          <w:szCs w:val="24"/>
        </w:rPr>
        <w:t>to se encuentra suspendida por “</w:t>
      </w:r>
      <w:r w:rsidRPr="00120A4B">
        <w:rPr>
          <w:rFonts w:ascii="Times New Roman" w:hAnsi="Times New Roman" w:cs="Times New Roman"/>
          <w:sz w:val="24"/>
          <w:szCs w:val="24"/>
        </w:rPr>
        <w:t>ir en c</w:t>
      </w:r>
      <w:r w:rsidR="009C20F1">
        <w:rPr>
          <w:rFonts w:ascii="Times New Roman" w:hAnsi="Times New Roman" w:cs="Times New Roman"/>
          <w:sz w:val="24"/>
          <w:szCs w:val="24"/>
        </w:rPr>
        <w:t>ontra de la legislación europea”</w:t>
      </w:r>
      <w:r w:rsidRPr="00120A4B">
        <w:rPr>
          <w:rFonts w:ascii="Times New Roman" w:hAnsi="Times New Roman" w:cs="Times New Roman"/>
          <w:sz w:val="24"/>
          <w:szCs w:val="24"/>
        </w:rPr>
        <w:t>, nada garantiza que en el mediano plazo no se pueda retomar. En este sentido, los ucranianos temen que su posible aprobación incline la balanza geopolítica a favor de Rusia: “Si se aprueba el Nord Stream 2 no solo perderíamos el dinero, sino que afectaría nuestra seguridad. El gas hace que la Unión Europea mantenga un ojo sobre Ucrania y si eso se pierde Rusia podría ganar terreno”, ha advertido a este diario Aliona Osmolovska, asesora del mi</w:t>
      </w:r>
      <w:r>
        <w:rPr>
          <w:rFonts w:ascii="Times New Roman" w:hAnsi="Times New Roman" w:cs="Times New Roman"/>
          <w:sz w:val="24"/>
          <w:szCs w:val="24"/>
        </w:rPr>
        <w:t>nisterio de energía de Ucrania.</w:t>
      </w:r>
    </w:p>
    <w:p w:rsidR="00BF5D7B" w:rsidRPr="00120A4B" w:rsidRDefault="00BF5D7B" w:rsidP="00BF5D7B">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riesgo de suministro, en todo caso, ha sido mitigado por la llegada de metaneros cargados de gas natural licuado, atraídos por la alta rentabilidad del mercado europeo. Este reequilibrio ha calmado los nervios en el mercado, y los precios del gas en el mercado neerlandés han caído en un 55,2% desde el último pico el 21 de diciembre.</w:t>
      </w:r>
      <w:r w:rsidRPr="00120A4B">
        <w:rPr>
          <w:rFonts w:ascii="Times New Roman" w:hAnsi="Times New Roman" w:cs="Times New Roman"/>
          <w:sz w:val="24"/>
          <w:szCs w:val="24"/>
        </w:rPr>
        <w:t xml:space="preserve"> El suministro de gas por barco implica la necesidad de enfriar en origen el gas natural para que pase al estado líquido, transportarlo en barcos especiales y convertirlo de nuevo en gas natural en destino. Alemania o Austria, que no cuentan con terminales de GNL, solo pueden acceder a estas importaciones por medio de la red europea de gasoductos. España, por el contrario, es uno de los países con m</w:t>
      </w:r>
      <w:r>
        <w:rPr>
          <w:rFonts w:ascii="Times New Roman" w:hAnsi="Times New Roman" w:cs="Times New Roman"/>
          <w:sz w:val="24"/>
          <w:szCs w:val="24"/>
        </w:rPr>
        <w:t>ás capacidad de regasificación.</w:t>
      </w:r>
    </w:p>
    <w:p w:rsidR="00BF5D7B" w:rsidRPr="00B435CA" w:rsidRDefault="00BF5D7B" w:rsidP="00BF5D7B">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El consumidor español contempla atónito cómo el cóctel económico y geopolítico ha elevado un 72% la factura regulada de la luz en 2021, según el INE, a pesar de la escasa dependencia de gas ruso. Es, precisamente, la subida del precio del gas en el mercado internacional lo que ha desatado la subida de la tarifa, y gracias también al particular mecanismo de fijación de precios en la electricidad.</w:t>
      </w:r>
    </w:p>
    <w:p w:rsidR="00BF5D7B" w:rsidRPr="00B435CA" w:rsidRDefault="00BF5D7B" w:rsidP="00BF5D7B">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Así, el precio del mercado mayorista (donde operan empresas generadoras, comercializadoras y grandes consumidores) depende de la tecnología más cara que se use para cubrir la demanda diaria: si la nuclear y las renovables pueden hacerlo, el precio será bajo porque sus costes son menores. Pero si hay que usar gas natural o carbón, el precio lo fijarán estas tecnologías más caras. Además, en España el precio de la electricidad en este mercado mayorista se traslada directamente a la factura de los consumidores acogidos al mercado regulado. Un mecanismo que se ha tornado endiablado este 2021 y que explica la inusual</w:t>
      </w:r>
      <w:r w:rsidRPr="00120A4B">
        <w:rPr>
          <w:rFonts w:ascii="Times New Roman" w:hAnsi="Times New Roman" w:cs="Times New Roman"/>
          <w:sz w:val="24"/>
          <w:szCs w:val="24"/>
        </w:rPr>
        <w:t xml:space="preserve"> </w:t>
      </w:r>
      <w:r w:rsidRPr="00B435CA">
        <w:rPr>
          <w:rFonts w:ascii="Times New Roman" w:hAnsi="Times New Roman" w:cs="Times New Roman"/>
          <w:sz w:val="24"/>
          <w:szCs w:val="24"/>
          <w:u w:val="single"/>
        </w:rPr>
        <w:lastRenderedPageBreak/>
        <w:t>atención que España presta al otrora mercado mayorista, pese a que la restricción del gas ruso apenas afecte directamente a España.</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Un futuro, dos visiones</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Líderes y legisladores europeos han insistido en la necesidad de diversificar. Recientemente, la comisaria europea de energía, Kadri Simson, viajó a Azerbaiyán para negociar un posible aumento de las exportaciones de gas desde este país que permitirían depender menos de Rusia. Asimismo, el alto representante de la Unión Europea para asuntos exteriores, Josep Borrell indicó este lunes que la prioridad inmediata del bloque es diversificar las fuentes de energía y los flujos de gas para evitar int</w:t>
      </w:r>
      <w:r>
        <w:rPr>
          <w:rFonts w:ascii="Times New Roman" w:hAnsi="Times New Roman" w:cs="Times New Roman"/>
          <w:sz w:val="24"/>
          <w:szCs w:val="24"/>
        </w:rPr>
        <w:t>errupciones en el suministro y “</w:t>
      </w:r>
      <w:r w:rsidRPr="00120A4B">
        <w:rPr>
          <w:rFonts w:ascii="Times New Roman" w:hAnsi="Times New Roman" w:cs="Times New Roman"/>
          <w:sz w:val="24"/>
          <w:szCs w:val="24"/>
        </w:rPr>
        <w:t>garantizar que los mercados energéticos mundiales sean líquidos, co</w:t>
      </w:r>
      <w:r>
        <w:rPr>
          <w:rFonts w:ascii="Times New Roman" w:hAnsi="Times New Roman" w:cs="Times New Roman"/>
          <w:sz w:val="24"/>
          <w:szCs w:val="24"/>
        </w:rPr>
        <w:t>mpetitivos y bien abastecidos”.</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A la cabeza de la cruzada contra la dependencia, se ha situado la presidenta de la Comisión Europea, Úrsula </w:t>
      </w:r>
      <w:r w:rsidRPr="00B435CA">
        <w:rPr>
          <w:rFonts w:ascii="Times New Roman" w:hAnsi="Times New Roman" w:cs="Times New Roman"/>
          <w:sz w:val="24"/>
          <w:szCs w:val="24"/>
          <w:u w:val="single"/>
        </w:rPr>
        <w:t>Von der Leyen, quien ha insistido en la urgencia de que Europa consiga la soberanía energética por medio de la transición ecológica</w:t>
      </w:r>
      <w:r w:rsidRPr="00120A4B">
        <w:rPr>
          <w:rFonts w:ascii="Times New Roman" w:hAnsi="Times New Roman" w:cs="Times New Roman"/>
          <w:sz w:val="24"/>
          <w:szCs w:val="24"/>
        </w:rPr>
        <w:t>. Una meta que no solo contribuirá a frenar el cambio climático, sino que aumentará la resiliencia energética del bloque.</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De acuerdo con la Comisión Europea, lograr este objetivo supondría que Europa produzca la totalidad de su propia energía, cortando su dependencia de suministros externos y protegiéndose de posibles interrupciones y de la volatilidad de los precios del gas. También sería un gran ahorro económico: lograr los objetivos de reducción de emisiones en 2030 supondría una caída de más del 25% en las importaciones de combustibles fósiles, y de alcanzarse la neutralidad climática para 2050, el bloque ahorraría hasta tres billones de euros.</w:t>
      </w:r>
    </w:p>
    <w:p w:rsidR="00BF5D7B" w:rsidRPr="00B435CA" w:rsidRDefault="00BF5D7B" w:rsidP="00BF5D7B">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Sin embargo, el cómo lograrlo ha generado división entre los socios. Si bien Bruselas considera que ni el gas ni la energía nuclear son energías neutras a nivel climático, ha d</w:t>
      </w:r>
      <w:r>
        <w:rPr>
          <w:rFonts w:ascii="Times New Roman" w:hAnsi="Times New Roman" w:cs="Times New Roman"/>
          <w:sz w:val="24"/>
          <w:szCs w:val="24"/>
          <w:u w:val="single"/>
        </w:rPr>
        <w:t>ecidido defender su papel como “actividades de transición”</w:t>
      </w:r>
      <w:r w:rsidRPr="00B435CA">
        <w:rPr>
          <w:rFonts w:ascii="Times New Roman" w:hAnsi="Times New Roman" w:cs="Times New Roman"/>
          <w:sz w:val="24"/>
          <w:szCs w:val="24"/>
          <w:u w:val="single"/>
        </w:rPr>
        <w:t xml:space="preserve"> para alcanzar el objetivo de una economía descarbonizada en 2050. La Comisión Europea ha propuesto a principios de febrero que ambas fuentes se consideren dentro de la taxonomía verde del Ejecutivo comunitario, un sistema que pretende orientar las inversiones en la transición ecológica.</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Algunos países Europeos, entre ellos España, han alzado la voz contra la decisión. El Ministerio para la Transición Ecológica (MITECO) ha considerado que la inclusión en la propuesta final de taxonomía o clasificación de la Comisión Europea (CE) del gas y la energía nuclear puede distraer fondos e inversiones que podrían destinarse en la "dirección correcta", las energías renovab</w:t>
      </w:r>
      <w:r>
        <w:rPr>
          <w:rFonts w:ascii="Times New Roman" w:hAnsi="Times New Roman" w:cs="Times New Roman"/>
          <w:sz w:val="24"/>
          <w:szCs w:val="24"/>
        </w:rPr>
        <w:t>les, como la eólica o la solar.</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En esta misma línea, La Unión Española Fotovoltaica (UNEF) ha transmitido su rechazo a esta etiqueta propuesta por Bruselas, al considerar que no se cumplen los criterios medioambientales para que el gas y la nuclear califiquen como inversiones sostenibles. “En la fase crítica que atravesamos a nivel global hacia la transición energética, esto podría restar inversiones que permitan el avance de la energía renovable, sería un error muy importante”, ha señalado Rafael Benjumea, Presidente de UNEF. En concreto, según Benjumea, esta decisión podría frenar la inversión en almacenamiento, hidrógeno verde y fotovoltaica, fundamentales para permitir una mayor flexibilidad en la gestión de la demanda energética.</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La tendencia apunta a que en el medio plazo Europa se alejará del gas. La Agencia Internacional de la Energía (AIE) cree que la demanda de gas en el bloque caerá este año un 4%, en un contexto marcado por la fuerte tensión en el mercado con unos precios históricamente elevados y una reducción de los suministros por gasoducto que llegan desde Rusia. En su informe trimestral sobre el mercado del gas publicado a finales de enero, se </w:t>
      </w:r>
      <w:r w:rsidRPr="00120A4B">
        <w:rPr>
          <w:rFonts w:ascii="Times New Roman" w:hAnsi="Times New Roman" w:cs="Times New Roman"/>
          <w:sz w:val="24"/>
          <w:szCs w:val="24"/>
        </w:rPr>
        <w:lastRenderedPageBreak/>
        <w:t>estima que el consumo de gas en Europa caerá en 2022 a 527.000 millones de metros cúbicos, frente a los 552.000 millones de 2021, y se acercará a los 522.000 millones de 2020, un año en que se había vivido un severo hundi</w:t>
      </w:r>
      <w:r>
        <w:rPr>
          <w:rFonts w:ascii="Times New Roman" w:hAnsi="Times New Roman" w:cs="Times New Roman"/>
          <w:sz w:val="24"/>
          <w:szCs w:val="24"/>
        </w:rPr>
        <w:t>miento por la crisis del Covid.</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el contrario, visualiza un futuro optimista a medio plazo para otras energías. La AIE cree que el hidrógeno sin emisiones podría llegar a ser competitivo en el horizonte de 2030 en países con muchos recursos renovables, impulsado por una reducción significativa en sus costes de producción. Según el informe Global Hydrogen Review publicado a finales de enero, la demanda de hidrógeno a nivel global en 2020, fue de 90 millones de toneladas, utilizado sobre todo en la industria química y las refinerías; un dato que para 2030 podría crecer h</w:t>
      </w:r>
      <w:r>
        <w:rPr>
          <w:rFonts w:ascii="Times New Roman" w:hAnsi="Times New Roman" w:cs="Times New Roman"/>
          <w:sz w:val="24"/>
          <w:szCs w:val="24"/>
        </w:rPr>
        <w:t>asta 105 millones de toneladas.</w:t>
      </w:r>
    </w:p>
    <w:p w:rsidR="00BF5D7B" w:rsidRPr="00B435CA" w:rsidRDefault="00BF5D7B" w:rsidP="00BF5D7B">
      <w:pPr>
        <w:spacing w:line="240" w:lineRule="auto"/>
        <w:jc w:val="both"/>
        <w:rPr>
          <w:rFonts w:ascii="Times New Roman" w:hAnsi="Times New Roman" w:cs="Times New Roman"/>
          <w:sz w:val="24"/>
          <w:szCs w:val="24"/>
          <w:u w:val="single"/>
        </w:rPr>
      </w:pPr>
      <w:r w:rsidRPr="00120A4B">
        <w:rPr>
          <w:rFonts w:ascii="Times New Roman" w:hAnsi="Times New Roman" w:cs="Times New Roman"/>
          <w:sz w:val="24"/>
          <w:szCs w:val="24"/>
        </w:rPr>
        <w:t xml:space="preserve">Este optimismo es secundado por </w:t>
      </w:r>
      <w:r w:rsidRPr="00B435CA">
        <w:rPr>
          <w:rFonts w:ascii="Times New Roman" w:hAnsi="Times New Roman" w:cs="Times New Roman"/>
          <w:sz w:val="24"/>
          <w:szCs w:val="24"/>
          <w:u w:val="single"/>
        </w:rPr>
        <w:t>la Agencia Internacional de Energías Renovables (IRENA), una institución que asegura que el rápido crecimiento de la economía del hidrógeno mundial puede producir importantes cambios geoeconómicos y geopolíticos. Impulsado por la urgencia climática y los compromisos de los países con respecto a la producción de cero emisiones netas, IRENA estima que el hidrógeno representará hasta el 12% del uso de energía en el mundo para 2050.</w:t>
      </w:r>
    </w:p>
    <w:p w:rsidR="00BF5D7B" w:rsidRPr="00120A4B"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“El hidrógeno se apalanca claramente en la revolución de las energías renovables, de modo que el hidrógeno verde se presenta como una solución radical para alcanzar la neutralidad climática sin comprometer el crecimiento industrial y el desarrollo social”, ha señalado Francesco La Camera, d</w:t>
      </w:r>
      <w:r>
        <w:rPr>
          <w:rFonts w:ascii="Times New Roman" w:hAnsi="Times New Roman" w:cs="Times New Roman"/>
          <w:sz w:val="24"/>
          <w:szCs w:val="24"/>
        </w:rPr>
        <w:t>irector general de IRENA.</w:t>
      </w:r>
    </w:p>
    <w:p w:rsidR="00BF5D7B" w:rsidRPr="008D1CB2" w:rsidRDefault="00BF5D7B" w:rsidP="00BF5D7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Sin embargo, a corto plazo, Bruselas se conforma con “aceptar soluciones imperfectas”, en palabras de la comisaria de Servicios financieros, Mairead McGuinnes, al anunciar la polémica taxonomía verde que complace las peticiones de Francia y Alemania. Pero más allá de que esta reforma vea la luz verde, en lo que sí coinciden los 27 es en la urgencia de abandonar la dependencia de Rusia, que ha pasado en las últimas semanas de ser un socio energético a un potencial enemigo bélico. Tras un 2021 de crisis energética, la Unión Europea ha entendido que el gas es su arma de doble filo.</w:t>
      </w:r>
    </w:p>
    <w:p w:rsidR="00BF5D7B" w:rsidRPr="00EC09C9"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6849">
        <w:rPr>
          <w:rFonts w:ascii="Times New Roman" w:hAnsi="Times New Roman" w:cs="Times New Roman"/>
          <w:sz w:val="24"/>
          <w:szCs w:val="24"/>
          <w:u w:val="single"/>
        </w:rPr>
        <w:t>Así es la red de gasoductos y metaneros que abastece a Europa</w:t>
      </w:r>
      <w:r>
        <w:rPr>
          <w:rFonts w:ascii="Times New Roman" w:hAnsi="Times New Roman" w:cs="Times New Roman"/>
          <w:sz w:val="24"/>
          <w:szCs w:val="24"/>
        </w:rPr>
        <w:t xml:space="preserve"> (Cinco Días - </w:t>
      </w:r>
      <w:r w:rsidRPr="00696849">
        <w:rPr>
          <w:rFonts w:ascii="Times New Roman" w:hAnsi="Times New Roman" w:cs="Times New Roman"/>
          <w:b/>
          <w:sz w:val="24"/>
          <w:szCs w:val="24"/>
        </w:rPr>
        <w:t>10/2/22</w:t>
      </w:r>
      <w:r>
        <w:rPr>
          <w:rFonts w:ascii="Times New Roman" w:hAnsi="Times New Roman" w:cs="Times New Roman"/>
          <w:sz w:val="24"/>
          <w:szCs w:val="24"/>
        </w:rPr>
        <w:t>)</w:t>
      </w:r>
    </w:p>
    <w:p w:rsidR="00BF5D7B" w:rsidRPr="00EC09C9"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Los países han tenido que volcarse en la importación por vía marítima de gas licuado ante la caída de las entregas en los gasoductos</w:t>
      </w:r>
    </w:p>
    <w:p w:rsidR="00BF5D7B" w:rsidRPr="00EC09C9"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(Por Gabriela López Escalante - Luis Alberto Peralta)</w:t>
      </w:r>
    </w:p>
    <w:p w:rsidR="00BF5D7B" w:rsidRPr="00EC09C9"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Europa depende del exterior para abastecerse de gas, y este solo puede llegar por dos vías cuyas características son opuestas: o bien los gasoductos que dan seguridad en el suministro a menor coste, pero cuya apertura y cierre está en manos del país productor, o por metaneros de gas natural licuado que permiten comprar en un mercado global pero</w:t>
      </w:r>
      <w:r>
        <w:rPr>
          <w:rFonts w:ascii="Times New Roman" w:hAnsi="Times New Roman" w:cs="Times New Roman"/>
          <w:sz w:val="24"/>
          <w:szCs w:val="24"/>
        </w:rPr>
        <w:t xml:space="preserve"> a mayores costes.</w:t>
      </w:r>
    </w:p>
    <w:p w:rsidR="00BF5D7B" w:rsidRPr="00B435CA" w:rsidRDefault="00BF5D7B" w:rsidP="00BF5D7B">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A grandes rasgos, los gasoductos que abastecen a Europa vienen de tres productores. Rusia alimenta Alemania y la Europa central Oriental, Argelia el Sur de Europa (con gasoductos a España e Italia) y Noruega a países de Europa del Norte y Occidental. La crisis ucraniana y la crisis diplomática entre Marruecos y Argelia han restringido el suministro por dos de las vías principales, y han obligado a la región a compensar la caída importando gas por vía marítima.</w:t>
      </w:r>
    </w:p>
    <w:p w:rsidR="00BF5D7B" w:rsidRPr="00EC09C9"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Rusia cuenta con una gran red de gasoductos que conectan sus campos de gas con Europa, sobre tod</w:t>
      </w:r>
      <w:r>
        <w:rPr>
          <w:rFonts w:ascii="Times New Roman" w:hAnsi="Times New Roman" w:cs="Times New Roman"/>
          <w:sz w:val="24"/>
          <w:szCs w:val="24"/>
        </w:rPr>
        <w:t>o a la región conocida como el “Baumgarten”</w:t>
      </w:r>
      <w:r w:rsidRPr="00EC09C9">
        <w:rPr>
          <w:rFonts w:ascii="Times New Roman" w:hAnsi="Times New Roman" w:cs="Times New Roman"/>
          <w:sz w:val="24"/>
          <w:szCs w:val="24"/>
        </w:rPr>
        <w:t xml:space="preserve">, que abarca Alemania oriental, Austria y los países de Europa del Este. Históricamente, la mayor parte de sus envíos </w:t>
      </w:r>
      <w:r w:rsidRPr="00EC09C9">
        <w:rPr>
          <w:rFonts w:ascii="Times New Roman" w:hAnsi="Times New Roman" w:cs="Times New Roman"/>
          <w:sz w:val="24"/>
          <w:szCs w:val="24"/>
        </w:rPr>
        <w:lastRenderedPageBreak/>
        <w:t>transitaban p</w:t>
      </w:r>
      <w:r>
        <w:rPr>
          <w:rFonts w:ascii="Times New Roman" w:hAnsi="Times New Roman" w:cs="Times New Roman"/>
          <w:sz w:val="24"/>
          <w:szCs w:val="24"/>
        </w:rPr>
        <w:t>or la red de conocida como el “Corredor Ucraniano”</w:t>
      </w:r>
      <w:r w:rsidRPr="00EC09C9">
        <w:rPr>
          <w:rFonts w:ascii="Times New Roman" w:hAnsi="Times New Roman" w:cs="Times New Roman"/>
          <w:sz w:val="24"/>
          <w:szCs w:val="24"/>
        </w:rPr>
        <w:t>, compuesta pri</w:t>
      </w:r>
      <w:r>
        <w:rPr>
          <w:rFonts w:ascii="Times New Roman" w:hAnsi="Times New Roman" w:cs="Times New Roman"/>
          <w:sz w:val="24"/>
          <w:szCs w:val="24"/>
        </w:rPr>
        <w:t>ncipalmente por los gasoductos “Progreso”</w:t>
      </w:r>
      <w:r w:rsidRPr="00EC09C9">
        <w:rPr>
          <w:rFonts w:ascii="Times New Roman" w:hAnsi="Times New Roman" w:cs="Times New Roman"/>
          <w:sz w:val="24"/>
          <w:szCs w:val="24"/>
        </w:rPr>
        <w:t xml:space="preserve">, Kiev-Ucrania del Este y SDKRI. Esta </w:t>
      </w:r>
      <w:r w:rsidR="009C20F1" w:rsidRPr="00EC09C9">
        <w:rPr>
          <w:rFonts w:ascii="Times New Roman" w:hAnsi="Times New Roman" w:cs="Times New Roman"/>
          <w:sz w:val="24"/>
          <w:szCs w:val="24"/>
        </w:rPr>
        <w:t>infraestructura</w:t>
      </w:r>
      <w:r w:rsidRPr="00EC09C9">
        <w:rPr>
          <w:rFonts w:ascii="Times New Roman" w:hAnsi="Times New Roman" w:cs="Times New Roman"/>
          <w:sz w:val="24"/>
          <w:szCs w:val="24"/>
        </w:rPr>
        <w:t xml:space="preserve"> transportaba hasta 2019 alrededor de un 45% de los envíos rusos a la región, aunque fuentes del Gobierno ucraniano han asegurado a Cinco Días que desde 2020 este porcentaje habría caído hasta solo un 20%.</w:t>
      </w:r>
    </w:p>
    <w:p w:rsidR="00BF5D7B" w:rsidRPr="00EC09C9"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Fuera de esta red, destacan el Nordstream, una gran tubería que conecta los campos rusos con Alemania a través del báltico y tiene una capacidad de 55 millones de bcm (cientos de miles de metros cúbicos, la unidad de medida para transporte de gas), y el gasoducto Yamal Europa, que atraviesa Belarús y Polonia para llegar a Alemania y tiene una capacidad de 32.9 bcm. Estos dos gasoductos sumados, sin embargo, no alcanzan la capacidad total del corredor ucr</w:t>
      </w:r>
      <w:r>
        <w:rPr>
          <w:rFonts w:ascii="Times New Roman" w:hAnsi="Times New Roman" w:cs="Times New Roman"/>
          <w:sz w:val="24"/>
          <w:szCs w:val="24"/>
        </w:rPr>
        <w:t>aniano, que llega a unos 90bcm.</w:t>
      </w:r>
    </w:p>
    <w:p w:rsidR="00BF5D7B"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Por otra parte, en 2021 se concluyó la construcción del Nord Stream 2, el gasoducto gemelo del Nord Stream que traza la misma ruta. El proyecto, que ha costado en torno a 9.500 millones de euros y fue financiado al 50% por empresas europeas como Shell, Engie, y las alemanas OMV y Uniper, permitirá redirigir los envíos rusos sin cruzar el territorio de las exrepúblicas soviéticas. El futuro del gasoducto, sin embargo, permanece incierto precisamente a causa de la concentración de tropas rusas en la frontera ucrania. Si bien el vicepresidente de la Comisión Europea, Valdis Dombrovskis, aseguró el 31 de enero que la aprobación del duc</w:t>
      </w:r>
      <w:r>
        <w:rPr>
          <w:rFonts w:ascii="Times New Roman" w:hAnsi="Times New Roman" w:cs="Times New Roman"/>
          <w:sz w:val="24"/>
          <w:szCs w:val="24"/>
        </w:rPr>
        <w:t>to se encuentra suspendida por “</w:t>
      </w:r>
      <w:r w:rsidRPr="00EC09C9">
        <w:rPr>
          <w:rFonts w:ascii="Times New Roman" w:hAnsi="Times New Roman" w:cs="Times New Roman"/>
          <w:sz w:val="24"/>
          <w:szCs w:val="24"/>
        </w:rPr>
        <w:t>ir en contr</w:t>
      </w:r>
      <w:r>
        <w:rPr>
          <w:rFonts w:ascii="Times New Roman" w:hAnsi="Times New Roman" w:cs="Times New Roman"/>
          <w:sz w:val="24"/>
          <w:szCs w:val="24"/>
        </w:rPr>
        <w:t>a de la legislación europea”</w:t>
      </w:r>
      <w:r w:rsidRPr="00EC09C9">
        <w:rPr>
          <w:rFonts w:ascii="Times New Roman" w:hAnsi="Times New Roman" w:cs="Times New Roman"/>
          <w:sz w:val="24"/>
          <w:szCs w:val="24"/>
        </w:rPr>
        <w:t>, nada garantiza que en el m</w:t>
      </w:r>
      <w:r>
        <w:rPr>
          <w:rFonts w:ascii="Times New Roman" w:hAnsi="Times New Roman" w:cs="Times New Roman"/>
          <w:sz w:val="24"/>
          <w:szCs w:val="24"/>
        </w:rPr>
        <w:t>edio plazo no se pueda retomar.</w:t>
      </w:r>
    </w:p>
    <w:p w:rsidR="00BF5D7B" w:rsidRPr="00EC09C9" w:rsidRDefault="00BF5D7B" w:rsidP="00BF5D7B">
      <w:pPr>
        <w:spacing w:line="240" w:lineRule="auto"/>
        <w:jc w:val="both"/>
        <w:rPr>
          <w:rFonts w:ascii="Times New Roman" w:hAnsi="Times New Roman" w:cs="Times New Roman"/>
          <w:sz w:val="24"/>
          <w:szCs w:val="24"/>
        </w:rPr>
      </w:pPr>
      <w:r>
        <w:rPr>
          <w:noProof/>
          <w:lang w:eastAsia="es-ES"/>
        </w:rPr>
        <w:drawing>
          <wp:inline distT="0" distB="0" distL="0" distR="0" wp14:anchorId="5C52CD8C" wp14:editId="6FA45C15">
            <wp:extent cx="5731510" cy="3206461"/>
            <wp:effectExtent l="0" t="0" r="2540" b="0"/>
            <wp:docPr id="72" name="Imagen 72" descr="https://cincodias.elpais.com/cincodias/imagenes/2022/02/09/companias/1644413740_394775_1644446508_sumario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incodias.elpais.com/cincodias/imagenes/2022/02/09/companias/1644413740_394775_1644446508_sumario_grande.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3206461"/>
                    </a:xfrm>
                    <a:prstGeom prst="rect">
                      <a:avLst/>
                    </a:prstGeom>
                    <a:noFill/>
                    <a:ln>
                      <a:noFill/>
                    </a:ln>
                  </pic:spPr>
                </pic:pic>
              </a:graphicData>
            </a:graphic>
          </wp:inline>
        </w:drawing>
      </w:r>
    </w:p>
    <w:p w:rsidR="00BF5D7B" w:rsidRPr="00EC09C9"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Red de gasoductos que conectan a Europa con Rusia y Argelia, sus principales proveedores.</w:t>
      </w:r>
    </w:p>
    <w:p w:rsidR="00BF5D7B" w:rsidRPr="00EC09C9"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Los países del sur de Europa, por su lado, reciben gas desde el Norte de Europa. El principal proveedor de gas de España es Argelia, que suministra alrededor del 30% de sus importaciones por el gasoducto Medgaz y ahora por vía marítima. Hasta el año pasado, hacía también gran parte de sus envíos por medio del gasoducto Magreb-Europa, pero la crisis diplomática con Marruecos incitó al Gobierno argelino a det</w:t>
      </w:r>
      <w:r>
        <w:rPr>
          <w:rFonts w:ascii="Times New Roman" w:hAnsi="Times New Roman" w:cs="Times New Roman"/>
          <w:sz w:val="24"/>
          <w:szCs w:val="24"/>
        </w:rPr>
        <w:t xml:space="preserve">ener los envíos por esta ruta. </w:t>
      </w:r>
    </w:p>
    <w:p w:rsidR="00BF5D7B" w:rsidRPr="00EC09C9"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lastRenderedPageBreak/>
        <w:t>Italia, por su parte, recibe gran parte del gas desde Libia por medio del gasoducto Greenstream y desde Argelia por medio del Transmed, que conecta el norte de África con Sicilia y el sur de Italia a través del mediterráneo. Sin embargo, cabe destacar que los italiano</w:t>
      </w:r>
      <w:r>
        <w:rPr>
          <w:rFonts w:ascii="Times New Roman" w:hAnsi="Times New Roman" w:cs="Times New Roman"/>
          <w:sz w:val="24"/>
          <w:szCs w:val="24"/>
        </w:rPr>
        <w:t>s</w:t>
      </w:r>
      <w:r w:rsidRPr="00EC09C9">
        <w:rPr>
          <w:rFonts w:ascii="Times New Roman" w:hAnsi="Times New Roman" w:cs="Times New Roman"/>
          <w:sz w:val="24"/>
          <w:szCs w:val="24"/>
        </w:rPr>
        <w:t xml:space="preserve"> también importan alrededor del 40% d</w:t>
      </w:r>
      <w:r>
        <w:rPr>
          <w:rFonts w:ascii="Times New Roman" w:hAnsi="Times New Roman" w:cs="Times New Roman"/>
          <w:sz w:val="24"/>
          <w:szCs w:val="24"/>
        </w:rPr>
        <w:t>e este combustible desde Rusia.</w:t>
      </w:r>
    </w:p>
    <w:p w:rsidR="00BF5D7B" w:rsidRPr="00EC09C9"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El GNL utiliza tecnología especializada para enfriar el gas natural y así convertirlo a estado líquido, lo que facilita transportarlo por vía marítima para después convertirlo de nuevo en gas. De esta forma, el combustible se puede adquirir gas de productores como Australia, Rusia, Nigeria o el Golfo Pérsico y enviarlo a cualquier parte del mundo sin necesidad de tuberías. Actualmente, China es el principal destino mundial para este elemento, ya que sus intensos esfuerzos de descarbonización han desviado gran parte de su producción eléctrica hacia este producto.</w:t>
      </w:r>
    </w:p>
    <w:p w:rsidR="00BF5D7B" w:rsidRPr="00B435CA" w:rsidRDefault="00BF5D7B" w:rsidP="00BF5D7B">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Los envíos de GNL, sin embargo, pueden ser mucho más caros. Los contratos pueden ser a largo plazo, pero si la necesidad es demasiado corta, se realizan contratos a largos plazos con una prima que recompense al proveedor. Las variables de estos contratos suelen se</w:t>
      </w:r>
      <w:r>
        <w:rPr>
          <w:rFonts w:ascii="Times New Roman" w:hAnsi="Times New Roman" w:cs="Times New Roman"/>
          <w:sz w:val="24"/>
          <w:szCs w:val="24"/>
          <w:u w:val="single"/>
        </w:rPr>
        <w:t>r volumen, precio y duración. “</w:t>
      </w:r>
      <w:r w:rsidRPr="00B435CA">
        <w:rPr>
          <w:rFonts w:ascii="Times New Roman" w:hAnsi="Times New Roman" w:cs="Times New Roman"/>
          <w:sz w:val="24"/>
          <w:szCs w:val="24"/>
          <w:u w:val="single"/>
        </w:rPr>
        <w:t>Por ejemplo, un contrato podría durar 20 años. En ese plazo tiene un volumen de entregas mínimo y máximo a un precio variable supeditado a algún derivado del precio del petróleo. Otros contratos pueden ser a cortísimo plazo y estar ligados al precio por ejemplo del TTF, potencialmente con una prima si hay una demanda significativa. El tipo de contrato dependerá de las necesidades”, ha explicado a Cinco</w:t>
      </w:r>
      <w:r w:rsidR="009C20F1">
        <w:rPr>
          <w:rFonts w:ascii="Times New Roman" w:hAnsi="Times New Roman" w:cs="Times New Roman"/>
          <w:sz w:val="24"/>
          <w:szCs w:val="24"/>
          <w:u w:val="single"/>
        </w:rPr>
        <w:t xml:space="preserve"> </w:t>
      </w:r>
      <w:r w:rsidRPr="00B435CA">
        <w:rPr>
          <w:rFonts w:ascii="Times New Roman" w:hAnsi="Times New Roman" w:cs="Times New Roman"/>
          <w:sz w:val="24"/>
          <w:szCs w:val="24"/>
          <w:u w:val="single"/>
        </w:rPr>
        <w:t>Días un portavoz de International Gas Union (IGU), organización que abarca al 95% de los actores de la cadena de valor mundial del gas. En este sentido, mientras algunos metaneros satisfacen las necesidades de los contratos a largo plazo, otros pueden viajar a los destinos con contratos rentables a corto plazo.</w:t>
      </w:r>
    </w:p>
    <w:p w:rsidR="00BF5D7B" w:rsidRPr="00EC09C9"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 xml:space="preserve">Las recientes tribulaciones diplomáticas, sin embargo, han disparado el precio. Los futuros en el mercado neerlandés, que es el referente europeo, permanecen alrededor de un 300% por encima de la media de 2020, y no se normalizarán hasta 2024, de acuerdo con las cifras de Intercontinental Exchange. Afortunadamente, la llegada de numerosos metaneros a puertos europeos en las últimas semanas ha aliviado la presión. Los futuros en el mercado neerlandés han caído en un 55,2% desde el último pico el 21 de diciembre, aunque se mantienen muy </w:t>
      </w:r>
      <w:r>
        <w:rPr>
          <w:rFonts w:ascii="Times New Roman" w:hAnsi="Times New Roman" w:cs="Times New Roman"/>
          <w:sz w:val="24"/>
          <w:szCs w:val="24"/>
        </w:rPr>
        <w:t>por encima de la media de 2020.</w:t>
      </w:r>
    </w:p>
    <w:p w:rsidR="00BF5D7B" w:rsidRDefault="00BF5D7B" w:rsidP="00BF5D7B">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En el caso de España, la mayor contratación de gas licuado está ligada al cambio de suministrador tras el cierre del gasoducto Magreb-Europa (el que conecta la Península con Argelia a través de Marruecos). Según cifras de Enagás, las importaciones de GNL representaron el 68,8% del total del gas en el sistema gasístico español en diciembre de 2021, en contraste con el 47,6% que representaban en diciembre de 2020. Asimismo, su porción del sistema es un 4% superior a la de noviembre y un 15,7% superior a junio de 2021, cuando comenzó la crisis energética.</w:t>
      </w:r>
    </w:p>
    <w:p w:rsidR="00BF5D7B" w:rsidRPr="008D1CB2" w:rsidRDefault="00BF5D7B" w:rsidP="00BF5D7B">
      <w:pPr>
        <w:spacing w:line="240" w:lineRule="auto"/>
        <w:jc w:val="both"/>
        <w:rPr>
          <w:rFonts w:ascii="Times New Roman" w:hAnsi="Times New Roman" w:cs="Times New Roman"/>
          <w:b/>
          <w:sz w:val="24"/>
          <w:szCs w:val="24"/>
        </w:rPr>
      </w:pPr>
      <w:r w:rsidRPr="008D1CB2">
        <w:rPr>
          <w:rFonts w:ascii="Times New Roman" w:hAnsi="Times New Roman" w:cs="Times New Roman"/>
          <w:b/>
          <w:sz w:val="24"/>
          <w:szCs w:val="24"/>
        </w:rPr>
        <w:t>Antes se atrapa a un mentiroso que a un cojo</w:t>
      </w:r>
      <w:r>
        <w:rPr>
          <w:rFonts w:ascii="Times New Roman" w:hAnsi="Times New Roman" w:cs="Times New Roman"/>
          <w:b/>
          <w:sz w:val="24"/>
          <w:szCs w:val="24"/>
        </w:rPr>
        <w:t xml:space="preserve"> (la taxonomía de los hipócritas)</w:t>
      </w:r>
    </w:p>
    <w:p w:rsidR="00BF5D7B" w:rsidRPr="006934A8"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34A8">
        <w:rPr>
          <w:rFonts w:ascii="Times New Roman" w:hAnsi="Times New Roman" w:cs="Times New Roman"/>
          <w:sz w:val="24"/>
          <w:szCs w:val="24"/>
          <w:u w:val="single"/>
        </w:rPr>
        <w:t>Los bancos llaman a la acción climática mientras destinan 1,5 billones a la industria del carbón</w:t>
      </w:r>
      <w:r>
        <w:rPr>
          <w:rFonts w:ascii="Times New Roman" w:hAnsi="Times New Roman" w:cs="Times New Roman"/>
          <w:sz w:val="24"/>
          <w:szCs w:val="24"/>
        </w:rPr>
        <w:t xml:space="preserve"> (El Economista - </w:t>
      </w:r>
      <w:r w:rsidRPr="006934A8">
        <w:rPr>
          <w:rFonts w:ascii="Times New Roman" w:hAnsi="Times New Roman" w:cs="Times New Roman"/>
          <w:b/>
          <w:sz w:val="24"/>
          <w:szCs w:val="24"/>
        </w:rPr>
        <w:t>19/2/22</w:t>
      </w:r>
      <w:r>
        <w:rPr>
          <w:rFonts w:ascii="Times New Roman" w:hAnsi="Times New Roman" w:cs="Times New Roman"/>
          <w:sz w:val="24"/>
          <w:szCs w:val="24"/>
        </w:rPr>
        <w:t>)</w:t>
      </w:r>
    </w:p>
    <w:p w:rsidR="00BF5D7B" w:rsidRPr="008B3484" w:rsidRDefault="00BF5D7B" w:rsidP="00BF5D7B">
      <w:pPr>
        <w:spacing w:line="240" w:lineRule="auto"/>
        <w:jc w:val="both"/>
        <w:rPr>
          <w:rFonts w:ascii="Times New Roman" w:hAnsi="Times New Roman" w:cs="Times New Roman"/>
          <w:color w:val="FF0000"/>
          <w:sz w:val="24"/>
          <w:szCs w:val="24"/>
          <w:u w:val="single"/>
        </w:rPr>
      </w:pPr>
      <w:r w:rsidRPr="006934A8">
        <w:rPr>
          <w:rFonts w:ascii="Times New Roman" w:hAnsi="Times New Roman" w:cs="Times New Roman"/>
          <w:sz w:val="24"/>
          <w:szCs w:val="24"/>
        </w:rPr>
        <w:t xml:space="preserve">El planeta se enfrenta a su mayor reto hasta la fecha: el cambio climático. Es un hecho que se acaba el tiempo para actuar ante esta crisis y evitar consecuencias mayores. Pese a todos los avisos y las evidencias, los bancos e inversores siguen financiando la industria del carbón, el combustible fósil más sucio del mundo. </w:t>
      </w:r>
      <w:r w:rsidRPr="008B3484">
        <w:rPr>
          <w:rFonts w:ascii="Times New Roman" w:hAnsi="Times New Roman" w:cs="Times New Roman"/>
          <w:color w:val="FF0000"/>
          <w:sz w:val="24"/>
          <w:szCs w:val="24"/>
          <w:u w:val="single"/>
        </w:rPr>
        <w:t xml:space="preserve">Entre enero de 2019 y noviembre de 2021, las </w:t>
      </w:r>
      <w:r w:rsidRPr="008B3484">
        <w:rPr>
          <w:rFonts w:ascii="Times New Roman" w:hAnsi="Times New Roman" w:cs="Times New Roman"/>
          <w:color w:val="FF0000"/>
          <w:sz w:val="24"/>
          <w:szCs w:val="24"/>
          <w:u w:val="single"/>
        </w:rPr>
        <w:lastRenderedPageBreak/>
        <w:t>instituciones bancarias destinaron cerca de 1,5 billones de dólares a la financiación de la industria del carbón.</w:t>
      </w:r>
    </w:p>
    <w:p w:rsidR="00BF5D7B" w:rsidRPr="008B3484" w:rsidRDefault="00BF5D7B" w:rsidP="00BF5D7B">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Media docena de bancos con sede en Estados Unidos, China, Japón, India, Canadá y Reino Unido son responsables de casi el 50% del dinero canalizado a empresas de la industria del carbón</w:t>
      </w:r>
      <w:r w:rsidRPr="006934A8">
        <w:rPr>
          <w:rFonts w:ascii="Times New Roman" w:hAnsi="Times New Roman" w:cs="Times New Roman"/>
          <w:sz w:val="24"/>
          <w:szCs w:val="24"/>
        </w:rPr>
        <w:t xml:space="preserve">, mientras que más de 360.000 millones corresponden a préstamos realizados por 376 bancos comerciales, según la investigación de las ONG climáticas Urgewald y Reclaim Finance. </w:t>
      </w:r>
      <w:r w:rsidRPr="008B3484">
        <w:rPr>
          <w:rFonts w:ascii="Times New Roman" w:hAnsi="Times New Roman" w:cs="Times New Roman"/>
          <w:color w:val="FF0000"/>
          <w:sz w:val="24"/>
          <w:szCs w:val="24"/>
          <w:u w:val="single"/>
        </w:rPr>
        <w:t>Cabe destacar que 10 de esos 12 prestamistas son miembros de la Net Zero Banking Alliance de la ONU, una iniciativa liderada por la industria bancaria que se compromete a alinear sus carteras con las emisiones netas cero para 2050.</w:t>
      </w:r>
    </w:p>
    <w:p w:rsidR="00BF5D7B" w:rsidRPr="008B3484" w:rsidRDefault="00BF5D7B" w:rsidP="00BF5D7B">
      <w:pPr>
        <w:spacing w:line="240" w:lineRule="auto"/>
        <w:jc w:val="both"/>
        <w:rPr>
          <w:rFonts w:ascii="Times New Roman" w:hAnsi="Times New Roman" w:cs="Times New Roman"/>
          <w:sz w:val="24"/>
          <w:szCs w:val="24"/>
          <w:u w:val="single"/>
        </w:rPr>
      </w:pPr>
      <w:r w:rsidRPr="008B3484">
        <w:rPr>
          <w:rFonts w:ascii="Times New Roman" w:hAnsi="Times New Roman" w:cs="Times New Roman"/>
          <w:sz w:val="24"/>
          <w:szCs w:val="24"/>
          <w:u w:val="single"/>
        </w:rPr>
        <w:t>Las beneficiarias de estos préstamos forman parte de la Global Coal Exist List (GCEL), un conjunto de 1.032 empresas que representan el 90% de la producción mundial de carbón térmico y de la capacidad de combustión de carbón. Las actividades que desarrollan dichas compañías van desde la extracción y el comercio de carbón hasta la conversión del mismo en líquidos y la explotación de centrales eléctricas de este material.</w:t>
      </w:r>
    </w:p>
    <w:p w:rsidR="00BF5D7B" w:rsidRPr="008B3484" w:rsidRDefault="00BF5D7B" w:rsidP="00BF5D7B">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Las entidades japonesas Mizuho Financial, Mitsubishi UFJ Financial y SMBC Group son los principales prestamistas de la industria del carbón. El cuarto y quinto puesto lo ocupan Barclays y Citigroup. Todas ellas forman parte de la Net Zero Banking Alliance de Naciones Unidas.</w:t>
      </w:r>
    </w:p>
    <w:p w:rsidR="00BF5D7B" w:rsidRPr="006934A8" w:rsidRDefault="00BF5D7B" w:rsidP="00BF5D7B">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Un portavoz de Barclays ha declarado a la CNBC que el banco se comprometió en 2019 a no financiar proyectos relacionados con el carbón. Mitsubishi UFJ Financial, por su parte, ha reiterado su objetivo de alcanzar la neutralidad de carbono en sus operaciones para 2030 y en su car</w:t>
      </w:r>
      <w:r>
        <w:rPr>
          <w:rFonts w:ascii="Times New Roman" w:hAnsi="Times New Roman" w:cs="Times New Roman"/>
          <w:sz w:val="24"/>
          <w:szCs w:val="24"/>
        </w:rPr>
        <w:t>tera de financiación para 2050.</w:t>
      </w:r>
    </w:p>
    <w:p w:rsidR="00BF5D7B" w:rsidRPr="006934A8" w:rsidRDefault="00BF5D7B" w:rsidP="00BF5D7B">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Financiación a través de suscripciones</w:t>
      </w:r>
    </w:p>
    <w:p w:rsidR="00BF5D7B" w:rsidRPr="006934A8" w:rsidRDefault="00BF5D7B" w:rsidP="00BF5D7B">
      <w:pPr>
        <w:spacing w:line="240" w:lineRule="auto"/>
        <w:jc w:val="both"/>
        <w:rPr>
          <w:rFonts w:ascii="Times New Roman" w:hAnsi="Times New Roman" w:cs="Times New Roman"/>
          <w:sz w:val="24"/>
          <w:szCs w:val="24"/>
        </w:rPr>
      </w:pPr>
      <w:r w:rsidRPr="008B3484">
        <w:rPr>
          <w:rFonts w:ascii="Times New Roman" w:hAnsi="Times New Roman" w:cs="Times New Roman"/>
          <w:sz w:val="24"/>
          <w:szCs w:val="24"/>
          <w:u w:val="single"/>
        </w:rPr>
        <w:t>Las suscripciones se han convertido en el principal método de los bancos para recaudar capital para financiar a la industria del carbón</w:t>
      </w:r>
      <w:r w:rsidRPr="006934A8">
        <w:rPr>
          <w:rFonts w:ascii="Times New Roman" w:hAnsi="Times New Roman" w:cs="Times New Roman"/>
          <w:sz w:val="24"/>
          <w:szCs w:val="24"/>
        </w:rPr>
        <w:t>. Las entidades bancarias emiten bonos o acciones en nombre de las empresas y se los venden a los inversores como fondos de pensiones o de inversión.</w:t>
      </w:r>
    </w:p>
    <w:p w:rsidR="00BF5D7B" w:rsidRPr="006934A8" w:rsidRDefault="00BF5D7B" w:rsidP="00BF5D7B">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A través de este proceso, 484 b</w:t>
      </w:r>
      <w:r>
        <w:rPr>
          <w:rFonts w:ascii="Times New Roman" w:hAnsi="Times New Roman" w:cs="Times New Roman"/>
          <w:sz w:val="24"/>
          <w:szCs w:val="24"/>
        </w:rPr>
        <w:t>ancos canalizaron cerca de 1,2 b</w:t>
      </w:r>
      <w:r w:rsidRPr="006934A8">
        <w:rPr>
          <w:rFonts w:ascii="Times New Roman" w:hAnsi="Times New Roman" w:cs="Times New Roman"/>
          <w:sz w:val="24"/>
          <w:szCs w:val="24"/>
        </w:rPr>
        <w:t>illones de dólares a empresas de la GCEL entre enero de 2019 y noviembre de 2021. Sólo 12 entidades de todas las participantes en la financiación del sector fueron responsables del 39% del total de las sus</w:t>
      </w:r>
      <w:r>
        <w:rPr>
          <w:rFonts w:ascii="Times New Roman" w:hAnsi="Times New Roman" w:cs="Times New Roman"/>
          <w:sz w:val="24"/>
          <w:szCs w:val="24"/>
        </w:rPr>
        <w:t>cripciones durante ese periodo.</w:t>
      </w:r>
    </w:p>
    <w:p w:rsidR="00BF5D7B" w:rsidRPr="006934A8" w:rsidRDefault="00BF5D7B" w:rsidP="00BF5D7B">
      <w:pPr>
        <w:spacing w:line="240" w:lineRule="auto"/>
        <w:jc w:val="both"/>
        <w:rPr>
          <w:rFonts w:ascii="Times New Roman" w:hAnsi="Times New Roman" w:cs="Times New Roman"/>
          <w:sz w:val="24"/>
          <w:szCs w:val="24"/>
        </w:rPr>
      </w:pPr>
      <w:r w:rsidRPr="008B3484">
        <w:rPr>
          <w:rFonts w:ascii="Times New Roman" w:hAnsi="Times New Roman" w:cs="Times New Roman"/>
          <w:color w:val="FF0000"/>
          <w:sz w:val="24"/>
          <w:szCs w:val="24"/>
          <w:u w:val="single"/>
        </w:rPr>
        <w:t>Casi todas las entidades bancarias que financiaron a la industria del carbón mediante suscripciones tienen sede en China. En el top tres se encuentran el Industrial Commercial Bank of China, el China International Trust and Investment Corporation y el Shanghai Pudong Development Bank</w:t>
      </w:r>
      <w:r w:rsidRPr="006934A8">
        <w:rPr>
          <w:rFonts w:ascii="Times New Roman" w:hAnsi="Times New Roman" w:cs="Times New Roman"/>
          <w:sz w:val="24"/>
          <w:szCs w:val="24"/>
        </w:rPr>
        <w:t>. El único banco no chino entre los 12 principales suscriptores de la industria del carbón fue JPMorgan Chase, el mayor banco estadounidense por activos.</w:t>
      </w:r>
    </w:p>
    <w:p w:rsidR="00BF5D7B" w:rsidRDefault="00BF5D7B" w:rsidP="00BF5D7B">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En respuesta a estas acusaciones</w:t>
      </w:r>
      <w:r>
        <w:rPr>
          <w:rFonts w:ascii="Times New Roman" w:hAnsi="Times New Roman" w:cs="Times New Roman"/>
          <w:sz w:val="24"/>
          <w:szCs w:val="24"/>
        </w:rPr>
        <w:t>, JPMorgan Chase ha asegurado “</w:t>
      </w:r>
      <w:r w:rsidRPr="006934A8">
        <w:rPr>
          <w:rFonts w:ascii="Times New Roman" w:hAnsi="Times New Roman" w:cs="Times New Roman"/>
          <w:sz w:val="24"/>
          <w:szCs w:val="24"/>
        </w:rPr>
        <w:t>ser el primer banco de Estados Unidos en establecer objetivos de reducción de carbon</w:t>
      </w:r>
      <w:r>
        <w:rPr>
          <w:rFonts w:ascii="Times New Roman" w:hAnsi="Times New Roman" w:cs="Times New Roman"/>
          <w:sz w:val="24"/>
          <w:szCs w:val="24"/>
        </w:rPr>
        <w:t>o para 2030 alineados con París”</w:t>
      </w:r>
      <w:r w:rsidRPr="006934A8">
        <w:rPr>
          <w:rFonts w:ascii="Times New Roman" w:hAnsi="Times New Roman" w:cs="Times New Roman"/>
          <w:sz w:val="24"/>
          <w:szCs w:val="24"/>
        </w:rPr>
        <w:t>.</w:t>
      </w:r>
    </w:p>
    <w:p w:rsidR="00BF5D7B" w:rsidRPr="006934A8" w:rsidRDefault="00BF5D7B" w:rsidP="00BF5D7B">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Los inversores compran estos valores</w:t>
      </w:r>
    </w:p>
    <w:p w:rsidR="00BF5D7B" w:rsidRPr="008B3484" w:rsidRDefault="00BF5D7B" w:rsidP="00BF5D7B">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 xml:space="preserve">Junto a las entidades bancarias, los inversores institucionales también desempeñaron un papel esencial en la financiación de la industria del carbón. Los principales inversores </w:t>
      </w:r>
      <w:r w:rsidRPr="008B3484">
        <w:rPr>
          <w:rFonts w:ascii="Times New Roman" w:hAnsi="Times New Roman" w:cs="Times New Roman"/>
          <w:color w:val="FF0000"/>
          <w:sz w:val="24"/>
          <w:szCs w:val="24"/>
          <w:u w:val="single"/>
        </w:rPr>
        <w:lastRenderedPageBreak/>
        <w:t>institucionales con participaciones en la industri</w:t>
      </w:r>
      <w:r w:rsidR="009C20F1">
        <w:rPr>
          <w:rFonts w:ascii="Times New Roman" w:hAnsi="Times New Roman" w:cs="Times New Roman"/>
          <w:color w:val="FF0000"/>
          <w:sz w:val="24"/>
          <w:szCs w:val="24"/>
          <w:u w:val="single"/>
        </w:rPr>
        <w:t>a del carbón son BlackR</w:t>
      </w:r>
      <w:r w:rsidRPr="008B3484">
        <w:rPr>
          <w:rFonts w:ascii="Times New Roman" w:hAnsi="Times New Roman" w:cs="Times New Roman"/>
          <w:color w:val="FF0000"/>
          <w:sz w:val="24"/>
          <w:szCs w:val="24"/>
          <w:u w:val="single"/>
        </w:rPr>
        <w:t>ock y Vanguard, de las casi 5.000 entidades investigadas.</w:t>
      </w:r>
    </w:p>
    <w:p w:rsidR="00BF5D7B" w:rsidRPr="008B3484" w:rsidRDefault="00BF5D7B" w:rsidP="00BF5D7B">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BlackRock es el que más dinero invirtió en la industria del carbón. En concreto, representa el 9% de las participaciones mundiales en acciones de carbón, con 109.000 millones de dólares de su capital en empresas productoras de carbón. Asimismo, es el principal inversor institucional mundial en empresas que construyen nuevas plantas de carbón, con más de 34.000 millones de dólares invertidos.</w:t>
      </w:r>
    </w:p>
    <w:p w:rsidR="00BF5D7B" w:rsidRDefault="00BF5D7B" w:rsidP="00BF5D7B">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En cuanto Vanguard, un portavoz de la</w:t>
      </w:r>
      <w:r>
        <w:rPr>
          <w:rFonts w:ascii="Times New Roman" w:hAnsi="Times New Roman" w:cs="Times New Roman"/>
          <w:sz w:val="24"/>
          <w:szCs w:val="24"/>
        </w:rPr>
        <w:t xml:space="preserve"> entidad ha asegurado que está “</w:t>
      </w:r>
      <w:r w:rsidRPr="006934A8">
        <w:rPr>
          <w:rFonts w:ascii="Times New Roman" w:hAnsi="Times New Roman" w:cs="Times New Roman"/>
          <w:sz w:val="24"/>
          <w:szCs w:val="24"/>
        </w:rPr>
        <w:t>comprometida a alentar a las empresas, a través de una administración eficaz, a abordar lo</w:t>
      </w:r>
      <w:r>
        <w:rPr>
          <w:rFonts w:ascii="Times New Roman" w:hAnsi="Times New Roman" w:cs="Times New Roman"/>
          <w:sz w:val="24"/>
          <w:szCs w:val="24"/>
        </w:rPr>
        <w:t>s riesgos climáticos materiales”</w:t>
      </w:r>
      <w:r w:rsidRPr="006934A8">
        <w:rPr>
          <w:rFonts w:ascii="Times New Roman" w:hAnsi="Times New Roman" w:cs="Times New Roman"/>
          <w:sz w:val="24"/>
          <w:szCs w:val="24"/>
        </w:rPr>
        <w:t xml:space="preserve"> a través de la transición energética.</w:t>
      </w:r>
    </w:p>
    <w:p w:rsidR="00597116" w:rsidRPr="000707EB" w:rsidRDefault="00597116" w:rsidP="005971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707EB">
        <w:rPr>
          <w:rFonts w:ascii="Times New Roman" w:hAnsi="Times New Roman" w:cs="Times New Roman"/>
          <w:sz w:val="24"/>
          <w:szCs w:val="24"/>
          <w:u w:val="single"/>
        </w:rPr>
        <w:t>Los subsidios de energía verde de California estimulan la fiebre del oro en el estiércol de vaca</w:t>
      </w:r>
      <w:r>
        <w:rPr>
          <w:rFonts w:ascii="Times New Roman" w:hAnsi="Times New Roman" w:cs="Times New Roman"/>
          <w:sz w:val="24"/>
          <w:szCs w:val="24"/>
        </w:rPr>
        <w:t xml:space="preserve"> (The Wall Street Journal - </w:t>
      </w:r>
      <w:r w:rsidRPr="000707EB">
        <w:rPr>
          <w:rFonts w:ascii="Times New Roman" w:hAnsi="Times New Roman" w:cs="Times New Roman"/>
          <w:b/>
          <w:sz w:val="24"/>
          <w:szCs w:val="24"/>
        </w:rPr>
        <w:t>19/2/22</w:t>
      </w:r>
      <w:r>
        <w:rPr>
          <w:rFonts w:ascii="Times New Roman" w:hAnsi="Times New Roman" w:cs="Times New Roman"/>
          <w:sz w:val="24"/>
          <w:szCs w:val="24"/>
        </w:rPr>
        <w:t>)</w:t>
      </w:r>
    </w:p>
    <w:p w:rsidR="00597116" w:rsidRPr="00597116" w:rsidRDefault="00597116" w:rsidP="00BF5D7B">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Un lucrativo incentivo estatal para producir gas natural a partir de desechos lácteos está atrayendo</w:t>
      </w:r>
      <w:r>
        <w:rPr>
          <w:rFonts w:ascii="Times New Roman" w:hAnsi="Times New Roman" w:cs="Times New Roman"/>
          <w:color w:val="FF0000"/>
          <w:sz w:val="24"/>
          <w:szCs w:val="24"/>
          <w:u w:val="single"/>
        </w:rPr>
        <w:t xml:space="preserve"> a empresas de Amazon a Chevron</w:t>
      </w:r>
    </w:p>
    <w:p w:rsidR="00BF5D7B" w:rsidRDefault="00BF5D7B" w:rsidP="00BF5D7B">
      <w:pPr>
        <w:spacing w:line="240" w:lineRule="auto"/>
        <w:jc w:val="both"/>
        <w:rPr>
          <w:rFonts w:ascii="Times New Roman" w:hAnsi="Times New Roman" w:cs="Times New Roman"/>
          <w:sz w:val="24"/>
          <w:szCs w:val="24"/>
        </w:rPr>
      </w:pPr>
      <w:r w:rsidRPr="000707EB">
        <w:rPr>
          <w:rFonts w:ascii="Times New Roman" w:hAnsi="Times New Roman" w:cs="Times New Roman"/>
          <w:noProof/>
          <w:sz w:val="24"/>
          <w:szCs w:val="24"/>
          <w:lang w:eastAsia="es-ES"/>
        </w:rPr>
        <w:drawing>
          <wp:inline distT="0" distB="0" distL="0" distR="0" wp14:anchorId="0F6D84DF" wp14:editId="778F2092">
            <wp:extent cx="5731510" cy="3064153"/>
            <wp:effectExtent l="0" t="0" r="2540" b="317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064153"/>
                    </a:xfrm>
                    <a:prstGeom prst="rect">
                      <a:avLst/>
                    </a:prstGeom>
                  </pic:spPr>
                </pic:pic>
              </a:graphicData>
            </a:graphic>
          </wp:inline>
        </w:drawing>
      </w:r>
    </w:p>
    <w:p w:rsidR="00BF5D7B" w:rsidRPr="008B3484" w:rsidRDefault="00BF5D7B" w:rsidP="00BF5D7B">
      <w:pPr>
        <w:spacing w:line="240" w:lineRule="auto"/>
        <w:jc w:val="both"/>
        <w:rPr>
          <w:rFonts w:ascii="Times New Roman" w:hAnsi="Times New Roman" w:cs="Times New Roman"/>
          <w:color w:val="FF0000"/>
          <w:sz w:val="24"/>
          <w:szCs w:val="24"/>
          <w:u w:val="single"/>
        </w:rPr>
      </w:pPr>
      <w:r w:rsidRPr="008B3484">
        <w:rPr>
          <w:rFonts w:ascii="Times New Roman" w:hAnsi="Times New Roman" w:cs="Times New Roman"/>
          <w:color w:val="FF0000"/>
          <w:sz w:val="24"/>
          <w:szCs w:val="24"/>
          <w:u w:val="single"/>
        </w:rPr>
        <w:t>El sistema de calificación de California para combustibles limpios otorga al gas natural elaborado a partir de estiércol de vaca una mejor puntuación, y subsidios mucho más altos, que un gas similar de vertederos.</w:t>
      </w:r>
    </w:p>
    <w:p w:rsidR="00BF5D7B" w:rsidRPr="00900E09" w:rsidRDefault="00BF5D7B" w:rsidP="00BF5D7B">
      <w:pPr>
        <w:spacing w:line="240" w:lineRule="auto"/>
        <w:jc w:val="both"/>
        <w:rPr>
          <w:rFonts w:ascii="Times New Roman" w:hAnsi="Times New Roman" w:cs="Times New Roman"/>
          <w:sz w:val="24"/>
          <w:szCs w:val="24"/>
        </w:rPr>
      </w:pPr>
      <w:r w:rsidRPr="00900E09">
        <w:rPr>
          <w:rFonts w:ascii="Times New Roman" w:hAnsi="Times New Roman" w:cs="Times New Roman"/>
          <w:sz w:val="24"/>
          <w:szCs w:val="24"/>
        </w:rPr>
        <w:t>(</w:t>
      </w:r>
      <w:r w:rsidR="00597116" w:rsidRPr="00900E09">
        <w:rPr>
          <w:rFonts w:ascii="Times New Roman" w:hAnsi="Times New Roman" w:cs="Times New Roman"/>
          <w:sz w:val="24"/>
          <w:szCs w:val="24"/>
        </w:rPr>
        <w:t>Por Phred Dvorak)</w:t>
      </w:r>
    </w:p>
    <w:p w:rsidR="00BF5D7B" w:rsidRPr="008B3484" w:rsidRDefault="00BF5D7B" w:rsidP="00BF5D7B">
      <w:pPr>
        <w:spacing w:line="240" w:lineRule="auto"/>
        <w:jc w:val="both"/>
        <w:rPr>
          <w:rFonts w:ascii="Times New Roman" w:hAnsi="Times New Roman" w:cs="Times New Roman"/>
          <w:sz w:val="24"/>
          <w:szCs w:val="24"/>
          <w:u w:val="single"/>
        </w:rPr>
      </w:pPr>
      <w:r w:rsidRPr="008B3484">
        <w:rPr>
          <w:rFonts w:ascii="Times New Roman" w:hAnsi="Times New Roman" w:cs="Times New Roman"/>
          <w:sz w:val="24"/>
          <w:szCs w:val="24"/>
          <w:u w:val="single"/>
        </w:rPr>
        <w:t>Clean Energy Fuels Corp., un importante distribuidor de gas natural elaborado a partir de desechos, encontró una manera de aumentar sus ganancias en millones de dólares, prácticamente de la noche a la mañana.</w:t>
      </w:r>
    </w:p>
    <w:p w:rsidR="00BF5D7B" w:rsidRPr="008B3484" w:rsidRDefault="00BF5D7B" w:rsidP="00BF5D7B">
      <w:pPr>
        <w:spacing w:line="240" w:lineRule="auto"/>
        <w:jc w:val="both"/>
        <w:rPr>
          <w:rFonts w:ascii="Times New Roman" w:hAnsi="Times New Roman" w:cs="Times New Roman"/>
          <w:sz w:val="24"/>
          <w:szCs w:val="24"/>
          <w:u w:val="single"/>
        </w:rPr>
      </w:pPr>
      <w:r w:rsidRPr="008B3484">
        <w:rPr>
          <w:rFonts w:ascii="Times New Roman" w:hAnsi="Times New Roman" w:cs="Times New Roman"/>
          <w:sz w:val="24"/>
          <w:szCs w:val="24"/>
          <w:u w:val="single"/>
        </w:rPr>
        <w:t>Todo lo que tenía que hacer era cambiar el biocombustible principal que suministra para impulsar automóviles y camiones en California, actualmente un tipo de gas natural producido con emisiones de metano de la basura, a un gas químicamente idéntico producido a partir del estiércol de las vacas…</w:t>
      </w:r>
    </w:p>
    <w:p w:rsidR="00BF5D7B" w:rsidRDefault="00BF5D7B" w:rsidP="00BF5D7B">
      <w:pPr>
        <w:pStyle w:val="bbc-bm53ic"/>
        <w:shd w:val="clear" w:color="auto" w:fill="FDFDFD"/>
        <w:spacing w:after="0"/>
        <w:jc w:val="both"/>
      </w:pPr>
      <w:r>
        <w:lastRenderedPageBreak/>
        <w:t>- “</w:t>
      </w:r>
      <w:r>
        <w:rPr>
          <w:u w:val="single"/>
        </w:rPr>
        <w:t>Taxonomía de inversiones”</w:t>
      </w:r>
      <w:r w:rsidRPr="00074C1D">
        <w:rPr>
          <w:u w:val="single"/>
        </w:rPr>
        <w:t>: el nuevo camino al socialismo de la UE</w:t>
      </w:r>
      <w:r>
        <w:t xml:space="preserve"> (Libertad Digital - </w:t>
      </w:r>
      <w:r w:rsidRPr="00074C1D">
        <w:rPr>
          <w:b/>
        </w:rPr>
        <w:t>23/2/22</w:t>
      </w:r>
      <w:r>
        <w:t>)</w:t>
      </w:r>
    </w:p>
    <w:p w:rsidR="00BF5D7B" w:rsidRDefault="00BF5D7B" w:rsidP="00BF5D7B">
      <w:pPr>
        <w:pStyle w:val="bbc-bm53ic"/>
        <w:shd w:val="clear" w:color="auto" w:fill="FDFDFD"/>
        <w:spacing w:after="0"/>
        <w:jc w:val="both"/>
      </w:pPr>
      <w:r>
        <w:t>(Por Rainer Zitelmann)</w:t>
      </w:r>
    </w:p>
    <w:p w:rsidR="00BF5D7B" w:rsidRPr="00FD46AC" w:rsidRDefault="00BF5D7B" w:rsidP="00BF5D7B">
      <w:pPr>
        <w:pStyle w:val="bbc-bm53ic"/>
        <w:shd w:val="clear" w:color="auto" w:fill="FDFDFD"/>
        <w:spacing w:after="0"/>
        <w:jc w:val="both"/>
        <w:rPr>
          <w:u w:val="single"/>
        </w:rPr>
      </w:pPr>
      <w:r w:rsidRPr="00FD46AC">
        <w:rPr>
          <w:u w:val="single"/>
        </w:rPr>
        <w:t>Hace unas semanas, Bruselas acogió un intenso debate en torno a la capacidad de la Comisión Eur</w:t>
      </w:r>
      <w:r>
        <w:rPr>
          <w:u w:val="single"/>
        </w:rPr>
        <w:t>opea de desarrollar la llamada “taxonomía de inversiones”</w:t>
      </w:r>
      <w:r w:rsidRPr="00FD46AC">
        <w:rPr>
          <w:u w:val="single"/>
        </w:rPr>
        <w:t xml:space="preserve"> que otorga a las autoridades comunitarias el poder de determinar qué inversiones son </w:t>
      </w:r>
      <w:r>
        <w:rPr>
          <w:u w:val="single"/>
        </w:rPr>
        <w:t>consideradas buenas (es decir, “verdes” y “sostenibles”</w:t>
      </w:r>
      <w:r w:rsidRPr="00FD46AC">
        <w:rPr>
          <w:u w:val="single"/>
        </w:rPr>
        <w:t>) y cuáles no.</w:t>
      </w:r>
    </w:p>
    <w:p w:rsidR="00BF5D7B" w:rsidRPr="00FD46AC" w:rsidRDefault="00BF5D7B" w:rsidP="00BF5D7B">
      <w:pPr>
        <w:pStyle w:val="bbc-bm53ic"/>
        <w:shd w:val="clear" w:color="auto" w:fill="FDFDFD"/>
        <w:spacing w:after="0"/>
        <w:jc w:val="both"/>
        <w:rPr>
          <w:u w:val="single"/>
        </w:rPr>
      </w:pPr>
      <w:r w:rsidRPr="00FD46AC">
        <w:rPr>
          <w:u w:val="single"/>
        </w:rPr>
        <w:t>Las clasificaciones emitidas por Bruselas tendrán el efecto de orientar el dinero de los inversores en la dirección que políticamente se considera correcta. La manzana de la discordia fue el etiquetado de la energía nuclear y del gas n</w:t>
      </w:r>
      <w:r>
        <w:rPr>
          <w:u w:val="single"/>
        </w:rPr>
        <w:t>atural. ¿Deberían considerarse “</w:t>
      </w:r>
      <w:r w:rsidRPr="00FD46AC">
        <w:rPr>
          <w:u w:val="single"/>
        </w:rPr>
        <w:t>sostenible</w:t>
      </w:r>
      <w:r>
        <w:rPr>
          <w:u w:val="single"/>
        </w:rPr>
        <w:t>s”</w:t>
      </w:r>
      <w:r w:rsidRPr="00FD46AC">
        <w:rPr>
          <w:u w:val="single"/>
        </w:rPr>
        <w:t>? Los franceses y los países de Europa del Este estaban a favor, mientras que los alemanes se pronunciaron en contra.</w:t>
      </w:r>
    </w:p>
    <w:p w:rsidR="00BF5D7B" w:rsidRPr="00FD46AC" w:rsidRDefault="00BF5D7B" w:rsidP="00BF5D7B">
      <w:pPr>
        <w:pStyle w:val="bbc-bm53ic"/>
        <w:shd w:val="clear" w:color="auto" w:fill="FDFDFD"/>
        <w:spacing w:after="0"/>
        <w:jc w:val="both"/>
        <w:rPr>
          <w:color w:val="FF0000"/>
          <w:u w:val="single"/>
        </w:rPr>
      </w:pPr>
      <w:r w:rsidRPr="00FD46AC">
        <w:rPr>
          <w:color w:val="FF0000"/>
          <w:u w:val="single"/>
        </w:rPr>
        <w:t>Pues bien, la Comisión de la UE dirigida por Ursula von der Leyen ha ido más allá del debate medioambiental y ha propuesto la posibilidad de ampliar este deba</w:t>
      </w:r>
      <w:r>
        <w:rPr>
          <w:color w:val="FF0000"/>
          <w:u w:val="single"/>
        </w:rPr>
        <w:t>te para incluir el criterio de “sostenibilidad social”</w:t>
      </w:r>
      <w:r w:rsidRPr="00FD46AC">
        <w:rPr>
          <w:color w:val="FF0000"/>
          <w:u w:val="single"/>
        </w:rPr>
        <w:t xml:space="preserve"> al debate sobre la clasificación de las inversiones. El etiquetado ya no dependerá solo de aspectos medioambientales, con todo lo que esto suponía, sino que irá aún más allá y entrará a de</w:t>
      </w:r>
      <w:r>
        <w:rPr>
          <w:color w:val="FF0000"/>
          <w:u w:val="single"/>
        </w:rPr>
        <w:t>cidir si una inversión es o no “social”</w:t>
      </w:r>
      <w:r w:rsidRPr="00FD46AC">
        <w:rPr>
          <w:color w:val="FF0000"/>
          <w:u w:val="single"/>
        </w:rPr>
        <w:t>.</w:t>
      </w:r>
    </w:p>
    <w:p w:rsidR="00BF5D7B" w:rsidRDefault="00BF5D7B" w:rsidP="00BF5D7B">
      <w:pPr>
        <w:pStyle w:val="bbc-bm53ic"/>
        <w:shd w:val="clear" w:color="auto" w:fill="FDFDFD"/>
        <w:spacing w:after="0"/>
        <w:jc w:val="both"/>
      </w:pPr>
      <w:r>
        <w:t>Específicamente, esto significa que, por ejemplo, si los políticos y los dirigentes públicos sienten que una empresa no paga a sus empleados un salario “adecuado”, entonces pueden clasificar a este negocio como una actividad “mala” para la sociedad. De igual modo, por poner otro ejemplo, si los políticos de la UE sienten que los miembros de la junta directiva están “ganando demasiado dinero” en comparación con un empleado medio, esto se interpretaría como otra indicación perniciosa para la sociedad. Otro posible ejemplo lo tendríamos en el caso de las empresas de alquiler inmobiliario, puesto que los políticos podrían entrar a pronunciarse sobre los precios de los arriendos, haciendo que la compañía en cuestión quede clasificada como una firma que perjudica el bienestar social.</w:t>
      </w:r>
    </w:p>
    <w:p w:rsidR="00BF5D7B" w:rsidRPr="00D6562B" w:rsidRDefault="00BF5D7B" w:rsidP="00BF5D7B">
      <w:pPr>
        <w:pStyle w:val="bbc-bm53ic"/>
        <w:shd w:val="clear" w:color="auto" w:fill="FDFDFD"/>
        <w:spacing w:after="0"/>
        <w:jc w:val="both"/>
        <w:rPr>
          <w:color w:val="FF0000"/>
          <w:u w:val="single"/>
        </w:rPr>
      </w:pPr>
      <w:r w:rsidRPr="00D6562B">
        <w:rPr>
          <w:color w:val="FF0000"/>
          <w:u w:val="single"/>
        </w:rPr>
        <w:t>La UE quiere evaluar el beneficio general de una empresa para la sociedad, es</w:t>
      </w:r>
      <w:r>
        <w:rPr>
          <w:color w:val="FF0000"/>
          <w:u w:val="single"/>
        </w:rPr>
        <w:t xml:space="preserve"> decir, si la empresa sirve al “interés público”</w:t>
      </w:r>
      <w:r w:rsidRPr="00D6562B">
        <w:rPr>
          <w:color w:val="FF0000"/>
          <w:u w:val="single"/>
        </w:rPr>
        <w:t xml:space="preserve"> o no. En el caso de algunas empresas (por ejemplo, fabricantes de alcohol o ciga</w:t>
      </w:r>
      <w:r>
        <w:rPr>
          <w:color w:val="FF0000"/>
          <w:u w:val="single"/>
        </w:rPr>
        <w:t>rrillos), la respuesta será un “no”</w:t>
      </w:r>
      <w:r w:rsidRPr="00D6562B">
        <w:rPr>
          <w:color w:val="FF0000"/>
          <w:u w:val="single"/>
        </w:rPr>
        <w:t xml:space="preserve"> automático. Para otro tipo de empresas, la UE creará otros sistemas de clasificación. Ya no será el mercado el que defina el interés público en virtud de su demanda, sino la pelota quedará en el tejado de los comités políticos. Se abren las puertas al lobbysmo extremo: el cabildeo se centrará en convencer a los políticos de que </w:t>
      </w:r>
      <w:r>
        <w:rPr>
          <w:color w:val="FF0000"/>
          <w:u w:val="single"/>
        </w:rPr>
        <w:t>la empresa que les contrató es “socialmente beneficiosa”</w:t>
      </w:r>
      <w:r w:rsidRPr="00D6562B">
        <w:rPr>
          <w:color w:val="FF0000"/>
          <w:u w:val="single"/>
        </w:rPr>
        <w:t>. De ese etiquetado también podrán salir muchas puertas giratorias.</w:t>
      </w:r>
    </w:p>
    <w:p w:rsidR="00BF5D7B" w:rsidRDefault="00BF5D7B" w:rsidP="00BF5D7B">
      <w:pPr>
        <w:pStyle w:val="bbc-bm53ic"/>
        <w:shd w:val="clear" w:color="auto" w:fill="FDFDFD"/>
        <w:spacing w:after="0"/>
        <w:jc w:val="both"/>
      </w:pPr>
      <w:r>
        <w:t>Por supuesto, nada de esto debería ocurrir en una economía de mercado. En los sistemas económicos planificados por el Estado son los políticos sean los que deciden cómo se debe distribuir el dinero, cómo se debe escorar la producción... En cambio, bajo el capitalismo las empresas deciden y los consumidores determinan si la empresa es “beneficiosa” o no, determinando preferencias a través de las decisiones de compra. Por lo tanto, no hay nada más democrático que el capitalismo.</w:t>
      </w:r>
    </w:p>
    <w:p w:rsidR="00BF5D7B" w:rsidRDefault="00BF5D7B" w:rsidP="00BF5D7B">
      <w:pPr>
        <w:pStyle w:val="bbc-bm53ic"/>
        <w:shd w:val="clear" w:color="auto" w:fill="FDFDFD"/>
        <w:spacing w:after="0"/>
        <w:jc w:val="both"/>
      </w:pPr>
      <w:r>
        <w:t xml:space="preserve">Friedrich Hayek, ganador del Premio Nobel de Economía, consideraba que la “presunción de conocimiento” era el error central de todos los socialistas. Las economías planificadas por el </w:t>
      </w:r>
      <w:r>
        <w:lastRenderedPageBreak/>
        <w:t>Estado han fracasado una y otra vez, porque se basan en la creencia de que los políticos y los funcionarios saben lo que es bueno para las personas, en lugar de dejar que la decisión la tomen las empresas y los consumidores.</w:t>
      </w:r>
    </w:p>
    <w:p w:rsidR="00BF5D7B" w:rsidRDefault="00BF5D7B" w:rsidP="00BF5D7B">
      <w:pPr>
        <w:pStyle w:val="bbc-bm53ic"/>
        <w:shd w:val="clear" w:color="auto" w:fill="FDFDFD"/>
        <w:spacing w:after="0"/>
        <w:jc w:val="both"/>
        <w:rPr>
          <w:color w:val="FF0000"/>
          <w:u w:val="single"/>
        </w:rPr>
      </w:pPr>
      <w:r w:rsidRPr="00D6562B">
        <w:rPr>
          <w:color w:val="FF0000"/>
          <w:u w:val="single"/>
        </w:rPr>
        <w:t>La economía planificada celebra así su renacimiento en Bruselas. Los políticos, no el despreciado merc</w:t>
      </w:r>
      <w:r>
        <w:rPr>
          <w:color w:val="FF0000"/>
          <w:u w:val="single"/>
        </w:rPr>
        <w:t>ado, volverán a decidir qué es “socialmente beneficioso” y qué es “socialmente perjudicial”</w:t>
      </w:r>
      <w:r w:rsidRPr="00D6562B">
        <w:rPr>
          <w:color w:val="FF0000"/>
          <w:u w:val="single"/>
        </w:rPr>
        <w:t>. Ha habido al menos 24 experimentos socialistas en los últimos cien años, y todos ellos, sin excepción, han fracasado. Sin embargo, y de forma incomprensible a medida que pasan los años, las ideas que guiaron estos experimentos empiezan a vivir un r</w:t>
      </w:r>
      <w:r>
        <w:rPr>
          <w:color w:val="FF0000"/>
          <w:u w:val="single"/>
        </w:rPr>
        <w:t>enacimiento. Ya no se habla de “socialismo” pero, en última instancia, la “taxonomía”</w:t>
      </w:r>
      <w:r w:rsidRPr="00D6562B">
        <w:rPr>
          <w:color w:val="FF0000"/>
          <w:u w:val="single"/>
        </w:rPr>
        <w:t xml:space="preserve"> de la Comisión Europea nos lleva por un camino muy parecido.</w:t>
      </w:r>
    </w:p>
    <w:p w:rsidR="00BF5D7B" w:rsidRPr="008D1CB2" w:rsidRDefault="00BF5D7B" w:rsidP="00BF5D7B">
      <w:pPr>
        <w:pStyle w:val="bbc-bm53ic"/>
        <w:shd w:val="clear" w:color="auto" w:fill="FDFDFD"/>
        <w:spacing w:after="0"/>
        <w:jc w:val="both"/>
        <w:rPr>
          <w:b/>
        </w:rPr>
      </w:pPr>
      <w:r w:rsidRPr="008D1CB2">
        <w:rPr>
          <w:b/>
        </w:rPr>
        <w:t>El fracaso del “appeasement” germano</w:t>
      </w:r>
    </w:p>
    <w:p w:rsidR="00BF5D7B" w:rsidRDefault="00BF5D7B" w:rsidP="00BF5D7B">
      <w:pPr>
        <w:pStyle w:val="bbc-bm53ic"/>
        <w:shd w:val="clear" w:color="auto" w:fill="FDFDFD"/>
        <w:spacing w:after="0"/>
        <w:jc w:val="both"/>
      </w:pPr>
      <w:r>
        <w:t xml:space="preserve">- </w:t>
      </w:r>
      <w:r w:rsidRPr="00E73386">
        <w:rPr>
          <w:u w:val="single"/>
        </w:rPr>
        <w:t>La superpotencia ingenua: ¿está despertando Alemania al nuevo orden mundial</w:t>
      </w:r>
      <w:r>
        <w:t xml:space="preserve">? (El Confidencial - </w:t>
      </w:r>
      <w:r w:rsidRPr="00E73386">
        <w:rPr>
          <w:b/>
        </w:rPr>
        <w:t>26/2/22</w:t>
      </w:r>
      <w:r>
        <w:t>)</w:t>
      </w:r>
    </w:p>
    <w:p w:rsidR="00BF5D7B" w:rsidRDefault="00BF5D7B" w:rsidP="00BF5D7B">
      <w:pPr>
        <w:pStyle w:val="bbc-bm53ic"/>
        <w:shd w:val="clear" w:color="auto" w:fill="FDFDFD"/>
        <w:spacing w:after="0"/>
        <w:jc w:val="both"/>
      </w:pPr>
      <w:r>
        <w:t>(Por Isaac Risco. Berlín)</w:t>
      </w:r>
    </w:p>
    <w:p w:rsidR="00BF5D7B" w:rsidRDefault="00BF5D7B" w:rsidP="00BF5D7B">
      <w:pPr>
        <w:pStyle w:val="bbc-bm53ic"/>
        <w:shd w:val="clear" w:color="auto" w:fill="FDFDFD"/>
        <w:spacing w:after="0"/>
        <w:jc w:val="both"/>
      </w:pPr>
      <w:r w:rsidRPr="00FE747A">
        <w:rPr>
          <w:u w:val="single"/>
        </w:rPr>
        <w:t xml:space="preserve">Consternación, decepción </w:t>
      </w:r>
      <w:r>
        <w:rPr>
          <w:u w:val="single"/>
        </w:rPr>
        <w:t>y también enfado por la propia “ingenuidad”</w:t>
      </w:r>
      <w:r w:rsidRPr="00FE747A">
        <w:rPr>
          <w:u w:val="single"/>
        </w:rPr>
        <w:t>. La invasión rusa en Ucrania ha sacudido los cimientos de la política exterior de Alemania hasta el punto de que es posible que esté cambiando, para siempre, algunas de sus coordenadas más claras</w:t>
      </w:r>
      <w:r>
        <w:t xml:space="preserve">. </w:t>
      </w:r>
      <w:r w:rsidRPr="00FE747A">
        <w:rPr>
          <w:color w:val="FF0000"/>
          <w:u w:val="single"/>
        </w:rPr>
        <w:t>La guerra iniciada por Vladimir Putin es también un fracaso de la diplomacia germana, que apostó hasta última hora por la buena voluntad del Kremlin. Y un fiasco a mayor escala para la tradicional política de apaciguamiento de Berlín, hasta ahora siempre preocupada por atender y respetar las sensibilidades de Moscú</w:t>
      </w:r>
      <w:r>
        <w:t>. Los golpes de realidad han echado por la borda viejas convicciones políticas forjadas en la Alemania de la posguerra. La gran potencia europea, tumbada en el diván geopolítico. Este cambio de paradigma se empezaba intuir en las primeras palabras públicas del canciller alemán, el socialdemócrata Olaf Scholz, a mediodía del jueves. Tanto por su tono sombrío y resoluto, como por todo aquello que no dijo. “Para esto no hay justificación. Esta es la guerra de Putin”, dijo Scholz en Berlín en una breve comparecencia de poco más de tres minutos en la que por primera vez no habló de diplomacia, sino de impulsar duras sanciones conjuntas contra Rusia.</w:t>
      </w:r>
    </w:p>
    <w:p w:rsidR="00BF5D7B" w:rsidRDefault="00BF5D7B" w:rsidP="00BF5D7B">
      <w:pPr>
        <w:pStyle w:val="bbc-bm53ic"/>
        <w:shd w:val="clear" w:color="auto" w:fill="FDFDFD"/>
        <w:spacing w:after="0"/>
        <w:jc w:val="both"/>
      </w:pPr>
      <w:r>
        <w:rPr>
          <w:color w:val="FF0000"/>
          <w:u w:val="single"/>
        </w:rPr>
        <w:t>“</w:t>
      </w:r>
      <w:r w:rsidRPr="00FE747A">
        <w:rPr>
          <w:color w:val="FF0000"/>
          <w:u w:val="single"/>
        </w:rPr>
        <w:t>El objetivo de las sanciones es dejarle claro a la cúpula rusa que va a pagar un amargo precio por esta agresión. Va a quedar claro que Putin comet</w:t>
      </w:r>
      <w:r>
        <w:rPr>
          <w:color w:val="FF0000"/>
          <w:u w:val="single"/>
        </w:rPr>
        <w:t>ió un grave error con su guerra”</w:t>
      </w:r>
      <w:r w:rsidRPr="00FE747A">
        <w:rPr>
          <w:color w:val="FF0000"/>
          <w:u w:val="single"/>
        </w:rPr>
        <w:t>, agregó. La dureza de Scholz con su homólogo ruso dejaba atrás así la era de los intentos de apaciguamiento de su predecesora, Angela Merkel, en sus numerosas visitas al Kremlin entre 2005 y 2021, y enterraba definitivamente la época del abierto compadreo del excanciller y compañe</w:t>
      </w:r>
      <w:r>
        <w:rPr>
          <w:color w:val="FF0000"/>
          <w:u w:val="single"/>
        </w:rPr>
        <w:t>ro de partido Gerhard Schröder -</w:t>
      </w:r>
      <w:r w:rsidRPr="00FE747A">
        <w:rPr>
          <w:color w:val="FF0000"/>
          <w:u w:val="single"/>
        </w:rPr>
        <w:t>quien ahora es uno de los miembros del consejo de dirección de la g</w:t>
      </w:r>
      <w:r>
        <w:rPr>
          <w:color w:val="FF0000"/>
          <w:u w:val="single"/>
        </w:rPr>
        <w:t>igante paraestatal rusa Gazprom-</w:t>
      </w:r>
      <w:r>
        <w:t>. Pero el fracaso de la diplomacia alemana lo encarna también el mismo Scholz, quien hace diez días visitó el Kremlin siguiendo los pasos del presidente francés, Emmanuel Macron, para intentar convencer a Putin de no empezar una guerra. Todo fue en vano. “A posteriori”, la puesta en escena de las conversaciones con los líderes de Francia y Alemania, así como los supuestos gestos del Kremlin al ordenar un repliegue de tropas rusas en Bielorrusia el mismo día en que Scholz desembarcaba en Moscú, parecen hoy una mofa de Putin.</w:t>
      </w:r>
    </w:p>
    <w:p w:rsidR="00BF5D7B" w:rsidRPr="00BF5D7B" w:rsidRDefault="00BF5D7B" w:rsidP="00BF5D7B">
      <w:pPr>
        <w:pStyle w:val="bbc-bm53ic"/>
        <w:shd w:val="clear" w:color="auto" w:fill="FDFDFD"/>
        <w:spacing w:after="0"/>
        <w:jc w:val="both"/>
      </w:pPr>
      <w:r>
        <w:t xml:space="preserve">En ese momento, algunos observadores vieron aún con algo de esperanza la iniciativa diplomática de Scholz. Pero ahora reina en la opinión pública germana una convicción </w:t>
      </w:r>
      <w:r>
        <w:lastRenderedPageBreak/>
        <w:t xml:space="preserve">generalizada de que Berlín necesita redefinir sus posturas por la llegada de una nueva era para Europa y para el orden político mundial. “Nos hemos despertado en un mundo distinto”, avisaba la ministra de Exteriores, la “verde” Annalena Baerbock. “Si no les salimos al frente ahora (a los rusos) de forma decidida, pagaremos un precio aún más alto”, agregó. Más cruda fue incluso la reacción de Annegret Kramp-Karrenbauer, exministra de Defensa de Merkel y exlíder de la conservadora CDU, el partido de gobierno por excelencia en la Alemania de la posguerra. “Estoy furiosa con nosotros mismos por nuestro fracaso histórico. Después de (los conflictos en) Georgia, Crimea y el Donbás, no preparamos nada que pudiese contener de verdad a Putin”, escribió Kramp-Karrenbauer en Twitter. Sus palabras eran un ajuste de cuentas general con </w:t>
      </w:r>
      <w:r w:rsidRPr="00BF5D7B">
        <w:t>la política del “appeasement”, del apaciguamiento frente a Rusia.</w:t>
      </w:r>
    </w:p>
    <w:p w:rsidR="00BF5D7B" w:rsidRDefault="00BF5D7B" w:rsidP="00BF5D7B">
      <w:pPr>
        <w:pStyle w:val="bbc-bm53ic"/>
        <w:shd w:val="clear" w:color="auto" w:fill="FDFDFD"/>
        <w:spacing w:after="0"/>
        <w:jc w:val="both"/>
      </w:pPr>
      <w:r>
        <w:t>El fracaso del “appeasement”</w:t>
      </w:r>
    </w:p>
    <w:p w:rsidR="00BF5D7B" w:rsidRDefault="00BF5D7B" w:rsidP="00BF5D7B">
      <w:pPr>
        <w:pStyle w:val="bbc-bm53ic"/>
        <w:shd w:val="clear" w:color="auto" w:fill="FDFDFD"/>
        <w:spacing w:after="0"/>
        <w:jc w:val="both"/>
      </w:pPr>
      <w:r>
        <w:t xml:space="preserve">Este despertar a regañadientes es visible también en la coalición de gobierno, tanto en las filas de los socialdemócratas -históricamente defensoras de la línea rusófila de diálogo con el Kremlin-, como entre Los Verdes -abanderados del pacifismo alemán y de la política de no entregar armas a Ucrania-. “El ataque de Putin a Ucrania representa un profundo cambio”, señaló el jefe de la bancada socialdemócrata en el Bundestag, Rolf Mützenich, una de las voces que más abogaba hasta ahora por el diálogo. “El presidente de Rusia es un criminal de guerra”, agregó Mützenich con dureza en un comunicado difundido por su bancada.  </w:t>
      </w:r>
    </w:p>
    <w:p w:rsidR="00BF5D7B" w:rsidRDefault="00BF5D7B" w:rsidP="00BF5D7B">
      <w:pPr>
        <w:pStyle w:val="bbc-bm53ic"/>
        <w:shd w:val="clear" w:color="auto" w:fill="FDFDFD"/>
        <w:spacing w:after="0"/>
        <w:jc w:val="both"/>
      </w:pPr>
      <w:r w:rsidRPr="00FE747A">
        <w:rPr>
          <w:u w:val="single"/>
        </w:rPr>
        <w:t>Una de las reflexiones más claras sobre el cambio de p</w:t>
      </w:r>
      <w:r>
        <w:rPr>
          <w:u w:val="single"/>
        </w:rPr>
        <w:t>aradigma la hizo otro político “verde”</w:t>
      </w:r>
      <w:r w:rsidRPr="00FE747A">
        <w:rPr>
          <w:u w:val="single"/>
        </w:rPr>
        <w:t>, Robert Habeck, actual ministr</w:t>
      </w:r>
      <w:r>
        <w:rPr>
          <w:u w:val="single"/>
        </w:rPr>
        <w:t>o de Economía y vicecanciller. “</w:t>
      </w:r>
      <w:r w:rsidRPr="00FE747A">
        <w:rPr>
          <w:u w:val="single"/>
        </w:rPr>
        <w:t>En retrospectiva hay que decir (...) que fuimos muy ingenu</w:t>
      </w:r>
      <w:r>
        <w:rPr>
          <w:u w:val="single"/>
        </w:rPr>
        <w:t>os. Occidente, Europa, Alemania”</w:t>
      </w:r>
      <w:r w:rsidRPr="00FE747A">
        <w:rPr>
          <w:u w:val="single"/>
        </w:rPr>
        <w:t>, enumeró Habeck en una entrevista con la televisión pública</w:t>
      </w:r>
      <w:r>
        <w:t>. Horas antes del comienzo de la invasión rusa, también había formulado de forma aún difusa cuáles son los nuevos retos para Alemania, entre ellos el de reducir su dependencia del gas ruso e incluso el de reforzar la capacidad militar, un tema particularmente espinoso para cualquier Gobierno germano.</w:t>
      </w:r>
    </w:p>
    <w:p w:rsidR="00BF5D7B" w:rsidRDefault="00BF5D7B" w:rsidP="00BF5D7B">
      <w:pPr>
        <w:pStyle w:val="bbc-bm53ic"/>
        <w:shd w:val="clear" w:color="auto" w:fill="FDFDFD"/>
        <w:spacing w:after="0"/>
        <w:jc w:val="both"/>
      </w:pPr>
      <w:r>
        <w:t>“Estamos viviendo una profunda ruptura en la política alemana, en la política europea y en la política transatlántica”, dijo Habeck durante una tertulia televisiva en la noche del miércoles. Esto fuerza una “reorientación por completo del sector energético, del rumbo de la economía, también de la capacidad de las Fuerzas Armadas alemanas y de la relación transatlántica”, vaticinó. El mayor compromiso para financiar la alianza militar de la OTAN, en particular de potencias económicas continentales como Alemania, es una vieja exigencia de Estados Unidos.</w:t>
      </w:r>
    </w:p>
    <w:p w:rsidR="00BF5D7B" w:rsidRDefault="00BF5D7B" w:rsidP="00BF5D7B">
      <w:pPr>
        <w:pStyle w:val="bbc-bm53ic"/>
        <w:shd w:val="clear" w:color="auto" w:fill="FDFDFD"/>
        <w:spacing w:after="0"/>
        <w:jc w:val="both"/>
      </w:pPr>
      <w:r>
        <w:t>¿Armas a Ucrania?</w:t>
      </w:r>
    </w:p>
    <w:p w:rsidR="00BF5D7B" w:rsidRDefault="00BF5D7B" w:rsidP="00BF5D7B">
      <w:pPr>
        <w:pStyle w:val="bbc-bm53ic"/>
        <w:shd w:val="clear" w:color="auto" w:fill="FDFDFD"/>
        <w:spacing w:after="0"/>
        <w:jc w:val="both"/>
      </w:pPr>
      <w:r>
        <w:t xml:space="preserve">La posibilidad de un aumento de la capacidad militar alemana, como sugería Habeck, no se asoma aún en el debate público y parece, “a priori”, difícil de impulsar en Alemania, un país marcado por un robusto movimiento pacifista tras el trauma de la Segunda Guerra Mundial. Algo que ha marcado la política exterior alemana hasta extremos insospechados. “Aquí vuestro recordatorio de que los alemanes han estado debatiendo la adquisición de drones armados durante décadas y todavía no tienen ninguno porque piensan que los drones son malvados. Estáis mirando a un país entero que ha decidido ser débil”, reflexionó Marcel Dirsus, profesor de ciencia política en el Instituto de Política de Seguridad de la Universidad de Kiel, en su cuenta de Twitter. “Si a los alemanes les ha llevado décadas comprar drones armados pese a que son obviamente útiles y perfectamente compatibles con los valores occidentales, ¿qué esperanza hay de que tengan un pensamiento estratégico y un liderazgo </w:t>
      </w:r>
      <w:r>
        <w:lastRenderedPageBreak/>
        <w:t>europeo más amplio? Es deprimente”, agregó. Sí vuelven a oírse, en cambio, las exigencias de que Berlín reconsidere su posición de no enviar armas a Ucrania, después de las recientes burlas del alcalde de Kiev, Vitali Klitschko, sobre la exigua ayuda militar alemana de 5.000 cascos. “¿Qué es lo siguiente que va a enviar Alemania como apoyo? ¿Almohadas?”, ironizó el regidor.</w:t>
      </w:r>
    </w:p>
    <w:p w:rsidR="00BF5D7B" w:rsidRDefault="00BF5D7B" w:rsidP="00BF5D7B">
      <w:pPr>
        <w:pStyle w:val="bbc-bm53ic"/>
        <w:shd w:val="clear" w:color="auto" w:fill="FDFDFD"/>
        <w:spacing w:after="0"/>
        <w:jc w:val="both"/>
      </w:pPr>
      <w:r>
        <w:t>“Yo me oponía al envío de armas para mantener abiertos los canales de comunicación con Rusia”, señaló el diputado conservador Norbert Röttgen, aspirante hace unos meses a asumir el liderazgo de la CDU. “Eso se acabó. Ahora se trata de defensa. Tenemos que entregar a Ucrania las armas que podamos poner a disposición”. Röttgen es miembro del Comité de Exteriores del Bundestag, un gremio que él mismo presidió hasta 2020, y que podría ser clave para un eventual apoyo de la Cámara al suministro de armamento a Ucrania. Y aunque el actual líder de los conservadores, Friedrich Merz, ya se había pronunciado a favor del envío de armas defensivas, el cambio de opinión de Röttgen podría reflejar además un posible nuevo ánimo en la opinión pública alemana. El “shock” en el país es grande tras la invasión rusa. El jueves hubo manifestaciones espontáneas de rechazo a la guerra ante la emblemática Puerta de Brandemburgo en Berlín, que en la noche del miércoles fue iluminada con los colores de la bandera ucraniana en señal de solidaridad. El canciller justifica su negativa a suministrar armamento a Ucrania con el rechazo que manifestaba hasta ahora la mayoría de alemanes en las encuestas de opinión. Scholz tiene previsto dar el domingo un discurso ante el Parlamento, donde podría trazar las nuevas líneas de su política hacia Rusia tras el comienzo de la guerra en Ucrania.</w:t>
      </w:r>
    </w:p>
    <w:p w:rsidR="00BF5D7B" w:rsidRDefault="00BF5D7B" w:rsidP="00BF5D7B">
      <w:pPr>
        <w:pStyle w:val="bbc-bm53ic"/>
        <w:shd w:val="clear" w:color="auto" w:fill="FDFDFD"/>
        <w:spacing w:after="0"/>
        <w:jc w:val="both"/>
      </w:pPr>
      <w:r>
        <w:t>Otro paradigma energético</w:t>
      </w:r>
    </w:p>
    <w:p w:rsidR="00BF5D7B" w:rsidRPr="00FE747A" w:rsidRDefault="00BF5D7B" w:rsidP="00BF5D7B">
      <w:pPr>
        <w:pStyle w:val="bbc-bm53ic"/>
        <w:shd w:val="clear" w:color="auto" w:fill="FDFDFD"/>
        <w:spacing w:after="0"/>
        <w:jc w:val="both"/>
        <w:rPr>
          <w:color w:val="FF0000"/>
          <w:u w:val="single"/>
        </w:rPr>
      </w:pPr>
      <w:r w:rsidRPr="00FE747A">
        <w:rPr>
          <w:color w:val="FF0000"/>
          <w:u w:val="single"/>
        </w:rPr>
        <w:t>En la capital alemana preocupa, por lo demás, el impacto que pueda tener la ofensiva rusa en su economía, especialmente en el suministro energ</w:t>
      </w:r>
      <w:r>
        <w:rPr>
          <w:color w:val="FF0000"/>
          <w:u w:val="single"/>
        </w:rPr>
        <w:t>ético -</w:t>
      </w:r>
      <w:r w:rsidRPr="00FE747A">
        <w:rPr>
          <w:color w:val="FF0000"/>
          <w:u w:val="single"/>
        </w:rPr>
        <w:t>Alemania importa el 55% del gas desde Rusia, según d</w:t>
      </w:r>
      <w:r>
        <w:rPr>
          <w:color w:val="FF0000"/>
          <w:u w:val="single"/>
        </w:rPr>
        <w:t>atos del Ministerio de Economía-</w:t>
      </w:r>
      <w:r w:rsidRPr="00FE747A">
        <w:rPr>
          <w:color w:val="FF0000"/>
          <w:u w:val="single"/>
        </w:rPr>
        <w:t>. Pese a ello, Habeck aseguró que están preparados para afrontar un recorte e incluso una suspensión total del suministr</w:t>
      </w:r>
      <w:r>
        <w:rPr>
          <w:color w:val="FF0000"/>
          <w:u w:val="single"/>
        </w:rPr>
        <w:t>o ruso debido a las sanciones. “</w:t>
      </w:r>
      <w:r w:rsidRPr="00FE747A">
        <w:rPr>
          <w:color w:val="FF0000"/>
          <w:u w:val="single"/>
        </w:rPr>
        <w:t xml:space="preserve">Vamos a tener que comprar más gas, pero </w:t>
      </w:r>
      <w:r>
        <w:rPr>
          <w:color w:val="FF0000"/>
          <w:u w:val="single"/>
        </w:rPr>
        <w:t>también carbón, en otros países”</w:t>
      </w:r>
      <w:r w:rsidRPr="00FE747A">
        <w:rPr>
          <w:color w:val="FF0000"/>
          <w:u w:val="single"/>
        </w:rPr>
        <w:t>, señaló el ministro. El político ecologista calificó además con más claridad que nunca el</w:t>
      </w:r>
      <w:r>
        <w:rPr>
          <w:color w:val="FF0000"/>
          <w:u w:val="single"/>
        </w:rPr>
        <w:t xml:space="preserve"> suministro energético como un “</w:t>
      </w:r>
      <w:r w:rsidRPr="00FE747A">
        <w:rPr>
          <w:color w:val="FF0000"/>
          <w:u w:val="single"/>
        </w:rPr>
        <w:t>a</w:t>
      </w:r>
      <w:r>
        <w:rPr>
          <w:color w:val="FF0000"/>
          <w:u w:val="single"/>
        </w:rPr>
        <w:t>sunto estratégico y geopolítico”</w:t>
      </w:r>
      <w:r w:rsidRPr="00FE747A">
        <w:rPr>
          <w:color w:val="FF0000"/>
          <w:u w:val="single"/>
        </w:rPr>
        <w:t xml:space="preserve"> crucial para Alemania, pocos días después de que el Gobierno suspendiese la entrada en funcionamiento de Nord Stream 2, el gasoducto que une directamente Rusia y Alemania.</w:t>
      </w:r>
    </w:p>
    <w:p w:rsidR="00BF5D7B" w:rsidRDefault="00BF5D7B" w:rsidP="00BF5D7B">
      <w:pPr>
        <w:pStyle w:val="bbc-bm53ic"/>
        <w:shd w:val="clear" w:color="auto" w:fill="FDFDFD"/>
        <w:spacing w:after="0"/>
        <w:jc w:val="both"/>
      </w:pPr>
      <w:r>
        <w:t>El cambio de paradigma alemán se había reflejado ya de forma clara en la suspensión de Nord Stream 2, que Berlín calificaba hasta hace poco como un proyecto meramente económico. Fue el propio Habeck quien admitió hace unos días que el gasoducto no podía ser visto sin tener en cuenta aspectos geopolíticos, como la dependencia energética de Rusia. Toda una novedad para el discurso oficial alemán, en un momento en el que el Gobierno asegura que lleva semanas preparándose para una nueva era en su diplomacia. Su primer reto: abandonar la “ingenuidad” del diálogo a toda costa y plantarle cara a Putin.</w:t>
      </w:r>
    </w:p>
    <w:p w:rsidR="00BF5D7B" w:rsidRPr="008D1CB2" w:rsidRDefault="00BF5D7B" w:rsidP="00BF5D7B">
      <w:pPr>
        <w:pStyle w:val="bbc-bm53ic"/>
        <w:shd w:val="clear" w:color="auto" w:fill="FDFDFD"/>
        <w:spacing w:after="0"/>
        <w:jc w:val="both"/>
        <w:rPr>
          <w:b/>
        </w:rPr>
      </w:pPr>
      <w:r>
        <w:rPr>
          <w:b/>
        </w:rPr>
        <w:t>Y “para más i</w:t>
      </w:r>
      <w:r w:rsidRPr="008D1CB2">
        <w:rPr>
          <w:b/>
        </w:rPr>
        <w:t>nri</w:t>
      </w:r>
      <w:r>
        <w:rPr>
          <w:b/>
        </w:rPr>
        <w:t>”</w:t>
      </w:r>
      <w:r w:rsidRPr="008D1CB2">
        <w:rPr>
          <w:b/>
        </w:rPr>
        <w:t>, la crisis climática se agrava</w:t>
      </w:r>
    </w:p>
    <w:p w:rsidR="00BF5D7B" w:rsidRPr="005C6729" w:rsidRDefault="00BF5D7B" w:rsidP="00BF5D7B">
      <w:pPr>
        <w:pStyle w:val="bbc-bm53ic"/>
        <w:shd w:val="clear" w:color="auto" w:fill="FDFDFD"/>
        <w:spacing w:after="0"/>
        <w:jc w:val="both"/>
        <w:rPr>
          <w:shd w:val="clear" w:color="auto" w:fill="FFFFFF"/>
        </w:rPr>
      </w:pPr>
      <w:r>
        <w:rPr>
          <w:shd w:val="clear" w:color="auto" w:fill="FFFFFF"/>
        </w:rPr>
        <w:t xml:space="preserve">- </w:t>
      </w:r>
      <w:r w:rsidRPr="005C6729">
        <w:rPr>
          <w:u w:val="single"/>
          <w:shd w:val="clear" w:color="auto" w:fill="FFFFFF"/>
        </w:rPr>
        <w:t>Los científicos advierten de que el cambio climático avanza hacia los peores escenarios</w:t>
      </w:r>
      <w:r>
        <w:rPr>
          <w:shd w:val="clear" w:color="auto" w:fill="FFFFFF"/>
        </w:rPr>
        <w:t xml:space="preserve"> (El Confidencial - </w:t>
      </w:r>
      <w:r w:rsidRPr="005C6729">
        <w:rPr>
          <w:b/>
          <w:shd w:val="clear" w:color="auto" w:fill="FFFFFF"/>
        </w:rPr>
        <w:t>28/2/22</w:t>
      </w:r>
      <w:r>
        <w:rPr>
          <w:shd w:val="clear" w:color="auto" w:fill="FFFFFF"/>
        </w:rPr>
        <w:t>)</w:t>
      </w:r>
    </w:p>
    <w:p w:rsidR="00BF5D7B" w:rsidRPr="005C6729" w:rsidRDefault="00BF5D7B" w:rsidP="00BF5D7B">
      <w:pPr>
        <w:pStyle w:val="bbc-bm53ic"/>
        <w:shd w:val="clear" w:color="auto" w:fill="FDFDFD"/>
        <w:spacing w:after="0"/>
        <w:jc w:val="both"/>
        <w:rPr>
          <w:shd w:val="clear" w:color="auto" w:fill="FFFFFF"/>
        </w:rPr>
      </w:pPr>
      <w:r>
        <w:rPr>
          <w:shd w:val="clear" w:color="auto" w:fill="FFFFFF"/>
        </w:rPr>
        <w:t>(</w:t>
      </w:r>
      <w:r w:rsidRPr="005C6729">
        <w:rPr>
          <w:shd w:val="clear" w:color="auto" w:fill="FFFFFF"/>
        </w:rPr>
        <w:t>Por Victoria González</w:t>
      </w:r>
      <w:r>
        <w:rPr>
          <w:shd w:val="clear" w:color="auto" w:fill="FFFFFF"/>
        </w:rPr>
        <w:t>)</w:t>
      </w:r>
    </w:p>
    <w:p w:rsidR="00BF5D7B" w:rsidRDefault="00BF5D7B" w:rsidP="00BF5D7B">
      <w:pPr>
        <w:pStyle w:val="bbc-bm53ic"/>
        <w:shd w:val="clear" w:color="auto" w:fill="FDFDFD"/>
        <w:spacing w:after="0"/>
        <w:jc w:val="both"/>
        <w:rPr>
          <w:shd w:val="clear" w:color="auto" w:fill="FFFFFF"/>
        </w:rPr>
      </w:pPr>
      <w:r w:rsidRPr="005C6729">
        <w:rPr>
          <w:shd w:val="clear" w:color="auto" w:fill="FFFFFF"/>
        </w:rPr>
        <w:lastRenderedPageBreak/>
        <w:t>Los científicos que forman el Grupo de Trabajo II del IPCC han analizado los impactos, adaptación y vulnerabilidad de los ecosistemas y las poblaciones humanas a la crisis climática. Y sus conclusiones no pueden ser más categóricas. La crisis climática está afectando ya a la vida de miles de millones de personas en todo el mundo. “Este trabajo es una advertencia urgente sobre las consecuencias de la inacción, y demuestra que el cambio climático supone una amenaza grave y creciente para nuestra salud y bienestar”, ha explicado el presidente del IPCC, Hoesung Lee.</w:t>
      </w:r>
      <w:r>
        <w:rPr>
          <w:shd w:val="clear" w:color="auto" w:fill="FFFFFF"/>
        </w:rPr>
        <w:t xml:space="preserve"> </w:t>
      </w:r>
      <w:r w:rsidRPr="005C6729">
        <w:rPr>
          <w:shd w:val="clear" w:color="auto" w:fill="FFFFFF"/>
        </w:rPr>
        <w:t>El documento, titulado Cambio Climático 2022: Impactos, Adaptación y Vulnerabilidad, es la segunda entrega del Sexto Informe de Evaluación del IPCC, que será completado a lo largo del 2022. En su elaboración han participado 270 autores de 67 países que han revisado más de 64.000 estudios científicos publicados en los últimos años. En concreto, el Grupo de Trabajo II se encarga de examinar los impactos del cambio climático alrededor de todo el mundo y de explorar opciones para mejorar la capacidad de adaptación de la naturaleza y la sociedad, combatir el hambre y la desigualdad y mantener las condiciones de vida en la Tierra.</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t>El documento presentado hoy destaca que se requieren medidas urgentes para hacer frente a los riesgos crecientes derivados del cambio climático: el aumento de las olas de calor, las sequías y las inundaciones ya han expuesto a millones de personas a inseguridad alimentaria y escasez de agua, especialmente en África, Asia, América Central y del Sur, así como en las isla</w:t>
      </w:r>
      <w:r>
        <w:rPr>
          <w:shd w:val="clear" w:color="auto" w:fill="FFFFFF"/>
        </w:rPr>
        <w:t>s de menor tamaño y el Ártico. “</w:t>
      </w:r>
      <w:r w:rsidRPr="005C6729">
        <w:rPr>
          <w:shd w:val="clear" w:color="auto" w:fill="FFFFFF"/>
        </w:rPr>
        <w:t>El informe pone de manifiesto que el coste de la inacción es mayor que el de la acción. Si no hacemos nada,</w:t>
      </w:r>
      <w:r>
        <w:rPr>
          <w:shd w:val="clear" w:color="auto" w:fill="FFFFFF"/>
        </w:rPr>
        <w:t xml:space="preserve"> vamos a tener grandes pérdidas”.</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t xml:space="preserve"> Para evitar esta creciente pérdida de vidas, biodiversidad e infraestructura, se requiere una acción ambiciosa y acelerada, tomando medidas para adaptarse al cambio climático al mismo tiempo que se realizan recortes rápidos y profundos en las emisiones de gases con efecto invernadero. Hasta el momento, sin embargo, el progreso en la adaptación es desigual y la brecha entre las medidas que ya se han tomado y las que habría que tomar para hacer frente a los riesgos es cada vez mayor. Además, y como ha destacado Marta Rivera-Ferre, otra de las autoras del informe e investigadora en INGENIO (CSIC-UPV): “No todas las personas son igual de vulnerables al cambio climático, por ejemplo hay patrones de desigualdad históricos que determinan estas diferencias. Esta vulnerabilidad diferenciada es un elemento nuevo que plantea el informe y hay que tenerla en cuenta a la hora de pensar estrategias de adaptación”.</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t>El informe del Grupo de Trabajo II incluye capítulos específicos para las distintas regiones del planeta en los que expone problemas y soluciones concretos que se pueden encontrar estas poblaciones. En Europa, los riesgos climáticos se clasifican en cuatro tipos: mortalidad y morbilidad debido a las altas temperaturas, impactos del calor y del estrés hídrico en cultivos, escasez de agua y subida del nivel del mar. El documento indica que el actual calentamiento ya está afectando a los sistemas naturales y humanos en el continente, y que las regiones del sur serán las que sufran las peores consecuencias del cambio climático.</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t xml:space="preserve"> “La región mediterránea es un área de vulnerabilidad al cambio climático”, ha explicado Jofre Carnicer, investigador en el Departamento de Biología Evolutiva, Ecología y Ciencias Ambientales de la Universidad de Barcelona y uno de los autores del nuevo informe. “En esta zona, el calentamiento global se está produciendo a más velocidad (1,5 grados frente a la media global de 1,1) y, además, se espera una reducción del 4% en la precipitación por cada grado que aumente la temperatura. De esta forma, y en función de la reducción de emisiones que se adopte en los próximos años, podemos esperar un descenso en los recursos hídricos por precipitación de hasta un 20% en los peores escenarios de mitigación”, indica el investigador.</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lastRenderedPageBreak/>
        <w:t>La escasez de agua pone en peligro la seguridad alimentaria: a nivel global, ya se ha observado una reducción del 5% en la productividad de los tres cultivos principales (maíz, trigo y arroz) y sabemos que, debido al cambio climático, se ha reducido en un 21% el factor de productividad neta.</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t xml:space="preserve"> “El nuevo informe plantea herramientas de transformación adaptativa o cambios en los manejos agrarios que permitan conservar agua, como, por ejemplo, aumentar la materia orgánica de los suelos. Esta medida permite reducir la erosión, la evapotranspiración y la vulnerabilidad a las inundaciones. Se trata de una estrategia de adaptación, pero también de mitigación, ya que esos suelos van a secuestrar más carbono, y permiten mantener el medio de vida de las personas productoras”, ha indicado la investigadora Rivera-Ferrer. El documento también plantea otras medidas para incrementar la resiliencia climática como la diversificación de cultivos y ganado, o la combinación con elementos naturales como árboles y arbustos.</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t>Aproximadamente la mitad de las especies están sufriendo cambios en su distribución debido a las condiciones climáticas, desplazándose hacia los polos o hacia las partes más altas de las montañas, lo que a su vez puede llevar a extinciones locales. “Se están produciendo muchas extinciones de subpoblaciones locales y eventos de mortalidad que son atribuibles al cambio climático. Además, el grado de extinción irá en aumento si no se toman las necesarias medidas de mitigación”, ha explicado Carnicer. Ya se han producido pérdidas irreversibles, como es</w:t>
      </w:r>
      <w:r>
        <w:rPr>
          <w:shd w:val="clear" w:color="auto" w:fill="FFFFFF"/>
        </w:rPr>
        <w:t xml:space="preserve"> el caso de un pequeño roedor (“</w:t>
      </w:r>
      <w:r w:rsidRPr="005C6729">
        <w:rPr>
          <w:shd w:val="clear" w:color="auto" w:fill="FFFFFF"/>
        </w:rPr>
        <w:t>Mel</w:t>
      </w:r>
      <w:r>
        <w:rPr>
          <w:shd w:val="clear" w:color="auto" w:fill="FFFFFF"/>
        </w:rPr>
        <w:t>omys rubicola”</w:t>
      </w:r>
      <w:r w:rsidRPr="005C6729">
        <w:rPr>
          <w:shd w:val="clear" w:color="auto" w:fill="FFFFFF"/>
        </w:rPr>
        <w:t>) que habitaba en la isla Bramble Cay de Australia y que ha sido el primer mamífero declarado como extinto a consecuencia del cambio climático. “El aumento del nivel del mar combinado con el incremento de las inundaciones ocasionó una reducción de su hábitat de más del 95%”, ha indicado el investigador.</w:t>
      </w:r>
    </w:p>
    <w:p w:rsidR="00BF5D7B" w:rsidRDefault="00BF5D7B" w:rsidP="00BF5D7B">
      <w:pPr>
        <w:pStyle w:val="bbc-bm53ic"/>
        <w:shd w:val="clear" w:color="auto" w:fill="FDFDFD"/>
        <w:spacing w:after="0"/>
        <w:jc w:val="both"/>
        <w:rPr>
          <w:shd w:val="clear" w:color="auto" w:fill="FFFFFF"/>
        </w:rPr>
      </w:pPr>
      <w:r w:rsidRPr="005C6729">
        <w:rPr>
          <w:shd w:val="clear" w:color="auto" w:fill="FFFFFF"/>
        </w:rPr>
        <w:t>El informe muestra evidencias, sin embargo, de que mantener la salud de los ecosistemas ayuda a reducir los riesgos climáticos y a mejorar la vida de las personas. “Al restaurar ecosistemas degradados y conservar de manera efectiva y equitativa del 30 al 50% de la superficie del planeta (incluyendo hábitats de agua dulce y océanos), la sociedad podría beneficiarse de la capacidad de la naturaleza para absorber y almacenar carbono, y podemos acelerar el progreso hacia el desarrollo sostenible, pero la financiación adecuada y el apoyo político son esenciales”, ha indicado el copresidente del Grupo de Trabajo II del IPCC, Hans-Otto Pörtner. No obstante, recuerda Rivera-Ferre, “el informe pone de manifiesto que el coste de la inacción es mayor que el de la acción. Si no hacemos nada, vamos a tener grandes pérdidas tanto en lo económico como en vidas humanas y en pérdida de biodiversidad”.</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t>El trabajo proporciona una evaluación detallada de los impactos, los riesgos y la adaptación del cambio climático en las ciudades, donde vive más de la mitad de la población mundial. La salud, la vida y los medios de subsistencia de las personas, así como la propiedad y la infraestructura crítica, incluidos los sistemas de energía y transporte, están siendo cada vez más afectados por los peligros de las olas de calor, las tormentas, las sequías y las inundaciones.</w:t>
      </w:r>
    </w:p>
    <w:p w:rsidR="00BF5D7B" w:rsidRDefault="00BF5D7B" w:rsidP="00BF5D7B">
      <w:pPr>
        <w:pStyle w:val="bbc-bm53ic"/>
        <w:shd w:val="clear" w:color="auto" w:fill="FDFDFD"/>
        <w:spacing w:after="0"/>
        <w:jc w:val="both"/>
        <w:rPr>
          <w:shd w:val="clear" w:color="auto" w:fill="FFFFFF"/>
        </w:rPr>
      </w:pPr>
      <w:r w:rsidRPr="005C6729">
        <w:rPr>
          <w:shd w:val="clear" w:color="auto" w:fill="FFFFFF"/>
        </w:rPr>
        <w:t xml:space="preserve"> “La combinación de cambio climático y urbanización crea riesgos complejos, especialmente para aquellas ciudades que ya experimentan un crecimiento urbano mal planificado con altos niveles de pobreza y falta de servicios básicos”, ha indicado la copresidenta del Grupo de Trabajo II Debra Roberts. “Sin embargo, las ciudades también brindan oportunidades para la acción climática: suministros de energía renovable y agua limpia, edificios ecológicos y </w:t>
      </w:r>
      <w:r w:rsidRPr="005C6729">
        <w:rPr>
          <w:shd w:val="clear" w:color="auto" w:fill="FFFFFF"/>
        </w:rPr>
        <w:lastRenderedPageBreak/>
        <w:t>sistemas de transporte sostenibles que conecten zonas urbanas y rurales son soluciones que pueden conducir a una sociedad más justa y equitativa”.</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t>Claves para la adaptación</w:t>
      </w:r>
    </w:p>
    <w:p w:rsidR="00BF5D7B" w:rsidRPr="005C6729" w:rsidRDefault="00BF5D7B" w:rsidP="00BF5D7B">
      <w:pPr>
        <w:pStyle w:val="bbc-bm53ic"/>
        <w:shd w:val="clear" w:color="auto" w:fill="FDFDFD"/>
        <w:spacing w:after="0"/>
        <w:jc w:val="both"/>
        <w:rPr>
          <w:shd w:val="clear" w:color="auto" w:fill="FFFFFF"/>
        </w:rPr>
      </w:pPr>
      <w:r w:rsidRPr="005C6729">
        <w:rPr>
          <w:shd w:val="clear" w:color="auto" w:fill="FFFFFF"/>
        </w:rPr>
        <w:t>El informe introduce el concepto de cambio climático resiliente, un marco de soluciones que combinan estrategias de adaptación al cambio climático con acciones para reducir las emisiones (mitigación) para apoyar un desarrollo sostenible para todas las personas. “El informe hace mucho hincapié en la necesidad de contar con las poblaciones indígenas y la cultura tradicional para manejar los ecosistemas a nivel local”, ha explicado la autora Rivera-Ferrer. El desarrollo climático resiliente involucra a todos y, según el documento, las perspectivas de una acción eficaz mejoran cuando los gobiernos trabajan con la sociedad civil, organismos educativos, instituciones científicas, medios de comunicación, inversores, etc., y, además, se tiene en cuenta a grupos sociales tradicionalmente marginados de las conversaciones como las mujeres, jóvenes, pueblos indígenas y minorías étnicas. “Se pone mucho énfasis en que las opciones de adaptación y mitigación tienen que ser inclusivas, considerando aspectos de equidad, de justicia climática y acciones que integren todo tipo de actores fomentando la cooperación en todos los niveles de gobernancia”, ha destacado Carnicer. “El informe pone de manifiesto la capacidad de todas las personas para actuar y la importancia de la transformación social. Se necesita una acción urgente, pero tenemos capacidad para cambiar las trayectorias de impacto y de riesgo, cada pequeño movimiento en adaptación y mitigación puede ponernos en un escenario mejor”.</w:t>
      </w:r>
    </w:p>
    <w:p w:rsidR="00BF5D7B" w:rsidRDefault="00BF5D7B" w:rsidP="00BF5D7B">
      <w:pPr>
        <w:pStyle w:val="bbc-bm53ic"/>
        <w:shd w:val="clear" w:color="auto" w:fill="FDFDFD"/>
        <w:spacing w:after="0"/>
        <w:jc w:val="both"/>
        <w:rPr>
          <w:shd w:val="clear" w:color="auto" w:fill="FFFFFF"/>
        </w:rPr>
      </w:pPr>
      <w:r w:rsidRPr="005C6729">
        <w:rPr>
          <w:shd w:val="clear" w:color="auto" w:fill="FFFFFF"/>
        </w:rPr>
        <w:t xml:space="preserve"> “La evidencia científica es inequívoca: el cambio climático es una amenaza para el bienestar humano y la salud del planeta. Cualquier retraso en la acción global nos hará perder la ventana de oportunidad para asegurar un futuro habitable”, ha concluido Pörtner. El resumen para responsables de políticas del informe del Grupo de Trabajo II del IPCC fue aprobado el domingo 27 de febrero por los 195 gobiernos miembros del IPCC, después de una sesión virtual que tuvo lugar las dos semanas previas. La publicación del siguiente documento está programada para abril de 2022, y se espera que el documento de síntesis del informe completo esté listo para finales de año.</w:t>
      </w:r>
    </w:p>
    <w:p w:rsidR="00BF5D7B" w:rsidRPr="001B1A2C" w:rsidRDefault="00BF5D7B" w:rsidP="00BF5D7B">
      <w:pPr>
        <w:pStyle w:val="bbc-bm53ic"/>
        <w:shd w:val="clear" w:color="auto" w:fill="FDFDFD"/>
        <w:spacing w:after="0"/>
        <w:jc w:val="both"/>
        <w:rPr>
          <w:b/>
          <w:shd w:val="clear" w:color="auto" w:fill="FFFFFF"/>
        </w:rPr>
      </w:pPr>
      <w:r w:rsidRPr="001B1A2C">
        <w:rPr>
          <w:b/>
          <w:shd w:val="clear" w:color="auto" w:fill="FFFFFF"/>
        </w:rPr>
        <w:t xml:space="preserve">Las </w:t>
      </w:r>
      <w:r>
        <w:rPr>
          <w:b/>
          <w:shd w:val="clear" w:color="auto" w:fill="FFFFFF"/>
        </w:rPr>
        <w:t>“</w:t>
      </w:r>
      <w:r w:rsidRPr="001B1A2C">
        <w:rPr>
          <w:b/>
          <w:shd w:val="clear" w:color="auto" w:fill="FFFFFF"/>
        </w:rPr>
        <w:t>amistades peligrosas</w:t>
      </w:r>
      <w:r>
        <w:rPr>
          <w:b/>
          <w:shd w:val="clear" w:color="auto" w:fill="FFFFFF"/>
        </w:rPr>
        <w:t xml:space="preserve">” de la cancillería alemana </w:t>
      </w:r>
    </w:p>
    <w:p w:rsidR="00BF5D7B" w:rsidRPr="0095668D"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Schroeder, el apestado de la “nueva era”</w:t>
      </w:r>
      <w:r w:rsidRPr="0095668D">
        <w:rPr>
          <w:rFonts w:ascii="Times New Roman" w:hAnsi="Times New Roman" w:cs="Times New Roman"/>
          <w:sz w:val="24"/>
          <w:szCs w:val="24"/>
          <w:u w:val="single"/>
        </w:rPr>
        <w:t xml:space="preserve"> en Alemania</w:t>
      </w:r>
      <w:r>
        <w:rPr>
          <w:rFonts w:ascii="Times New Roman" w:hAnsi="Times New Roman" w:cs="Times New Roman"/>
          <w:sz w:val="24"/>
          <w:szCs w:val="24"/>
        </w:rPr>
        <w:t xml:space="preserve"> (Libertad Digital - </w:t>
      </w:r>
      <w:r w:rsidRPr="0095668D">
        <w:rPr>
          <w:rFonts w:ascii="Times New Roman" w:hAnsi="Times New Roman" w:cs="Times New Roman"/>
          <w:b/>
          <w:sz w:val="24"/>
          <w:szCs w:val="24"/>
        </w:rPr>
        <w:t>2/3/22</w:t>
      </w:r>
      <w:r>
        <w:rPr>
          <w:rFonts w:ascii="Times New Roman" w:hAnsi="Times New Roman" w:cs="Times New Roman"/>
          <w:sz w:val="24"/>
          <w:szCs w:val="24"/>
        </w:rPr>
        <w:t>)</w:t>
      </w:r>
    </w:p>
    <w:p w:rsidR="00BF5D7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5668D">
        <w:rPr>
          <w:rFonts w:ascii="Times New Roman" w:hAnsi="Times New Roman" w:cs="Times New Roman"/>
          <w:sz w:val="24"/>
          <w:szCs w:val="24"/>
        </w:rPr>
        <w:t>M. R. Martín</w:t>
      </w:r>
      <w:r>
        <w:rPr>
          <w:rFonts w:ascii="Times New Roman" w:hAnsi="Times New Roman" w:cs="Times New Roman"/>
          <w:sz w:val="24"/>
          <w:szCs w:val="24"/>
        </w:rPr>
        <w:t>)</w:t>
      </w:r>
    </w:p>
    <w:p w:rsidR="00BF5D7B" w:rsidRPr="00406FE5" w:rsidRDefault="00BF5D7B" w:rsidP="00BF5D7B">
      <w:pPr>
        <w:spacing w:line="240" w:lineRule="auto"/>
        <w:jc w:val="both"/>
        <w:rPr>
          <w:rFonts w:ascii="Times New Roman" w:hAnsi="Times New Roman" w:cs="Times New Roman"/>
          <w:sz w:val="24"/>
          <w:szCs w:val="24"/>
          <w:u w:val="single"/>
        </w:rPr>
      </w:pPr>
      <w:r w:rsidRPr="00406FE5">
        <w:rPr>
          <w:rFonts w:ascii="Times New Roman" w:hAnsi="Times New Roman" w:cs="Times New Roman"/>
          <w:sz w:val="24"/>
          <w:szCs w:val="24"/>
          <w:u w:val="single"/>
        </w:rPr>
        <w:t>El pasado domingo el canciller alemán, el socialdemó</w:t>
      </w:r>
      <w:r>
        <w:rPr>
          <w:rFonts w:ascii="Times New Roman" w:hAnsi="Times New Roman" w:cs="Times New Roman"/>
          <w:sz w:val="24"/>
          <w:szCs w:val="24"/>
          <w:u w:val="single"/>
        </w:rPr>
        <w:t>crata Olaf Scholz, habló de un “cambio de era”</w:t>
      </w:r>
      <w:r w:rsidRPr="00406FE5">
        <w:rPr>
          <w:rFonts w:ascii="Times New Roman" w:hAnsi="Times New Roman" w:cs="Times New Roman"/>
          <w:sz w:val="24"/>
          <w:szCs w:val="24"/>
          <w:u w:val="single"/>
        </w:rPr>
        <w:t xml:space="preserve"> en Alemania con el anuncio de envío de armas a Ucrania, el compromiso de rearmar el país ante futuras amenazas y también cambios en la política energética, centrada en los últimos años en las tecnologías verdes y con una altísima dependencia del gas ruso.</w:t>
      </w:r>
    </w:p>
    <w:p w:rsidR="00BF5D7B" w:rsidRPr="00406FE5" w:rsidRDefault="00BF5D7B" w:rsidP="00BF5D7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esa “nueva era”</w:t>
      </w:r>
      <w:r w:rsidRPr="00406FE5">
        <w:rPr>
          <w:rFonts w:ascii="Times New Roman" w:hAnsi="Times New Roman" w:cs="Times New Roman"/>
          <w:sz w:val="24"/>
          <w:szCs w:val="24"/>
          <w:u w:val="single"/>
        </w:rPr>
        <w:t xml:space="preserve"> el excanciller alemán Gerhard Schroeder se ha convertido en el símbolo de los errores que el país ha cometido hasta aquí y en el blanco de las críticas políticas y mediáticas, con el que fuera su partido a la cabeza</w:t>
      </w:r>
      <w:r w:rsidRPr="0095668D">
        <w:rPr>
          <w:rFonts w:ascii="Times New Roman" w:hAnsi="Times New Roman" w:cs="Times New Roman"/>
          <w:sz w:val="24"/>
          <w:szCs w:val="24"/>
        </w:rPr>
        <w:t xml:space="preserve">. El SPD trata de cortar lazos con el ex mandatario, cuya íntima amistad con Vladimir Putin desde su etapa en el gobierno es bien conocida y que hace sólo unos días proyectaba su entrada en el consejo de Gazprom. </w:t>
      </w:r>
      <w:r w:rsidRPr="00406FE5">
        <w:rPr>
          <w:rFonts w:ascii="Times New Roman" w:hAnsi="Times New Roman" w:cs="Times New Roman"/>
          <w:sz w:val="24"/>
          <w:szCs w:val="24"/>
          <w:u w:val="single"/>
        </w:rPr>
        <w:t>Ahora, los medios se lamentan por lo que sigue cobrando del erario público pese a sus nego</w:t>
      </w:r>
      <w:r>
        <w:rPr>
          <w:rFonts w:ascii="Times New Roman" w:hAnsi="Times New Roman" w:cs="Times New Roman"/>
          <w:sz w:val="24"/>
          <w:szCs w:val="24"/>
          <w:u w:val="single"/>
        </w:rPr>
        <w:t>cios privados, la CDU habla de “bochorno”</w:t>
      </w:r>
      <w:r w:rsidRPr="00406FE5">
        <w:rPr>
          <w:rFonts w:ascii="Times New Roman" w:hAnsi="Times New Roman" w:cs="Times New Roman"/>
          <w:sz w:val="24"/>
          <w:szCs w:val="24"/>
          <w:u w:val="single"/>
        </w:rPr>
        <w:t xml:space="preserve"> y los socialistas reniegan de él.</w:t>
      </w:r>
    </w:p>
    <w:p w:rsidR="00BF5D7B" w:rsidRPr="00406FE5" w:rsidRDefault="00BF5D7B" w:rsidP="00BF5D7B">
      <w:pPr>
        <w:spacing w:line="240" w:lineRule="auto"/>
        <w:jc w:val="both"/>
        <w:rPr>
          <w:rFonts w:ascii="Times New Roman" w:hAnsi="Times New Roman" w:cs="Times New Roman"/>
          <w:color w:val="FF0000"/>
          <w:sz w:val="24"/>
          <w:szCs w:val="24"/>
          <w:u w:val="single"/>
        </w:rPr>
      </w:pPr>
      <w:r w:rsidRPr="00406FE5">
        <w:rPr>
          <w:rFonts w:ascii="Times New Roman" w:hAnsi="Times New Roman" w:cs="Times New Roman"/>
          <w:color w:val="FF0000"/>
          <w:sz w:val="24"/>
          <w:szCs w:val="24"/>
          <w:u w:val="single"/>
        </w:rPr>
        <w:lastRenderedPageBreak/>
        <w:t>Schroeder, que presidió el país entre 1998 y 2005, es en la actualidad presidente del comité de accionistas de Nord Stream y del consejo de administración de Nord Stream 2, miembro del consejo de vigilancia del consorcio energético ruso Rosneft y aspira a formar parte del consejo de vigilancia de Gazprom en junio. Al mismo tiempo, como destacaba este martes el Hannoverische Allgemeine Zeitung, cobra 7.062 euros mensualmente de las arcas públicas como excanciller. Además, la oficina de representación personal de que disfruta con trabajadores públicos a su servicio cuesta 407.000 euros al año. Al mismo tiempo, el diario estima que por su cargo en Rosneft recibe 600.000 euros al año, mientras que de Nord Stream recibe 250.000 euros anuales. Su fortuna ascendería a 20 millones de euros.</w:t>
      </w:r>
    </w:p>
    <w:p w:rsidR="00BF5D7B" w:rsidRDefault="00BF5D7B" w:rsidP="00BF5D7B">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 xml:space="preserve">La prensa germana recuerda estos días cómo es íntimo amigo de Putin desde su etapa en el poder y cómo continúan en estrecho contacto: en los últimos años Putin se han intercambiado invitaciones a cumpleaños y fiestas, tanto en Alemania como en Rusia. Causó una enorme polémica la gran fiesta que le preparó el ruso en San </w:t>
      </w:r>
      <w:r>
        <w:rPr>
          <w:rFonts w:ascii="Times New Roman" w:hAnsi="Times New Roman" w:cs="Times New Roman"/>
          <w:sz w:val="24"/>
          <w:szCs w:val="24"/>
        </w:rPr>
        <w:t>Petersburgo al cumplir 70 años.</w:t>
      </w:r>
    </w:p>
    <w:p w:rsidR="00BF5D7B" w:rsidRPr="0095668D" w:rsidRDefault="00BF5D7B" w:rsidP="00BF5D7B">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Abandonado por los suyos</w:t>
      </w:r>
    </w:p>
    <w:p w:rsidR="00BF5D7B" w:rsidRPr="0095668D" w:rsidRDefault="00BF5D7B" w:rsidP="00BF5D7B">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Los medios también comentan sus declaraciones más recientes defendiendo a Rusia y minimizando la posibilidad de una invasión hasta hace muy poco. Indignó que se refiriera a lo</w:t>
      </w:r>
      <w:r>
        <w:rPr>
          <w:rFonts w:ascii="Times New Roman" w:hAnsi="Times New Roman" w:cs="Times New Roman"/>
          <w:sz w:val="24"/>
          <w:szCs w:val="24"/>
        </w:rPr>
        <w:t xml:space="preserve"> que estaba ocurriendo como un “ruido de sables”</w:t>
      </w:r>
      <w:r w:rsidRPr="0095668D">
        <w:rPr>
          <w:rFonts w:ascii="Times New Roman" w:hAnsi="Times New Roman" w:cs="Times New Roman"/>
          <w:sz w:val="24"/>
          <w:szCs w:val="24"/>
        </w:rPr>
        <w:t xml:space="preserve"> lanzado desde Ucrania y que justificara los movimientos de tropas rusas en la frontera como reacción a las actividades de la OTAN en el Báltico. Incluso criticó al nuevo ministro de Exteriores alemán por haber pasado por Kiev en su camino hacia Moscú para reunirse con su homólogo r</w:t>
      </w:r>
      <w:r>
        <w:rPr>
          <w:rFonts w:ascii="Times New Roman" w:hAnsi="Times New Roman" w:cs="Times New Roman"/>
          <w:sz w:val="24"/>
          <w:szCs w:val="24"/>
        </w:rPr>
        <w:t>uso. “Quizás debería haberse evitado” pero “</w:t>
      </w:r>
      <w:r w:rsidRPr="0095668D">
        <w:rPr>
          <w:rFonts w:ascii="Times New Roman" w:hAnsi="Times New Roman" w:cs="Times New Roman"/>
          <w:sz w:val="24"/>
          <w:szCs w:val="24"/>
        </w:rPr>
        <w:t>ca</w:t>
      </w:r>
      <w:r>
        <w:rPr>
          <w:rFonts w:ascii="Times New Roman" w:hAnsi="Times New Roman" w:cs="Times New Roman"/>
          <w:sz w:val="24"/>
          <w:szCs w:val="24"/>
        </w:rPr>
        <w:t>da cual tiene su estilo”, dijo.</w:t>
      </w:r>
    </w:p>
    <w:p w:rsidR="00BF5D7B" w:rsidRPr="0095668D" w:rsidRDefault="00BF5D7B" w:rsidP="00BF5D7B">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La oposi</w:t>
      </w:r>
      <w:r>
        <w:rPr>
          <w:rFonts w:ascii="Times New Roman" w:hAnsi="Times New Roman" w:cs="Times New Roman"/>
          <w:sz w:val="24"/>
          <w:szCs w:val="24"/>
        </w:rPr>
        <w:t>ción lleva semanas hablando de “vergüenza”</w:t>
      </w:r>
      <w:r w:rsidRPr="0095668D">
        <w:rPr>
          <w:rFonts w:ascii="Times New Roman" w:hAnsi="Times New Roman" w:cs="Times New Roman"/>
          <w:sz w:val="24"/>
          <w:szCs w:val="24"/>
        </w:rPr>
        <w:t xml:space="preserve"> por declaraciones como estas y tras la invasión rusa las críticas se han multiplicado. También su propio equipo le ha abandonado: según el Hannoverische Allgemeine Zeitung, cuatro de sus colaboradores, entre ellos el jefe de su oficina, Albrecht Funk, dejaron sus cargos por su ambigüedad con Rusia. El mismo diario señala que Funk le habría pedido que renunciara a su futuro cargo en Gazprom.</w:t>
      </w:r>
    </w:p>
    <w:p w:rsidR="00BF5D7B" w:rsidRPr="0095668D" w:rsidRDefault="00BF5D7B" w:rsidP="00BF5D7B">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El padre del Nord Stream</w:t>
      </w:r>
    </w:p>
    <w:p w:rsidR="00BF5D7B" w:rsidRPr="00E141CE" w:rsidRDefault="00BF5D7B" w:rsidP="00BF5D7B">
      <w:pPr>
        <w:spacing w:line="240" w:lineRule="auto"/>
        <w:jc w:val="both"/>
        <w:rPr>
          <w:rFonts w:ascii="Times New Roman" w:hAnsi="Times New Roman" w:cs="Times New Roman"/>
          <w:sz w:val="24"/>
          <w:szCs w:val="24"/>
          <w:u w:val="single"/>
        </w:rPr>
      </w:pPr>
      <w:r w:rsidRPr="00E141CE">
        <w:rPr>
          <w:rFonts w:ascii="Times New Roman" w:hAnsi="Times New Roman" w:cs="Times New Roman"/>
          <w:sz w:val="24"/>
          <w:szCs w:val="24"/>
          <w:u w:val="single"/>
        </w:rPr>
        <w:t>La polémica actual se entiende mejor recordando el papel esencial que ha tenido Schroeder en la deriva de la política energética alemana primero como canciller y luego como lobbista. Desde el poder, el socialdemócrata fue clave para el nacimiento del Nord Stream 2, el nuevo gasoducto para llevar gas ruso hasta el país que Scholz ha decidido ahora paralizar cuando sólo faltaba un paso para su puesta en marcha y tras una inversión de 11.000 millones de dólares de un consorcio controlado al 50% por la rusa Gazprom.</w:t>
      </w:r>
    </w:p>
    <w:p w:rsidR="00BF5D7B" w:rsidRDefault="00BF5D7B" w:rsidP="00BF5D7B">
      <w:pPr>
        <w:spacing w:line="240" w:lineRule="auto"/>
        <w:jc w:val="both"/>
        <w:rPr>
          <w:rFonts w:ascii="Times New Roman" w:hAnsi="Times New Roman" w:cs="Times New Roman"/>
          <w:sz w:val="24"/>
          <w:szCs w:val="24"/>
        </w:rPr>
      </w:pPr>
      <w:r w:rsidRPr="00E141CE">
        <w:rPr>
          <w:rFonts w:ascii="Times New Roman" w:hAnsi="Times New Roman" w:cs="Times New Roman"/>
          <w:sz w:val="24"/>
          <w:szCs w:val="24"/>
          <w:u w:val="single"/>
        </w:rPr>
        <w:t>Schroeder respaldó como canciller primero la construcción del Nord Stream 1, el gasoducto que permitiría recibir gas ruso a través del Báltico sin atravesar Ucrania y luego el Nord Stream 2, construido en paralelo y cuya puesta en marcha supondría doblar la capacidad de importación</w:t>
      </w:r>
      <w:r w:rsidRPr="0095668D">
        <w:rPr>
          <w:rFonts w:ascii="Times New Roman" w:hAnsi="Times New Roman" w:cs="Times New Roman"/>
          <w:sz w:val="24"/>
          <w:szCs w:val="24"/>
        </w:rPr>
        <w:t>. En 2005, asistió a la firma junto a Putin del acuerdo entre Gazprom y las alemanas Wintershall y E.ON. Ese mismo año perdió las elecciones frente a Merkel y sólo un mes más tarde, en diciembre, se incorporó como consejero del consorcio al frente del Nord Stream, algo que en su día le costó duras críticas de la oposición, aunque su partido decidió defenderlo en</w:t>
      </w:r>
      <w:r>
        <w:rPr>
          <w:rFonts w:ascii="Times New Roman" w:hAnsi="Times New Roman" w:cs="Times New Roman"/>
          <w:sz w:val="24"/>
          <w:szCs w:val="24"/>
        </w:rPr>
        <w:t xml:space="preserve"> su paso a la “esfera privada”.</w:t>
      </w:r>
    </w:p>
    <w:p w:rsidR="00597116" w:rsidRDefault="00597116" w:rsidP="00BF5D7B">
      <w:pPr>
        <w:spacing w:line="240" w:lineRule="auto"/>
        <w:jc w:val="both"/>
        <w:rPr>
          <w:rFonts w:ascii="Times New Roman" w:hAnsi="Times New Roman" w:cs="Times New Roman"/>
          <w:sz w:val="24"/>
          <w:szCs w:val="24"/>
        </w:rPr>
      </w:pPr>
    </w:p>
    <w:p w:rsidR="00597116" w:rsidRDefault="00597116" w:rsidP="00BF5D7B">
      <w:pPr>
        <w:spacing w:line="240" w:lineRule="auto"/>
        <w:jc w:val="both"/>
        <w:rPr>
          <w:rFonts w:ascii="Times New Roman" w:hAnsi="Times New Roman" w:cs="Times New Roman"/>
          <w:sz w:val="24"/>
          <w:szCs w:val="24"/>
        </w:rPr>
      </w:pPr>
    </w:p>
    <w:p w:rsidR="00BF5D7B" w:rsidRPr="0095668D" w:rsidRDefault="00BF5D7B" w:rsidP="00BF5D7B">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lastRenderedPageBreak/>
        <w:t>Contra las nucleares</w:t>
      </w:r>
    </w:p>
    <w:p w:rsidR="00BF5D7B" w:rsidRPr="0095668D" w:rsidRDefault="00BF5D7B" w:rsidP="00BF5D7B">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Mientras las obras suscitaban rechazo en Polonia, Finlandia o Estados Unidos por el aumento de la dependencia energética de Rusia, la sucesora de Schroeder, Angela M</w:t>
      </w:r>
      <w:r>
        <w:rPr>
          <w:rFonts w:ascii="Times New Roman" w:hAnsi="Times New Roman" w:cs="Times New Roman"/>
          <w:sz w:val="24"/>
          <w:szCs w:val="24"/>
        </w:rPr>
        <w:t>erkel, decidió seguir adelante.</w:t>
      </w:r>
    </w:p>
    <w:p w:rsidR="00BF5D7B" w:rsidRPr="009A2397" w:rsidRDefault="00BF5D7B" w:rsidP="00BF5D7B">
      <w:pPr>
        <w:spacing w:line="240" w:lineRule="auto"/>
        <w:jc w:val="both"/>
        <w:rPr>
          <w:rFonts w:ascii="Times New Roman" w:hAnsi="Times New Roman" w:cs="Times New Roman"/>
          <w:sz w:val="24"/>
          <w:szCs w:val="24"/>
        </w:rPr>
      </w:pPr>
      <w:r w:rsidRPr="00E141CE">
        <w:rPr>
          <w:rFonts w:ascii="Times New Roman" w:hAnsi="Times New Roman" w:cs="Times New Roman"/>
          <w:sz w:val="24"/>
          <w:szCs w:val="24"/>
          <w:u w:val="single"/>
        </w:rPr>
        <w:t>En para</w:t>
      </w:r>
      <w:r>
        <w:rPr>
          <w:rFonts w:ascii="Times New Roman" w:hAnsi="Times New Roman" w:cs="Times New Roman"/>
          <w:sz w:val="24"/>
          <w:szCs w:val="24"/>
          <w:u w:val="single"/>
        </w:rPr>
        <w:t>lelo, Schroeder también fue el “padre”</w:t>
      </w:r>
      <w:r w:rsidRPr="00E141CE">
        <w:rPr>
          <w:rFonts w:ascii="Times New Roman" w:hAnsi="Times New Roman" w:cs="Times New Roman"/>
          <w:sz w:val="24"/>
          <w:szCs w:val="24"/>
          <w:u w:val="single"/>
        </w:rPr>
        <w:t xml:space="preserve"> de la decisión alemana de prescindir de la energía nuclear con la firma de la Atomgesetz en 2000 que apostaba por reducir la vida útil de las centrales nucleares a 32 años y no abrir ninguna más</w:t>
      </w:r>
      <w:r w:rsidRPr="0095668D">
        <w:rPr>
          <w:rFonts w:ascii="Times New Roman" w:hAnsi="Times New Roman" w:cs="Times New Roman"/>
          <w:sz w:val="24"/>
          <w:szCs w:val="24"/>
        </w:rPr>
        <w:t>. Aunque Merkel en un primer momento apostó por volver a prolongar su vida útil, tras el terremoto de Fukushima y las presiones verdes decidió dar marcha atrás: ahora, sólo hay tres centrales nucleares en marcha en Alemania y está previsto que se cierren a finales de este mismo año.</w:t>
      </w:r>
    </w:p>
    <w:p w:rsidR="00BF5D7B" w:rsidRPr="00E4549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549A">
        <w:rPr>
          <w:rFonts w:ascii="Times New Roman" w:hAnsi="Times New Roman" w:cs="Times New Roman"/>
          <w:sz w:val="24"/>
          <w:szCs w:val="24"/>
          <w:u w:val="single"/>
        </w:rPr>
        <w:t>Una guerra que evidencia la grave fragilidad energética europea</w:t>
      </w:r>
      <w:r>
        <w:rPr>
          <w:rFonts w:ascii="Times New Roman" w:hAnsi="Times New Roman" w:cs="Times New Roman"/>
          <w:sz w:val="24"/>
          <w:szCs w:val="24"/>
        </w:rPr>
        <w:t xml:space="preserve"> (Cinco Días - </w:t>
      </w:r>
      <w:r w:rsidRPr="00E4549A">
        <w:rPr>
          <w:rFonts w:ascii="Times New Roman" w:hAnsi="Times New Roman" w:cs="Times New Roman"/>
          <w:b/>
          <w:sz w:val="24"/>
          <w:szCs w:val="24"/>
        </w:rPr>
        <w:t>8/3/22</w:t>
      </w:r>
      <w:r>
        <w:rPr>
          <w:rFonts w:ascii="Times New Roman" w:hAnsi="Times New Roman" w:cs="Times New Roman"/>
          <w:sz w:val="24"/>
          <w:szCs w:val="24"/>
        </w:rPr>
        <w:t>)</w:t>
      </w:r>
    </w:p>
    <w:p w:rsidR="00BF5D7B" w:rsidRPr="00E4549A" w:rsidRDefault="00BF5D7B" w:rsidP="00BF5D7B">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La hipótesis de un shock de suministro de gas y petróleo que suma a Europa en una grave crisis energética y trunque de raíz la recuperación ha dejado de ser un escenario más o menos teórico para convertirse en una inquietante posibilidad. Los mercados reflejaron ayer este temor con fuertes va</w:t>
      </w:r>
      <w:r>
        <w:rPr>
          <w:rFonts w:ascii="Times New Roman" w:hAnsi="Times New Roman" w:cs="Times New Roman"/>
          <w:sz w:val="24"/>
          <w:szCs w:val="24"/>
        </w:rPr>
        <w:t>riaciones tanto en el petróleo -</w:t>
      </w:r>
      <w:r w:rsidRPr="00E4549A">
        <w:rPr>
          <w:rFonts w:ascii="Times New Roman" w:hAnsi="Times New Roman" w:cs="Times New Roman"/>
          <w:sz w:val="24"/>
          <w:szCs w:val="24"/>
        </w:rPr>
        <w:t>con un Brent que llegó a tocar los 139 dólares, cifra que no alcanzaba desde 2008, aunque finalmente r</w:t>
      </w:r>
      <w:r>
        <w:rPr>
          <w:rFonts w:ascii="Times New Roman" w:hAnsi="Times New Roman" w:cs="Times New Roman"/>
          <w:sz w:val="24"/>
          <w:szCs w:val="24"/>
        </w:rPr>
        <w:t>etrocedió hasta los 121 dólares-</w:t>
      </w:r>
      <w:r w:rsidRPr="00E4549A">
        <w:rPr>
          <w:rFonts w:ascii="Times New Roman" w:hAnsi="Times New Roman" w:cs="Times New Roman"/>
          <w:sz w:val="24"/>
          <w:szCs w:val="24"/>
        </w:rPr>
        <w:t xml:space="preserve"> como en el gas, donde los futuros en el mercado neerlandés se dispararon hasta en un 79% respecto al vi</w:t>
      </w:r>
      <w:r w:rsidR="009C20F1">
        <w:rPr>
          <w:rFonts w:ascii="Times New Roman" w:hAnsi="Times New Roman" w:cs="Times New Roman"/>
          <w:sz w:val="24"/>
          <w:szCs w:val="24"/>
        </w:rPr>
        <w:t>ernes y cerraron en 229 euros/MW</w:t>
      </w:r>
      <w:r w:rsidRPr="00E4549A">
        <w:rPr>
          <w:rFonts w:ascii="Times New Roman" w:hAnsi="Times New Roman" w:cs="Times New Roman"/>
          <w:sz w:val="24"/>
          <w:szCs w:val="24"/>
        </w:rPr>
        <w:t>h. Por su parte, el precio de la electricidad en el mercado mayorista marca hoy la cifra más cara de la historia: 544,98</w:t>
      </w:r>
      <w:r w:rsidR="009C20F1">
        <w:rPr>
          <w:rFonts w:ascii="Times New Roman" w:hAnsi="Times New Roman" w:cs="Times New Roman"/>
          <w:sz w:val="24"/>
          <w:szCs w:val="24"/>
        </w:rPr>
        <w:t xml:space="preserve"> euros el megavatio/hora (M</w:t>
      </w:r>
      <w:r>
        <w:rPr>
          <w:rFonts w:ascii="Times New Roman" w:hAnsi="Times New Roman" w:cs="Times New Roman"/>
          <w:sz w:val="24"/>
          <w:szCs w:val="24"/>
        </w:rPr>
        <w:t>Wh).</w:t>
      </w:r>
    </w:p>
    <w:p w:rsidR="00BF5D7B" w:rsidRPr="00E4549A" w:rsidRDefault="00BF5D7B" w:rsidP="00BF5D7B">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Aunque la subida del coste de la energía estaba azotando ya las economías occidentales antes de la invasión de Ucrania, el conflicto bélico y, sobre todo, la posibilidad de que se prolongue durante meses, ha terminado de incendiar el mercado energético mundial. Las violentas subidas del crudo y del gas son la reacción ante dos escenarios de grave riesgo para el abastecimiento. Por un lado, la posible prohibición de las importaciones de petróleo ruso, una medida que Washington baraja adoptar de forma unilateral. Por otro, la hipótesis d</w:t>
      </w:r>
      <w:r>
        <w:rPr>
          <w:rFonts w:ascii="Times New Roman" w:hAnsi="Times New Roman" w:cs="Times New Roman"/>
          <w:sz w:val="24"/>
          <w:szCs w:val="24"/>
        </w:rPr>
        <w:t>e que las sanciones desencadene</w:t>
      </w:r>
      <w:r w:rsidRPr="00E4549A">
        <w:rPr>
          <w:rFonts w:ascii="Times New Roman" w:hAnsi="Times New Roman" w:cs="Times New Roman"/>
          <w:sz w:val="24"/>
          <w:szCs w:val="24"/>
        </w:rPr>
        <w:t xml:space="preserve"> un corte de suministro del gas por parte de Moscú, lo que golpearía seriamente a Europa, que se abastece en Rusia de hasta un 40% del gas que importa. Desde las autoridades europeas se reconocía ayer, con una elevada dosis de realismo, que la UE no puede prescindir del suministro ruso “de un día para otro”, al tiempo que se anunciaba un plan para reducir la dependencia energética de Moscú que es necesario, </w:t>
      </w:r>
      <w:r>
        <w:rPr>
          <w:rFonts w:ascii="Times New Roman" w:hAnsi="Times New Roman" w:cs="Times New Roman"/>
          <w:sz w:val="24"/>
          <w:szCs w:val="24"/>
        </w:rPr>
        <w:t>sin duda, pero que llega tarde.</w:t>
      </w:r>
    </w:p>
    <w:p w:rsidR="00BF5D7B" w:rsidRDefault="00BF5D7B" w:rsidP="00BF5D7B">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Más allá de que la solución más deseable a esta crisis sería un alto al fuego y una reconducción del conflicto, la guerra debe servir de acicate a Europa para avanzar en el diseño de un mapa de suministro energético más diversificado y menos vulnerable. Si los acontecimientos en Ucrania se agravan todavía más y el conflicto desencadena una crisis global de energía, Europa deberá asumir como primera consecuencia un racionamiento energético que tendrá un alto coste económico y social. España aprobó ayer una serie de medidas para mitigar el impacto de ese escenario, entre ellas, el desligamiento de los usuarios vulnerables de los altos precios determinados en el pool, pero se trata de parches temporales. La verdadera respuesta a la crisis no está solo en Moscú, sino también en Bruselas, que debería recordar aquello de que la diversificación es un seguro, también en la energía.</w:t>
      </w:r>
    </w:p>
    <w:p w:rsidR="00597116" w:rsidRDefault="00597116" w:rsidP="00BF5D7B">
      <w:pPr>
        <w:spacing w:line="240" w:lineRule="auto"/>
        <w:jc w:val="both"/>
        <w:rPr>
          <w:rFonts w:ascii="Times New Roman" w:hAnsi="Times New Roman" w:cs="Times New Roman"/>
          <w:sz w:val="24"/>
          <w:szCs w:val="24"/>
        </w:rPr>
      </w:pPr>
    </w:p>
    <w:p w:rsidR="00597116" w:rsidRDefault="00597116" w:rsidP="00BF5D7B">
      <w:pPr>
        <w:spacing w:line="240" w:lineRule="auto"/>
        <w:jc w:val="both"/>
        <w:rPr>
          <w:rFonts w:ascii="Times New Roman" w:hAnsi="Times New Roman" w:cs="Times New Roman"/>
          <w:sz w:val="24"/>
          <w:szCs w:val="24"/>
        </w:rPr>
      </w:pPr>
    </w:p>
    <w:p w:rsidR="00BF5D7B" w:rsidRPr="009A3995" w:rsidRDefault="00BF5D7B" w:rsidP="00BF5D7B">
      <w:pPr>
        <w:spacing w:line="240" w:lineRule="auto"/>
        <w:jc w:val="both"/>
        <w:rPr>
          <w:rFonts w:ascii="Times New Roman" w:hAnsi="Times New Roman" w:cs="Times New Roman"/>
          <w:sz w:val="24"/>
          <w:szCs w:val="24"/>
          <w:u w:val="single"/>
        </w:rPr>
      </w:pPr>
      <w:r w:rsidRPr="009A3995">
        <w:rPr>
          <w:rFonts w:ascii="Times New Roman" w:hAnsi="Times New Roman" w:cs="Times New Roman"/>
          <w:sz w:val="24"/>
          <w:szCs w:val="24"/>
          <w:u w:val="single"/>
        </w:rPr>
        <w:lastRenderedPageBreak/>
        <w:t>El “chantaje” de Rusia, a la “ambigua”</w:t>
      </w:r>
      <w:r>
        <w:rPr>
          <w:rFonts w:ascii="Times New Roman" w:hAnsi="Times New Roman" w:cs="Times New Roman"/>
          <w:sz w:val="24"/>
          <w:szCs w:val="24"/>
          <w:u w:val="single"/>
        </w:rPr>
        <w:t xml:space="preserve"> Alemania (y de paso,</w:t>
      </w:r>
      <w:r w:rsidR="00F36C3D">
        <w:rPr>
          <w:rFonts w:ascii="Times New Roman" w:hAnsi="Times New Roman" w:cs="Times New Roman"/>
          <w:sz w:val="24"/>
          <w:szCs w:val="24"/>
          <w:u w:val="single"/>
        </w:rPr>
        <w:t xml:space="preserve"> a toda la “eco friendly</w:t>
      </w:r>
      <w:r w:rsidRPr="009A3995">
        <w:rPr>
          <w:rFonts w:ascii="Times New Roman" w:hAnsi="Times New Roman" w:cs="Times New Roman"/>
          <w:sz w:val="24"/>
          <w:szCs w:val="24"/>
          <w:u w:val="single"/>
        </w:rPr>
        <w:t>” UE)</w:t>
      </w:r>
    </w:p>
    <w:p w:rsidR="00BF5D7B" w:rsidRDefault="00BF5D7B" w:rsidP="00BF5D7B">
      <w:pPr>
        <w:spacing w:line="240" w:lineRule="auto"/>
        <w:jc w:val="both"/>
        <w:rPr>
          <w:rFonts w:ascii="Times New Roman" w:hAnsi="Times New Roman" w:cs="Times New Roman"/>
          <w:sz w:val="24"/>
          <w:szCs w:val="24"/>
        </w:rPr>
      </w:pPr>
      <w:r w:rsidRPr="009A3995">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w:t>
      </w:r>
      <w:r>
        <w:rPr>
          <w:rFonts w:ascii="Times New Roman" w:hAnsi="Times New Roman" w:cs="Times New Roman"/>
          <w:sz w:val="24"/>
          <w:szCs w:val="24"/>
        </w:rPr>
        <w:t>imer ministro Alexander Novak. “</w:t>
      </w:r>
      <w:r w:rsidRPr="009A3995">
        <w:rPr>
          <w:rFonts w:ascii="Times New Roman" w:hAnsi="Times New Roman" w:cs="Times New Roman"/>
          <w:sz w:val="24"/>
          <w:szCs w:val="24"/>
        </w:rPr>
        <w:t>Hoy en día, Europa consume alrededor de 500.000 millones de metros cúbicos de gas al año, y el</w:t>
      </w:r>
      <w:r>
        <w:rPr>
          <w:rFonts w:ascii="Times New Roman" w:hAnsi="Times New Roman" w:cs="Times New Roman"/>
          <w:sz w:val="24"/>
          <w:szCs w:val="24"/>
        </w:rPr>
        <w:t xml:space="preserve"> 40 % de esto proviene de Rusia”</w:t>
      </w:r>
      <w:r w:rsidRPr="009A3995">
        <w:rPr>
          <w:rFonts w:ascii="Times New Roman" w:hAnsi="Times New Roman" w:cs="Times New Roman"/>
          <w:sz w:val="24"/>
          <w:szCs w:val="24"/>
        </w:rPr>
        <w:t xml:space="preserve">, ha destacado. La decisión </w:t>
      </w:r>
      <w:r>
        <w:rPr>
          <w:rFonts w:ascii="Times New Roman" w:hAnsi="Times New Roman" w:cs="Times New Roman"/>
          <w:sz w:val="24"/>
          <w:szCs w:val="24"/>
        </w:rPr>
        <w:t>no está tomada -ha dicho- pero “</w:t>
      </w:r>
      <w:r w:rsidRPr="009A3995">
        <w:rPr>
          <w:rFonts w:ascii="Times New Roman" w:hAnsi="Times New Roman" w:cs="Times New Roman"/>
          <w:sz w:val="24"/>
          <w:szCs w:val="24"/>
        </w:rPr>
        <w:t>los políticos europeos, con sus reclamos y acusaciones,</w:t>
      </w:r>
      <w:r>
        <w:rPr>
          <w:rFonts w:ascii="Times New Roman" w:hAnsi="Times New Roman" w:cs="Times New Roman"/>
          <w:sz w:val="24"/>
          <w:szCs w:val="24"/>
        </w:rPr>
        <w:t xml:space="preserve"> nos están empujando hacia ello”</w:t>
      </w:r>
      <w:r w:rsidRPr="009A3995">
        <w:rPr>
          <w:rFonts w:ascii="Times New Roman" w:hAnsi="Times New Roman" w:cs="Times New Roman"/>
          <w:sz w:val="24"/>
          <w:szCs w:val="24"/>
        </w:rPr>
        <w:t>.</w:t>
      </w:r>
    </w:p>
    <w:p w:rsidR="00BF5D7B" w:rsidRDefault="00BF5D7B" w:rsidP="00BF5D7B">
      <w:pPr>
        <w:spacing w:line="240" w:lineRule="auto"/>
        <w:jc w:val="both"/>
        <w:rPr>
          <w:rFonts w:ascii="Times New Roman" w:hAnsi="Times New Roman" w:cs="Times New Roman"/>
          <w:sz w:val="24"/>
          <w:szCs w:val="24"/>
        </w:rPr>
      </w:pPr>
      <w:r>
        <w:rPr>
          <w:noProof/>
          <w:lang w:eastAsia="es-ES"/>
        </w:rPr>
        <w:drawing>
          <wp:inline distT="0" distB="0" distL="0" distR="0" wp14:anchorId="7781E5E6" wp14:editId="4D5DAEE7">
            <wp:extent cx="5727699" cy="3136900"/>
            <wp:effectExtent l="0" t="0" r="6985" b="6350"/>
            <wp:docPr id="4" name="Imagen 4"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gh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3138987"/>
                    </a:xfrm>
                    <a:prstGeom prst="rect">
                      <a:avLst/>
                    </a:prstGeom>
                    <a:noFill/>
                    <a:ln>
                      <a:noFill/>
                    </a:ln>
                  </pic:spPr>
                </pic:pic>
              </a:graphicData>
            </a:graphic>
          </wp:inline>
        </w:drawing>
      </w:r>
    </w:p>
    <w:p w:rsidR="00BF5D7B" w:rsidRPr="002E6558" w:rsidRDefault="00BF5D7B" w:rsidP="00BF5D7B">
      <w:pPr>
        <w:spacing w:line="240" w:lineRule="auto"/>
        <w:jc w:val="both"/>
        <w:rPr>
          <w:rFonts w:ascii="Times New Roman" w:hAnsi="Times New Roman" w:cs="Times New Roman"/>
          <w:sz w:val="24"/>
          <w:szCs w:val="24"/>
        </w:rPr>
      </w:pPr>
      <w:r w:rsidRPr="002E6558">
        <w:rPr>
          <w:rFonts w:ascii="Times New Roman" w:hAnsi="Times New Roman" w:cs="Times New Roman"/>
          <w:sz w:val="24"/>
          <w:szCs w:val="24"/>
          <w:shd w:val="clear" w:color="auto" w:fill="FDFDFD"/>
        </w:rPr>
        <w:t>De unos cinco millones de barriles de petróleo crudo que exporta cada día, más de la mitad va a Europa. Estados Unidos es menos dependiente, con alrededor del </w:t>
      </w:r>
      <w:r w:rsidRPr="002E6558">
        <w:rPr>
          <w:rFonts w:ascii="Times New Roman" w:hAnsi="Times New Roman" w:cs="Times New Roman"/>
          <w:bCs/>
          <w:sz w:val="24"/>
          <w:szCs w:val="24"/>
          <w:shd w:val="clear" w:color="auto" w:fill="FDFDFD"/>
        </w:rPr>
        <w:t>3% de su petróleo importado</w:t>
      </w:r>
      <w:r w:rsidRPr="002E6558">
        <w:rPr>
          <w:rFonts w:ascii="Times New Roman" w:hAnsi="Times New Roman" w:cs="Times New Roman"/>
          <w:sz w:val="24"/>
          <w:szCs w:val="24"/>
          <w:shd w:val="clear" w:color="auto" w:fill="FDFDFD"/>
        </w:rPr>
        <w:t> procedente de Rusia en 2020.</w:t>
      </w:r>
    </w:p>
    <w:p w:rsidR="00BF5D7B" w:rsidRDefault="00BF5D7B" w:rsidP="00BF5D7B">
      <w:pPr>
        <w:spacing w:line="240" w:lineRule="auto"/>
        <w:jc w:val="both"/>
        <w:rPr>
          <w:rFonts w:ascii="Times New Roman" w:hAnsi="Times New Roman" w:cs="Times New Roman"/>
          <w:sz w:val="24"/>
          <w:szCs w:val="24"/>
        </w:rPr>
      </w:pPr>
      <w:r>
        <w:rPr>
          <w:noProof/>
          <w:lang w:eastAsia="es-ES"/>
        </w:rPr>
        <w:drawing>
          <wp:inline distT="0" distB="0" distL="0" distR="0" wp14:anchorId="1E0BA19F" wp14:editId="3F441219">
            <wp:extent cx="5734050" cy="3276600"/>
            <wp:effectExtent l="0" t="0" r="0" b="0"/>
            <wp:docPr id="10" name="Imagen 10"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f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3275149"/>
                    </a:xfrm>
                    <a:prstGeom prst="rect">
                      <a:avLst/>
                    </a:prstGeom>
                    <a:noFill/>
                    <a:ln>
                      <a:noFill/>
                    </a:ln>
                  </pic:spPr>
                </pic:pic>
              </a:graphicData>
            </a:graphic>
          </wp:inline>
        </w:drawing>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¿Qué pasaría si el gas ruso dejara de fluir hacia Europa Occidental?</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precios de la calefacción, que ya son altos, aumentarían aún más.</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Si el suministro de gas ruso fuese interrumpido, Italia y Alemania serían especialmente vulnerables.</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cambio, Rusia solo proporciona alrededor del 5% del suministro de gas de Reino U</w:t>
      </w:r>
      <w:r>
        <w:rPr>
          <w:rFonts w:ascii="Times New Roman" w:hAnsi="Times New Roman" w:cs="Times New Roman"/>
          <w:sz w:val="24"/>
          <w:szCs w:val="24"/>
        </w:rPr>
        <w:t>nido, y EEUU</w:t>
      </w:r>
      <w:r w:rsidRPr="0022719C">
        <w:rPr>
          <w:rFonts w:ascii="Times New Roman" w:hAnsi="Times New Roman" w:cs="Times New Roman"/>
          <w:sz w:val="24"/>
          <w:szCs w:val="24"/>
        </w:rPr>
        <w:t xml:space="preserve"> no importa gas ruso.</w:t>
      </w:r>
    </w:p>
    <w:p w:rsidR="00BF5D7B"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Sin embargo, </w:t>
      </w:r>
      <w:r>
        <w:rPr>
          <w:rFonts w:ascii="Times New Roman" w:hAnsi="Times New Roman" w:cs="Times New Roman"/>
          <w:sz w:val="24"/>
          <w:szCs w:val="24"/>
        </w:rPr>
        <w:t>los precios en Reino Unido y EEUU</w:t>
      </w:r>
      <w:r w:rsidRPr="0022719C">
        <w:rPr>
          <w:rFonts w:ascii="Times New Roman" w:hAnsi="Times New Roman" w:cs="Times New Roman"/>
          <w:sz w:val="24"/>
          <w:szCs w:val="24"/>
        </w:rPr>
        <w:t xml:space="preserve"> siguen subiendo significativamente debido al efecto global que genera la escasez de suministro.</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¿Se podrían encontrar alternativas al gas ruso?</w:t>
      </w:r>
    </w:p>
    <w:p w:rsidR="00BF5D7B" w:rsidRPr="0022719C"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BF5D7B" w:rsidRPr="0022719C"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 xml:space="preserve">Es más difícil sustituir el gas porque tenemos estos grandes gasoductos </w:t>
      </w:r>
      <w:r>
        <w:rPr>
          <w:rFonts w:ascii="Times New Roman" w:hAnsi="Times New Roman" w:cs="Times New Roman"/>
          <w:sz w:val="24"/>
          <w:szCs w:val="24"/>
        </w:rPr>
        <w:t>que llevan el gas ruso a Europa”</w:t>
      </w:r>
      <w:r w:rsidRPr="0022719C">
        <w:rPr>
          <w:rFonts w:ascii="Times New Roman" w:hAnsi="Times New Roman" w:cs="Times New Roman"/>
          <w:sz w:val="24"/>
          <w:szCs w:val="24"/>
        </w:rPr>
        <w:t>, le dice a la BBC Ben McWilliams, analista de investig</w:t>
      </w:r>
      <w:r>
        <w:rPr>
          <w:rFonts w:ascii="Times New Roman" w:hAnsi="Times New Roman" w:cs="Times New Roman"/>
          <w:sz w:val="24"/>
          <w:szCs w:val="24"/>
        </w:rPr>
        <w:t>ación de políticas energéticas.</w:t>
      </w:r>
    </w:p>
    <w:p w:rsidR="00BF5D7B"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El centro de estudios Bruegel predice que si Rusia detuviera el suministro de gas a Europa, entonces Europa posiblemente podría importar más </w:t>
      </w:r>
      <w:r>
        <w:rPr>
          <w:rFonts w:ascii="Times New Roman" w:hAnsi="Times New Roman" w:cs="Times New Roman"/>
          <w:sz w:val="24"/>
          <w:szCs w:val="24"/>
        </w:rPr>
        <w:t>gas natural licuado (GNL) de EE</w:t>
      </w:r>
      <w:r w:rsidRPr="0022719C">
        <w:rPr>
          <w:rFonts w:ascii="Times New Roman" w:hAnsi="Times New Roman" w:cs="Times New Roman"/>
          <w:sz w:val="24"/>
          <w:szCs w:val="24"/>
        </w:rPr>
        <w:t>UU.</w:t>
      </w:r>
    </w:p>
    <w:p w:rsidR="00BF5D7B" w:rsidRDefault="00BF5D7B" w:rsidP="00BF5D7B">
      <w:pPr>
        <w:spacing w:line="240" w:lineRule="auto"/>
        <w:jc w:val="both"/>
        <w:rPr>
          <w:rFonts w:ascii="Times New Roman" w:hAnsi="Times New Roman" w:cs="Times New Roman"/>
          <w:sz w:val="24"/>
          <w:szCs w:val="24"/>
        </w:rPr>
      </w:pPr>
      <w:r>
        <w:rPr>
          <w:noProof/>
          <w:lang w:eastAsia="es-ES"/>
        </w:rPr>
        <w:drawing>
          <wp:inline distT="0" distB="0" distL="0" distR="0" wp14:anchorId="317731E8" wp14:editId="44C26F8B">
            <wp:extent cx="5730899" cy="3714750"/>
            <wp:effectExtent l="0" t="0" r="3175" b="0"/>
            <wp:docPr id="68" name="Imagen 68"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d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1510" cy="3715146"/>
                    </a:xfrm>
                    <a:prstGeom prst="rect">
                      <a:avLst/>
                    </a:prstGeom>
                    <a:noFill/>
                    <a:ln>
                      <a:noFill/>
                    </a:ln>
                  </pic:spPr>
                </pic:pic>
              </a:graphicData>
            </a:graphic>
          </wp:inline>
        </w:drawing>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También podría aumentar el uso de otras fuentes de energía, pero hacerlo no es rápido ni fácil.</w:t>
      </w:r>
    </w:p>
    <w:p w:rsidR="00BF5D7B" w:rsidRPr="0022719C"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Las energías renovables tardan en implementarse, por lo que a cort</w:t>
      </w:r>
      <w:r>
        <w:rPr>
          <w:rFonts w:ascii="Times New Roman" w:hAnsi="Times New Roman" w:cs="Times New Roman"/>
          <w:sz w:val="24"/>
          <w:szCs w:val="24"/>
        </w:rPr>
        <w:t>o plazo esta no es una solución”</w:t>
      </w:r>
      <w:r w:rsidRPr="0022719C">
        <w:rPr>
          <w:rFonts w:ascii="Times New Roman" w:hAnsi="Times New Roman" w:cs="Times New Roman"/>
          <w:sz w:val="24"/>
          <w:szCs w:val="24"/>
        </w:rPr>
        <w:t>, dice la analista de investigación Simone Tagliapietra.</w:t>
      </w:r>
    </w:p>
    <w:p w:rsidR="00BF5D7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22719C">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w:t>
      </w:r>
      <w:r>
        <w:rPr>
          <w:rFonts w:ascii="Times New Roman" w:hAnsi="Times New Roman" w:cs="Times New Roman"/>
          <w:sz w:val="24"/>
          <w:szCs w:val="24"/>
        </w:rPr>
        <w:t>erada en caso de una emergencia”</w:t>
      </w:r>
      <w:r w:rsidRPr="0022719C">
        <w:rPr>
          <w:rFonts w:ascii="Times New Roman" w:hAnsi="Times New Roman" w:cs="Times New Roman"/>
          <w:sz w:val="24"/>
          <w:szCs w:val="24"/>
        </w:rPr>
        <w:t>.</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¿Y qué pasa con el petróleo?</w:t>
      </w:r>
    </w:p>
    <w:p w:rsidR="00BF5D7B" w:rsidRPr="0022719C"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Sobre el p</w:t>
      </w:r>
      <w:r>
        <w:rPr>
          <w:rFonts w:ascii="Times New Roman" w:hAnsi="Times New Roman" w:cs="Times New Roman"/>
          <w:sz w:val="24"/>
          <w:szCs w:val="24"/>
        </w:rPr>
        <w:t>etróleo, debería ser más fácil (encontrar fuentes alternativas)</w:t>
      </w:r>
      <w:r w:rsidRPr="0022719C">
        <w:rPr>
          <w:rFonts w:ascii="Times New Roman" w:hAnsi="Times New Roman" w:cs="Times New Roman"/>
          <w:sz w:val="24"/>
          <w:szCs w:val="24"/>
        </w:rPr>
        <w:t>, ya que no se requieren tantos oleod</w:t>
      </w:r>
      <w:r>
        <w:rPr>
          <w:rFonts w:ascii="Times New Roman" w:hAnsi="Times New Roman" w:cs="Times New Roman"/>
          <w:sz w:val="24"/>
          <w:szCs w:val="24"/>
        </w:rPr>
        <w:t>uctos”, explica Ben McWilliams.</w:t>
      </w:r>
    </w:p>
    <w:p w:rsidR="00BF5D7B" w:rsidRPr="0022719C"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Algunos vienen de Rusia, pero también hay muchos envíos de otros lug</w:t>
      </w:r>
      <w:r>
        <w:rPr>
          <w:rFonts w:ascii="Times New Roman" w:hAnsi="Times New Roman" w:cs="Times New Roman"/>
          <w:sz w:val="24"/>
          <w:szCs w:val="24"/>
        </w:rPr>
        <w:t>ares”.</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Estados Unidos le ha estado pidiendo a Arabia Saudita que aumente su producción de petróleo, pero ese país ha rechaza</w:t>
      </w:r>
      <w:r>
        <w:rPr>
          <w:rFonts w:ascii="Times New Roman" w:hAnsi="Times New Roman" w:cs="Times New Roman"/>
          <w:sz w:val="24"/>
          <w:szCs w:val="24"/>
        </w:rPr>
        <w:t>do solicitudes anteriores de EEUU</w:t>
      </w:r>
      <w:r w:rsidRPr="0022719C">
        <w:rPr>
          <w:rFonts w:ascii="Times New Roman" w:hAnsi="Times New Roman" w:cs="Times New Roman"/>
          <w:sz w:val="24"/>
          <w:szCs w:val="24"/>
        </w:rPr>
        <w:t xml:space="preserve"> para aumentar la producción a fin de reducir los precios del petróleo.</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Arabia Saudita es el mayor productor de la OPEP, el grupo de países petroleros que representa alrededor del 60% del crudo comercializado internacionalmente. Debido a esto, la OPEP tiene un papel clave para influ</w:t>
      </w:r>
      <w:r>
        <w:rPr>
          <w:rFonts w:ascii="Times New Roman" w:hAnsi="Times New Roman" w:cs="Times New Roman"/>
          <w:sz w:val="24"/>
          <w:szCs w:val="24"/>
        </w:rPr>
        <w:t>ir en los precios del petróleo.</w:t>
      </w:r>
    </w:p>
    <w:p w:rsidR="00BF5D7B"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Rusia no pertenece oficialmente a la OPEP, pero ha estado trabajando con ella desde 2017 para poner límites a la producción de petróleo, a fin de mantener las ganancias de los productores.</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consumidores del mundo tendrán que pagar más</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Buscando otras opciones, Europa podría recurrir a los exportadores de gas existentes, como Qatar, Argelia o Nigeria, pero existen obstáculos prácticos para expandir rápidamente la p</w:t>
      </w:r>
      <w:r>
        <w:rPr>
          <w:rFonts w:ascii="Times New Roman" w:hAnsi="Times New Roman" w:cs="Times New Roman"/>
          <w:sz w:val="24"/>
          <w:szCs w:val="24"/>
        </w:rPr>
        <w:t>roducción.</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Como resultado de esta guerra los consumidores enfrentarán aumentos en las fac</w:t>
      </w:r>
      <w:r>
        <w:rPr>
          <w:rFonts w:ascii="Times New Roman" w:hAnsi="Times New Roman" w:cs="Times New Roman"/>
          <w:sz w:val="24"/>
          <w:szCs w:val="24"/>
        </w:rPr>
        <w:t>turas de energía y combustible.</w:t>
      </w:r>
    </w:p>
    <w:p w:rsidR="00BF5D7B" w:rsidRPr="0022719C" w:rsidRDefault="00BF5D7B" w:rsidP="00BF5D7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EE.UU, por ejemplo, los costos de la gasolina alcanzaron sus niveles más altos desde 2008. La Asociación Estadounidense del Automóvil precisó que los precios aumentaron u</w:t>
      </w:r>
      <w:r>
        <w:rPr>
          <w:rFonts w:ascii="Times New Roman" w:hAnsi="Times New Roman" w:cs="Times New Roman"/>
          <w:sz w:val="24"/>
          <w:szCs w:val="24"/>
        </w:rPr>
        <w:t>n 11% durante la última semana.</w:t>
      </w:r>
    </w:p>
    <w:p w:rsidR="00BF5D7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Creo que si estamos en un mundo donde el petróleo y el gas rusos dejan de fluir hacia Europa, entonces vamos a necesita</w:t>
      </w:r>
      <w:r>
        <w:rPr>
          <w:rFonts w:ascii="Times New Roman" w:hAnsi="Times New Roman" w:cs="Times New Roman"/>
          <w:sz w:val="24"/>
          <w:szCs w:val="24"/>
        </w:rPr>
        <w:t>r medidas como un racionamiento”</w:t>
      </w:r>
      <w:r w:rsidRPr="0022719C">
        <w:rPr>
          <w:rFonts w:ascii="Times New Roman" w:hAnsi="Times New Roman" w:cs="Times New Roman"/>
          <w:sz w:val="24"/>
          <w:szCs w:val="24"/>
        </w:rPr>
        <w:t>, apunta McWilliams.</w:t>
      </w:r>
    </w:p>
    <w:p w:rsidR="00BF5D7B" w:rsidRDefault="00BF5D7B" w:rsidP="00BF5D7B">
      <w:pPr>
        <w:spacing w:line="240" w:lineRule="auto"/>
        <w:jc w:val="both"/>
        <w:rPr>
          <w:rFonts w:ascii="Times New Roman" w:hAnsi="Times New Roman" w:cs="Times New Roman"/>
          <w:b/>
          <w:sz w:val="24"/>
          <w:szCs w:val="24"/>
        </w:rPr>
      </w:pPr>
      <w:r w:rsidRPr="005A4D16">
        <w:rPr>
          <w:rFonts w:ascii="Times New Roman" w:hAnsi="Times New Roman" w:cs="Times New Roman"/>
          <w:b/>
          <w:sz w:val="24"/>
          <w:szCs w:val="24"/>
        </w:rPr>
        <w:t xml:space="preserve">Nota: </w:t>
      </w:r>
      <w:r>
        <w:rPr>
          <w:rFonts w:ascii="Times New Roman" w:hAnsi="Times New Roman" w:cs="Times New Roman"/>
          <w:b/>
          <w:sz w:val="24"/>
          <w:szCs w:val="24"/>
        </w:rPr>
        <w:t>La i</w:t>
      </w:r>
      <w:r w:rsidRPr="005A4D16">
        <w:rPr>
          <w:rFonts w:ascii="Times New Roman" w:hAnsi="Times New Roman" w:cs="Times New Roman"/>
          <w:b/>
          <w:sz w:val="24"/>
          <w:szCs w:val="24"/>
        </w:rPr>
        <w:t>ndependencia</w:t>
      </w:r>
      <w:r>
        <w:rPr>
          <w:rFonts w:ascii="Times New Roman" w:hAnsi="Times New Roman" w:cs="Times New Roman"/>
          <w:b/>
          <w:sz w:val="24"/>
          <w:szCs w:val="24"/>
        </w:rPr>
        <w:t xml:space="preserve"> económica, y la seguridad alimentaria, energética, o militar</w:t>
      </w:r>
      <w:r w:rsidRPr="005A4D16">
        <w:rPr>
          <w:rFonts w:ascii="Times New Roman" w:hAnsi="Times New Roman" w:cs="Times New Roman"/>
          <w:b/>
          <w:sz w:val="24"/>
          <w:szCs w:val="24"/>
        </w:rPr>
        <w:t xml:space="preserve"> tienen un precio, ¿quién lo paga?</w:t>
      </w:r>
      <w:r>
        <w:rPr>
          <w:rFonts w:ascii="Times New Roman" w:hAnsi="Times New Roman" w:cs="Times New Roman"/>
          <w:b/>
          <w:sz w:val="24"/>
          <w:szCs w:val="24"/>
        </w:rPr>
        <w:t xml:space="preserve"> ¿Hasta dónde se deben soportar chantajes? ¿Qué nivel de dependencia, o sesión de soberanía, puede ser calificado como una claudicación o rendición del Estado?</w:t>
      </w:r>
    </w:p>
    <w:p w:rsidR="00BF5D7B" w:rsidRDefault="00BF5D7B" w:rsidP="00BF5D7B">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necesaria una guerra para que los “talibanes” de la globalización entiendan que no se pueden hacer tratos con “tiranosaurios” (de izquierda o de derecha)?</w:t>
      </w:r>
    </w:p>
    <w:p w:rsidR="00BF5D7B" w:rsidRDefault="00BF5D7B" w:rsidP="00BF5D7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¿Con qué “relato” puede justificar Davos (el Gran Reseteo) </w:t>
      </w:r>
      <w:r w:rsidRPr="00AC3ABD">
        <w:rPr>
          <w:rFonts w:ascii="Times New Roman" w:hAnsi="Times New Roman" w:cs="Times New Roman"/>
          <w:b/>
          <w:sz w:val="24"/>
          <w:szCs w:val="24"/>
        </w:rPr>
        <w:t>los d</w:t>
      </w:r>
      <w:r>
        <w:rPr>
          <w:rFonts w:ascii="Times New Roman" w:hAnsi="Times New Roman" w:cs="Times New Roman"/>
          <w:b/>
          <w:sz w:val="24"/>
          <w:szCs w:val="24"/>
        </w:rPr>
        <w:t>esastres que llaman a la puerta de los países occidentales?</w:t>
      </w:r>
    </w:p>
    <w:p w:rsidR="00BF5D7B" w:rsidRDefault="00BF5D7B" w:rsidP="00BF5D7B">
      <w:pPr>
        <w:spacing w:line="240" w:lineRule="auto"/>
        <w:jc w:val="both"/>
        <w:rPr>
          <w:rFonts w:ascii="Times New Roman" w:hAnsi="Times New Roman" w:cs="Times New Roman"/>
          <w:b/>
          <w:sz w:val="24"/>
          <w:szCs w:val="24"/>
        </w:rPr>
      </w:pPr>
      <w:r>
        <w:rPr>
          <w:rFonts w:ascii="Times New Roman" w:hAnsi="Times New Roman" w:cs="Times New Roman"/>
          <w:b/>
          <w:sz w:val="24"/>
          <w:szCs w:val="24"/>
        </w:rPr>
        <w:t>¿C</w:t>
      </w:r>
      <w:r w:rsidRPr="00AC3ABD">
        <w:rPr>
          <w:rFonts w:ascii="Times New Roman" w:hAnsi="Times New Roman" w:cs="Times New Roman"/>
          <w:b/>
          <w:sz w:val="24"/>
          <w:szCs w:val="24"/>
        </w:rPr>
        <w:t xml:space="preserve">ómo sacudirse </w:t>
      </w:r>
      <w:r>
        <w:rPr>
          <w:rFonts w:ascii="Times New Roman" w:hAnsi="Times New Roman" w:cs="Times New Roman"/>
          <w:b/>
          <w:sz w:val="24"/>
          <w:szCs w:val="24"/>
        </w:rPr>
        <w:t xml:space="preserve">las </w:t>
      </w:r>
      <w:r w:rsidRPr="00AC3ABD">
        <w:rPr>
          <w:rFonts w:ascii="Times New Roman" w:hAnsi="Times New Roman" w:cs="Times New Roman"/>
          <w:b/>
          <w:sz w:val="24"/>
          <w:szCs w:val="24"/>
        </w:rPr>
        <w:t>responsabilidades</w:t>
      </w:r>
      <w:r>
        <w:rPr>
          <w:rFonts w:ascii="Times New Roman" w:hAnsi="Times New Roman" w:cs="Times New Roman"/>
          <w:b/>
          <w:sz w:val="24"/>
          <w:szCs w:val="24"/>
        </w:rPr>
        <w:t xml:space="preserve"> del “multilateralismo”</w:t>
      </w:r>
      <w:r w:rsidRPr="00AC3ABD">
        <w:rPr>
          <w:rFonts w:ascii="Times New Roman" w:hAnsi="Times New Roman" w:cs="Times New Roman"/>
          <w:b/>
          <w:sz w:val="24"/>
          <w:szCs w:val="24"/>
        </w:rPr>
        <w:t xml:space="preserve"> en este periodo negro en el que nos adentramos y que s</w:t>
      </w:r>
      <w:r>
        <w:rPr>
          <w:rFonts w:ascii="Times New Roman" w:hAnsi="Times New Roman" w:cs="Times New Roman"/>
          <w:b/>
          <w:sz w:val="24"/>
          <w:szCs w:val="24"/>
        </w:rPr>
        <w:t>e prolongará, previsiblemente, por varios años, y durante las próximas citas, de los “amos del universo” -presenciales o por video-conferencia- en la “Montaña Mágica” de Davos?</w:t>
      </w:r>
    </w:p>
    <w:p w:rsidR="00BF5D7B" w:rsidRDefault="00BF5D7B" w:rsidP="00BF5D7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¿Continuarán con sus “e</w:t>
      </w:r>
      <w:r w:rsidRPr="00F875B7">
        <w:rPr>
          <w:rFonts w:ascii="Times New Roman" w:hAnsi="Times New Roman" w:cs="Times New Roman"/>
          <w:b/>
          <w:sz w:val="24"/>
          <w:szCs w:val="24"/>
        </w:rPr>
        <w:t>xcusas estúpidas, alegaciones as</w:t>
      </w:r>
      <w:r>
        <w:rPr>
          <w:rFonts w:ascii="Times New Roman" w:hAnsi="Times New Roman" w:cs="Times New Roman"/>
          <w:b/>
          <w:sz w:val="24"/>
          <w:szCs w:val="24"/>
        </w:rPr>
        <w:t>nales, y molicie argumental”?, como</w:t>
      </w:r>
      <w:r w:rsidRPr="00F875B7">
        <w:rPr>
          <w:rFonts w:ascii="Times New Roman" w:hAnsi="Times New Roman" w:cs="Times New Roman"/>
          <w:b/>
          <w:sz w:val="24"/>
          <w:szCs w:val="24"/>
        </w:rPr>
        <w:t xml:space="preserve"> diría Erasmo.</w:t>
      </w:r>
    </w:p>
    <w:p w:rsidR="00BF5D7B" w:rsidRDefault="00BF5D7B" w:rsidP="00BF5D7B">
      <w:pPr>
        <w:spacing w:line="240" w:lineRule="auto"/>
        <w:jc w:val="both"/>
        <w:rPr>
          <w:rFonts w:ascii="Times New Roman" w:hAnsi="Times New Roman" w:cs="Times New Roman"/>
          <w:b/>
          <w:sz w:val="24"/>
          <w:szCs w:val="24"/>
        </w:rPr>
      </w:pPr>
      <w:r>
        <w:rPr>
          <w:rFonts w:ascii="Times New Roman" w:hAnsi="Times New Roman" w:cs="Times New Roman"/>
          <w:b/>
          <w:sz w:val="24"/>
          <w:szCs w:val="24"/>
        </w:rPr>
        <w:t>¿Seguirán con la “matraca” de la perspectiva de género, el sexo fluido, el feminismo extremo, la resiliencia, el ecologismo radical, la taxonomía, el animalismo, el empoderamiento, la conectividad, la realidad virtual, la disrupción, las plataformas, el tráfico de datos, los algoritmos, la nube, la robotización, la inteligencia artificial, el metaverso, el bitcoin, el empoderamiento, la altura de miras, el consenso…</w:t>
      </w:r>
      <w:r w:rsidR="00C96BF0">
        <w:rPr>
          <w:rFonts w:ascii="Times New Roman" w:hAnsi="Times New Roman" w:cs="Times New Roman"/>
          <w:b/>
          <w:sz w:val="24"/>
          <w:szCs w:val="24"/>
        </w:rPr>
        <w:t>“</w:t>
      </w:r>
      <w:r>
        <w:rPr>
          <w:rFonts w:ascii="Times New Roman" w:hAnsi="Times New Roman" w:cs="Times New Roman"/>
          <w:b/>
          <w:sz w:val="24"/>
          <w:szCs w:val="24"/>
        </w:rPr>
        <w:t>and so on</w:t>
      </w:r>
      <w:r w:rsidR="009C20F1">
        <w:rPr>
          <w:rFonts w:ascii="Times New Roman" w:hAnsi="Times New Roman" w:cs="Times New Roman"/>
          <w:b/>
          <w:sz w:val="24"/>
          <w:szCs w:val="24"/>
        </w:rPr>
        <w:t>”?</w:t>
      </w:r>
    </w:p>
    <w:p w:rsidR="00BF5D7B" w:rsidRPr="005D79C3"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79C3">
        <w:rPr>
          <w:rFonts w:ascii="Times New Roman" w:hAnsi="Times New Roman" w:cs="Times New Roman"/>
          <w:sz w:val="24"/>
          <w:szCs w:val="24"/>
          <w:u w:val="single"/>
        </w:rPr>
        <w:t>El coste geopolítico de postergar a mañana las decisiones de hoy</w:t>
      </w:r>
      <w:r>
        <w:rPr>
          <w:rFonts w:ascii="Times New Roman" w:hAnsi="Times New Roman" w:cs="Times New Roman"/>
          <w:sz w:val="24"/>
          <w:szCs w:val="24"/>
        </w:rPr>
        <w:t xml:space="preserve"> (Cinco Días - </w:t>
      </w:r>
      <w:r w:rsidRPr="005D79C3">
        <w:rPr>
          <w:rFonts w:ascii="Times New Roman" w:hAnsi="Times New Roman" w:cs="Times New Roman"/>
          <w:b/>
          <w:sz w:val="24"/>
          <w:szCs w:val="24"/>
        </w:rPr>
        <w:t>11/3/22</w:t>
      </w:r>
      <w:r>
        <w:rPr>
          <w:rFonts w:ascii="Times New Roman" w:hAnsi="Times New Roman" w:cs="Times New Roman"/>
          <w:sz w:val="24"/>
          <w:szCs w:val="24"/>
        </w:rPr>
        <w:t>)</w:t>
      </w:r>
    </w:p>
    <w:p w:rsidR="00BF5D7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D79C3">
        <w:rPr>
          <w:rFonts w:ascii="Times New Roman" w:hAnsi="Times New Roman" w:cs="Times New Roman"/>
          <w:sz w:val="24"/>
          <w:szCs w:val="24"/>
        </w:rPr>
        <w:t>Javier Santacruz Cano</w:t>
      </w:r>
      <w:r>
        <w:rPr>
          <w:rFonts w:ascii="Times New Roman" w:hAnsi="Times New Roman" w:cs="Times New Roman"/>
          <w:sz w:val="24"/>
          <w:szCs w:val="24"/>
        </w:rPr>
        <w:t>)</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 xml:space="preserve">Analizar las decisiones tomadas en los últimos días por las autoridades europeas, como mínimo, es redundante y aporta poco al debate de qué decisiones deben tomarse en los próximos tiempos. Sí es justo reconocer la posición que ha mantenido el alto representante para la política exterior europea, Josep Borrell, la cual no ha podido ser más clarividente y certera en torno a los movimientos que Rusia iba a hacer en las siguientes semanas y la necesidad de abrir el campo de batalla de la guerra financiera como forma de atacar el flanco </w:t>
      </w:r>
      <w:r>
        <w:rPr>
          <w:rFonts w:ascii="Times New Roman" w:hAnsi="Times New Roman" w:cs="Times New Roman"/>
          <w:sz w:val="24"/>
          <w:szCs w:val="24"/>
        </w:rPr>
        <w:t>más débil del régimen de Putin.</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Sin embargo, para tomar un rumbo decidido y claro a medio y largo plazo, no es suficiente la política declarativa, sino que es necesaria una realpolitik contundente que devuelva el respeto que merece la Unión Europea en el actual desequilibrio geopolítico. Esto pasa necesariamente por fortalecer tres ámbitos de soberanía: el primero, la seguridad y la defensa, la cual depende enormemente de Estados Unidos. La segunda, la soberanía energética, en tanto en cuanto Europa necesita de importaciones masivas de productos energéticos básicos provenientes de declarados enemigos geopolíticos (como es Rusia) o potenciales enemigos de medio plazo. Y la tercera y última, la soberanía digital, cuyo grado de independencia es reducido con respecto a la</w:t>
      </w:r>
      <w:r>
        <w:rPr>
          <w:rFonts w:ascii="Times New Roman" w:hAnsi="Times New Roman" w:cs="Times New Roman"/>
          <w:sz w:val="24"/>
          <w:szCs w:val="24"/>
        </w:rPr>
        <w:t>s big tech americanas y chinas.</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Sobre el primer aspecto relativo a la seguridad y defensa, ya es tarde para esgrimir el discurso del objetivo del 2% del PIB de presupuesto de Defensa tal como establece el mandato de la OTAN. Es así porque el esfuerzo en construir una fuerza europea unitaria e independiente de EE UU no sólo consiste en mayor armamento, sino en fuertes inversiones en tecnología de defensa, ciberseguridad y otras herramientas digitales que permitan a Europa hacerse dueña de su defensa frente a las amenazas exteriores. En este sentido, según los últimos datos publicados, al cierre de 2020 se invirtieron 198.000 millones de euros en materia militar, un récord histórico. Sin embargo, sería necesario superar por entre 3 y 4 veces este récord para tener un presupuesto acor</w:t>
      </w:r>
      <w:r>
        <w:rPr>
          <w:rFonts w:ascii="Times New Roman" w:hAnsi="Times New Roman" w:cs="Times New Roman"/>
          <w:sz w:val="24"/>
          <w:szCs w:val="24"/>
        </w:rPr>
        <w:t>de con las exigencias actuales.</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Pero muy especialmente es necesario invertir en instrumentos conjuntos, ya que el incremento presupuestario mencionado es país por país, no de manera conjunta. De hecho, la inversión en equipos de defensa conjuntos descendió un 13% en términos interanuales en 2020 según la Agencia de la Defensa Europea. En este momento, solo el 11% del gasto individual de los países en términos medios corresponde a un esfuerzo en coordinación con el resto de la Unión, cuando en 2017 se e</w:t>
      </w:r>
      <w:r>
        <w:rPr>
          <w:rFonts w:ascii="Times New Roman" w:hAnsi="Times New Roman" w:cs="Times New Roman"/>
          <w:sz w:val="24"/>
          <w:szCs w:val="24"/>
        </w:rPr>
        <w:t>stableció como objetivo el 35%.</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Por tanto, he aquí una importante decisión que, si se posterga a medio plazo, el coste puede volverse extraordinariamente alto, más aún dada la crisis de confianza de los países occidentales en Estados Unidos tras l</w:t>
      </w:r>
      <w:r>
        <w:rPr>
          <w:rFonts w:ascii="Times New Roman" w:hAnsi="Times New Roman" w:cs="Times New Roman"/>
          <w:sz w:val="24"/>
          <w:szCs w:val="24"/>
        </w:rPr>
        <w:t>a caótica salida de Afganistán.</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lastRenderedPageBreak/>
        <w:t>En segundo lugar, la soberanía energética es, probablemente, un punto más débil que la propia seguridad y defensa. Al igual que sucedió en la crisis de los setenta, la dependencia energética está por encima del 50% del consumo tanto de fuentes de energía primaria como secundaria. Es evidente el esfuerzo de la Unión Europea en transición energética y el incremento masivo de generación renovable, pero los últimos años han supuesto un revés para la construcción de la autonomía estratégica europea tras el cerrojazo al desarrollo nuclear en Centro Europa, a pesar de que en Francia sí se incremente la capacidad instal</w:t>
      </w:r>
      <w:r>
        <w:rPr>
          <w:rFonts w:ascii="Times New Roman" w:hAnsi="Times New Roman" w:cs="Times New Roman"/>
          <w:sz w:val="24"/>
          <w:szCs w:val="24"/>
        </w:rPr>
        <w:t>ada, siendo esto no suficiente.</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 xml:space="preserve">Por ello, se necesita un esfuerzo titánico en los próximos 2-3 años para terminar de construir infraestructuras de canalización, instalar parque de energía limpia (con la recuperación casi obligada de la nuclear) y ampliar la capacidad estratégica de almacenamiento para asegurar el suministro durante un tiempo prudencial. En un momento en que el gas se ha convertido en el nuevo petróleo en el siglo XXI, erigido como combustible fundamental de transición por parte de la UE en la nueva taxonomía de finanzas sostenibles, es la pieza con la que juega Rusia con sus enemigos geopolíticos. Dejará de jugar en el momento en que se diversifique de forma rápida con otras fuentes, pero para ello es necesario tener un sistema de infraestructuras previo suficiente </w:t>
      </w:r>
      <w:r>
        <w:rPr>
          <w:rFonts w:ascii="Times New Roman" w:hAnsi="Times New Roman" w:cs="Times New Roman"/>
          <w:sz w:val="24"/>
          <w:szCs w:val="24"/>
        </w:rPr>
        <w:t>y correctamente interconectado.</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Por el momento, por la vía de los hechos, Rusia está haciendo valer su posición de dominio en el mercado global del gas natural, del cual es su segundo mayor productor global (17% del mercado mundial) y el principal exportador global (35% de su producción) hasta ahora fundamentalmente dirigidas hacia Europa (el 83% del gas se canaliza mediante gasoductos cuya mayor parte pasan por Ucrania). Tampoco es menor el peso de las exportaciones de petróleo ruso hacia Europa, un 53% de lo que Rusia exporta, siendo el segundo mayor exporta</w:t>
      </w:r>
      <w:r>
        <w:rPr>
          <w:rFonts w:ascii="Times New Roman" w:hAnsi="Times New Roman" w:cs="Times New Roman"/>
          <w:sz w:val="24"/>
          <w:szCs w:val="24"/>
        </w:rPr>
        <w:t>dor por detrás de Arabia Saudí.</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Por último, el tercer ángulo que es la soberanía digital, exige volcarse en tecnologías, empresas y mercados propios que hagan a Europa menos dependiente de las big tech, las cuales ocupan más de la mitad del mercado europeo en segmentos como el comercio electrónico. Más allá de la tramitación legislativa de las Digital Acts que sirven como muro de contención de los gigantes tecnológicos, es necesario articular mercados competitivos y realzar las ventajas que en Europa existen con respecto a</w:t>
      </w:r>
      <w:r>
        <w:rPr>
          <w:rFonts w:ascii="Times New Roman" w:hAnsi="Times New Roman" w:cs="Times New Roman"/>
          <w:sz w:val="24"/>
          <w:szCs w:val="24"/>
        </w:rPr>
        <w:t xml:space="preserve"> los bloques americano y chino.</w:t>
      </w:r>
    </w:p>
    <w:p w:rsidR="00BF5D7B" w:rsidRPr="005D79C3" w:rsidRDefault="00BF5D7B" w:rsidP="00BF5D7B">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En suma, la posición geopolítica de Europa depende de estos tres vectores. Cada día que pasa sin un plan claro a futuro y una orientación estratégica determinada, el coste se va haciendo cada vez mayor hasta que suponga una carga difícilmente soportable para las próximas generaciones. Esper</w:t>
      </w:r>
      <w:r>
        <w:rPr>
          <w:rFonts w:ascii="Times New Roman" w:hAnsi="Times New Roman" w:cs="Times New Roman"/>
          <w:sz w:val="24"/>
          <w:szCs w:val="24"/>
        </w:rPr>
        <w:t>emos no llegar a ese escenario.</w:t>
      </w:r>
    </w:p>
    <w:p w:rsidR="00BF5D7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D79C3">
        <w:rPr>
          <w:rFonts w:ascii="Times New Roman" w:hAnsi="Times New Roman" w:cs="Times New Roman"/>
          <w:sz w:val="24"/>
          <w:szCs w:val="24"/>
        </w:rPr>
        <w:t>Javier Santacruz es Economista y profesor del IEB</w:t>
      </w:r>
      <w:r>
        <w:rPr>
          <w:rFonts w:ascii="Times New Roman" w:hAnsi="Times New Roman" w:cs="Times New Roman"/>
          <w:sz w:val="24"/>
          <w:szCs w:val="24"/>
        </w:rPr>
        <w:t>)</w:t>
      </w:r>
    </w:p>
    <w:p w:rsidR="00BF5D7B" w:rsidRPr="002632E8"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F78">
        <w:rPr>
          <w:rFonts w:ascii="Times New Roman" w:hAnsi="Times New Roman" w:cs="Times New Roman"/>
          <w:sz w:val="24"/>
          <w:szCs w:val="24"/>
          <w:u w:val="single"/>
        </w:rPr>
        <w:t>Alemania reactiva plantas de carbón ante el riesgo de falta de suministro energético</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BF5D7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632E8">
        <w:rPr>
          <w:rFonts w:ascii="Times New Roman" w:hAnsi="Times New Roman" w:cs="Times New Roman"/>
          <w:sz w:val="24"/>
          <w:szCs w:val="24"/>
        </w:rPr>
        <w:t>Sandra Acosta</w:t>
      </w:r>
      <w:r>
        <w:rPr>
          <w:rFonts w:ascii="Times New Roman" w:hAnsi="Times New Roman" w:cs="Times New Roman"/>
          <w:sz w:val="24"/>
          <w:szCs w:val="24"/>
        </w:rPr>
        <w:t>)</w:t>
      </w:r>
    </w:p>
    <w:p w:rsidR="00BF5D7B" w:rsidRPr="00811735" w:rsidRDefault="00BF5D7B" w:rsidP="00BF5D7B">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Mientras Alemania lleva a cabo el cierre de sus últimos reactores nucleares, reactiva las viejas centrales de carbón para garantizar la seguridad del suministro eléctrico en medio de las amenazas por parte del Kremlin de cerrar el grifo del gas.</w:t>
      </w:r>
    </w:p>
    <w:p w:rsidR="00BF5D7B" w:rsidRPr="00811735" w:rsidRDefault="00BF5D7B" w:rsidP="00BF5D7B">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El intento de Alemania de eliminar simultáneamente la energía nuclear y el carbón se complica en un momento en el que Rusia libra una guerra en Ucrania y amenaza con dejar de bombear gas a través del gasoducto Nord Stream 1.</w:t>
      </w:r>
    </w:p>
    <w:p w:rsidR="00BF5D7B" w:rsidRPr="00811735" w:rsidRDefault="00BF5D7B" w:rsidP="00BF5D7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w:t>
      </w:r>
      <w:r w:rsidRPr="00811735">
        <w:rPr>
          <w:rFonts w:ascii="Times New Roman" w:hAnsi="Times New Roman" w:cs="Times New Roman"/>
          <w:color w:val="FF0000"/>
          <w:sz w:val="24"/>
          <w:szCs w:val="24"/>
          <w:u w:val="single"/>
        </w:rPr>
        <w:t>El carb</w:t>
      </w:r>
      <w:r>
        <w:rPr>
          <w:rFonts w:ascii="Times New Roman" w:hAnsi="Times New Roman" w:cs="Times New Roman"/>
          <w:color w:val="FF0000"/>
          <w:sz w:val="24"/>
          <w:szCs w:val="24"/>
          <w:u w:val="single"/>
        </w:rPr>
        <w:t>ón desempeñará un papel crucial”</w:t>
      </w:r>
      <w:r w:rsidRPr="00811735">
        <w:rPr>
          <w:rFonts w:ascii="Times New Roman" w:hAnsi="Times New Roman" w:cs="Times New Roman"/>
          <w:color w:val="FF0000"/>
          <w:sz w:val="24"/>
          <w:szCs w:val="24"/>
          <w:u w:val="single"/>
        </w:rPr>
        <w:t>, dijo Olaf Lies, minist</w:t>
      </w:r>
      <w:r>
        <w:rPr>
          <w:rFonts w:ascii="Times New Roman" w:hAnsi="Times New Roman" w:cs="Times New Roman"/>
          <w:color w:val="FF0000"/>
          <w:sz w:val="24"/>
          <w:szCs w:val="24"/>
          <w:u w:val="single"/>
        </w:rPr>
        <w:t>ro de Energía de Baja Sajonia. “</w:t>
      </w:r>
      <w:r w:rsidRPr="00811735">
        <w:rPr>
          <w:rFonts w:ascii="Times New Roman" w:hAnsi="Times New Roman" w:cs="Times New Roman"/>
          <w:color w:val="FF0000"/>
          <w:sz w:val="24"/>
          <w:szCs w:val="24"/>
          <w:u w:val="single"/>
        </w:rPr>
        <w:t xml:space="preserve">Que volvamos a elegir esta frase no es del todo evidente, dado el plan del país </w:t>
      </w:r>
      <w:r>
        <w:rPr>
          <w:rFonts w:ascii="Times New Roman" w:hAnsi="Times New Roman" w:cs="Times New Roman"/>
          <w:color w:val="FF0000"/>
          <w:sz w:val="24"/>
          <w:szCs w:val="24"/>
          <w:u w:val="single"/>
        </w:rPr>
        <w:t>de eliminar el carbón para 2030”</w:t>
      </w:r>
      <w:r w:rsidRPr="00811735">
        <w:rPr>
          <w:rFonts w:ascii="Times New Roman" w:hAnsi="Times New Roman" w:cs="Times New Roman"/>
          <w:color w:val="FF0000"/>
          <w:sz w:val="24"/>
          <w:szCs w:val="24"/>
          <w:u w:val="single"/>
        </w:rPr>
        <w:t xml:space="preserve">, dijo el pasado martes en rueda de prensa. </w:t>
      </w:r>
    </w:p>
    <w:p w:rsidR="00BF5D7B" w:rsidRPr="002632E8" w:rsidRDefault="00BF5D7B" w:rsidP="00BF5D7B">
      <w:pPr>
        <w:spacing w:line="240" w:lineRule="auto"/>
        <w:jc w:val="both"/>
        <w:rPr>
          <w:rFonts w:ascii="Times New Roman" w:hAnsi="Times New Roman" w:cs="Times New Roman"/>
          <w:sz w:val="24"/>
          <w:szCs w:val="24"/>
        </w:rPr>
      </w:pPr>
      <w:r w:rsidRPr="002632E8">
        <w:rPr>
          <w:rFonts w:ascii="Times New Roman" w:hAnsi="Times New Roman" w:cs="Times New Roman"/>
          <w:sz w:val="24"/>
          <w:szCs w:val="24"/>
        </w:rPr>
        <w:t>Capacidad energética</w:t>
      </w:r>
    </w:p>
    <w:p w:rsidR="00BF5D7B" w:rsidRPr="002632E8" w:rsidRDefault="00BF5D7B" w:rsidP="00BF5D7B">
      <w:pPr>
        <w:spacing w:line="240" w:lineRule="auto"/>
        <w:jc w:val="both"/>
        <w:rPr>
          <w:rFonts w:ascii="Times New Roman" w:hAnsi="Times New Roman" w:cs="Times New Roman"/>
          <w:sz w:val="24"/>
          <w:szCs w:val="24"/>
        </w:rPr>
      </w:pPr>
      <w:r w:rsidRPr="002632E8">
        <w:rPr>
          <w:rFonts w:ascii="Times New Roman" w:hAnsi="Times New Roman" w:cs="Times New Roman"/>
          <w:sz w:val="24"/>
          <w:szCs w:val="24"/>
        </w:rPr>
        <w:t>En la actualidad, Alemania cuenta con unos 45 GW de capacidad energética de carbón. Aunque una parte se ha apagado, otra se mantiene en reserva para garantizar la seg</w:t>
      </w:r>
      <w:r>
        <w:rPr>
          <w:rFonts w:ascii="Times New Roman" w:hAnsi="Times New Roman" w:cs="Times New Roman"/>
          <w:sz w:val="24"/>
          <w:szCs w:val="24"/>
        </w:rPr>
        <w:t>uridad del suministro del país.</w:t>
      </w:r>
    </w:p>
    <w:p w:rsidR="00BF5D7B" w:rsidRPr="00811735" w:rsidRDefault="00BF5D7B" w:rsidP="00BF5D7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11735">
        <w:rPr>
          <w:rFonts w:ascii="Times New Roman" w:hAnsi="Times New Roman" w:cs="Times New Roman"/>
          <w:color w:val="FF0000"/>
          <w:sz w:val="24"/>
          <w:szCs w:val="24"/>
          <w:u w:val="single"/>
        </w:rPr>
        <w:t>Sabemos, y tenemos que admitirlo, que en los últimos 20 años hemos maniobrado para depender cada vez más de las importac</w:t>
      </w:r>
      <w:r>
        <w:rPr>
          <w:rFonts w:ascii="Times New Roman" w:hAnsi="Times New Roman" w:cs="Times New Roman"/>
          <w:color w:val="FF0000"/>
          <w:sz w:val="24"/>
          <w:szCs w:val="24"/>
          <w:u w:val="single"/>
        </w:rPr>
        <w:t>iones de energía fósil de Rusia”</w:t>
      </w:r>
      <w:r w:rsidRPr="00811735">
        <w:rPr>
          <w:rFonts w:ascii="Times New Roman" w:hAnsi="Times New Roman" w:cs="Times New Roman"/>
          <w:color w:val="FF0000"/>
          <w:sz w:val="24"/>
          <w:szCs w:val="24"/>
          <w:u w:val="single"/>
        </w:rPr>
        <w:t>, dijo el vicecanciller Robert Hab</w:t>
      </w:r>
      <w:r>
        <w:rPr>
          <w:rFonts w:ascii="Times New Roman" w:hAnsi="Times New Roman" w:cs="Times New Roman"/>
          <w:color w:val="FF0000"/>
          <w:sz w:val="24"/>
          <w:szCs w:val="24"/>
          <w:u w:val="single"/>
        </w:rPr>
        <w:t>eck, que hablaba junto a Lies. “</w:t>
      </w:r>
      <w:r w:rsidRPr="00811735">
        <w:rPr>
          <w:rFonts w:ascii="Times New Roman" w:hAnsi="Times New Roman" w:cs="Times New Roman"/>
          <w:color w:val="FF0000"/>
          <w:sz w:val="24"/>
          <w:szCs w:val="24"/>
          <w:u w:val="single"/>
        </w:rPr>
        <w:t>Esta no es una buena situación. Todos los esfuerzos del gobierno federal, e incluso del país, están dirigidos a reducir es</w:t>
      </w:r>
      <w:r>
        <w:rPr>
          <w:rFonts w:ascii="Times New Roman" w:hAnsi="Times New Roman" w:cs="Times New Roman"/>
          <w:color w:val="FF0000"/>
          <w:sz w:val="24"/>
          <w:szCs w:val="24"/>
          <w:u w:val="single"/>
        </w:rPr>
        <w:t>ta dependencia lo antes posible”</w:t>
      </w:r>
      <w:r w:rsidRPr="00811735">
        <w:rPr>
          <w:rFonts w:ascii="Times New Roman" w:hAnsi="Times New Roman" w:cs="Times New Roman"/>
          <w:color w:val="FF0000"/>
          <w:sz w:val="24"/>
          <w:szCs w:val="24"/>
          <w:u w:val="single"/>
        </w:rPr>
        <w:t>, añadió.</w:t>
      </w:r>
    </w:p>
    <w:p w:rsidR="00BF5D7B" w:rsidRPr="00B71F78"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F78">
        <w:rPr>
          <w:rFonts w:ascii="Times New Roman" w:hAnsi="Times New Roman" w:cs="Times New Roman"/>
          <w:sz w:val="24"/>
          <w:szCs w:val="24"/>
          <w:u w:val="single"/>
        </w:rPr>
        <w:t>Despedir a Rusia como proveedor de energía reabre el debate de las nucleares en la UE</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BF5D7B" w:rsidRPr="00811735" w:rsidRDefault="00BF5D7B" w:rsidP="00BF5D7B">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Ser completamente independiente de las importaciones de gas y petróleo de Rusia se ha convertido en la tarea principal de la Unión Europea tras la invasión de Ucrania pero cortar lazos comerciales a corto plazo con quien es el proveedor del 100% de la energía para varios países miembro no es fácil y supone reabrir debates que ya estaban cerrados, como el de las nucleares.</w:t>
      </w:r>
    </w:p>
    <w:p w:rsidR="00BF5D7B" w:rsidRPr="00811735" w:rsidRDefault="00BF5D7B" w:rsidP="00BF5D7B">
      <w:pPr>
        <w:spacing w:line="240" w:lineRule="auto"/>
        <w:jc w:val="both"/>
        <w:rPr>
          <w:rFonts w:ascii="Times New Roman" w:hAnsi="Times New Roman" w:cs="Times New Roman"/>
          <w:sz w:val="24"/>
          <w:szCs w:val="24"/>
          <w:u w:val="single"/>
        </w:rPr>
      </w:pPr>
      <w:r w:rsidRPr="00811735">
        <w:rPr>
          <w:rFonts w:ascii="Times New Roman" w:hAnsi="Times New Roman" w:cs="Times New Roman"/>
          <w:color w:val="FF0000"/>
          <w:sz w:val="24"/>
          <w:szCs w:val="24"/>
          <w:u w:val="single"/>
        </w:rPr>
        <w:t>La Comisión Europea trabaja para que los Veintisiete puedan prescindir completamente de la energía rusa antes de 2030</w:t>
      </w:r>
      <w:r w:rsidRPr="00B71F78">
        <w:rPr>
          <w:rFonts w:ascii="Times New Roman" w:hAnsi="Times New Roman" w:cs="Times New Roman"/>
          <w:sz w:val="24"/>
          <w:szCs w:val="24"/>
        </w:rPr>
        <w:t xml:space="preserve">. </w:t>
      </w:r>
      <w:r w:rsidRPr="00811735">
        <w:rPr>
          <w:rFonts w:ascii="Times New Roman" w:hAnsi="Times New Roman" w:cs="Times New Roman"/>
          <w:sz w:val="24"/>
          <w:szCs w:val="24"/>
          <w:u w:val="single"/>
        </w:rPr>
        <w:t>En el plan presentado el miércoles, el objetivo inmediato pasa por reducir dos tercios esa relación este año. ¿Cómo? Sustituyendo como primera medidas a ese país por otros productores de gas, como EEUU, Catar, Argelia o Azerbaiyán, y rellenado los países sus reservas al menos al 90% antes de que empiece la temporada de invierno 2022-2023.</w:t>
      </w:r>
    </w:p>
    <w:p w:rsidR="00BF5D7B" w:rsidRDefault="00BF5D7B" w:rsidP="00BF5D7B">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LA UE produce solo el 10% del gas natural que necesita. El resto lo importa de Rusia (41%), Noruega (24%) y Argelia (11%), según datos de la Dirección General de Energía de la UE, que también reflejan que cerca del 25% del consumo de energía de la UE proviene del gas natural.</w:t>
      </w:r>
    </w:p>
    <w:p w:rsidR="00BF5D7B" w:rsidRPr="00B71F78"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1F78">
        <w:rPr>
          <w:rFonts w:ascii="Times New Roman" w:hAnsi="Times New Roman" w:cs="Times New Roman"/>
          <w:sz w:val="24"/>
          <w:szCs w:val="24"/>
        </w:rPr>
        <w:t>Todas l</w:t>
      </w:r>
      <w:r>
        <w:rPr>
          <w:rFonts w:ascii="Times New Roman" w:hAnsi="Times New Roman" w:cs="Times New Roman"/>
          <w:sz w:val="24"/>
          <w:szCs w:val="24"/>
        </w:rPr>
        <w:t>as opciones están sobre la mesa”</w:t>
      </w:r>
    </w:p>
    <w:p w:rsidR="00BF5D7B" w:rsidRPr="00811735" w:rsidRDefault="00BF5D7B" w:rsidP="00BF5D7B">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El comisario europeo del Mercado Interior, Thierry Breton, ha señalado este viernes en una entrevista en la em</w:t>
      </w:r>
      <w:r>
        <w:rPr>
          <w:rFonts w:ascii="Times New Roman" w:hAnsi="Times New Roman" w:cs="Times New Roman"/>
          <w:color w:val="FF0000"/>
          <w:sz w:val="24"/>
          <w:szCs w:val="24"/>
          <w:u w:val="single"/>
        </w:rPr>
        <w:t>isora France Info que trabajan “</w:t>
      </w:r>
      <w:r w:rsidRPr="00811735">
        <w:rPr>
          <w:rFonts w:ascii="Times New Roman" w:hAnsi="Times New Roman" w:cs="Times New Roman"/>
          <w:color w:val="FF0000"/>
          <w:sz w:val="24"/>
          <w:szCs w:val="24"/>
          <w:u w:val="single"/>
        </w:rPr>
        <w:t>para librarnos completamente de Rusia como prov</w:t>
      </w:r>
      <w:r>
        <w:rPr>
          <w:rFonts w:ascii="Times New Roman" w:hAnsi="Times New Roman" w:cs="Times New Roman"/>
          <w:color w:val="FF0000"/>
          <w:sz w:val="24"/>
          <w:szCs w:val="24"/>
          <w:u w:val="single"/>
        </w:rPr>
        <w:t>eedor energético” y que “pase lo que pase”</w:t>
      </w:r>
      <w:r w:rsidRPr="00811735">
        <w:rPr>
          <w:rFonts w:ascii="Times New Roman" w:hAnsi="Times New Roman" w:cs="Times New Roman"/>
          <w:color w:val="FF0000"/>
          <w:sz w:val="24"/>
          <w:szCs w:val="24"/>
          <w:u w:val="single"/>
        </w:rPr>
        <w:t xml:space="preserve"> con la guerra de Ucrania, la UE debe li</w:t>
      </w:r>
      <w:r>
        <w:rPr>
          <w:rFonts w:ascii="Times New Roman" w:hAnsi="Times New Roman" w:cs="Times New Roman"/>
          <w:color w:val="FF0000"/>
          <w:sz w:val="24"/>
          <w:szCs w:val="24"/>
          <w:u w:val="single"/>
        </w:rPr>
        <w:t>brarse de esa dependencia. Ese “pase lo que pase”</w:t>
      </w:r>
      <w:r w:rsidRPr="00811735">
        <w:rPr>
          <w:rFonts w:ascii="Times New Roman" w:hAnsi="Times New Roman" w:cs="Times New Roman"/>
          <w:color w:val="FF0000"/>
          <w:sz w:val="24"/>
          <w:szCs w:val="24"/>
          <w:u w:val="single"/>
        </w:rPr>
        <w:t xml:space="preserve"> pone de nuevo sobre la mesa ampliar la duración de las centrales nucleares.</w:t>
      </w:r>
    </w:p>
    <w:p w:rsidR="00BF5D7B" w:rsidRPr="00811735" w:rsidRDefault="00BF5D7B" w:rsidP="00BF5D7B">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 xml:space="preserve">En el plan hay mención a la energía nuclear. Sí la hubo en la propuesta </w:t>
      </w:r>
      <w:r>
        <w:rPr>
          <w:rFonts w:ascii="Times New Roman" w:hAnsi="Times New Roman" w:cs="Times New Roman"/>
          <w:sz w:val="24"/>
          <w:szCs w:val="24"/>
          <w:u w:val="single"/>
        </w:rPr>
        <w:t>de la AIE para hacer frente al “chantaje”</w:t>
      </w:r>
      <w:r w:rsidRPr="00811735">
        <w:rPr>
          <w:rFonts w:ascii="Times New Roman" w:hAnsi="Times New Roman" w:cs="Times New Roman"/>
          <w:sz w:val="24"/>
          <w:szCs w:val="24"/>
          <w:u w:val="single"/>
        </w:rPr>
        <w:t xml:space="preserve"> ruso a Europa. Breton, defensor conocido de esta propuesta que suscriben países como Alemania, ha indicado en esa entrevista que ante el desafío de acabar con la dependencia de los hidrocarburos rusos, extender la duración de estas plantas "está sobre la mesa".</w:t>
      </w:r>
    </w:p>
    <w:p w:rsidR="00BF5D7B" w:rsidRPr="00811735" w:rsidRDefault="00BF5D7B" w:rsidP="00BF5D7B">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 xml:space="preserve">La diferente proporción de dependencia de los países de la UE del gas ruso complica el camino hacia una solución rápida. Del gas que recibe España, casi un 6% es ruso. Es de los </w:t>
      </w:r>
      <w:r w:rsidRPr="00811735">
        <w:rPr>
          <w:rFonts w:ascii="Times New Roman" w:hAnsi="Times New Roman" w:cs="Times New Roman"/>
          <w:sz w:val="24"/>
          <w:szCs w:val="24"/>
          <w:u w:val="single"/>
        </w:rPr>
        <w:lastRenderedPageBreak/>
        <w:t xml:space="preserve">países menos dependientes. Francia está en el 20%, Alemania en el 55% pero otros como Finlandia, Letonia o República Checa tienen una vinculación total, del 100%. </w:t>
      </w:r>
    </w:p>
    <w:p w:rsidR="00BF5D7B" w:rsidRPr="00811735" w:rsidRDefault="00BF5D7B" w:rsidP="00BF5D7B">
      <w:pPr>
        <w:spacing w:line="240" w:lineRule="auto"/>
        <w:jc w:val="both"/>
        <w:rPr>
          <w:rFonts w:ascii="Times New Roman" w:hAnsi="Times New Roman" w:cs="Times New Roman"/>
          <w:sz w:val="24"/>
          <w:szCs w:val="24"/>
          <w:u w:val="single"/>
        </w:rPr>
      </w:pPr>
      <w:r w:rsidRPr="00B71F78">
        <w:rPr>
          <w:rFonts w:ascii="Times New Roman" w:hAnsi="Times New Roman" w:cs="Times New Roman"/>
          <w:sz w:val="24"/>
          <w:szCs w:val="24"/>
        </w:rPr>
        <w:t xml:space="preserve">Los líderes de los Veintisiete concluyen hoy la cumbre de dos días que han celebrado en Versalles para abordar, entre otras cuestiones, la forma de cortar con Rusia en materia energética. </w:t>
      </w:r>
      <w:r w:rsidRPr="00811735">
        <w:rPr>
          <w:rFonts w:ascii="Times New Roman" w:hAnsi="Times New Roman" w:cs="Times New Roman"/>
          <w:sz w:val="24"/>
          <w:szCs w:val="24"/>
          <w:u w:val="single"/>
        </w:rPr>
        <w:t>De momento, parece descartarse un embargo similar al que ya aplica EEUU, país que compra muchos menos hidrocarburos a Rusia.</w:t>
      </w:r>
    </w:p>
    <w:p w:rsidR="00BF5D7B" w:rsidRPr="00B71F78" w:rsidRDefault="00BF5D7B" w:rsidP="00BF5D7B">
      <w:pPr>
        <w:spacing w:line="240" w:lineRule="auto"/>
        <w:jc w:val="both"/>
        <w:rPr>
          <w:rFonts w:ascii="Times New Roman" w:hAnsi="Times New Roman" w:cs="Times New Roman"/>
          <w:sz w:val="24"/>
          <w:szCs w:val="24"/>
        </w:rPr>
      </w:pPr>
      <w:r w:rsidRPr="00811735">
        <w:rPr>
          <w:rFonts w:ascii="Times New Roman" w:hAnsi="Times New Roman" w:cs="Times New Roman"/>
          <w:sz w:val="24"/>
          <w:szCs w:val="24"/>
          <w:u w:val="single"/>
        </w:rPr>
        <w:t>El tema que previsiblemente si se habrá abordado en Versalles cuando acabe la cumbre es el de la emisión masiva de bonos por parte de la UE para financiar energía y defensa que trascendió a principios de semana</w:t>
      </w:r>
      <w:r w:rsidRPr="00B71F78">
        <w:rPr>
          <w:rFonts w:ascii="Times New Roman" w:hAnsi="Times New Roman" w:cs="Times New Roman"/>
          <w:sz w:val="24"/>
          <w:szCs w:val="24"/>
        </w:rPr>
        <w:t>. En este sen</w:t>
      </w:r>
      <w:r>
        <w:rPr>
          <w:rFonts w:ascii="Times New Roman" w:hAnsi="Times New Roman" w:cs="Times New Roman"/>
          <w:sz w:val="24"/>
          <w:szCs w:val="24"/>
        </w:rPr>
        <w:t>tido, Breton ha confirmado que “no hay tabús”</w:t>
      </w:r>
      <w:r w:rsidRPr="00B71F78">
        <w:rPr>
          <w:rFonts w:ascii="Times New Roman" w:hAnsi="Times New Roman" w:cs="Times New Roman"/>
          <w:sz w:val="24"/>
          <w:szCs w:val="24"/>
        </w:rPr>
        <w:t xml:space="preserve"> sobre la posibilidad de lanzar nuevas emisiones de deuda en común para afrontar las necesidades derivadas de la guerra en Ucrania pero ha  puntualizado que las conversaciones aún no están en ese punto y ha recordado que todavía está activo el plan de </w:t>
      </w:r>
      <w:r w:rsidR="009C20F1">
        <w:rPr>
          <w:rFonts w:ascii="Times New Roman" w:hAnsi="Times New Roman" w:cs="Times New Roman"/>
          <w:sz w:val="24"/>
          <w:szCs w:val="24"/>
        </w:rPr>
        <w:t>recuperación por la crisis del C</w:t>
      </w:r>
      <w:r w:rsidRPr="00B71F78">
        <w:rPr>
          <w:rFonts w:ascii="Times New Roman" w:hAnsi="Times New Roman" w:cs="Times New Roman"/>
          <w:sz w:val="24"/>
          <w:szCs w:val="24"/>
        </w:rPr>
        <w:t>ovid, dotado con 750.000 millones de euros de créditos e</w:t>
      </w:r>
      <w:r>
        <w:rPr>
          <w:rFonts w:ascii="Times New Roman" w:hAnsi="Times New Roman" w:cs="Times New Roman"/>
          <w:sz w:val="24"/>
          <w:szCs w:val="24"/>
        </w:rPr>
        <w:t>mitidos en común, de forma que “hay reservas que van a llegar”</w:t>
      </w:r>
      <w:r w:rsidRPr="00B71F78">
        <w:rPr>
          <w:rFonts w:ascii="Times New Roman" w:hAnsi="Times New Roman" w:cs="Times New Roman"/>
          <w:sz w:val="24"/>
          <w:szCs w:val="24"/>
        </w:rPr>
        <w:t>. Ya el vicepresidente del Ejecutivo comunitario, Frans Timmermans, enfrió los</w:t>
      </w:r>
      <w:r>
        <w:rPr>
          <w:rFonts w:ascii="Times New Roman" w:hAnsi="Times New Roman" w:cs="Times New Roman"/>
          <w:sz w:val="24"/>
          <w:szCs w:val="24"/>
        </w:rPr>
        <w:t xml:space="preserve"> ánimos sobre esta posibilidad.</w:t>
      </w:r>
    </w:p>
    <w:p w:rsidR="00BF5D7B" w:rsidRPr="00811735" w:rsidRDefault="00BF5D7B" w:rsidP="00BF5D7B">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La de los eurobonos es una posibilidad que ya han evocado abiertamente algunos dirigentes de los países de la UE, como el primer ministro italiano, Mario Draghi.</w:t>
      </w:r>
    </w:p>
    <w:p w:rsidR="00BF5D7B" w:rsidRPr="006D65E8"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D65E8">
        <w:rPr>
          <w:rFonts w:ascii="Times New Roman" w:hAnsi="Times New Roman" w:cs="Times New Roman"/>
          <w:sz w:val="24"/>
          <w:szCs w:val="24"/>
          <w:u w:val="single"/>
        </w:rPr>
        <w:t>La transición ecológica de Europa, un enorme reto colectivo</w:t>
      </w:r>
      <w:r>
        <w:rPr>
          <w:rFonts w:ascii="Times New Roman" w:hAnsi="Times New Roman" w:cs="Times New Roman"/>
          <w:sz w:val="24"/>
          <w:szCs w:val="24"/>
        </w:rPr>
        <w:t xml:space="preserve"> (El Español - </w:t>
      </w:r>
      <w:r w:rsidRPr="006D65E8">
        <w:rPr>
          <w:rFonts w:ascii="Times New Roman" w:hAnsi="Times New Roman" w:cs="Times New Roman"/>
          <w:b/>
          <w:sz w:val="24"/>
          <w:szCs w:val="24"/>
        </w:rPr>
        <w:t>14/3/22</w:t>
      </w:r>
      <w:r>
        <w:rPr>
          <w:rFonts w:ascii="Times New Roman" w:hAnsi="Times New Roman" w:cs="Times New Roman"/>
          <w:sz w:val="24"/>
          <w:szCs w:val="24"/>
        </w:rPr>
        <w:t>)</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Los representantes de los empresarios en Europa y en España muestran su compromiso con la transformación energética pero piden más colaboración con el sector público.</w:t>
      </w:r>
    </w:p>
    <w:p w:rsidR="00BF5D7B" w:rsidRPr="00FB1B75" w:rsidRDefault="00BF5D7B" w:rsidP="00BF5D7B">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Hoy en día, las empresas españolas y europeas, al igual que la ciudadanía, esperan que su futuro sea verde, climáticamente neutro y socialmente justo. La clave está en cómo podremos lograrlo. ¿Tendremos la fuerza y podremos situar a nuestro continente y al resto del mundo en una senda en la que los fabricantes de automóviles, acero o cemento, las compañías aéreas, los productores de electricidad y todas nuestras industrias consumidoras de energía, así como los hogares, puedan reducir drásticamente su huella de carbono, mejorando al mismo tiempo el empleo de calidad y el bienestar?</w:t>
      </w:r>
    </w:p>
    <w:p w:rsidR="00BF5D7B" w:rsidRPr="00FB1B75" w:rsidRDefault="00BF5D7B" w:rsidP="00BF5D7B">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El Parlamento Europeo y el Consejo de la UE, los colegisladores europeos, trabajan a</w:t>
      </w:r>
      <w:r>
        <w:rPr>
          <w:rFonts w:ascii="Times New Roman" w:hAnsi="Times New Roman" w:cs="Times New Roman"/>
          <w:color w:val="FF0000"/>
          <w:sz w:val="24"/>
          <w:szCs w:val="24"/>
          <w:u w:val="single"/>
        </w:rPr>
        <w:t>hora en el paquete legislativo “Objetivo 55”</w:t>
      </w:r>
      <w:r w:rsidRPr="00FB1B75">
        <w:rPr>
          <w:rFonts w:ascii="Times New Roman" w:hAnsi="Times New Roman" w:cs="Times New Roman"/>
          <w:color w:val="FF0000"/>
          <w:sz w:val="24"/>
          <w:szCs w:val="24"/>
          <w:u w:val="single"/>
        </w:rPr>
        <w:t>, más conocido</w:t>
      </w:r>
      <w:r w:rsidR="009C20F1">
        <w:rPr>
          <w:rFonts w:ascii="Times New Roman" w:hAnsi="Times New Roman" w:cs="Times New Roman"/>
          <w:color w:val="FF0000"/>
          <w:sz w:val="24"/>
          <w:szCs w:val="24"/>
          <w:u w:val="single"/>
        </w:rPr>
        <w:t xml:space="preserve"> por su denominación en inglés “Fit for 55”</w:t>
      </w:r>
      <w:r w:rsidRPr="00FB1B75">
        <w:rPr>
          <w:rFonts w:ascii="Times New Roman" w:hAnsi="Times New Roman" w:cs="Times New Roman"/>
          <w:color w:val="FF0000"/>
          <w:sz w:val="24"/>
          <w:szCs w:val="24"/>
          <w:u w:val="single"/>
        </w:rPr>
        <w:t>. En términos concretos, significa que los países de la UE tendrán que reducir más del 30% de sus emisiones actuales de gases de efecto invernadero en los próximos ocho años, ya que se ha acordado aumentar el objetivo de la UE para disminuir dichas emisiones un 55% para 2030 con respecto a los niveles de 1990.</w:t>
      </w:r>
    </w:p>
    <w:p w:rsidR="00BF5D7B" w:rsidRPr="00FB1B75" w:rsidRDefault="00BF5D7B" w:rsidP="00BF5D7B">
      <w:pPr>
        <w:spacing w:line="240" w:lineRule="auto"/>
        <w:jc w:val="both"/>
        <w:rPr>
          <w:rFonts w:ascii="Times New Roman" w:hAnsi="Times New Roman" w:cs="Times New Roman"/>
          <w:sz w:val="24"/>
          <w:szCs w:val="24"/>
          <w:u w:val="single"/>
        </w:rPr>
      </w:pPr>
      <w:r w:rsidRPr="00FB1B75">
        <w:rPr>
          <w:rFonts w:ascii="Times New Roman" w:hAnsi="Times New Roman" w:cs="Times New Roman"/>
          <w:sz w:val="24"/>
          <w:szCs w:val="24"/>
          <w:u w:val="single"/>
        </w:rPr>
        <w:t>Si se compara con la caída del 12% de las emisiones de CO2 en Europa debido a la enorme ralentización económica de 2020 a causa de la pandemia de la Covid-19, se puede ver la tarea hercúlea a la que nos enfrentamos todos: compaginar un crecimiento de calidad y un futuro climáticamente neutro.</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 xml:space="preserve">Una tarea que significa que nuestras empresas tendrán que suministrar suficientes combustibles sostenibles de aviación, mientras las compañías aéreas siguen operando vuelos de manera rentable. Implica, además, una expansión generalizada de la movilidad verde basada en la electricidad renovable, las baterías de litio, el hidrógeno y los combustibles renovables, reduciendo al mismo tiempo rápidamente las emisiones de los vehículos de gasolina y diésel a un coste asequible para los hogares de manera que no ponga en </w:t>
      </w:r>
      <w:r>
        <w:rPr>
          <w:rFonts w:ascii="Times New Roman" w:hAnsi="Times New Roman" w:cs="Times New Roman"/>
          <w:sz w:val="24"/>
          <w:szCs w:val="24"/>
        </w:rPr>
        <w:t>riesgo la estabilidad política.</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lastRenderedPageBreak/>
        <w:t>También supone redoblar los esfuerzos para la renovación de edificios, la transformación de infraestructuras y la electrificación de procesos industriales, que podrían duplicar con creces la demanda</w:t>
      </w:r>
      <w:r>
        <w:rPr>
          <w:rFonts w:ascii="Times New Roman" w:hAnsi="Times New Roman" w:cs="Times New Roman"/>
          <w:sz w:val="24"/>
          <w:szCs w:val="24"/>
        </w:rPr>
        <w:t xml:space="preserve"> mundial de energía hasta 2050.</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Asimismo, para lograr el objetivo del 55% en los tiempos previstos por la UE habrá que pre</w:t>
      </w:r>
      <w:r>
        <w:rPr>
          <w:rFonts w:ascii="Times New Roman" w:hAnsi="Times New Roman" w:cs="Times New Roman"/>
          <w:sz w:val="24"/>
          <w:szCs w:val="24"/>
        </w:rPr>
        <w:t xml:space="preserve">star atención al precio del </w:t>
      </w:r>
      <w:r w:rsidRPr="006D65E8">
        <w:rPr>
          <w:rFonts w:ascii="Times New Roman" w:hAnsi="Times New Roman" w:cs="Times New Roman"/>
          <w:sz w:val="24"/>
          <w:szCs w:val="24"/>
        </w:rPr>
        <w:t>carbono a través del régimen de comercio de derechos de emisión de la UE, para que no afecte a millones de puestos de trabajo en las industrias del acero, el aluminio, el cemento o la química, y evite el riesgo de deslocalización fuera de la UE, donde la menor ambición climática permite una producción más barata, pero no</w:t>
      </w:r>
      <w:r>
        <w:rPr>
          <w:rFonts w:ascii="Times New Roman" w:hAnsi="Times New Roman" w:cs="Times New Roman"/>
          <w:sz w:val="24"/>
          <w:szCs w:val="24"/>
        </w:rPr>
        <w:t xml:space="preserve"> necesariamente más sostenible.</w:t>
      </w:r>
    </w:p>
    <w:p w:rsidR="00BF5D7B" w:rsidRPr="00FB1B75" w:rsidRDefault="00BF5D7B" w:rsidP="00BF5D7B">
      <w:pPr>
        <w:spacing w:line="240" w:lineRule="auto"/>
        <w:jc w:val="both"/>
        <w:rPr>
          <w:rFonts w:ascii="Times New Roman" w:hAnsi="Times New Roman" w:cs="Times New Roman"/>
          <w:sz w:val="24"/>
          <w:szCs w:val="24"/>
          <w:u w:val="single"/>
        </w:rPr>
      </w:pPr>
      <w:r w:rsidRPr="00FB1B75">
        <w:rPr>
          <w:rFonts w:ascii="Times New Roman" w:hAnsi="Times New Roman" w:cs="Times New Roman"/>
          <w:sz w:val="24"/>
          <w:szCs w:val="24"/>
          <w:u w:val="single"/>
        </w:rPr>
        <w:t>Todo esto puede parecer una misión imposible. Sin embargo, el diálogo entre el legislador y el sector privado puede ser determinante para cuadrar este círculo y se establecer correctamente las condiciones necesarias que permitan afrontar este enorme reto colectivo.</w:t>
      </w:r>
    </w:p>
    <w:p w:rsidR="00BF5D7B" w:rsidRPr="00FB1B75" w:rsidRDefault="00BF5D7B" w:rsidP="00BF5D7B">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En primer lugar, hay que aumentar el apoyo público y acelerar los plazos de tramitación, autorizaciones e instalación para los proyectos de generación y distribución de energía limpia.</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Pongamos como ejemplo la energía eólica de la UE: para cump</w:t>
      </w:r>
      <w:r>
        <w:rPr>
          <w:rFonts w:ascii="Times New Roman" w:hAnsi="Times New Roman" w:cs="Times New Roman"/>
          <w:sz w:val="24"/>
          <w:szCs w:val="24"/>
        </w:rPr>
        <w:t>lir los requisitos del paquete “Objetivo 55”</w:t>
      </w:r>
      <w:r w:rsidRPr="006D65E8">
        <w:rPr>
          <w:rFonts w:ascii="Times New Roman" w:hAnsi="Times New Roman" w:cs="Times New Roman"/>
          <w:sz w:val="24"/>
          <w:szCs w:val="24"/>
        </w:rPr>
        <w:t xml:space="preserve"> de la UE la potencia eólica de Europa debe aumentar de 220 a más de</w:t>
      </w:r>
      <w:r>
        <w:rPr>
          <w:rFonts w:ascii="Times New Roman" w:hAnsi="Times New Roman" w:cs="Times New Roman"/>
          <w:sz w:val="24"/>
          <w:szCs w:val="24"/>
        </w:rPr>
        <w:t xml:space="preserve"> 450 gigavatios de aquí a 2030.</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Unos procedimientos de autorización más rápidos permitirían hacerlo y eliminar gradualmente los combustibles fósiles en el sector energético. Tendremos que utilizar, además, todas las tecnologías disponibles (turbinas eólicas, energía solar, mejores redes, energía nuclear, hidrógeno, combustibles renovables, gas, ahorro de energía, innovación de productos) para conseguir la transición ene</w:t>
      </w:r>
      <w:r>
        <w:rPr>
          <w:rFonts w:ascii="Times New Roman" w:hAnsi="Times New Roman" w:cs="Times New Roman"/>
          <w:sz w:val="24"/>
          <w:szCs w:val="24"/>
        </w:rPr>
        <w:t>rgética a cero emisiones netas.</w:t>
      </w:r>
    </w:p>
    <w:p w:rsidR="00BF5D7B" w:rsidRPr="00FB1B75" w:rsidRDefault="00BF5D7B" w:rsidP="00BF5D7B">
      <w:pPr>
        <w:spacing w:line="240" w:lineRule="auto"/>
        <w:jc w:val="both"/>
        <w:rPr>
          <w:rFonts w:ascii="Times New Roman" w:hAnsi="Times New Roman" w:cs="Times New Roman"/>
          <w:b/>
          <w:color w:val="FF0000"/>
          <w:sz w:val="24"/>
          <w:szCs w:val="24"/>
          <w:u w:val="single"/>
        </w:rPr>
      </w:pPr>
      <w:r w:rsidRPr="00FB1B75">
        <w:rPr>
          <w:rFonts w:ascii="Times New Roman" w:hAnsi="Times New Roman" w:cs="Times New Roman"/>
          <w:b/>
          <w:color w:val="FF0000"/>
          <w:sz w:val="24"/>
          <w:szCs w:val="24"/>
          <w:u w:val="single"/>
        </w:rPr>
        <w:t>Ahora bien, es imprescindible tener en cuenta el contexto internacional. Europa emite el 8% de las emisiones mundiales de CO2 y reduce su huella climática de modo mucho más rápido que otras grandes economías, pero la acción climática sólo puede tener éxito a escala mundial.</w:t>
      </w:r>
    </w:p>
    <w:p w:rsidR="00BF5D7B" w:rsidRPr="00FB1B75" w:rsidRDefault="00BF5D7B" w:rsidP="00BF5D7B">
      <w:pPr>
        <w:spacing w:line="240" w:lineRule="auto"/>
        <w:jc w:val="both"/>
        <w:rPr>
          <w:rFonts w:ascii="Times New Roman" w:hAnsi="Times New Roman" w:cs="Times New Roman"/>
          <w:b/>
          <w:color w:val="FF0000"/>
          <w:sz w:val="24"/>
          <w:szCs w:val="24"/>
          <w:u w:val="single"/>
        </w:rPr>
      </w:pPr>
      <w:r w:rsidRPr="00FB1B75">
        <w:rPr>
          <w:rFonts w:ascii="Times New Roman" w:hAnsi="Times New Roman" w:cs="Times New Roman"/>
          <w:b/>
          <w:color w:val="FF0000"/>
          <w:sz w:val="24"/>
          <w:szCs w:val="24"/>
          <w:u w:val="single"/>
        </w:rPr>
        <w:t>Esto significa que el comercio de derechos de emisión de Europa debe mantener suficientes asignaciones gratuitas para las empresas, evitando perjudicar a nuestra industria mientras los grandes emisores, como Estados Unidos o China, no sigan el ejemplo en términos de ambición climática.</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Esto es fundamental, ya que las empresas europeas deben tener la capacidad de invertir en su propia transformación y, en última instancia, de producir acero, productos q</w:t>
      </w:r>
      <w:r>
        <w:rPr>
          <w:rFonts w:ascii="Times New Roman" w:hAnsi="Times New Roman" w:cs="Times New Roman"/>
          <w:sz w:val="24"/>
          <w:szCs w:val="24"/>
        </w:rPr>
        <w:t>uímicos o aluminio sin carbono.</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 xml:space="preserve">Además, significa que debe aprobarse un mecanismo de ajuste en frontera de las emisiones de carbono; un instrumento que, ante todo, ha de ser económico y eficaz para ayudar a Europa a contrarrestar las fugas de carbono y evitar la deslocalización de la industria a regiones más </w:t>
      </w:r>
      <w:r>
        <w:rPr>
          <w:rFonts w:ascii="Times New Roman" w:hAnsi="Times New Roman" w:cs="Times New Roman"/>
          <w:sz w:val="24"/>
          <w:szCs w:val="24"/>
        </w:rPr>
        <w:t>contaminantes.</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Sin los instrumentos adecuados, cualquier gobierno europeo se enfrentará a la pérdida de puestos de trabajo y a la oposición pública, especialmente porque estaremos acompañados de numer</w:t>
      </w:r>
      <w:r>
        <w:rPr>
          <w:rFonts w:ascii="Times New Roman" w:hAnsi="Times New Roman" w:cs="Times New Roman"/>
          <w:sz w:val="24"/>
          <w:szCs w:val="24"/>
        </w:rPr>
        <w:t>osas incertidumbres hasta 2030.</w:t>
      </w:r>
    </w:p>
    <w:p w:rsidR="00BF5D7B" w:rsidRPr="00BB486C" w:rsidRDefault="00BF5D7B" w:rsidP="00BF5D7B">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lastRenderedPageBreak/>
        <w:t>¿Aumentará realmente la potencia instalada de electricidad renovable a escala mundial en más de un 60% de aquí a 2026, como se prevé, lo que equivale a la actual potencia energética mundial de los combustibles fósiles y la energía nuclear?</w:t>
      </w:r>
    </w:p>
    <w:p w:rsidR="00BF5D7B" w:rsidRPr="00BB486C" w:rsidRDefault="00BF5D7B" w:rsidP="00BF5D7B">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¿Se mantendrá este aumento de las energías renovables con el incremento de los precios de las materias primas a escala mundial? Los precios del polisilicio empleado en los paneles fotovoltaicos se han cuadruplicado desde 2020 y hemos visto fuertes aumentos de precios del acero (un 50%), el aluminio (un 80%) y el cobre (un 60%). ¿Seguirán al alza los precios del gas, o el actual aumento de la inflación será solo transitorio?</w:t>
      </w:r>
    </w:p>
    <w:p w:rsidR="00BF5D7B" w:rsidRPr="00BB486C" w:rsidRDefault="00BF5D7B" w:rsidP="00BF5D7B">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Para garantizar el éxito de la transición ecológica en Europa, deben cumplirse dos condiciones complementarias. En primer lugar, necesitamos una base industrial sólida en Europa, con empresas competitivas.</w:t>
      </w:r>
    </w:p>
    <w:p w:rsidR="00BF5D7B" w:rsidRPr="006D65E8" w:rsidRDefault="00BF5D7B" w:rsidP="00BF5D7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La gran mayoría de las soluciones prácticas, la innovación y las tecnologías para garantizar la transición ecológica proceden directamente de la industria, por lo que cualquier medida que deteriore la competitividad de las empresas europeas tendría un impacto negativo en la transición ecol</w:t>
      </w:r>
      <w:r>
        <w:rPr>
          <w:rFonts w:ascii="Times New Roman" w:hAnsi="Times New Roman" w:cs="Times New Roman"/>
          <w:sz w:val="24"/>
          <w:szCs w:val="24"/>
        </w:rPr>
        <w:t>ógica.</w:t>
      </w:r>
    </w:p>
    <w:p w:rsidR="00BF5D7B" w:rsidRPr="00BB486C" w:rsidRDefault="00BF5D7B" w:rsidP="00BF5D7B">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En segundo lugar, la simplificación, coherencia, flexibilidad y consistencia de</w:t>
      </w:r>
      <w:r>
        <w:rPr>
          <w:rFonts w:ascii="Times New Roman" w:hAnsi="Times New Roman" w:cs="Times New Roman"/>
          <w:color w:val="FF0000"/>
          <w:sz w:val="24"/>
          <w:szCs w:val="24"/>
          <w:u w:val="single"/>
        </w:rPr>
        <w:t xml:space="preserve"> las nuevas normas del paquete “</w:t>
      </w:r>
      <w:r w:rsidRPr="00BB486C">
        <w:rPr>
          <w:rFonts w:ascii="Times New Roman" w:hAnsi="Times New Roman" w:cs="Times New Roman"/>
          <w:color w:val="FF0000"/>
          <w:sz w:val="24"/>
          <w:szCs w:val="24"/>
          <w:u w:val="single"/>
        </w:rPr>
        <w:t>O</w:t>
      </w:r>
      <w:r>
        <w:rPr>
          <w:rFonts w:ascii="Times New Roman" w:hAnsi="Times New Roman" w:cs="Times New Roman"/>
          <w:color w:val="FF0000"/>
          <w:sz w:val="24"/>
          <w:szCs w:val="24"/>
          <w:u w:val="single"/>
        </w:rPr>
        <w:t>bjetivo 55”</w:t>
      </w:r>
      <w:r w:rsidRPr="00BB486C">
        <w:rPr>
          <w:rFonts w:ascii="Times New Roman" w:hAnsi="Times New Roman" w:cs="Times New Roman"/>
          <w:color w:val="FF0000"/>
          <w:sz w:val="24"/>
          <w:szCs w:val="24"/>
          <w:u w:val="single"/>
        </w:rPr>
        <w:t xml:space="preserve"> deben constituir una prioridad. La complejidad normativa es enemiga de la innovación, y la innovación es lo que necesitamos para ofrecer soluciones futuras al desafío climático.</w:t>
      </w:r>
    </w:p>
    <w:p w:rsidR="00BF5D7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D65E8">
        <w:rPr>
          <w:rFonts w:ascii="Times New Roman" w:hAnsi="Times New Roman" w:cs="Times New Roman"/>
          <w:sz w:val="24"/>
          <w:szCs w:val="24"/>
        </w:rPr>
        <w:t>Pierre Gattaz es presidente de Business</w:t>
      </w:r>
      <w:r>
        <w:rPr>
          <w:rFonts w:ascii="Times New Roman" w:hAnsi="Times New Roman" w:cs="Times New Roman"/>
          <w:sz w:val="24"/>
          <w:szCs w:val="24"/>
        </w:rPr>
        <w:t xml:space="preserve"> </w:t>
      </w:r>
      <w:r w:rsidRPr="006D65E8">
        <w:rPr>
          <w:rFonts w:ascii="Times New Roman" w:hAnsi="Times New Roman" w:cs="Times New Roman"/>
          <w:sz w:val="24"/>
          <w:szCs w:val="24"/>
        </w:rPr>
        <w:t xml:space="preserve">Europe y Antonio </w:t>
      </w:r>
      <w:r>
        <w:rPr>
          <w:rFonts w:ascii="Times New Roman" w:hAnsi="Times New Roman" w:cs="Times New Roman"/>
          <w:sz w:val="24"/>
          <w:szCs w:val="24"/>
        </w:rPr>
        <w:t>Garamendi es presidente de CEOE)</w:t>
      </w:r>
    </w:p>
    <w:p w:rsidR="00BF5D7B"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C20F1">
        <w:rPr>
          <w:rFonts w:ascii="Times New Roman" w:hAnsi="Times New Roman" w:cs="Times New Roman"/>
          <w:sz w:val="24"/>
          <w:szCs w:val="24"/>
        </w:rPr>
        <w:t>¿</w:t>
      </w:r>
      <w:r w:rsidRPr="00094630">
        <w:rPr>
          <w:rFonts w:ascii="Times New Roman" w:hAnsi="Times New Roman" w:cs="Times New Roman"/>
          <w:sz w:val="24"/>
          <w:szCs w:val="24"/>
          <w:u w:val="single"/>
        </w:rPr>
        <w:t>Puede Europa prescindir del gas ruso? Estos son los obstáculos a los que se enfrenta</w:t>
      </w:r>
      <w:r>
        <w:rPr>
          <w:rFonts w:ascii="Times New Roman" w:hAnsi="Times New Roman" w:cs="Times New Roman"/>
          <w:sz w:val="24"/>
          <w:szCs w:val="24"/>
        </w:rPr>
        <w:t xml:space="preserve"> (El Confidencial - </w:t>
      </w:r>
      <w:r w:rsidRPr="00094630">
        <w:rPr>
          <w:rFonts w:ascii="Times New Roman" w:hAnsi="Times New Roman" w:cs="Times New Roman"/>
          <w:b/>
          <w:sz w:val="24"/>
          <w:szCs w:val="24"/>
        </w:rPr>
        <w:t>15/3/22</w:t>
      </w:r>
      <w:r>
        <w:rPr>
          <w:rFonts w:ascii="Times New Roman" w:hAnsi="Times New Roman" w:cs="Times New Roman"/>
          <w:sz w:val="24"/>
          <w:szCs w:val="24"/>
        </w:rPr>
        <w:t>)</w:t>
      </w:r>
    </w:p>
    <w:p w:rsidR="00BF5D7B" w:rsidRPr="00947166" w:rsidRDefault="00BF5D7B" w:rsidP="00BF5D7B">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La Unión Europea tiene un objetivo: lograr la neutralidad de carbono para el año 2050. Es decir, para mediados de siglo la economía europea tiene que ser capaz de absorber al menos la misma cantidad de CO2 que libera a la atmósfera.</w:t>
      </w:r>
    </w:p>
    <w:p w:rsidR="00BF5D7B" w:rsidRPr="00947166" w:rsidRDefault="00BF5D7B" w:rsidP="00BF5D7B">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Para conseguirlo, los países comunitarios llevan años sustituyendo sus viejas centrales de carbón por energías renovables. Además, otros países como España o Alemania también quieren sustituir su parque nuclear. Por ejemplo, en el caso alemán, hasta hace apenas diez años este país tenía 17 reactores en funcionamiento. Hoy solo cuenta con tres.</w:t>
      </w:r>
    </w:p>
    <w:p w:rsidR="00BF5D7B" w:rsidRDefault="00BF5D7B" w:rsidP="00BF5D7B">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Pese a ello, el 70% de todo el consumo energético de la Unión Europea sigue teniendo como origen los combustibles fósiles. En parte porque el consumo de gas natural, según datos de la Agencia Internacional de la Energía (AIE), ha estado creciendo durante los últimos cinco años.</w:t>
      </w:r>
    </w:p>
    <w:p w:rsidR="00BF5D7B" w:rsidRPr="001B1A2C" w:rsidRDefault="00BF5D7B" w:rsidP="00BF5D7B">
      <w:pPr>
        <w:spacing w:line="240" w:lineRule="auto"/>
        <w:jc w:val="both"/>
        <w:rPr>
          <w:rFonts w:ascii="Times New Roman" w:hAnsi="Times New Roman" w:cs="Times New Roman"/>
          <w:sz w:val="24"/>
          <w:szCs w:val="24"/>
        </w:rPr>
      </w:pPr>
      <w:r w:rsidRPr="001B1A2C">
        <w:rPr>
          <w:rFonts w:ascii="Times New Roman" w:hAnsi="Times New Roman" w:cs="Times New Roman"/>
          <w:sz w:val="24"/>
          <w:szCs w:val="24"/>
        </w:rPr>
        <w:t>El gas natural, ¿una alternativa?</w:t>
      </w:r>
    </w:p>
    <w:p w:rsidR="00BF5D7B" w:rsidRPr="00154628" w:rsidRDefault="00BF5D7B" w:rsidP="00BF5D7B">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t>¿Por qué? Fundamentalmente porque las renovables tienen el problema de no ser constantes. Evidentemente no sopla el viento ni hace sol las 24 horas del día, así que hoy por hoy estas energías necesitan una fuente de respaldo</w:t>
      </w:r>
      <w:r w:rsidRPr="00094630">
        <w:rPr>
          <w:rFonts w:ascii="Times New Roman" w:hAnsi="Times New Roman" w:cs="Times New Roman"/>
          <w:sz w:val="24"/>
          <w:szCs w:val="24"/>
        </w:rPr>
        <w:t xml:space="preserve">. </w:t>
      </w:r>
      <w:r w:rsidRPr="00154628">
        <w:rPr>
          <w:rFonts w:ascii="Times New Roman" w:hAnsi="Times New Roman" w:cs="Times New Roman"/>
          <w:color w:val="FF0000"/>
          <w:sz w:val="24"/>
          <w:szCs w:val="24"/>
          <w:u w:val="single"/>
        </w:rPr>
        <w:t>Y justo aquí es donde aparece en escena el gas natural, que es considerado el combustible fósil más limpio. Pero la Unión Europea apenas produce gas natural, así que cada año tiene que importar el equivalente a 3.660 TWh de energía. El 45% de todo este gas procede directamente de Rusia.</w:t>
      </w:r>
    </w:p>
    <w:p w:rsidR="00BF5D7B" w:rsidRPr="00154628" w:rsidRDefault="00BF5D7B" w:rsidP="00BF5D7B">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lastRenderedPageBreak/>
        <w:t>Y ahora, a tenor del reciente conflicto en Ucrania y del choque político entre Washington, Bruselas y Moscú</w:t>
      </w:r>
      <w:r w:rsidRPr="00094630">
        <w:rPr>
          <w:rFonts w:ascii="Times New Roman" w:hAnsi="Times New Roman" w:cs="Times New Roman"/>
          <w:sz w:val="24"/>
          <w:szCs w:val="24"/>
        </w:rPr>
        <w:t xml:space="preserve">, una pregunta ha cobrado protagonismo: </w:t>
      </w:r>
      <w:r w:rsidRPr="006516C1">
        <w:rPr>
          <w:rFonts w:ascii="Times New Roman" w:hAnsi="Times New Roman" w:cs="Times New Roman"/>
          <w:color w:val="FF0000"/>
          <w:sz w:val="24"/>
          <w:szCs w:val="24"/>
        </w:rPr>
        <w:t>¿</w:t>
      </w:r>
      <w:r w:rsidRPr="00154628">
        <w:rPr>
          <w:rFonts w:ascii="Times New Roman" w:hAnsi="Times New Roman" w:cs="Times New Roman"/>
          <w:color w:val="FF0000"/>
          <w:sz w:val="24"/>
          <w:szCs w:val="24"/>
          <w:u w:val="single"/>
        </w:rPr>
        <w:t>Podrían las economías europeas sustituir el gas que reciben del gigante ruso si llegado el caso este país decidiera reducir o incluso cortar el suministro?</w:t>
      </w:r>
    </w:p>
    <w:p w:rsidR="00BF5D7B" w:rsidRPr="00154628" w:rsidRDefault="00BF5D7B" w:rsidP="00BF5D7B">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En principio se podría decir que sí. Por un lado, los países de la Unión Europea tienen infraestructuras suficientes para incrementar en más de 1.700 TWh sus importaciones de gas del resto del mundo. También podrían tomar otras medidas como retrasar el cierre de las centrales nucleares o, transitoriamente, volver a utilizar algunas centrales de carbón. Esto podría aportar otros 400 TWh. En total hablamos de unos 2.100 TWh de margen, que representan el 125% de las importaciones de gas ruso.</w:t>
      </w:r>
    </w:p>
    <w:p w:rsidR="00BF5D7B" w:rsidRPr="00154628" w:rsidRDefault="00BF5D7B" w:rsidP="00BF5D7B">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Sin embargo, la realidad es diferente. Y es que el problema no está en la infraestructura, sino en el propio gas: por la falta de inversión, el mercado está muy tensionado y los grandes exportadores ya trabajan a pleno rendimiento, así que hay poco margen para aumentar la oferta. En segundo lugar, la infraestructura europea es grande, pero está mal conectada entre sí, así que la capacidad de países como España, por ejemplo, apenas se podría utilizar.</w:t>
      </w:r>
    </w:p>
    <w:p w:rsidR="00BF5D7B" w:rsidRPr="0080600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600A">
        <w:rPr>
          <w:rFonts w:ascii="Times New Roman" w:hAnsi="Times New Roman" w:cs="Times New Roman"/>
          <w:sz w:val="24"/>
          <w:szCs w:val="24"/>
          <w:u w:val="single"/>
        </w:rPr>
        <w:t>Rusia y Ucrania: cómo Alemania está deshaciendo décadas de estrechos lazos con Moscú a raíz de la invasión rusa de su vecino</w:t>
      </w:r>
      <w:r>
        <w:rPr>
          <w:rFonts w:ascii="Times New Roman" w:hAnsi="Times New Roman" w:cs="Times New Roman"/>
          <w:sz w:val="24"/>
          <w:szCs w:val="24"/>
        </w:rPr>
        <w:t xml:space="preserve"> (BBCMundo - </w:t>
      </w:r>
      <w:r w:rsidRPr="0080600A">
        <w:rPr>
          <w:rFonts w:ascii="Times New Roman" w:hAnsi="Times New Roman" w:cs="Times New Roman"/>
          <w:b/>
          <w:sz w:val="24"/>
          <w:szCs w:val="24"/>
        </w:rPr>
        <w:t>17/3/22</w:t>
      </w:r>
      <w:r>
        <w:rPr>
          <w:rFonts w:ascii="Times New Roman" w:hAnsi="Times New Roman" w:cs="Times New Roman"/>
          <w:sz w:val="24"/>
          <w:szCs w:val="24"/>
        </w:rPr>
        <w:t>)</w:t>
      </w:r>
    </w:p>
    <w:p w:rsidR="00BF5D7B" w:rsidRPr="0080600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0600A">
        <w:rPr>
          <w:rFonts w:ascii="Times New Roman" w:hAnsi="Times New Roman" w:cs="Times New Roman"/>
          <w:sz w:val="24"/>
          <w:szCs w:val="24"/>
        </w:rPr>
        <w:t>Nick Robinson</w:t>
      </w:r>
      <w:r>
        <w:rPr>
          <w:rFonts w:ascii="Times New Roman" w:hAnsi="Times New Roman" w:cs="Times New Roman"/>
          <w:sz w:val="24"/>
          <w:szCs w:val="24"/>
        </w:rPr>
        <w:t>)</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Hace poco más de tres décadas estuve sobre el Muro de Berlín que, durante casi las tres décadas anteriores, había separado a amigos y familias, dividido un país y concretado la división de Europa.</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Observé y contuve la respiración con miles de personas en esa embriagadora noche de noviembre de 1989, cuando un joven valiente se atrevió a salta</w:t>
      </w:r>
      <w:r>
        <w:rPr>
          <w:rFonts w:ascii="Times New Roman" w:hAnsi="Times New Roman" w:cs="Times New Roman"/>
          <w:sz w:val="24"/>
          <w:szCs w:val="24"/>
        </w:rPr>
        <w:t>r del muro a lo que había sido “tierra de nadie”</w:t>
      </w:r>
      <w:r w:rsidRPr="0080600A">
        <w:rPr>
          <w:rFonts w:ascii="Times New Roman" w:hAnsi="Times New Roman" w:cs="Times New Roman"/>
          <w:sz w:val="24"/>
          <w:szCs w:val="24"/>
        </w:rPr>
        <w:t>.</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Si lo hubiera hecho unos días antes habría sido fusilado, sumándose a todos los que pagaron con su vida atreverse a tender puentes entre el este y el oeste. Pero no en la noche en la que cayó el muro. Ese día le entregó una flor a un soldado de Alemania del Este que, desconcertado, después de una pausa que pareció durar toda la vida, le tendió la</w:t>
      </w:r>
      <w:r>
        <w:rPr>
          <w:rFonts w:ascii="Times New Roman" w:hAnsi="Times New Roman" w:cs="Times New Roman"/>
          <w:sz w:val="24"/>
          <w:szCs w:val="24"/>
        </w:rPr>
        <w:t xml:space="preserve"> mano y aceptó el gesto de paz.</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La multitud que se alineaba en la pared vitoreó salvajemente.</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Ellos, nosotros, soñam</w:t>
      </w:r>
      <w:r>
        <w:rPr>
          <w:rFonts w:ascii="Times New Roman" w:hAnsi="Times New Roman" w:cs="Times New Roman"/>
          <w:sz w:val="24"/>
          <w:szCs w:val="24"/>
        </w:rPr>
        <w:t>os que Europa podría ser ahora “libre y una sola”</w:t>
      </w:r>
      <w:r w:rsidRPr="0080600A">
        <w:rPr>
          <w:rFonts w:ascii="Times New Roman" w:hAnsi="Times New Roman" w:cs="Times New Roman"/>
          <w:sz w:val="24"/>
          <w:szCs w:val="24"/>
        </w:rPr>
        <w:t>. La gente pronto podría ser libre de elegir quién la gobernaría, ya sea que vivieran en Berlín o Praga, Varsovia o Budapest y quizás, solo quizás, en M</w:t>
      </w:r>
      <w:r w:rsidR="002D5C7A">
        <w:rPr>
          <w:rFonts w:ascii="Times New Roman" w:hAnsi="Times New Roman" w:cs="Times New Roman"/>
          <w:sz w:val="24"/>
          <w:szCs w:val="24"/>
        </w:rPr>
        <w:t>oscú y San Petersburgo también.</w:t>
      </w:r>
    </w:p>
    <w:p w:rsidR="00BF5D7B" w:rsidRPr="00AE438B" w:rsidRDefault="00BF5D7B" w:rsidP="00BF5D7B">
      <w:pPr>
        <w:spacing w:line="240" w:lineRule="auto"/>
        <w:jc w:val="both"/>
        <w:rPr>
          <w:rFonts w:ascii="Times New Roman" w:hAnsi="Times New Roman" w:cs="Times New Roman"/>
          <w:sz w:val="24"/>
          <w:szCs w:val="24"/>
          <w:u w:val="single"/>
        </w:rPr>
      </w:pPr>
      <w:r w:rsidRPr="0080600A">
        <w:rPr>
          <w:rFonts w:ascii="Times New Roman" w:hAnsi="Times New Roman" w:cs="Times New Roman"/>
          <w:sz w:val="24"/>
          <w:szCs w:val="24"/>
        </w:rPr>
        <w:t xml:space="preserve">Estoy de regreso en Berlín, una ciudad que enfrenta el hecho de que ese sueño ahora está muerto gracias a </w:t>
      </w:r>
      <w:r w:rsidRPr="00AE438B">
        <w:rPr>
          <w:rFonts w:ascii="Times New Roman" w:hAnsi="Times New Roman" w:cs="Times New Roman"/>
          <w:sz w:val="24"/>
          <w:szCs w:val="24"/>
          <w:u w:val="single"/>
        </w:rPr>
        <w:t>la decisión de Vladimir Putin de invadir Ucrania y bombardear a su pueblo para someterlo.</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El líder de Alemania, el canciller Olaf Scholz, dijo que este es un punto de inflexión histórico. En alemán tienen una palabra para eso (tienen una pala</w:t>
      </w:r>
      <w:r>
        <w:rPr>
          <w:rFonts w:ascii="Times New Roman" w:hAnsi="Times New Roman" w:cs="Times New Roman"/>
          <w:sz w:val="24"/>
          <w:szCs w:val="24"/>
        </w:rPr>
        <w:t>bra para todo). Es zeitenwende.</w:t>
      </w:r>
      <w:r w:rsidR="00155BE6">
        <w:rPr>
          <w:rFonts w:ascii="Times New Roman" w:hAnsi="Times New Roman" w:cs="Times New Roman"/>
          <w:sz w:val="24"/>
          <w:szCs w:val="24"/>
        </w:rPr>
        <w:t xml:space="preserve"> </w:t>
      </w:r>
      <w:r w:rsidRPr="0080600A">
        <w:rPr>
          <w:rFonts w:ascii="Times New Roman" w:hAnsi="Times New Roman" w:cs="Times New Roman"/>
          <w:sz w:val="24"/>
          <w:szCs w:val="24"/>
        </w:rPr>
        <w:t>Scholz anunció que su país ahora ofrecería ayuda militar real a Ucrania.</w:t>
      </w:r>
      <w:r w:rsidR="002D5C7A">
        <w:rPr>
          <w:rFonts w:ascii="Times New Roman" w:hAnsi="Times New Roman" w:cs="Times New Roman"/>
          <w:sz w:val="24"/>
          <w:szCs w:val="24"/>
        </w:rPr>
        <w:t xml:space="preserve"> </w:t>
      </w:r>
      <w:r w:rsidRPr="0080600A">
        <w:rPr>
          <w:rFonts w:ascii="Times New Roman" w:hAnsi="Times New Roman" w:cs="Times New Roman"/>
          <w:sz w:val="24"/>
          <w:szCs w:val="24"/>
        </w:rPr>
        <w:t>Unas semanas antes, su gobierno había sido objeto de burlas por su oferta de 5.000 cascos para equipar al ejército ucraniano. El jefe de la armada alemana tuvo que renunciar después de anotar que todo lo que Putin quería era respeto y que probablemente se lo merecía.</w:t>
      </w:r>
    </w:p>
    <w:p w:rsidR="00BF5D7B" w:rsidRPr="002D5C7A" w:rsidRDefault="00BF5D7B" w:rsidP="00BF5D7B">
      <w:pPr>
        <w:spacing w:line="240" w:lineRule="auto"/>
        <w:jc w:val="both"/>
        <w:rPr>
          <w:rFonts w:ascii="Times New Roman" w:hAnsi="Times New Roman" w:cs="Times New Roman"/>
          <w:color w:val="FF0000"/>
          <w:sz w:val="24"/>
          <w:szCs w:val="24"/>
          <w:u w:val="single"/>
        </w:rPr>
      </w:pPr>
      <w:r w:rsidRPr="00AE438B">
        <w:rPr>
          <w:rFonts w:ascii="Times New Roman" w:hAnsi="Times New Roman" w:cs="Times New Roman"/>
          <w:color w:val="FF0000"/>
          <w:sz w:val="24"/>
          <w:szCs w:val="24"/>
          <w:u w:val="single"/>
        </w:rPr>
        <w:lastRenderedPageBreak/>
        <w:t>El canciller alemán ahora se ha comprometido a invertir más en defensa, unos 100.000 millones de euros (US$</w:t>
      </w:r>
      <w:r>
        <w:rPr>
          <w:rFonts w:ascii="Times New Roman" w:hAnsi="Times New Roman" w:cs="Times New Roman"/>
          <w:color w:val="FF0000"/>
          <w:sz w:val="24"/>
          <w:szCs w:val="24"/>
          <w:u w:val="single"/>
        </w:rPr>
        <w:t xml:space="preserve"> </w:t>
      </w:r>
      <w:r w:rsidRPr="00AE438B">
        <w:rPr>
          <w:rFonts w:ascii="Times New Roman" w:hAnsi="Times New Roman" w:cs="Times New Roman"/>
          <w:color w:val="FF0000"/>
          <w:sz w:val="24"/>
          <w:szCs w:val="24"/>
          <w:u w:val="single"/>
        </w:rPr>
        <w:t>109.000 millones) más. Lo que eso significa es que este país pronto se convertirá en la mayor potencia militar de Europa y la tercera más grande del mundo, de</w:t>
      </w:r>
      <w:r w:rsidR="002D5C7A">
        <w:rPr>
          <w:rFonts w:ascii="Times New Roman" w:hAnsi="Times New Roman" w:cs="Times New Roman"/>
          <w:color w:val="FF0000"/>
          <w:sz w:val="24"/>
          <w:szCs w:val="24"/>
          <w:u w:val="single"/>
        </w:rPr>
        <w:t>trás de China y Estados Unidos.</w:t>
      </w:r>
      <w:r w:rsidR="002D5C7A">
        <w:rPr>
          <w:rFonts w:ascii="Times New Roman" w:hAnsi="Times New Roman" w:cs="Times New Roman"/>
          <w:color w:val="FF0000"/>
          <w:sz w:val="24"/>
          <w:szCs w:val="24"/>
        </w:rPr>
        <w:t xml:space="preserve"> </w:t>
      </w:r>
      <w:r w:rsidRPr="0080600A">
        <w:rPr>
          <w:rFonts w:ascii="Times New Roman" w:hAnsi="Times New Roman" w:cs="Times New Roman"/>
          <w:sz w:val="24"/>
          <w:szCs w:val="24"/>
        </w:rPr>
        <w:t xml:space="preserve">No hace mucho tiempo, esa perspectiva habría sido recibida con miedo en el </w:t>
      </w:r>
      <w:r>
        <w:rPr>
          <w:rFonts w:ascii="Times New Roman" w:hAnsi="Times New Roman" w:cs="Times New Roman"/>
          <w:sz w:val="24"/>
          <w:szCs w:val="24"/>
        </w:rPr>
        <w:t>extranjero y protestas en casa.</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Cuando era jov</w:t>
      </w:r>
      <w:r>
        <w:rPr>
          <w:rFonts w:ascii="Times New Roman" w:hAnsi="Times New Roman" w:cs="Times New Roman"/>
          <w:sz w:val="24"/>
          <w:szCs w:val="24"/>
        </w:rPr>
        <w:t>en, miembro de lo que él llama “la generación de 1989”</w:t>
      </w:r>
      <w:r w:rsidRPr="0080600A">
        <w:rPr>
          <w:rFonts w:ascii="Times New Roman" w:hAnsi="Times New Roman" w:cs="Times New Roman"/>
          <w:sz w:val="24"/>
          <w:szCs w:val="24"/>
        </w:rPr>
        <w:t>, Nils Schmid estudió en Ucrania en lo que entonces era parte de la Unión Soviética. Actualmente es diputado alemán y portavoz de Asuntos Exteriores de los socialdemócratas gobernantes.</w:t>
      </w:r>
    </w:p>
    <w:p w:rsidR="00BF5D7B" w:rsidRPr="00AE438B" w:rsidRDefault="00BF5D7B" w:rsidP="00BF5D7B">
      <w:pPr>
        <w:spacing w:line="240" w:lineRule="auto"/>
        <w:jc w:val="both"/>
        <w:rPr>
          <w:rFonts w:ascii="Times New Roman" w:hAnsi="Times New Roman" w:cs="Times New Roman"/>
          <w:color w:val="FF0000"/>
          <w:sz w:val="24"/>
          <w:szCs w:val="24"/>
          <w:u w:val="single"/>
        </w:rPr>
      </w:pPr>
      <w:r w:rsidRPr="0080600A">
        <w:rPr>
          <w:rFonts w:ascii="Times New Roman" w:hAnsi="Times New Roman" w:cs="Times New Roman"/>
          <w:sz w:val="24"/>
          <w:szCs w:val="24"/>
        </w:rPr>
        <w:t>Me dijo que él y sus compatriotas a</w:t>
      </w:r>
      <w:r>
        <w:rPr>
          <w:rFonts w:ascii="Times New Roman" w:hAnsi="Times New Roman" w:cs="Times New Roman"/>
          <w:sz w:val="24"/>
          <w:szCs w:val="24"/>
        </w:rPr>
        <w:t xml:space="preserve">hora tienen que aceptar que </w:t>
      </w:r>
      <w:r w:rsidRPr="00AE438B">
        <w:rPr>
          <w:rFonts w:ascii="Times New Roman" w:hAnsi="Times New Roman" w:cs="Times New Roman"/>
          <w:color w:val="FF0000"/>
          <w:sz w:val="24"/>
          <w:szCs w:val="24"/>
          <w:u w:val="single"/>
        </w:rPr>
        <w:t>la “cortina de hierro” que dividía a E</w:t>
      </w:r>
      <w:r w:rsidR="002D5C7A">
        <w:rPr>
          <w:rFonts w:ascii="Times New Roman" w:hAnsi="Times New Roman" w:cs="Times New Roman"/>
          <w:color w:val="FF0000"/>
          <w:sz w:val="24"/>
          <w:szCs w:val="24"/>
          <w:u w:val="single"/>
        </w:rPr>
        <w:t xml:space="preserve">uropa simplemente se ha movido. </w:t>
      </w:r>
      <w:r w:rsidRPr="00AE438B">
        <w:rPr>
          <w:rFonts w:ascii="Times New Roman" w:hAnsi="Times New Roman" w:cs="Times New Roman"/>
          <w:color w:val="FF0000"/>
          <w:sz w:val="24"/>
          <w:szCs w:val="24"/>
          <w:u w:val="single"/>
        </w:rPr>
        <w:t>Alguna vez estuvo a unos cientos de metros de su oficina. Ahora, mucho después de la caída del muro, está en la frontera entre los países de la OTAN -cuya defensa garantiza EEUU- y los que miran hacia Moscú.</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Frente a su oficina se encuentra la gran embajada de Rusia, en lo que solía ser Berlín del Este. Ahora está protegida por la policía y hay barricadas decoradas</w:t>
      </w:r>
      <w:r>
        <w:rPr>
          <w:rFonts w:ascii="Times New Roman" w:hAnsi="Times New Roman" w:cs="Times New Roman"/>
          <w:sz w:val="24"/>
          <w:szCs w:val="24"/>
        </w:rPr>
        <w:t xml:space="preserve"> con carteles contra la guerra.</w:t>
      </w:r>
      <w:r w:rsidR="002D5C7A">
        <w:rPr>
          <w:rFonts w:ascii="Times New Roman" w:hAnsi="Times New Roman" w:cs="Times New Roman"/>
          <w:sz w:val="24"/>
          <w:szCs w:val="24"/>
        </w:rPr>
        <w:t xml:space="preserve"> </w:t>
      </w:r>
      <w:r w:rsidRPr="0080600A">
        <w:rPr>
          <w:rFonts w:ascii="Times New Roman" w:hAnsi="Times New Roman" w:cs="Times New Roman"/>
          <w:sz w:val="24"/>
          <w:szCs w:val="24"/>
        </w:rPr>
        <w:t>Una manta yace en el suelo y está llena de peluches. El mensaje para los transeúntes es que podrían ser</w:t>
      </w:r>
      <w:r>
        <w:rPr>
          <w:rFonts w:ascii="Times New Roman" w:hAnsi="Times New Roman" w:cs="Times New Roman"/>
          <w:sz w:val="24"/>
          <w:szCs w:val="24"/>
        </w:rPr>
        <w:t xml:space="preserve"> sus hijos muriendo en Ucrania.</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Allí conocí a Michael, un motociclista de la Selva Negra en el suroeste de Alemania. Estaba grabando un video junto a su Yamaha, que repintó con los colores azul y am</w:t>
      </w:r>
      <w:r>
        <w:rPr>
          <w:rFonts w:ascii="Times New Roman" w:hAnsi="Times New Roman" w:cs="Times New Roman"/>
          <w:sz w:val="24"/>
          <w:szCs w:val="24"/>
        </w:rPr>
        <w:t>arillo de la bandera ucraniana.</w:t>
      </w:r>
      <w:r w:rsidR="002D5C7A">
        <w:rPr>
          <w:rFonts w:ascii="Times New Roman" w:hAnsi="Times New Roman" w:cs="Times New Roman"/>
          <w:sz w:val="24"/>
          <w:szCs w:val="24"/>
        </w:rPr>
        <w:t xml:space="preserve"> </w:t>
      </w:r>
      <w:r w:rsidRPr="0080600A">
        <w:rPr>
          <w:rFonts w:ascii="Times New Roman" w:hAnsi="Times New Roman" w:cs="Times New Roman"/>
          <w:sz w:val="24"/>
          <w:szCs w:val="24"/>
        </w:rPr>
        <w:t>Había viajado durante ocho horas con una carpeta repleta, con 600 mensajes dirigidos a Vladimir Putin, de amigos, vecinos y colegas que pedían al president</w:t>
      </w:r>
      <w:r>
        <w:rPr>
          <w:rFonts w:ascii="Times New Roman" w:hAnsi="Times New Roman" w:cs="Times New Roman"/>
          <w:sz w:val="24"/>
          <w:szCs w:val="24"/>
        </w:rPr>
        <w:t>e ruso que detuviera la guerra.</w:t>
      </w:r>
      <w:r w:rsidR="00155BE6">
        <w:rPr>
          <w:rFonts w:ascii="Times New Roman" w:hAnsi="Times New Roman" w:cs="Times New Roman"/>
          <w:sz w:val="24"/>
          <w:szCs w:val="24"/>
        </w:rPr>
        <w:t xml:space="preserve"> </w:t>
      </w:r>
      <w:r w:rsidRPr="0080600A">
        <w:rPr>
          <w:rFonts w:ascii="Times New Roman" w:hAnsi="Times New Roman" w:cs="Times New Roman"/>
          <w:sz w:val="24"/>
          <w:szCs w:val="24"/>
        </w:rPr>
        <w:t>El personal de la embajada se había negado a aceptar la carpeta. Michael se había dado cuenta de que hablar con Rusia (lo que solía llamarse distensión) no era suficiente. Alemania ahora tenía que estar preparada para enfr</w:t>
      </w:r>
      <w:r>
        <w:rPr>
          <w:rFonts w:ascii="Times New Roman" w:hAnsi="Times New Roman" w:cs="Times New Roman"/>
          <w:sz w:val="24"/>
          <w:szCs w:val="24"/>
        </w:rPr>
        <w:t>entarse a Moscú.</w:t>
      </w:r>
    </w:p>
    <w:p w:rsidR="00BF5D7B" w:rsidRPr="0080600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Lo que eso significa es que los hijos de esa generación de 1989 no disfrutarán de las mismas libertades que sus padres. No crecerán creyendo que las guerras s</w:t>
      </w:r>
      <w:r>
        <w:rPr>
          <w:rFonts w:ascii="Times New Roman" w:hAnsi="Times New Roman" w:cs="Times New Roman"/>
          <w:sz w:val="24"/>
          <w:szCs w:val="24"/>
        </w:rPr>
        <w:t>on lo que sucedió en el pasado.</w:t>
      </w:r>
      <w:r w:rsidR="002D5C7A">
        <w:rPr>
          <w:rFonts w:ascii="Times New Roman" w:hAnsi="Times New Roman" w:cs="Times New Roman"/>
          <w:sz w:val="24"/>
          <w:szCs w:val="24"/>
        </w:rPr>
        <w:t xml:space="preserve"> </w:t>
      </w:r>
      <w:r w:rsidRPr="0080600A">
        <w:rPr>
          <w:rFonts w:ascii="Times New Roman" w:hAnsi="Times New Roman" w:cs="Times New Roman"/>
          <w:sz w:val="24"/>
          <w:szCs w:val="24"/>
        </w:rPr>
        <w:t>De hecho, una encuesta reciente mostró que siete de cada 10 alemanes tem</w:t>
      </w:r>
      <w:r>
        <w:rPr>
          <w:rFonts w:ascii="Times New Roman" w:hAnsi="Times New Roman" w:cs="Times New Roman"/>
          <w:sz w:val="24"/>
          <w:szCs w:val="24"/>
        </w:rPr>
        <w:t>en la expansión de esta guerra.</w:t>
      </w:r>
    </w:p>
    <w:p w:rsidR="00BF5D7B" w:rsidRPr="002D5C7A" w:rsidRDefault="00BF5D7B" w:rsidP="00BF5D7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Y no es extraño. Los refugiados expulsados de sus hogares a causa de este conflicto están llegando a las estaciones de Berlín a un ritmo de 10.000 personas p</w:t>
      </w:r>
      <w:r w:rsidR="002D5C7A">
        <w:rPr>
          <w:rFonts w:ascii="Times New Roman" w:hAnsi="Times New Roman" w:cs="Times New Roman"/>
          <w:sz w:val="24"/>
          <w:szCs w:val="24"/>
        </w:rPr>
        <w:t xml:space="preserve">or día, según algunos cálculos. </w:t>
      </w:r>
      <w:r w:rsidRPr="00A13038">
        <w:rPr>
          <w:rFonts w:ascii="Times New Roman" w:hAnsi="Times New Roman" w:cs="Times New Roman"/>
          <w:color w:val="FF0000"/>
          <w:sz w:val="24"/>
          <w:szCs w:val="24"/>
          <w:u w:val="single"/>
        </w:rPr>
        <w:t>Esta guerra está cambiando la forma de pensar del país más poderoso de Europa. Eso tendrá consecuencias dramáticas sobre las que recién se comienza a pensar.</w:t>
      </w:r>
    </w:p>
    <w:p w:rsidR="00BF5D7B" w:rsidRPr="00A13038" w:rsidRDefault="00BF5D7B" w:rsidP="00BF5D7B">
      <w:pPr>
        <w:spacing w:line="240" w:lineRule="auto"/>
        <w:jc w:val="both"/>
        <w:rPr>
          <w:rFonts w:ascii="Times New Roman" w:hAnsi="Times New Roman" w:cs="Times New Roman"/>
          <w:color w:val="FF0000"/>
          <w:sz w:val="24"/>
          <w:szCs w:val="24"/>
          <w:u w:val="single"/>
        </w:rPr>
      </w:pPr>
      <w:r w:rsidRPr="00A13038">
        <w:rPr>
          <w:rFonts w:ascii="Times New Roman" w:hAnsi="Times New Roman" w:cs="Times New Roman"/>
          <w:color w:val="FF0000"/>
          <w:sz w:val="24"/>
          <w:szCs w:val="24"/>
          <w:u w:val="single"/>
        </w:rPr>
        <w:t>Hay que tener casi 40 años para recordar el día en que cayó el muro en noviembre de 1989. Estos días de febrero y marzo de 2022 están resultando igual de trascendentales.</w:t>
      </w:r>
    </w:p>
    <w:p w:rsidR="00BF5D7B" w:rsidRPr="00C82787"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82787">
        <w:rPr>
          <w:rFonts w:ascii="Times New Roman" w:hAnsi="Times New Roman" w:cs="Times New Roman"/>
          <w:sz w:val="24"/>
          <w:szCs w:val="24"/>
          <w:u w:val="single"/>
        </w:rPr>
        <w:t xml:space="preserve">Una estrategia de </w:t>
      </w:r>
      <w:r>
        <w:rPr>
          <w:rFonts w:ascii="Times New Roman" w:hAnsi="Times New Roman" w:cs="Times New Roman"/>
          <w:sz w:val="24"/>
          <w:szCs w:val="24"/>
          <w:u w:val="single"/>
        </w:rPr>
        <w:t>seguridad energética para Europa</w:t>
      </w:r>
      <w:r>
        <w:rPr>
          <w:rFonts w:ascii="Times New Roman" w:hAnsi="Times New Roman" w:cs="Times New Roman"/>
          <w:sz w:val="24"/>
          <w:szCs w:val="24"/>
        </w:rPr>
        <w:t xml:space="preserve"> (Vozpópuli - </w:t>
      </w:r>
      <w:r w:rsidRPr="00C82787">
        <w:rPr>
          <w:rFonts w:ascii="Times New Roman" w:hAnsi="Times New Roman" w:cs="Times New Roman"/>
          <w:b/>
          <w:sz w:val="24"/>
          <w:szCs w:val="24"/>
        </w:rPr>
        <w:t>17/3/22</w:t>
      </w:r>
      <w:r>
        <w:rPr>
          <w:rFonts w:ascii="Times New Roman" w:hAnsi="Times New Roman" w:cs="Times New Roman"/>
          <w:sz w:val="24"/>
          <w:szCs w:val="24"/>
        </w:rPr>
        <w:t>)</w:t>
      </w:r>
    </w:p>
    <w:p w:rsidR="00BF5D7B" w:rsidRPr="00A13038" w:rsidRDefault="00BF5D7B" w:rsidP="00BF5D7B">
      <w:pPr>
        <w:spacing w:line="240" w:lineRule="auto"/>
        <w:jc w:val="both"/>
        <w:rPr>
          <w:rFonts w:ascii="Times New Roman" w:hAnsi="Times New Roman" w:cs="Times New Roman"/>
          <w:color w:val="FF0000"/>
          <w:sz w:val="24"/>
          <w:szCs w:val="24"/>
        </w:rPr>
      </w:pPr>
      <w:r w:rsidRPr="00A13038">
        <w:rPr>
          <w:rFonts w:ascii="Times New Roman" w:hAnsi="Times New Roman" w:cs="Times New Roman"/>
          <w:color w:val="FF0000"/>
          <w:sz w:val="24"/>
          <w:szCs w:val="24"/>
        </w:rPr>
        <w:t>Los errores han sido muchos y muy notorios, empezando por esa Alemania que de la mano de Angela Merkel hipotecó su independencia energética al petróleo y el gas ruso, al tiempo que cerró las centrales nucleares</w:t>
      </w:r>
    </w:p>
    <w:p w:rsidR="00BF5D7B" w:rsidRPr="00A13038" w:rsidRDefault="00BF5D7B" w:rsidP="00BF5D7B">
      <w:pPr>
        <w:spacing w:line="240" w:lineRule="auto"/>
        <w:jc w:val="both"/>
        <w:rPr>
          <w:rFonts w:ascii="Times New Roman" w:hAnsi="Times New Roman" w:cs="Times New Roman"/>
          <w:color w:val="FF0000"/>
          <w:sz w:val="24"/>
          <w:szCs w:val="24"/>
          <w:u w:val="single"/>
        </w:rPr>
      </w:pPr>
      <w:r w:rsidRPr="00A13038">
        <w:rPr>
          <w:rFonts w:ascii="Times New Roman" w:hAnsi="Times New Roman" w:cs="Times New Roman"/>
          <w:sz w:val="24"/>
          <w:szCs w:val="24"/>
          <w:u w:val="single"/>
        </w:rPr>
        <w:t>Los grandes medios de comunicación occidentales exhalan estos días el aroma de la complacencia con una Unión Europea que ha sido capaz de reaccionar con contundencia a la invasión rusa de Ucrania. Parece, en efecto, que el sátrapa Putin ha cometido un error de bulto al considerar que la vieja y acomodaticia UE no sería capaz de mover un dedo en defensa de la vida y la libertad de los ucranianos. Pero ahí está la respuesta</w:t>
      </w:r>
      <w:r w:rsidRPr="00C82787">
        <w:rPr>
          <w:rFonts w:ascii="Times New Roman" w:hAnsi="Times New Roman" w:cs="Times New Roman"/>
          <w:sz w:val="24"/>
          <w:szCs w:val="24"/>
        </w:rPr>
        <w:t xml:space="preserve">. </w:t>
      </w:r>
      <w:r w:rsidRPr="00A13038">
        <w:rPr>
          <w:rFonts w:ascii="Times New Roman" w:hAnsi="Times New Roman" w:cs="Times New Roman"/>
          <w:sz w:val="24"/>
          <w:szCs w:val="24"/>
          <w:u w:val="single"/>
        </w:rPr>
        <w:t xml:space="preserve">Las sanciones han puesto a Rusia al borde de la suspensión de pagos, los oligarcas que lo sostienen están </w:t>
      </w:r>
      <w:r w:rsidRPr="00A13038">
        <w:rPr>
          <w:rFonts w:ascii="Times New Roman" w:hAnsi="Times New Roman" w:cs="Times New Roman"/>
          <w:sz w:val="24"/>
          <w:szCs w:val="24"/>
          <w:u w:val="single"/>
        </w:rPr>
        <w:lastRenderedPageBreak/>
        <w:t>escondidos, sus activos congelados y sus yates incautados, mientras que las grandes multinacionales cierran sus operaciones en un país que corre el riesgo de verse excluido del mundo globalizado.</w:t>
      </w:r>
      <w:r w:rsidRPr="00C82787">
        <w:rPr>
          <w:rFonts w:ascii="Times New Roman" w:hAnsi="Times New Roman" w:cs="Times New Roman"/>
          <w:sz w:val="24"/>
          <w:szCs w:val="24"/>
        </w:rPr>
        <w:t xml:space="preserve"> </w:t>
      </w:r>
      <w:r w:rsidRPr="00A13038">
        <w:rPr>
          <w:rFonts w:ascii="Times New Roman" w:hAnsi="Times New Roman" w:cs="Times New Roman"/>
          <w:color w:val="FF0000"/>
          <w:sz w:val="24"/>
          <w:szCs w:val="24"/>
          <w:u w:val="single"/>
        </w:rPr>
        <w:t xml:space="preserve">Tan loable respuesta tiene, sin embargo, su talón de Aquiles, una escandalosa vía de agua que en gran parte neutraliza tan enérgica reacción: Europa sigue comprando gran parte del gas y el petróleo (cerca del 40% de las exportaciones totales rusas) que consume a Moscú, e incluso hay quien sostiene que esas compras, que algunos analistas sitúan en el entorno de los 850 millones de dólares diarios, se han intensificado desde la invasión. El doloroso corolario de esta realidad es que Occidente, en general, y la UE, en particular, siguen financiando -con cerca de 12.000 millones de euros desde que comenzó la invasión- la guerra totalitaria de Putin en Ucrania. </w:t>
      </w:r>
    </w:p>
    <w:p w:rsidR="00BF5D7B" w:rsidRPr="00A13038" w:rsidRDefault="00BF5D7B" w:rsidP="00BF5D7B">
      <w:pPr>
        <w:spacing w:line="240" w:lineRule="auto"/>
        <w:jc w:val="both"/>
        <w:rPr>
          <w:rFonts w:ascii="Times New Roman" w:hAnsi="Times New Roman" w:cs="Times New Roman"/>
          <w:sz w:val="24"/>
          <w:szCs w:val="24"/>
          <w:u w:val="single"/>
        </w:rPr>
      </w:pPr>
      <w:r w:rsidRPr="00A13038">
        <w:rPr>
          <w:rFonts w:ascii="Times New Roman" w:hAnsi="Times New Roman" w:cs="Times New Roman"/>
          <w:color w:val="FF0000"/>
          <w:sz w:val="24"/>
          <w:szCs w:val="24"/>
          <w:u w:val="single"/>
        </w:rPr>
        <w:t>No es hora de extenderse en la búsqueda de culpables. Los errores han sido muchos y muy notorios, empezando por esa Alemania que de la mano de Angela Merkel hipotecó su independencia energética al petróleo y el gas ruso, al tiempo que decidía cerrar las centrales nucleares en un acto reflejo provocado por el pánico que se extendió en todo el mundo tras el accidente de la central de Fukus</w:t>
      </w:r>
      <w:r w:rsidR="009C20F1">
        <w:rPr>
          <w:rFonts w:ascii="Times New Roman" w:hAnsi="Times New Roman" w:cs="Times New Roman"/>
          <w:color w:val="FF0000"/>
          <w:sz w:val="24"/>
          <w:szCs w:val="24"/>
          <w:u w:val="single"/>
        </w:rPr>
        <w:t>h</w:t>
      </w:r>
      <w:r w:rsidRPr="00A13038">
        <w:rPr>
          <w:rFonts w:ascii="Times New Roman" w:hAnsi="Times New Roman" w:cs="Times New Roman"/>
          <w:color w:val="FF0000"/>
          <w:sz w:val="24"/>
          <w:szCs w:val="24"/>
          <w:u w:val="single"/>
        </w:rPr>
        <w:t>ima en Japón.</w:t>
      </w:r>
      <w:r w:rsidRPr="00A13038">
        <w:rPr>
          <w:rFonts w:ascii="Times New Roman" w:hAnsi="Times New Roman" w:cs="Times New Roman"/>
          <w:color w:val="FF0000"/>
          <w:sz w:val="24"/>
          <w:szCs w:val="24"/>
        </w:rPr>
        <w:t xml:space="preserve"> </w:t>
      </w:r>
      <w:r w:rsidRPr="00A13038">
        <w:rPr>
          <w:rFonts w:ascii="Times New Roman" w:hAnsi="Times New Roman" w:cs="Times New Roman"/>
          <w:color w:val="FF0000"/>
          <w:sz w:val="24"/>
          <w:szCs w:val="24"/>
          <w:u w:val="single"/>
        </w:rPr>
        <w:t>De hecho es Alemania la que hoy mayores obstáculos sigue poniendo a la posibilidad  de un corte radical de esas importaciones, si es que ello fuera posible sin provocar la muerte por frío de millones de personas y el hundimiento de las economías del viejo continente. No lo es. Acabar con la dependencia europea de los combustibles fósiles rusos será un proceso tan largo como doloroso, que requerirá de la toma de iniciativas políticamente audaces y económicamente costosas</w:t>
      </w:r>
      <w:r w:rsidRPr="00C82787">
        <w:rPr>
          <w:rFonts w:ascii="Times New Roman" w:hAnsi="Times New Roman" w:cs="Times New Roman"/>
          <w:sz w:val="24"/>
          <w:szCs w:val="24"/>
        </w:rPr>
        <w:t xml:space="preserve">. </w:t>
      </w:r>
      <w:r w:rsidRPr="00A13038">
        <w:rPr>
          <w:rFonts w:ascii="Times New Roman" w:hAnsi="Times New Roman" w:cs="Times New Roman"/>
          <w:sz w:val="24"/>
          <w:szCs w:val="24"/>
          <w:u w:val="single"/>
        </w:rPr>
        <w:t xml:space="preserve">De momento, los distintos países y sus líderes se afanan por aportar soluciones tan individuales como, a menudo, faltas de realismo, mientras los tanques rusos siguen machacando las ciudades ucranianas movidos por las divisas que Moscú ingresa gracias al petróleo y el gas que le compra el viejo continente. </w:t>
      </w:r>
    </w:p>
    <w:p w:rsidR="00BF5D7B" w:rsidRPr="00A13038" w:rsidRDefault="00BF5D7B" w:rsidP="00BF5D7B">
      <w:pPr>
        <w:spacing w:line="240" w:lineRule="auto"/>
        <w:jc w:val="both"/>
        <w:rPr>
          <w:rFonts w:ascii="Times New Roman" w:hAnsi="Times New Roman" w:cs="Times New Roman"/>
          <w:sz w:val="24"/>
          <w:szCs w:val="24"/>
          <w:u w:val="single"/>
        </w:rPr>
      </w:pPr>
      <w:r w:rsidRPr="00C82787">
        <w:rPr>
          <w:rFonts w:ascii="Times New Roman" w:hAnsi="Times New Roman" w:cs="Times New Roman"/>
          <w:sz w:val="24"/>
          <w:szCs w:val="24"/>
        </w:rPr>
        <w:t xml:space="preserve">Es el caso del primer ministro británico, Boris Johnson, que se apresta a viajar a Riad esta semana para convencer, con sus naturales encantos, al príncipe heredero Mohammed bin Salman de que ponga sus pozos de </w:t>
      </w:r>
      <w:r>
        <w:rPr>
          <w:rFonts w:ascii="Times New Roman" w:hAnsi="Times New Roman" w:cs="Times New Roman"/>
          <w:sz w:val="24"/>
          <w:szCs w:val="24"/>
        </w:rPr>
        <w:t>petróleo al máximo rendimiento -</w:t>
      </w:r>
      <w:r w:rsidRPr="00C82787">
        <w:rPr>
          <w:rFonts w:ascii="Times New Roman" w:hAnsi="Times New Roman" w:cs="Times New Roman"/>
          <w:sz w:val="24"/>
          <w:szCs w:val="24"/>
        </w:rPr>
        <w:t xml:space="preserve">a 110 dólares barril o incluso más, los incentivos para ello son muy notables- de forma que Gran Bretaña, un comprador marginal (3% de gas y el 14% de petróleo) de combustibles fósiles rusos, y sobre todo la UE, puedan asegurar su suministro prescindiendo de las compras a Rusia y aumentado de forma exponencial la presión sobre el tirano para el cese de su agresión a Ucrania. Estados Unidos, por su parte, se ha acercado a la Venezuela de Maduro en un movimiento impensable hace pocas semanas, mientras tantea la posibilidad de que Irán se incorpore a ese suministro, previo acuerdo con Teherán sobre la cuestión nuclear. Nada comparable a la importancia de Arabia Saudita como suministrador. </w:t>
      </w:r>
      <w:r w:rsidRPr="00A13038">
        <w:rPr>
          <w:rFonts w:ascii="Times New Roman" w:hAnsi="Times New Roman" w:cs="Times New Roman"/>
          <w:sz w:val="24"/>
          <w:szCs w:val="24"/>
          <w:u w:val="single"/>
        </w:rPr>
        <w:t>Según la Agencia Internacional de Energía, Riad y los Emiratos Árabes Unidos podrían poner rápidamente en el mercado 2 millones adicionales de barriles de petróleo al día y hasta 4 millones en unos meses, lo que no alcanzaría a cubrir los 7 millones día que exporta Rusia pero contribuiría a lograrlo.</w:t>
      </w:r>
    </w:p>
    <w:p w:rsidR="00BF5D7B" w:rsidRPr="00A13038" w:rsidRDefault="00BF5D7B" w:rsidP="00BF5D7B">
      <w:pPr>
        <w:spacing w:line="240" w:lineRule="auto"/>
        <w:jc w:val="both"/>
        <w:rPr>
          <w:rFonts w:ascii="Times New Roman" w:hAnsi="Times New Roman" w:cs="Times New Roman"/>
          <w:color w:val="FF0000"/>
          <w:sz w:val="24"/>
          <w:szCs w:val="24"/>
          <w:u w:val="single"/>
        </w:rPr>
      </w:pPr>
      <w:r w:rsidRPr="002D5C7A">
        <w:rPr>
          <w:rFonts w:ascii="Times New Roman" w:hAnsi="Times New Roman" w:cs="Times New Roman"/>
          <w:color w:val="FF0000"/>
          <w:sz w:val="24"/>
          <w:szCs w:val="24"/>
          <w:u w:val="single"/>
        </w:rPr>
        <w:t>Estados Unidos y Canadá son los dos países que de manera más resuelta han dado pasos significativos para aislar a Putin prohibiendo las importaciones de petróleo y gas rusos, una medida escasamente heroica teniendo en cuenta que ambos son energéticamente autosuficientes y sus importaciones de combustible ruso son testimoniales.</w:t>
      </w:r>
      <w:r w:rsidRPr="00A13038">
        <w:rPr>
          <w:rFonts w:ascii="Times New Roman" w:hAnsi="Times New Roman" w:cs="Times New Roman"/>
          <w:color w:val="FF0000"/>
          <w:sz w:val="24"/>
          <w:szCs w:val="24"/>
        </w:rPr>
        <w:t xml:space="preserve"> </w:t>
      </w:r>
      <w:r w:rsidRPr="00A13038">
        <w:rPr>
          <w:rFonts w:ascii="Times New Roman" w:hAnsi="Times New Roman" w:cs="Times New Roman"/>
          <w:color w:val="FF0000"/>
          <w:sz w:val="24"/>
          <w:szCs w:val="24"/>
          <w:u w:val="single"/>
        </w:rPr>
        <w:t xml:space="preserve">Más importancia tiene el empeño desplegado por ambos a la hora de proponer a Europa un “pacto energético trasatlántico” capaz de dar respuesta rápida a la brutalidad rusa en Ucrania. Un pacto que debería contemplar la importación masiva de gas natural licuado (del que EEUU es ya el mayor exportador del mundo), y el aumento de las reservas estratégicas de gas mediante compras conjuntas del combustible; la colaboración estrecha entre EEUU y Europa a la hora </w:t>
      </w:r>
      <w:r w:rsidRPr="00A13038">
        <w:rPr>
          <w:rFonts w:ascii="Times New Roman" w:hAnsi="Times New Roman" w:cs="Times New Roman"/>
          <w:color w:val="FF0000"/>
          <w:sz w:val="24"/>
          <w:szCs w:val="24"/>
          <w:u w:val="single"/>
        </w:rPr>
        <w:lastRenderedPageBreak/>
        <w:t>de presionar a Arabia Saudita, Emiratos y resto de productores OPEP para colocar en el mercado cantidades de crudo suficientes para asegurar el suministro; la reapertura, al menos momentánea, de las centrales térmicas de carbón (Europa importa de Rusia el 47% del que consume) hoy inactivas, tema muy sensible desde el punto de vista de los objetivos del cambio climático, pero imprescindible para cubrir las necesidades del próximo invierno. Y naturalmente unas políticas mucho más decididas en materia de dotación de energías renovables, con especial atención también al biogás y al hidrógeno. Sin olvidar la vuelta a la energía nuclear puesta de moda por la audacia de un Macron y la necesidad de un Johnson que este lunes escribía en The Telegraph que “es el momento de hacer una serie de grandes apuestas nuevas sobre la energía nuclear, de hecho una energía segura, limpia y fiable”.</w:t>
      </w:r>
    </w:p>
    <w:p w:rsidR="00BF5D7B" w:rsidRDefault="00BF5D7B" w:rsidP="00BF5D7B">
      <w:pPr>
        <w:spacing w:line="240" w:lineRule="auto"/>
        <w:jc w:val="both"/>
        <w:rPr>
          <w:rFonts w:ascii="Times New Roman" w:hAnsi="Times New Roman" w:cs="Times New Roman"/>
          <w:sz w:val="24"/>
          <w:szCs w:val="24"/>
        </w:rPr>
      </w:pPr>
      <w:r w:rsidRPr="00A13038">
        <w:rPr>
          <w:rFonts w:ascii="Times New Roman" w:hAnsi="Times New Roman" w:cs="Times New Roman"/>
          <w:color w:val="FF0000"/>
          <w:sz w:val="24"/>
          <w:szCs w:val="24"/>
          <w:u w:val="single"/>
        </w:rPr>
        <w:t>“Un pacto transatlántico entre Norteamérica y Europa es fundamental para que Europa se libere a corto plazo de su dependencia energética rusa” podía leerse el pasado sábado en New York Times.</w:t>
      </w:r>
      <w:r w:rsidRPr="00A13038">
        <w:rPr>
          <w:rFonts w:ascii="Times New Roman" w:hAnsi="Times New Roman" w:cs="Times New Roman"/>
          <w:color w:val="FF0000"/>
          <w:sz w:val="24"/>
          <w:szCs w:val="24"/>
        </w:rPr>
        <w:t xml:space="preserve"> </w:t>
      </w:r>
      <w:r w:rsidRPr="00C82787">
        <w:rPr>
          <w:rFonts w:ascii="Times New Roman" w:hAnsi="Times New Roman" w:cs="Times New Roman"/>
          <w:sz w:val="24"/>
          <w:szCs w:val="24"/>
        </w:rPr>
        <w:t>“Tenemos que recuperar el control”, escribía por su parte el inefable Boris en el diario británico citado. “A finales de este mes, estableceré una estrategia de seguridad energética británica tendente a convertir al Reino Unido en autosuficiente y dejar de estar a merced de matones como Putin</w:t>
      </w:r>
      <w:r w:rsidRPr="00597116">
        <w:rPr>
          <w:rFonts w:ascii="Times New Roman" w:hAnsi="Times New Roman" w:cs="Times New Roman"/>
          <w:sz w:val="24"/>
          <w:szCs w:val="24"/>
        </w:rPr>
        <w:t>”.</w:t>
      </w:r>
      <w:r w:rsidRPr="00597116">
        <w:rPr>
          <w:rFonts w:ascii="Times New Roman" w:hAnsi="Times New Roman" w:cs="Times New Roman"/>
          <w:b/>
          <w:color w:val="FF0000"/>
          <w:sz w:val="24"/>
          <w:szCs w:val="24"/>
        </w:rPr>
        <w:t xml:space="preserve"> </w:t>
      </w:r>
      <w:r w:rsidRPr="00A13038">
        <w:rPr>
          <w:rFonts w:ascii="Times New Roman" w:hAnsi="Times New Roman" w:cs="Times New Roman"/>
          <w:b/>
          <w:color w:val="FF0000"/>
          <w:sz w:val="24"/>
          <w:szCs w:val="24"/>
          <w:u w:val="single"/>
        </w:rPr>
        <w:t>Europa está obligada a imprimir un profundo cambio de rumbo en su política energética, para liberarse de la dependencia de dictadores de toda laya y condición.</w:t>
      </w:r>
      <w:r w:rsidRPr="00C82787">
        <w:rPr>
          <w:rFonts w:ascii="Times New Roman" w:hAnsi="Times New Roman" w:cs="Times New Roman"/>
          <w:sz w:val="24"/>
          <w:szCs w:val="24"/>
        </w:rPr>
        <w:t xml:space="preserve"> La inmensa mayoría de los Gobiernos de la </w:t>
      </w:r>
      <w:r>
        <w:rPr>
          <w:rFonts w:ascii="Times New Roman" w:hAnsi="Times New Roman" w:cs="Times New Roman"/>
          <w:sz w:val="24"/>
          <w:szCs w:val="24"/>
        </w:rPr>
        <w:t>Unión están ya manos a la obra…</w:t>
      </w:r>
    </w:p>
    <w:p w:rsidR="00BF5D7B" w:rsidRPr="000305EE" w:rsidRDefault="00C55E82" w:rsidP="00BF5D7B">
      <w:pPr>
        <w:spacing w:line="240" w:lineRule="auto"/>
        <w:jc w:val="both"/>
        <w:rPr>
          <w:rFonts w:ascii="Times New Roman" w:hAnsi="Times New Roman" w:cs="Times New Roman"/>
          <w:b/>
          <w:sz w:val="24"/>
          <w:szCs w:val="24"/>
        </w:rPr>
      </w:pPr>
      <w:r>
        <w:rPr>
          <w:rFonts w:ascii="Times New Roman" w:hAnsi="Times New Roman" w:cs="Times New Roman"/>
          <w:b/>
          <w:sz w:val="24"/>
          <w:szCs w:val="24"/>
        </w:rPr>
        <w:t>“Realpolitik” -</w:t>
      </w:r>
      <w:r w:rsidR="00BF5D7B" w:rsidRPr="000305EE">
        <w:rPr>
          <w:rFonts w:ascii="Times New Roman" w:hAnsi="Times New Roman" w:cs="Times New Roman"/>
          <w:b/>
          <w:sz w:val="24"/>
          <w:szCs w:val="24"/>
        </w:rPr>
        <w:t xml:space="preserve"> Alarma entre los </w:t>
      </w:r>
      <w:r w:rsidR="00BF5D7B">
        <w:rPr>
          <w:rFonts w:ascii="Times New Roman" w:hAnsi="Times New Roman" w:cs="Times New Roman"/>
          <w:b/>
          <w:sz w:val="24"/>
          <w:szCs w:val="24"/>
        </w:rPr>
        <w:t>“ecolojetas” europeos: vuelve el “fantasma”</w:t>
      </w:r>
      <w:r w:rsidR="00BF5D7B" w:rsidRPr="000305EE">
        <w:rPr>
          <w:rFonts w:ascii="Times New Roman" w:hAnsi="Times New Roman" w:cs="Times New Roman"/>
          <w:b/>
          <w:sz w:val="24"/>
          <w:szCs w:val="24"/>
        </w:rPr>
        <w:t xml:space="preserve"> del carbón</w:t>
      </w:r>
    </w:p>
    <w:p w:rsidR="00BF5D7B" w:rsidRDefault="00BF5D7B" w:rsidP="00BF5D7B">
      <w:pPr>
        <w:spacing w:line="240" w:lineRule="auto"/>
        <w:jc w:val="both"/>
        <w:rPr>
          <w:rFonts w:ascii="Times New Roman" w:hAnsi="Times New Roman" w:cs="Times New Roman"/>
          <w:sz w:val="24"/>
          <w:szCs w:val="24"/>
        </w:rPr>
      </w:pPr>
      <w:r w:rsidRPr="000305EE">
        <w:rPr>
          <w:rFonts w:ascii="Times New Roman" w:hAnsi="Times New Roman" w:cs="Times New Roman"/>
          <w:sz w:val="24"/>
          <w:szCs w:val="24"/>
        </w:rPr>
        <w:t>¿Habrá un adiós al carbón?</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En plena crisis energética, algunos países europeos recurren a fuentes como el carbón para equilibrar los precios desorbitados del mercado, algo que pone en peligro los objetivos climáticos de la UE para 2030.</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La escalada en los precios de la energía está provocando que países como el nuestro acudan de forma temporal a otras fuentes de energía como el carbón.</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Y más, si cabe, en plena guerra de Ucrania, que está acelerando en la Unión Europea la necesidad de desconectarse del gas ruso para evitar la escalada de precios. De Rusia, de hecho, Europa obtiene hasta el 40% del gas que consume y en torno a un tercio del carbón.</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Los cargamentos de este combustible fósil, de hecho seguirán llegando. Son, junto a las renovables y el gas procedente de otros países, una alternativa a la energía de la que proveía a Europa el país ruso.</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El conflicto con Rusia ha intensificado la crisis que ya se llevaba viviendo en Europa desde hace un año. Según datos recogidos por Bloomberg, las plantas del continente llegaron a quemar hasta un 51% más de carbón que en el año anterior. Y es que se trata de una alternativa rápida al gas y es una opción para satisfacer la demanda de energía. Sin embargo, nada sale gratis.</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Esta vuelta -se espera- temporal del carbón tiene un efecto directo en la emisión de gases de efecto invernadero. Su quema genera emisiones de dióxido de carbono y la minería subterránea, gas metano. Además, la contaminación del carbón llega a permear en el agua y en la tierra, y es perjudicial para la salud, ya que aumenta el riesgo de asma y otras enfermedades de tipo cardíaco e, incluso, cáncer.</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lastRenderedPageBreak/>
        <w:t>Debido a este efecto perjudicial tanto en la salud de las personas como en el medioambiente, países como España llevan persiguiendo la descarbonización completa en los últimos años. Una decisión aún más presente tras la decisión vinculante de la UE para reducir las emisiones en al menos el 55% para 2030 y llegar a ser climáticamente neutra en 2050. Para ello, los miembros comunitarios deben descarbonizar la energía que consumen.</w:t>
      </w:r>
    </w:p>
    <w:p w:rsidR="00BF5D7B" w:rsidRPr="009206F9"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En diciembre del año 2020</w:t>
      </w:r>
      <w:r w:rsidRPr="009206F9">
        <w:rPr>
          <w:rFonts w:ascii="Times New Roman" w:hAnsi="Times New Roman" w:cs="Times New Roman"/>
          <w:sz w:val="24"/>
          <w:szCs w:val="24"/>
        </w:rPr>
        <w:t xml:space="preserve">, Frans Timmermans, vicepresidente ejecutivo para el Pacto Verde Europeo, declaró que “Europa debe dar cierre a la época de los combustibles fósiles y recurrir a fuentes de energía más limpias. Esto pasa, entre otras cosas, por sustituir el gas fósil por gases renovables y gases hipocarbónicos, como el hidrógeno”. </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No obstante, la situación actual de crisis energética pone un punto y aparte en esta transición, porque además del nuestro, países como Alemania han vuelto a reactivar sus plantas de generación de carbón. Algo preocupante puesto que este combustible fósil es el responsable de, al menos, el 40% de las emisiones globales de efecto invernadero.</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Más recientemente, Timmermans señaló que “es una decisión soberana de cada Estado miembro decir: “Vale, seguiremos un poco más con la nuclear o el carbón””. Así las cosas, volvía a insistir en que los países debían cumplir sus compromisos climáticos para el año 2030 en cuanto a reducción de emisiones.</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Para Paco Ramos, responsable del área de energía en Ecologistas, esta apuesta temporal por el mercado del carbón no es motivo de preocupación. A su juicio, aunque es cierto que ha habido un incremento en su uso, “representa un incremento marginal sobre una reducción inmensa producida en los últimos años”.</w:t>
      </w:r>
      <w:r w:rsidR="00901140">
        <w:rPr>
          <w:rFonts w:ascii="Times New Roman" w:hAnsi="Times New Roman" w:cs="Times New Roman"/>
          <w:sz w:val="24"/>
          <w:szCs w:val="24"/>
        </w:rPr>
        <w:t xml:space="preserve"> </w:t>
      </w:r>
      <w:r w:rsidRPr="009206F9">
        <w:rPr>
          <w:rFonts w:ascii="Times New Roman" w:hAnsi="Times New Roman" w:cs="Times New Roman"/>
          <w:sz w:val="24"/>
          <w:szCs w:val="24"/>
        </w:rPr>
        <w:t>Así, explica que en diciembre de 2021, la generación de carbón en España experimentó un aumento del 224% respecto al mismo mes del 2020, pasando de 222 gigawatios por hora a 721. “Esto es una mala noticia”, asegura, pero añade que, en contexto, la realidad es que en el mismo mes de 2018, la generación de carbón suponía el 14% a nivel nacional. En el 2021, tan sólo el 2%.</w:t>
      </w:r>
    </w:p>
    <w:p w:rsidR="00BF5D7B" w:rsidRPr="009206F9" w:rsidRDefault="00BF5D7B" w:rsidP="00BF5D7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“La guerra lo descompone todo”, lamenta Ramos, pero, a pesar de ello, subraya que ahora nos encontramos en un plan de cierre de las centrales térmicas para avanzar hacia energías más limpias. Como señala el experto, “las renovables aún van a tardar un tiempo, pero mientras hay que seguir cubriendo espacios”.</w:t>
      </w:r>
    </w:p>
    <w:p w:rsidR="00BF5D7B" w:rsidRPr="001B1A2C" w:rsidRDefault="00BF5D7B" w:rsidP="00BF5D7B">
      <w:pPr>
        <w:spacing w:line="240" w:lineRule="auto"/>
        <w:jc w:val="both"/>
        <w:rPr>
          <w:rFonts w:ascii="Times New Roman" w:hAnsi="Times New Roman" w:cs="Times New Roman"/>
          <w:b/>
          <w:sz w:val="24"/>
          <w:szCs w:val="24"/>
        </w:rPr>
      </w:pPr>
      <w:r w:rsidRPr="001B1A2C">
        <w:rPr>
          <w:rFonts w:ascii="Times New Roman" w:hAnsi="Times New Roman" w:cs="Times New Roman"/>
          <w:b/>
          <w:sz w:val="24"/>
          <w:szCs w:val="24"/>
        </w:rPr>
        <w:t>Así las cosas…</w:t>
      </w:r>
    </w:p>
    <w:p w:rsidR="00BF5D7B" w:rsidRPr="00CB3982"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75C40">
        <w:rPr>
          <w:rFonts w:ascii="Times New Roman" w:hAnsi="Times New Roman" w:cs="Times New Roman"/>
          <w:sz w:val="24"/>
          <w:szCs w:val="24"/>
          <w:u w:val="single"/>
        </w:rPr>
        <w:t>Alemania lidera las emisiones tras tener que recurrir al carbón por el cierre nuclear</w:t>
      </w:r>
      <w:r>
        <w:rPr>
          <w:rFonts w:ascii="Times New Roman" w:hAnsi="Times New Roman" w:cs="Times New Roman"/>
          <w:sz w:val="24"/>
          <w:szCs w:val="24"/>
        </w:rPr>
        <w:t xml:space="preserve"> (Libertad Digital - </w:t>
      </w:r>
      <w:r w:rsidRPr="00075C40">
        <w:rPr>
          <w:rFonts w:ascii="Times New Roman" w:hAnsi="Times New Roman" w:cs="Times New Roman"/>
          <w:b/>
          <w:sz w:val="24"/>
          <w:szCs w:val="24"/>
        </w:rPr>
        <w:t>22/3/22</w:t>
      </w:r>
      <w:r>
        <w:rPr>
          <w:rFonts w:ascii="Times New Roman" w:hAnsi="Times New Roman" w:cs="Times New Roman"/>
          <w:sz w:val="24"/>
          <w:szCs w:val="24"/>
        </w:rPr>
        <w:t>)</w:t>
      </w:r>
    </w:p>
    <w:p w:rsidR="00BF5D7B" w:rsidRPr="00CB3982"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B3982">
        <w:rPr>
          <w:rFonts w:ascii="Times New Roman" w:hAnsi="Times New Roman" w:cs="Times New Roman"/>
          <w:sz w:val="24"/>
          <w:szCs w:val="24"/>
        </w:rPr>
        <w:t>Patricia Malagón</w:t>
      </w:r>
      <w:r>
        <w:rPr>
          <w:rFonts w:ascii="Times New Roman" w:hAnsi="Times New Roman" w:cs="Times New Roman"/>
          <w:sz w:val="24"/>
          <w:szCs w:val="24"/>
        </w:rPr>
        <w:t>)</w:t>
      </w:r>
    </w:p>
    <w:p w:rsidR="00BF5D7B" w:rsidRPr="00CB3982" w:rsidRDefault="00BF5D7B" w:rsidP="00BF5D7B">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La crisis energética europea ha dejado retratados a muchos gobiernos del Viejo Continente y a su política energética desplegada en los últimos años. Probablemente, uno de los peores parados está siendo Alemania, ya que su apuesta por el cierre de las nucleares ha hecho que lidere las emisiones de CO2, según la consultora Ember. Así las cosas, el país germano encabeza las emisiones de dióxido de carbono europeas, debido a un mayor uso del carbón, para tratar de reducir la dependencia del gas ruso, al tiempo que ha desconectado tres centrales nu</w:t>
      </w:r>
      <w:r>
        <w:rPr>
          <w:rFonts w:ascii="Times New Roman" w:hAnsi="Times New Roman" w:cs="Times New Roman"/>
          <w:sz w:val="24"/>
          <w:szCs w:val="24"/>
        </w:rPr>
        <w:t>cleares de las seis que cuenta.</w:t>
      </w:r>
    </w:p>
    <w:p w:rsidR="00BF5D7B" w:rsidRPr="00CB3982" w:rsidRDefault="00BF5D7B" w:rsidP="00BF5D7B">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 xml:space="preserve">Alemania inició un plan en 2011 para abandonar la energía nuclear y en enero de 2022, los reactores de Brokdorf, Grohnde y Gundremmingen C fueron desconectados, después de tres décadas de funcionamiento. Por si esto fuera poco, a finales de 2022, y si las cosas no varían, </w:t>
      </w:r>
      <w:r w:rsidRPr="00CB3982">
        <w:rPr>
          <w:rFonts w:ascii="Times New Roman" w:hAnsi="Times New Roman" w:cs="Times New Roman"/>
          <w:sz w:val="24"/>
          <w:szCs w:val="24"/>
        </w:rPr>
        <w:lastRenderedPageBreak/>
        <w:t>también cerrarán los últimos tres reactores que mantienen abiertos, Isar 2, Emsland y Neckarwestheim II. El día del cierre, el presidente ejecutivo de PreussenElektra, Guido Knott, que gestionaba dos de los rea</w:t>
      </w:r>
      <w:r>
        <w:rPr>
          <w:rFonts w:ascii="Times New Roman" w:hAnsi="Times New Roman" w:cs="Times New Roman"/>
          <w:sz w:val="24"/>
          <w:szCs w:val="24"/>
        </w:rPr>
        <w:t>ctores cerrados ya aseguró que: “</w:t>
      </w:r>
      <w:r w:rsidRPr="00CB3982">
        <w:rPr>
          <w:rFonts w:ascii="Times New Roman" w:hAnsi="Times New Roman" w:cs="Times New Roman"/>
          <w:sz w:val="24"/>
          <w:szCs w:val="24"/>
        </w:rPr>
        <w:t>hemos contribuido de forma decisiva al suministro seguro, respetuoso con el clima y fiable de electrici</w:t>
      </w:r>
      <w:r>
        <w:rPr>
          <w:rFonts w:ascii="Times New Roman" w:hAnsi="Times New Roman" w:cs="Times New Roman"/>
          <w:sz w:val="24"/>
          <w:szCs w:val="24"/>
        </w:rPr>
        <w:t>dad en Alemania durante décadas”</w:t>
      </w:r>
      <w:r w:rsidRPr="00CB3982">
        <w:rPr>
          <w:rFonts w:ascii="Times New Roman" w:hAnsi="Times New Roman" w:cs="Times New Roman"/>
          <w:sz w:val="24"/>
          <w:szCs w:val="24"/>
        </w:rPr>
        <w:t>. El último día de uso de estos reactores, Greenpeace fue la encargada de lanzar un mensaje victorioso aseg</w:t>
      </w:r>
      <w:r>
        <w:rPr>
          <w:rFonts w:ascii="Times New Roman" w:hAnsi="Times New Roman" w:cs="Times New Roman"/>
          <w:sz w:val="24"/>
          <w:szCs w:val="24"/>
        </w:rPr>
        <w:t>urando que era una acción por: “</w:t>
      </w:r>
      <w:r w:rsidRPr="00CB3982">
        <w:rPr>
          <w:rFonts w:ascii="Times New Roman" w:hAnsi="Times New Roman" w:cs="Times New Roman"/>
          <w:sz w:val="24"/>
          <w:szCs w:val="24"/>
        </w:rPr>
        <w:t xml:space="preserve">una </w:t>
      </w:r>
      <w:r>
        <w:rPr>
          <w:rFonts w:ascii="Times New Roman" w:hAnsi="Times New Roman" w:cs="Times New Roman"/>
          <w:sz w:val="24"/>
          <w:szCs w:val="24"/>
        </w:rPr>
        <w:t>Europa libre de energía nuclear”</w:t>
      </w:r>
      <w:r w:rsidR="00155BE6">
        <w:rPr>
          <w:rFonts w:ascii="Times New Roman" w:hAnsi="Times New Roman" w:cs="Times New Roman"/>
          <w:sz w:val="24"/>
          <w:szCs w:val="24"/>
        </w:rPr>
        <w:t xml:space="preserve">. </w:t>
      </w:r>
      <w:r w:rsidRPr="00CB3982">
        <w:rPr>
          <w:rFonts w:ascii="Times New Roman" w:hAnsi="Times New Roman" w:cs="Times New Roman"/>
          <w:sz w:val="24"/>
          <w:szCs w:val="24"/>
        </w:rPr>
        <w:t>Sin embargo, la crisis energética que comenzó el pasado año, por problemas en las cadenas de suministro, y la guerra de Ucrania han hecho que la situación</w:t>
      </w:r>
      <w:r>
        <w:rPr>
          <w:rFonts w:ascii="Times New Roman" w:hAnsi="Times New Roman" w:cs="Times New Roman"/>
          <w:sz w:val="24"/>
          <w:szCs w:val="24"/>
        </w:rPr>
        <w:t xml:space="preserve"> sufra un cambio de 180 grados.</w:t>
      </w:r>
    </w:p>
    <w:p w:rsidR="00BF5D7B" w:rsidRDefault="00BF5D7B" w:rsidP="00BF5D7B">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Así las cosas, Alemania se ha visto obligada a reactivar viejas centrales de carbón, la energía más contaminante, ante el riesgo de quedarse sin suministro de gas ruso. Y eso que el país germano tenía un plan aprobado para abandonar el uso del carbón en 2030. Con este escenario, la ironía alemana de haber cedido a las presiones ecologistas ha hecho que hayan cerrado ya tres de sus seis últimos reactores, que cierren los tres últimos a finales de año mientras reabren centrales de carbón. Una política energética que les ha convertido, en estos momentos, en el país más contaminante de toda Europa.</w:t>
      </w:r>
    </w:p>
    <w:p w:rsidR="00A33540" w:rsidRPr="00A33540" w:rsidRDefault="00A33540" w:rsidP="00BF5D7B">
      <w:pPr>
        <w:spacing w:line="240" w:lineRule="auto"/>
        <w:jc w:val="both"/>
        <w:rPr>
          <w:rFonts w:ascii="Times New Roman" w:hAnsi="Times New Roman" w:cs="Times New Roman"/>
          <w:b/>
          <w:sz w:val="24"/>
          <w:szCs w:val="24"/>
        </w:rPr>
      </w:pPr>
      <w:r w:rsidRPr="00A33540">
        <w:rPr>
          <w:rFonts w:ascii="Times New Roman" w:hAnsi="Times New Roman" w:cs="Times New Roman"/>
          <w:b/>
          <w:sz w:val="24"/>
          <w:szCs w:val="24"/>
        </w:rPr>
        <w:t>Nota: lo dicho, Rusia tiene a Alemania agarrada por los “eier”</w:t>
      </w:r>
    </w:p>
    <w:p w:rsidR="002D5C7A" w:rsidRPr="007C1731" w:rsidRDefault="00A33540" w:rsidP="002D5C7A">
      <w:pPr>
        <w:pStyle w:val="NormalWeb"/>
        <w:spacing w:after="0"/>
        <w:jc w:val="both"/>
        <w:textAlignment w:val="baseline"/>
        <w:rPr>
          <w:b/>
        </w:rPr>
      </w:pPr>
      <w:r w:rsidRPr="00A33540">
        <w:rPr>
          <w:b/>
        </w:rPr>
        <w:t xml:space="preserve">“Tanto a corto como a largo plazo, Alemania no podrá poner fin a las importaciones de gas ruso sin desencadenar el caos económico, la indignación pública y la oposición de muchas empresas. Gran parte de la culpa debe atribuirse a años de estrategia energética equivocada”, </w:t>
      </w:r>
      <w:r w:rsidRPr="00244B4E">
        <w:t xml:space="preserve">dice Hans-Werner Sinn, profesor emérito de economía de la Universidad </w:t>
      </w:r>
      <w:r w:rsidR="00244B4E">
        <w:t>de Mú</w:t>
      </w:r>
      <w:r w:rsidRPr="00244B4E">
        <w:t>nich, ex presidente del Instituto Ifo</w:t>
      </w:r>
      <w:r w:rsidR="00244B4E">
        <w:t xml:space="preserve"> de Investigación Económica y </w:t>
      </w:r>
      <w:r w:rsidRPr="00244B4E">
        <w:t xml:space="preserve">miembro del Consejo Asesor del Ministerio de Economía alemán., en su artículo </w:t>
      </w:r>
      <w:r w:rsidR="00244B4E" w:rsidRPr="00244B4E">
        <w:t>“</w:t>
      </w:r>
      <w:r w:rsidRPr="00244B4E">
        <w:rPr>
          <w:u w:val="single"/>
        </w:rPr>
        <w:t>El fiasco energético de Alemania</w:t>
      </w:r>
      <w:r w:rsidR="00244B4E" w:rsidRPr="00244B4E">
        <w:t>”</w:t>
      </w:r>
      <w:r w:rsidR="00244B4E">
        <w:t>, publicado por Project Syndicate, el</w:t>
      </w:r>
      <w:r w:rsidRPr="00244B4E">
        <w:t xml:space="preserve"> </w:t>
      </w:r>
      <w:r w:rsidRPr="00244B4E">
        <w:rPr>
          <w:b/>
        </w:rPr>
        <w:t>28/3/22</w:t>
      </w:r>
      <w:r w:rsidR="00244B4E">
        <w:rPr>
          <w:b/>
        </w:rPr>
        <w:t>.</w:t>
      </w:r>
    </w:p>
    <w:p w:rsidR="002D5C7A" w:rsidRDefault="002D5C7A" w:rsidP="002D5C7A">
      <w:pPr>
        <w:pStyle w:val="NormalWeb"/>
        <w:spacing w:after="0"/>
        <w:jc w:val="both"/>
        <w:textAlignment w:val="baseline"/>
      </w:pPr>
      <w:r w:rsidRPr="00155BE6">
        <w:rPr>
          <w:b/>
        </w:rPr>
        <w:t>El embargo al petróleo y al gas de Putin costaría un 3% del PIB europeo pero haría caer un 40% el de Rusia</w:t>
      </w:r>
      <w:r>
        <w:t xml:space="preserve">. </w:t>
      </w:r>
      <w:r w:rsidRPr="009615CA">
        <w:t>Desde que comenzó la invasión de Ucrania, y la UE lanzó cuatro paquetes de sanciones</w:t>
      </w:r>
      <w:r>
        <w:t xml:space="preserve"> al régimen de Vladímir Putin, “</w:t>
      </w:r>
      <w:r w:rsidRPr="009615CA">
        <w:t>hay un aguje</w:t>
      </w:r>
      <w:r>
        <w:t>ro enorme que las hace inútiles”, explican los expertos: “</w:t>
      </w:r>
      <w:r w:rsidRPr="009615CA">
        <w:t>Cada día, le mandamos más de 700 millones de euros, más de 23.000 millones ha recaudado ya. Y con ese dinero que le damos, fin</w:t>
      </w:r>
      <w:r>
        <w:t xml:space="preserve">ancia la devastación de Ucrania” (El Español - </w:t>
      </w:r>
      <w:r w:rsidRPr="002D5C7A">
        <w:rPr>
          <w:b/>
        </w:rPr>
        <w:t>1/4/22</w:t>
      </w:r>
      <w:r>
        <w:t>)</w:t>
      </w:r>
    </w:p>
    <w:p w:rsidR="00155BE6" w:rsidRDefault="00155BE6" w:rsidP="00244B4E">
      <w:pPr>
        <w:pStyle w:val="NormalWeb"/>
        <w:spacing w:after="0"/>
        <w:jc w:val="both"/>
        <w:textAlignment w:val="baseline"/>
      </w:pPr>
      <w:r w:rsidRPr="00155BE6">
        <w:rPr>
          <w:b/>
        </w:rPr>
        <w:t>La “Ostpolitik”</w:t>
      </w:r>
      <w:r w:rsidR="002D5C7A" w:rsidRPr="00155BE6">
        <w:rPr>
          <w:b/>
        </w:rPr>
        <w:t xml:space="preserve"> alemana ha durado 50 años: una intensa colaboración con la URSS y la Federación Rusa que neutraliza ahora a la primera economía de la UE</w:t>
      </w:r>
      <w:r w:rsidR="002D5C7A">
        <w:t xml:space="preserve">. (El Confidencial - </w:t>
      </w:r>
      <w:r w:rsidR="002D5C7A" w:rsidRPr="009615CA">
        <w:rPr>
          <w:b/>
        </w:rPr>
        <w:t>31/3/22</w:t>
      </w:r>
      <w:r w:rsidR="002D5C7A">
        <w:t xml:space="preserve">) La República Federal de Alemania -ya unificada- constituye una rémora para la adopción del embargo energético a la Federación Rusa, que sería la medida decisiva para cortocircuitar la criminal invasión de Putin a Ucrania y convierte al país en determinante para el conjunto de la UE al ser su primera economía. Paga Alemania y pagan la Unión Europea y la OTAN la “Ostpolitik” que inauguró entre 1969 y 1974 el canciller socialdemócrata Willy Brandt. Al contrario que Konrad Adenauer, Brandt creyó que la Alemania occidental debía abrirse a reconocer las fronteras establecidas en el Este de Europa tras la II Guerra Mundial y aceptar la división del país bajo el principio de “una nación y dos Estados”. Y establecer con la URSS relaciones de colaboración (El Confidencial - </w:t>
      </w:r>
      <w:r w:rsidR="002D5C7A" w:rsidRPr="009615CA">
        <w:rPr>
          <w:b/>
        </w:rPr>
        <w:t>31/3/22</w:t>
      </w:r>
      <w:r w:rsidR="002D5C7A">
        <w:t>).</w:t>
      </w:r>
    </w:p>
    <w:p w:rsidR="00155BE6" w:rsidRPr="00155BE6" w:rsidRDefault="00155BE6" w:rsidP="00244B4E">
      <w:pPr>
        <w:pStyle w:val="NormalWeb"/>
        <w:spacing w:after="0"/>
        <w:jc w:val="both"/>
        <w:textAlignment w:val="baseline"/>
        <w:rPr>
          <w:b/>
        </w:rPr>
      </w:pPr>
      <w:r>
        <w:rPr>
          <w:b/>
        </w:rPr>
        <w:t>¿And now? ¿podrá sacar Alemania (y la UE) sus “eier”</w:t>
      </w:r>
      <w:r w:rsidR="00DC06EA">
        <w:rPr>
          <w:b/>
        </w:rPr>
        <w:t>,</w:t>
      </w:r>
      <w:r>
        <w:rPr>
          <w:b/>
        </w:rPr>
        <w:t xml:space="preserve"> de las garras de Putin?</w:t>
      </w:r>
      <w:r w:rsidR="00901140">
        <w:rPr>
          <w:b/>
        </w:rPr>
        <w:t xml:space="preserve"> ¿dará</w:t>
      </w:r>
      <w:r w:rsidR="00901140" w:rsidRPr="00901140">
        <w:rPr>
          <w:b/>
        </w:rPr>
        <w:t xml:space="preserve"> </w:t>
      </w:r>
      <w:r w:rsidR="00901140">
        <w:rPr>
          <w:b/>
        </w:rPr>
        <w:t xml:space="preserve"> Alemania el </w:t>
      </w:r>
      <w:r w:rsidR="00901140" w:rsidRPr="00901140">
        <w:rPr>
          <w:b/>
        </w:rPr>
        <w:t>paso al frente para liderar un embargo total e inmediato sobr</w:t>
      </w:r>
      <w:r w:rsidR="00901140">
        <w:rPr>
          <w:b/>
        </w:rPr>
        <w:t>e las importaciones energéticas de Rusia a la UE?</w:t>
      </w:r>
      <w:r w:rsidR="0098611F">
        <w:rPr>
          <w:b/>
        </w:rPr>
        <w:t xml:space="preserve"> ¿Estará la población europea dispuesta </w:t>
      </w:r>
      <w:r w:rsidR="0098611F" w:rsidRPr="0098611F">
        <w:rPr>
          <w:b/>
        </w:rPr>
        <w:t xml:space="preserve">a vivir sin </w:t>
      </w:r>
      <w:r w:rsidR="0098611F">
        <w:rPr>
          <w:b/>
        </w:rPr>
        <w:t xml:space="preserve">los productos energéticos rusos? ¿Aceptará el fin de la energía (rusa) </w:t>
      </w:r>
      <w:bookmarkStart w:id="0" w:name="_GoBack"/>
      <w:bookmarkEnd w:id="0"/>
      <w:r w:rsidR="0098611F">
        <w:rPr>
          <w:b/>
        </w:rPr>
        <w:t>barata?</w:t>
      </w:r>
    </w:p>
    <w:p w:rsidR="00BF5D7B" w:rsidRPr="00155BE6" w:rsidRDefault="00A33540" w:rsidP="00244B4E">
      <w:pPr>
        <w:pStyle w:val="NormalWeb"/>
        <w:spacing w:after="0"/>
        <w:jc w:val="both"/>
        <w:textAlignment w:val="baseline"/>
      </w:pPr>
      <w:r w:rsidRPr="00A33540">
        <w:rPr>
          <w:b/>
        </w:rPr>
        <w:lastRenderedPageBreak/>
        <w:t xml:space="preserve"> </w:t>
      </w:r>
      <w:r w:rsidR="00BF5D7B" w:rsidRPr="00F60A05">
        <w:rPr>
          <w:b/>
        </w:rPr>
        <w:t>- Esperando a Godot: el último que salga que apague la luz</w:t>
      </w:r>
    </w:p>
    <w:p w:rsidR="00BF5D7B" w:rsidRDefault="00BF5D7B" w:rsidP="00BF5D7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723DEE4D" wp14:editId="4CEBF2C3">
            <wp:extent cx="5731510" cy="3033955"/>
            <wp:effectExtent l="0" t="0" r="2540" b="0"/>
            <wp:docPr id="34" name="Imagen 34" descr="https://phantom-expansion.unidadeditorial.es/7258debcf13d46d4aed021d521b49783/resize/828/f/jpg/assets/multimedia/imagenes/2022/03/23/16479950721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7258debcf13d46d4aed021d521b49783/resize/828/f/jpg/assets/multimedia/imagenes/2022/03/23/16479950721169.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3033955"/>
                    </a:xfrm>
                    <a:prstGeom prst="rect">
                      <a:avLst/>
                    </a:prstGeom>
                    <a:noFill/>
                    <a:ln>
                      <a:noFill/>
                    </a:ln>
                  </pic:spPr>
                </pic:pic>
              </a:graphicData>
            </a:graphic>
          </wp:inline>
        </w:drawing>
      </w:r>
    </w:p>
    <w:p w:rsidR="00BF5D7B" w:rsidRPr="00F60A05" w:rsidRDefault="00BF5D7B" w:rsidP="00BF5D7B">
      <w:pPr>
        <w:spacing w:line="240" w:lineRule="auto"/>
        <w:jc w:val="both"/>
        <w:rPr>
          <w:rFonts w:ascii="Times New Roman" w:hAnsi="Times New Roman" w:cs="Times New Roman"/>
          <w:b/>
          <w:sz w:val="24"/>
          <w:szCs w:val="24"/>
        </w:rPr>
      </w:pPr>
      <w:r w:rsidRPr="00F60A05">
        <w:rPr>
          <w:rFonts w:ascii="Times New Roman" w:hAnsi="Times New Roman" w:cs="Times New Roman"/>
          <w:b/>
          <w:sz w:val="24"/>
          <w:szCs w:val="24"/>
        </w:rPr>
        <w:t>La opinión de “los que saben”</w:t>
      </w:r>
      <w:r>
        <w:rPr>
          <w:rFonts w:ascii="Times New Roman" w:hAnsi="Times New Roman" w:cs="Times New Roman"/>
          <w:b/>
          <w:sz w:val="24"/>
          <w:szCs w:val="24"/>
        </w:rPr>
        <w:t xml:space="preserve"> (o eso se supone)</w:t>
      </w:r>
      <w:r w:rsidRPr="00F60A05">
        <w:rPr>
          <w:rFonts w:ascii="Times New Roman" w:hAnsi="Times New Roman" w:cs="Times New Roman"/>
          <w:b/>
          <w:sz w:val="24"/>
          <w:szCs w:val="24"/>
        </w:rPr>
        <w:t xml:space="preserve">, sobre el futuro energético </w:t>
      </w:r>
    </w:p>
    <w:p w:rsidR="00BF5D7B" w:rsidRPr="00497ED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7EDA">
        <w:rPr>
          <w:rFonts w:ascii="Times New Roman" w:hAnsi="Times New Roman" w:cs="Times New Roman"/>
          <w:sz w:val="24"/>
          <w:szCs w:val="24"/>
          <w:u w:val="single"/>
        </w:rPr>
        <w:t>Fusión nuclear, captura de CO2 o energía a base de aluminio: así será la energía del futuro según el MIT</w:t>
      </w:r>
      <w:r>
        <w:rPr>
          <w:rFonts w:ascii="Times New Roman" w:hAnsi="Times New Roman" w:cs="Times New Roman"/>
          <w:sz w:val="24"/>
          <w:szCs w:val="24"/>
        </w:rPr>
        <w:t xml:space="preserve"> (El Español - </w:t>
      </w:r>
      <w:r w:rsidRPr="00497EDA">
        <w:rPr>
          <w:rFonts w:ascii="Times New Roman" w:hAnsi="Times New Roman" w:cs="Times New Roman"/>
          <w:b/>
          <w:sz w:val="24"/>
          <w:szCs w:val="24"/>
        </w:rPr>
        <w:t>21/3/22</w:t>
      </w:r>
      <w:r>
        <w:rPr>
          <w:rFonts w:ascii="Times New Roman" w:hAnsi="Times New Roman" w:cs="Times New Roman"/>
          <w:sz w:val="24"/>
          <w:szCs w:val="24"/>
        </w:rPr>
        <w:t>)</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Los profesores del MIT Peter Godart, Dennis G. Whyte, Sergei Paltsev y Howard Herzog explican a D+I cuáles son las innovaciones que cambiarán el curso de la energía y ayudarán en la lucha contra el cambio climático.</w:t>
      </w:r>
    </w:p>
    <w:p w:rsidR="00BF5D7B" w:rsidRPr="00497ED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97EDA">
        <w:rPr>
          <w:rFonts w:ascii="Times New Roman" w:hAnsi="Times New Roman" w:cs="Times New Roman"/>
          <w:sz w:val="24"/>
          <w:szCs w:val="24"/>
        </w:rPr>
        <w:t>Alberto Iglesi</w:t>
      </w:r>
      <w:r>
        <w:rPr>
          <w:rFonts w:ascii="Times New Roman" w:hAnsi="Times New Roman" w:cs="Times New Roman"/>
          <w:sz w:val="24"/>
          <w:szCs w:val="24"/>
        </w:rPr>
        <w:t>as Fraga)</w:t>
      </w:r>
    </w:p>
    <w:p w:rsidR="00BF5D7B" w:rsidRPr="006B7C14" w:rsidRDefault="00BF5D7B" w:rsidP="00BF5D7B">
      <w:pPr>
        <w:spacing w:line="240" w:lineRule="auto"/>
        <w:jc w:val="both"/>
        <w:rPr>
          <w:rFonts w:ascii="Times New Roman" w:hAnsi="Times New Roman" w:cs="Times New Roman"/>
          <w:sz w:val="24"/>
          <w:szCs w:val="24"/>
          <w:u w:val="single"/>
        </w:rPr>
      </w:pPr>
      <w:r w:rsidRPr="006B7C14">
        <w:rPr>
          <w:rFonts w:ascii="Times New Roman" w:hAnsi="Times New Roman" w:cs="Times New Roman"/>
          <w:sz w:val="24"/>
          <w:szCs w:val="24"/>
          <w:u w:val="single"/>
        </w:rPr>
        <w:t>Por si la urgencia del cambio climático o de la soberanía energética no fuera suficiente, la guerra de Ucrania ha devuelto a la primera página de la agenda pública el futuro del modelo energético. No hablamos de la simple transición hacia fuentes sostenibles y renovables, en el que está inmerso medio mundo, sino de lo que sigue más allá: las innovaciones que marcarán la siguiente gran generación de este sector.</w:t>
      </w:r>
    </w:p>
    <w:p w:rsidR="00BF5D7B" w:rsidRPr="00497EDA" w:rsidRDefault="00BF5D7B" w:rsidP="00BF5D7B">
      <w:pPr>
        <w:spacing w:line="240" w:lineRule="auto"/>
        <w:jc w:val="both"/>
        <w:rPr>
          <w:rFonts w:ascii="Times New Roman" w:hAnsi="Times New Roman" w:cs="Times New Roman"/>
          <w:sz w:val="24"/>
          <w:szCs w:val="24"/>
        </w:rPr>
      </w:pPr>
      <w:r w:rsidRPr="006B7C14">
        <w:rPr>
          <w:rFonts w:ascii="Times New Roman" w:hAnsi="Times New Roman" w:cs="Times New Roman"/>
          <w:color w:val="FF0000"/>
          <w:sz w:val="24"/>
          <w:szCs w:val="24"/>
          <w:u w:val="single"/>
        </w:rPr>
        <w:t>Muchas grandes mentes de todo el planeta están buceando entre sus investigaciones para dar con las respuestas mágicas a cómo mantener el ritmo de crecimiento económico sin destruir el medio ambiente. Entre esas cabezas pensantes, hay cuatro experimentados profesores del MIT que destacan sobre todas las demás: Sergey Paltsev, Dennis Whyte, Howard Herzog y Peter Godart</w:t>
      </w:r>
      <w:r w:rsidRPr="00497EDA">
        <w:rPr>
          <w:rFonts w:ascii="Times New Roman" w:hAnsi="Times New Roman" w:cs="Times New Roman"/>
          <w:sz w:val="24"/>
          <w:szCs w:val="24"/>
        </w:rPr>
        <w:t>. Cada uno de estos perfiles, entrevistados por D+I, cubre uno de tantos aspectos necesarios para r</w:t>
      </w:r>
      <w:r>
        <w:rPr>
          <w:rFonts w:ascii="Times New Roman" w:hAnsi="Times New Roman" w:cs="Times New Roman"/>
          <w:sz w:val="24"/>
          <w:szCs w:val="24"/>
        </w:rPr>
        <w:t>esolver esta compleja ecuación.</w:t>
      </w:r>
    </w:p>
    <w:p w:rsidR="00BF5D7B" w:rsidRPr="00497EDA" w:rsidRDefault="00BF5D7B" w:rsidP="00BF5D7B">
      <w:pPr>
        <w:spacing w:line="240" w:lineRule="auto"/>
        <w:jc w:val="both"/>
        <w:rPr>
          <w:rFonts w:ascii="Times New Roman" w:hAnsi="Times New Roman" w:cs="Times New Roman"/>
          <w:sz w:val="24"/>
          <w:szCs w:val="24"/>
        </w:rPr>
      </w:pPr>
      <w:r w:rsidRPr="006B7C14">
        <w:rPr>
          <w:rFonts w:ascii="Times New Roman" w:hAnsi="Times New Roman" w:cs="Times New Roman"/>
          <w:sz w:val="24"/>
          <w:szCs w:val="24"/>
          <w:u w:val="single"/>
        </w:rPr>
        <w:t>Paltsev es subdirector del Programa Conjunto del MIT sobre la ciencia y política del cambio global</w:t>
      </w:r>
      <w:r w:rsidRPr="00497EDA">
        <w:rPr>
          <w:rFonts w:ascii="Times New Roman" w:hAnsi="Times New Roman" w:cs="Times New Roman"/>
          <w:sz w:val="24"/>
          <w:szCs w:val="24"/>
        </w:rPr>
        <w:t>, amén de investigador senior en el Centro de Investigación de Políticas Energéticas y Ambientales de esta misma universidad. Suya es la perspectiva económica y sociológica del problema</w:t>
      </w:r>
      <w:r>
        <w:rPr>
          <w:rFonts w:ascii="Times New Roman" w:hAnsi="Times New Roman" w:cs="Times New Roman"/>
          <w:sz w:val="24"/>
          <w:szCs w:val="24"/>
        </w:rPr>
        <w:t>.</w:t>
      </w:r>
    </w:p>
    <w:p w:rsidR="00BF5D7B" w:rsidRPr="00497EDA" w:rsidRDefault="00BF5D7B" w:rsidP="00BF5D7B">
      <w:pPr>
        <w:spacing w:line="240" w:lineRule="auto"/>
        <w:jc w:val="both"/>
        <w:rPr>
          <w:rFonts w:ascii="Times New Roman" w:hAnsi="Times New Roman" w:cs="Times New Roman"/>
          <w:sz w:val="24"/>
          <w:szCs w:val="24"/>
        </w:rPr>
      </w:pPr>
      <w:r w:rsidRPr="006B7C14">
        <w:rPr>
          <w:rFonts w:ascii="Times New Roman" w:hAnsi="Times New Roman" w:cs="Times New Roman"/>
          <w:sz w:val="24"/>
          <w:szCs w:val="24"/>
          <w:u w:val="single"/>
        </w:rPr>
        <w:t>Dennis Whyte es un renombrado experto en la fusión nuclear</w:t>
      </w:r>
      <w:r w:rsidRPr="00497EDA">
        <w:rPr>
          <w:rFonts w:ascii="Times New Roman" w:hAnsi="Times New Roman" w:cs="Times New Roman"/>
          <w:sz w:val="24"/>
          <w:szCs w:val="24"/>
        </w:rPr>
        <w:t xml:space="preserve">, usando el confinamiento magnético de plasma para resolver los actuales impedimentos de esta tecnología. En el haber </w:t>
      </w:r>
      <w:r w:rsidRPr="00497EDA">
        <w:rPr>
          <w:rFonts w:ascii="Times New Roman" w:hAnsi="Times New Roman" w:cs="Times New Roman"/>
          <w:sz w:val="24"/>
          <w:szCs w:val="24"/>
        </w:rPr>
        <w:lastRenderedPageBreak/>
        <w:t xml:space="preserve">de este </w:t>
      </w:r>
      <w:r w:rsidRPr="006B7C14">
        <w:rPr>
          <w:rFonts w:ascii="Times New Roman" w:hAnsi="Times New Roman" w:cs="Times New Roman"/>
          <w:sz w:val="24"/>
          <w:szCs w:val="24"/>
          <w:u w:val="single"/>
        </w:rPr>
        <w:t>director del Centro de Ciencia del Plasma y Fusión del MIT</w:t>
      </w:r>
      <w:r w:rsidRPr="00497EDA">
        <w:rPr>
          <w:rFonts w:ascii="Times New Roman" w:hAnsi="Times New Roman" w:cs="Times New Roman"/>
          <w:sz w:val="24"/>
          <w:szCs w:val="24"/>
        </w:rPr>
        <w:t xml:space="preserve"> hay más de 300 papers y asesorías para el mismo gobierno de Estados Unidos.</w:t>
      </w:r>
    </w:p>
    <w:p w:rsidR="00BF5D7B" w:rsidRPr="00497EDA" w:rsidRDefault="00BF5D7B" w:rsidP="00BF5D7B">
      <w:pPr>
        <w:spacing w:line="240" w:lineRule="auto"/>
        <w:jc w:val="both"/>
        <w:rPr>
          <w:rFonts w:ascii="Times New Roman" w:hAnsi="Times New Roman" w:cs="Times New Roman"/>
          <w:sz w:val="24"/>
          <w:szCs w:val="24"/>
        </w:rPr>
      </w:pPr>
      <w:r w:rsidRPr="006B7C14">
        <w:rPr>
          <w:rFonts w:ascii="Times New Roman" w:hAnsi="Times New Roman" w:cs="Times New Roman"/>
          <w:sz w:val="24"/>
          <w:szCs w:val="24"/>
          <w:u w:val="single"/>
        </w:rPr>
        <w:t>A su vez, Howard Herzog es ingeniero senior de la Iniciativa de Energía del MIT y director ejecutivo de su centro de captura, utilización y almacenamiento de carbono</w:t>
      </w:r>
      <w:r w:rsidRPr="00497EDA">
        <w:rPr>
          <w:rFonts w:ascii="Times New Roman" w:hAnsi="Times New Roman" w:cs="Times New Roman"/>
          <w:sz w:val="24"/>
          <w:szCs w:val="24"/>
        </w:rPr>
        <w:t>. Sobre esta tecnología ha trabajado extensamente, siendo el coordinador del informe especial del IPCC sobre la misma y el delegado de EEUU en el Foro de Liderazgo de Secuestr</w:t>
      </w:r>
      <w:r>
        <w:rPr>
          <w:rFonts w:ascii="Times New Roman" w:hAnsi="Times New Roman" w:cs="Times New Roman"/>
          <w:sz w:val="24"/>
          <w:szCs w:val="24"/>
        </w:rPr>
        <w:t>o de Carbono entre 2003 y 2007.</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 xml:space="preserve">Y por último, el más joven de los cuatro aunque no por ello menos ilustrativo, encontramos a </w:t>
      </w:r>
      <w:r w:rsidRPr="006B7C14">
        <w:rPr>
          <w:rFonts w:ascii="Times New Roman" w:hAnsi="Times New Roman" w:cs="Times New Roman"/>
          <w:sz w:val="24"/>
          <w:szCs w:val="24"/>
          <w:u w:val="single"/>
        </w:rPr>
        <w:t>Peter Godart</w:t>
      </w:r>
      <w:r w:rsidRPr="00497EDA">
        <w:rPr>
          <w:rFonts w:ascii="Times New Roman" w:hAnsi="Times New Roman" w:cs="Times New Roman"/>
          <w:sz w:val="24"/>
          <w:szCs w:val="24"/>
        </w:rPr>
        <w:t xml:space="preserve">. Este </w:t>
      </w:r>
      <w:r w:rsidRPr="006B7C14">
        <w:rPr>
          <w:rFonts w:ascii="Times New Roman" w:hAnsi="Times New Roman" w:cs="Times New Roman"/>
          <w:sz w:val="24"/>
          <w:szCs w:val="24"/>
          <w:u w:val="single"/>
        </w:rPr>
        <w:t>investigador del Departamento de Ingeniería Mecánica</w:t>
      </w:r>
      <w:r w:rsidRPr="00497EDA">
        <w:rPr>
          <w:rFonts w:ascii="Times New Roman" w:hAnsi="Times New Roman" w:cs="Times New Roman"/>
          <w:sz w:val="24"/>
          <w:szCs w:val="24"/>
        </w:rPr>
        <w:t xml:space="preserve"> trabaja en nuevas fuentes de energía libres de carbono</w:t>
      </w:r>
      <w:r>
        <w:rPr>
          <w:rFonts w:ascii="Times New Roman" w:hAnsi="Times New Roman" w:cs="Times New Roman"/>
          <w:sz w:val="24"/>
          <w:szCs w:val="24"/>
        </w:rPr>
        <w:t>,</w:t>
      </w:r>
      <w:r w:rsidRPr="00497EDA">
        <w:rPr>
          <w:rFonts w:ascii="Times New Roman" w:hAnsi="Times New Roman" w:cs="Times New Roman"/>
          <w:sz w:val="24"/>
          <w:szCs w:val="24"/>
        </w:rPr>
        <w:t xml:space="preserve"> y proclives a la economía circular, principalmente mediante la conversión de desechos como los del alum</w:t>
      </w:r>
      <w:r>
        <w:rPr>
          <w:rFonts w:ascii="Times New Roman" w:hAnsi="Times New Roman" w:cs="Times New Roman"/>
          <w:sz w:val="24"/>
          <w:szCs w:val="24"/>
        </w:rPr>
        <w:t>inio o la biomasa en hidrógeno.</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El camino hacia las cero emisiones netas</w:t>
      </w:r>
    </w:p>
    <w:p w:rsidR="00BF5D7B" w:rsidRPr="00497ED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El mundo ha establecido un objetivo de cero emisiones netas. La pregunta es cómo llegar ahí contando con que necesitamos seguir produciendo e</w:t>
      </w:r>
      <w:r>
        <w:rPr>
          <w:rFonts w:ascii="Times New Roman" w:hAnsi="Times New Roman" w:cs="Times New Roman"/>
          <w:sz w:val="24"/>
          <w:szCs w:val="24"/>
        </w:rPr>
        <w:t>nergía”</w:t>
      </w:r>
      <w:r w:rsidRPr="00497EDA">
        <w:rPr>
          <w:rFonts w:ascii="Times New Roman" w:hAnsi="Times New Roman" w:cs="Times New Roman"/>
          <w:sz w:val="24"/>
          <w:szCs w:val="24"/>
        </w:rPr>
        <w:t>, int</w:t>
      </w:r>
      <w:r>
        <w:rPr>
          <w:rFonts w:ascii="Times New Roman" w:hAnsi="Times New Roman" w:cs="Times New Roman"/>
          <w:sz w:val="24"/>
          <w:szCs w:val="24"/>
        </w:rPr>
        <w:t>roduce el investigador Herzog. “</w:t>
      </w:r>
      <w:r w:rsidRPr="00497EDA">
        <w:rPr>
          <w:rFonts w:ascii="Times New Roman" w:hAnsi="Times New Roman" w:cs="Times New Roman"/>
          <w:sz w:val="24"/>
          <w:szCs w:val="24"/>
        </w:rPr>
        <w:t>Mucha gente compara este desafío con el proyecto Moonshot para que EEUU llegara a la Luna o el Manhattan que produjo la bomba atómica en la II Guerra Mundial. Pero son muy diferentes, porque en ambos casos sólo había un cliente -el gobierno- y u</w:t>
      </w:r>
      <w:r>
        <w:rPr>
          <w:rFonts w:ascii="Times New Roman" w:hAnsi="Times New Roman" w:cs="Times New Roman"/>
          <w:sz w:val="24"/>
          <w:szCs w:val="24"/>
        </w:rPr>
        <w:t>n producto -llegar a la Luna-”.</w:t>
      </w:r>
    </w:p>
    <w:p w:rsidR="00BF5D7B" w:rsidRPr="006B7C14" w:rsidRDefault="00BF5D7B" w:rsidP="00BF5D7B">
      <w:pPr>
        <w:spacing w:line="240" w:lineRule="auto"/>
        <w:jc w:val="both"/>
        <w:rPr>
          <w:rFonts w:ascii="Times New Roman" w:hAnsi="Times New Roman" w:cs="Times New Roman"/>
          <w:color w:val="FF0000"/>
          <w:sz w:val="24"/>
          <w:szCs w:val="24"/>
          <w:u w:val="single"/>
        </w:rPr>
      </w:pPr>
      <w:r w:rsidRPr="006B7C14">
        <w:rPr>
          <w:rFonts w:ascii="Times New Roman" w:hAnsi="Times New Roman" w:cs="Times New Roman"/>
          <w:color w:val="FF0000"/>
          <w:sz w:val="24"/>
          <w:szCs w:val="24"/>
          <w:u w:val="single"/>
        </w:rPr>
        <w:t>“Hoy en día encontramos huella de carbono en todo lo que nos rodea. Muchos piensan que podemos descarbonizar la producción eléctrica y luego electrificar todo lo demás, pero con eso no es suficiente. Hoy tenemos mucha tecnología que puede sacarnos del camino, pero mucha de ella es más costosa que la actual quema de combustibles fósiles. Por eso necesitamos a la política para disuadir de esas prácticas y favorecer la innovación mientras bajan los precios de estas alternativas, como el hidrógeno o el amoníaco, y de sistemas que mitiguen los efectos que ya percibimos en el entorno e incluso produzcan emisiones negativas, como pueda ser la captura de carbono”, añade.</w:t>
      </w:r>
    </w:p>
    <w:p w:rsidR="00BF5D7B" w:rsidRPr="00497EDA" w:rsidRDefault="00BF5D7B" w:rsidP="00BF5D7B">
      <w:pPr>
        <w:spacing w:line="240" w:lineRule="auto"/>
        <w:jc w:val="both"/>
        <w:rPr>
          <w:rFonts w:ascii="Times New Roman" w:hAnsi="Times New Roman" w:cs="Times New Roman"/>
          <w:sz w:val="24"/>
          <w:szCs w:val="24"/>
        </w:rPr>
      </w:pPr>
      <w:r>
        <w:rPr>
          <w:rFonts w:ascii="Times New Roman" w:hAnsi="Times New Roman" w:cs="Times New Roman"/>
          <w:b/>
          <w:color w:val="FF0000"/>
          <w:sz w:val="24"/>
          <w:szCs w:val="24"/>
          <w:u w:val="single"/>
        </w:rPr>
        <w:t>“</w:t>
      </w:r>
      <w:r w:rsidRPr="006B7C14">
        <w:rPr>
          <w:rFonts w:ascii="Times New Roman" w:hAnsi="Times New Roman" w:cs="Times New Roman"/>
          <w:b/>
          <w:color w:val="FF0000"/>
          <w:sz w:val="24"/>
          <w:szCs w:val="24"/>
          <w:u w:val="single"/>
        </w:rPr>
        <w:t>Las medidas actuales no están funcionando. El cambio climático es la crisis más grande de la Humanidad en estos momentos, como lo fue en 2020, 2019, 2017, 2016...”</w:t>
      </w:r>
      <w:r>
        <w:rPr>
          <w:rFonts w:ascii="Times New Roman" w:hAnsi="Times New Roman" w:cs="Times New Roman"/>
          <w:sz w:val="24"/>
          <w:szCs w:val="24"/>
        </w:rPr>
        <w:t xml:space="preserve">, </w:t>
      </w:r>
      <w:r w:rsidRPr="00244B4E">
        <w:rPr>
          <w:rFonts w:ascii="Times New Roman" w:hAnsi="Times New Roman" w:cs="Times New Roman"/>
          <w:color w:val="FF0000"/>
          <w:sz w:val="24"/>
          <w:szCs w:val="24"/>
          <w:u w:val="single"/>
        </w:rPr>
        <w:t>ironiza Dennis Whyte.</w:t>
      </w:r>
      <w:r w:rsidRPr="00244B4E">
        <w:rPr>
          <w:rFonts w:ascii="Times New Roman" w:hAnsi="Times New Roman" w:cs="Times New Roman"/>
          <w:color w:val="FF0000"/>
          <w:sz w:val="24"/>
          <w:szCs w:val="24"/>
        </w:rPr>
        <w:t xml:space="preserve"> </w:t>
      </w:r>
      <w:r w:rsidRPr="006B7C14">
        <w:rPr>
          <w:rFonts w:ascii="Times New Roman" w:hAnsi="Times New Roman" w:cs="Times New Roman"/>
          <w:b/>
          <w:color w:val="FF0000"/>
          <w:sz w:val="24"/>
          <w:szCs w:val="24"/>
          <w:u w:val="single"/>
        </w:rPr>
        <w:t>“La causa es que la energía es la raíz de la prosperidad económica. Casi todo lo significativo que hacemos en una economía usa energía y por eso multiplicamos el valor de la energía en un factor de diez. Si pagamos el doble o el triple por la electricidad, probablemente no funcionará”.</w:t>
      </w:r>
    </w:p>
    <w:p w:rsidR="00BF5D7B" w:rsidRPr="006B7C14" w:rsidRDefault="00BF5D7B" w:rsidP="00BF5D7B">
      <w:pPr>
        <w:spacing w:line="240" w:lineRule="auto"/>
        <w:jc w:val="both"/>
        <w:rPr>
          <w:rFonts w:ascii="Times New Roman" w:hAnsi="Times New Roman" w:cs="Times New Roman"/>
          <w:b/>
          <w:color w:val="FF0000"/>
          <w:sz w:val="24"/>
          <w:szCs w:val="24"/>
          <w:u w:val="single"/>
        </w:rPr>
      </w:pPr>
      <w:r w:rsidRPr="006B7C14">
        <w:rPr>
          <w:rFonts w:ascii="Times New Roman" w:hAnsi="Times New Roman" w:cs="Times New Roman"/>
          <w:b/>
          <w:color w:val="FF0000"/>
          <w:sz w:val="24"/>
          <w:szCs w:val="24"/>
          <w:u w:val="single"/>
        </w:rPr>
        <w:t>“Necesitaremos cantidades masivas libres de carbono... y no hay muchas opciones que sean económicamente atractivas. Ni China ni India van a poner en peligro su crecimiento al descarbonizarse. Por ello la solución a este desafío no puede estar en el gobierno, esencial al promover la investigación y el desarrollo básicos, sino en el mundo empresarial”, sentencia.</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Peter Godart amplía este diagnóstico inicial con otro aspecto fundamental: los desafíos relaci</w:t>
      </w:r>
      <w:r>
        <w:rPr>
          <w:rFonts w:ascii="Times New Roman" w:hAnsi="Times New Roman" w:cs="Times New Roman"/>
          <w:sz w:val="24"/>
          <w:szCs w:val="24"/>
        </w:rPr>
        <w:t xml:space="preserve">onados con la infraestructura. </w:t>
      </w:r>
      <w:r w:rsidRPr="006B7C14">
        <w:rPr>
          <w:rFonts w:ascii="Times New Roman" w:hAnsi="Times New Roman" w:cs="Times New Roman"/>
          <w:sz w:val="24"/>
          <w:szCs w:val="24"/>
          <w:u w:val="single"/>
        </w:rPr>
        <w:t>“Muchas veces tenemos energías renovables disponibles, pero no podemos utilizarlas donde realmente las necesitamos debido a la falta de conectividad de la red y de almacenamiento”</w:t>
      </w:r>
      <w:r w:rsidRPr="00497EDA">
        <w:rPr>
          <w:rFonts w:ascii="Times New Roman" w:hAnsi="Times New Roman" w:cs="Times New Roman"/>
          <w:sz w:val="24"/>
          <w:szCs w:val="24"/>
        </w:rPr>
        <w:t>, explica antes de defender la idone</w:t>
      </w:r>
      <w:r>
        <w:rPr>
          <w:rFonts w:ascii="Times New Roman" w:hAnsi="Times New Roman" w:cs="Times New Roman"/>
          <w:sz w:val="24"/>
          <w:szCs w:val="24"/>
        </w:rPr>
        <w:t>idad de su trabajo al respecto.</w:t>
      </w:r>
    </w:p>
    <w:p w:rsidR="00BF5D7B" w:rsidRPr="006B7C14" w:rsidRDefault="00BF5D7B" w:rsidP="00BF5D7B">
      <w:pPr>
        <w:spacing w:line="240" w:lineRule="auto"/>
        <w:jc w:val="both"/>
        <w:rPr>
          <w:rFonts w:ascii="Times New Roman" w:hAnsi="Times New Roman" w:cs="Times New Roman"/>
          <w:sz w:val="24"/>
          <w:szCs w:val="24"/>
          <w:u w:val="single"/>
        </w:rPr>
      </w:pPr>
      <w:r w:rsidRPr="006B7C14">
        <w:rPr>
          <w:rFonts w:ascii="Times New Roman" w:hAnsi="Times New Roman" w:cs="Times New Roman"/>
          <w:sz w:val="24"/>
          <w:szCs w:val="24"/>
          <w:u w:val="single"/>
        </w:rPr>
        <w:t xml:space="preserve">“Pienso mucho en cómo usamos los recursos que tenemos localmente, como los desechos que generan todas las comunidades. También en las limitaciones que hay en algunas de las </w:t>
      </w:r>
      <w:r w:rsidRPr="006B7C14">
        <w:rPr>
          <w:rFonts w:ascii="Times New Roman" w:hAnsi="Times New Roman" w:cs="Times New Roman"/>
          <w:sz w:val="24"/>
          <w:szCs w:val="24"/>
          <w:u w:val="single"/>
        </w:rPr>
        <w:lastRenderedPageBreak/>
        <w:t>tecnologías neutrales en carbono, ya sea en recursos para implementarlos -como los minerales raros- como en la ubicación de los mismos. Por ejemplo, ¿podríamos cambiar todos nuestros coches a baterías eléctricas o a celdas de combustible para hidrógeno usando paladio o platino como catalizador? Quizás valga la pena apostar por motores de combustión interna, en los que tenemos mucha experiencia, y hacer sacrificios en la eficiencia general y la termodinámica”.</w:t>
      </w:r>
    </w:p>
    <w:p w:rsidR="00BF5D7B" w:rsidRPr="006B7C14" w:rsidRDefault="00BF5D7B" w:rsidP="00BF5D7B">
      <w:pPr>
        <w:spacing w:line="240" w:lineRule="auto"/>
        <w:jc w:val="both"/>
        <w:rPr>
          <w:rFonts w:ascii="Times New Roman" w:hAnsi="Times New Roman" w:cs="Times New Roman"/>
          <w:b/>
          <w:color w:val="FF0000"/>
          <w:sz w:val="24"/>
          <w:szCs w:val="24"/>
          <w:u w:val="single"/>
        </w:rPr>
      </w:pPr>
      <w:r w:rsidRPr="006B7C14">
        <w:rPr>
          <w:rFonts w:ascii="Times New Roman" w:hAnsi="Times New Roman" w:cs="Times New Roman"/>
          <w:b/>
          <w:color w:val="FF0000"/>
          <w:sz w:val="24"/>
          <w:szCs w:val="24"/>
          <w:u w:val="single"/>
        </w:rPr>
        <w:t>Falta todavía un ingrediente más para preparar el caldo de la revolución energética que se avecina: el papel de la propia ciudadanía. “Todos estamos de acuerdo en que el cambio climático es un problema existencial, pero en realidad no queremos cambiar nuestras vidas. No sólo basta con implantar políticas o incentivos, sino que también tendremos que tomar decisiones muy difíciles. Dado que el precio de las fuentes sin carbono es bastante caro, no son una solución universal para todos los segmentos de población, especialmente aquellos con menores ingresos”, afirma Sergey Paltsev.</w:t>
      </w:r>
    </w:p>
    <w:p w:rsidR="00BF5D7B" w:rsidRPr="00401F66" w:rsidRDefault="00BF5D7B" w:rsidP="00BF5D7B">
      <w:pPr>
        <w:spacing w:line="240" w:lineRule="auto"/>
        <w:jc w:val="both"/>
        <w:rPr>
          <w:rFonts w:ascii="Times New Roman" w:hAnsi="Times New Roman" w:cs="Times New Roman"/>
          <w:color w:val="FF0000"/>
          <w:sz w:val="24"/>
          <w:szCs w:val="24"/>
          <w:u w:val="single"/>
        </w:rPr>
      </w:pPr>
      <w:r w:rsidRPr="00401F66">
        <w:rPr>
          <w:rFonts w:ascii="Times New Roman" w:hAnsi="Times New Roman" w:cs="Times New Roman"/>
          <w:color w:val="FF0000"/>
          <w:sz w:val="24"/>
          <w:szCs w:val="24"/>
          <w:u w:val="single"/>
        </w:rPr>
        <w:t>“La tecnología es extremadamente importante, pero también la comprensión desempeñará un papel fundamental. A menos que cambiemos nuestro comportamiento, no podremos resolver este problema. Y ahora mismo no tenemos el sentido de urgencia, de acción. Por eso necesitamos un sistema que penalice las acciones relacionadas con el carbono, pero al mismo tiempo compensando a los más afectados. Mientras que, por supuesto, invertimos más dinero real en nuevas tecnologías e innovación en todos los países del mundo, para que se suban todos a este tren”.</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La fusión nuclear, más cerca que nunca</w:t>
      </w:r>
    </w:p>
    <w:p w:rsidR="00BF5D7B" w:rsidRPr="00497EDA" w:rsidRDefault="00BF5D7B" w:rsidP="00BF5D7B">
      <w:pPr>
        <w:spacing w:line="240" w:lineRule="auto"/>
        <w:jc w:val="both"/>
        <w:rPr>
          <w:rFonts w:ascii="Times New Roman" w:hAnsi="Times New Roman" w:cs="Times New Roman"/>
          <w:sz w:val="24"/>
          <w:szCs w:val="24"/>
        </w:rPr>
      </w:pPr>
      <w:r w:rsidRPr="00401F66">
        <w:rPr>
          <w:rFonts w:ascii="Times New Roman" w:hAnsi="Times New Roman" w:cs="Times New Roman"/>
          <w:b/>
          <w:color w:val="FF0000"/>
          <w:sz w:val="24"/>
          <w:szCs w:val="24"/>
          <w:u w:val="single"/>
        </w:rPr>
        <w:t>Una de las propuestas que más fuerza cobran en ese escenario futuro de la energía es la que atañe a la fusión nuclear</w:t>
      </w:r>
      <w:r w:rsidRPr="00401F66">
        <w:rPr>
          <w:rFonts w:ascii="Times New Roman" w:hAnsi="Times New Roman" w:cs="Times New Roman"/>
          <w:sz w:val="24"/>
          <w:szCs w:val="24"/>
          <w:u w:val="single"/>
        </w:rPr>
        <w:t>. Prometida durante muchas décadas, en las antípodas de su hermana la fisión que tan bien conocemos, las tecnologías de fusión no han terminado de convertirse en una realidad</w:t>
      </w:r>
      <w:r w:rsidRPr="00497EDA">
        <w:rPr>
          <w:rFonts w:ascii="Times New Roman" w:hAnsi="Times New Roman" w:cs="Times New Roman"/>
          <w:sz w:val="24"/>
          <w:szCs w:val="24"/>
        </w:rPr>
        <w:t>. Ante un experto mundial en la materia como Dennis Whyte, no podíamos obviar c</w:t>
      </w:r>
      <w:r>
        <w:rPr>
          <w:rFonts w:ascii="Times New Roman" w:hAnsi="Times New Roman" w:cs="Times New Roman"/>
          <w:sz w:val="24"/>
          <w:szCs w:val="24"/>
        </w:rPr>
        <w:t>uál es el estado real del arte.</w:t>
      </w:r>
    </w:p>
    <w:p w:rsidR="00BF5D7B" w:rsidRPr="00497ED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 xml:space="preserve">Estamos mucho más cerca. Por un lado, hemos hecho grandes avances tecnológicos, como una tecnología magnética revolucionaria que mejoró las perspectivas económicas para la fusión en un factor de 40. Por otro, la fusión nuclear ya no se encuentra únicamente en los laboratorios del gobierno, sino que hay 5.000 millones de dólares en financiación </w:t>
      </w:r>
      <w:r>
        <w:rPr>
          <w:rFonts w:ascii="Times New Roman" w:hAnsi="Times New Roman" w:cs="Times New Roman"/>
          <w:sz w:val="24"/>
          <w:szCs w:val="24"/>
        </w:rPr>
        <w:t>procedente de empresas privadas”</w:t>
      </w:r>
      <w:r w:rsidRPr="00497EDA">
        <w:rPr>
          <w:rFonts w:ascii="Times New Roman" w:hAnsi="Times New Roman" w:cs="Times New Roman"/>
          <w:sz w:val="24"/>
          <w:szCs w:val="24"/>
        </w:rPr>
        <w:t>, afirma el investigador durante la entrevista con D+I en el marco de una intervención en la Fundación Ramón Areces.</w:t>
      </w:r>
    </w:p>
    <w:p w:rsidR="00BF5D7B" w:rsidRPr="00497ED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Si bien Whyte reconoce que “todavía no hemos llegado”</w:t>
      </w:r>
      <w:r w:rsidRPr="00497EDA">
        <w:rPr>
          <w:rFonts w:ascii="Times New Roman" w:hAnsi="Times New Roman" w:cs="Times New Roman"/>
          <w:sz w:val="24"/>
          <w:szCs w:val="24"/>
        </w:rPr>
        <w:t xml:space="preserve"> al punto de ebullición de esta tecnología, el exp</w:t>
      </w:r>
      <w:r>
        <w:rPr>
          <w:rFonts w:ascii="Times New Roman" w:hAnsi="Times New Roman" w:cs="Times New Roman"/>
          <w:sz w:val="24"/>
          <w:szCs w:val="24"/>
        </w:rPr>
        <w:t>erto sí cree que estos avances “</w:t>
      </w:r>
      <w:r w:rsidRPr="00497EDA">
        <w:rPr>
          <w:rFonts w:ascii="Times New Roman" w:hAnsi="Times New Roman" w:cs="Times New Roman"/>
          <w:sz w:val="24"/>
          <w:szCs w:val="24"/>
        </w:rPr>
        <w:t>harán que la fusión sea una fuente d</w:t>
      </w:r>
      <w:r>
        <w:rPr>
          <w:rFonts w:ascii="Times New Roman" w:hAnsi="Times New Roman" w:cs="Times New Roman"/>
          <w:sz w:val="24"/>
          <w:szCs w:val="24"/>
        </w:rPr>
        <w:t xml:space="preserve">e energía viable mucho antes”. </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De vuelta con los imanes, el investigador remarca la importancia de las innovaciones ac</w:t>
      </w:r>
      <w:r>
        <w:rPr>
          <w:rFonts w:ascii="Times New Roman" w:hAnsi="Times New Roman" w:cs="Times New Roman"/>
          <w:sz w:val="24"/>
          <w:szCs w:val="24"/>
        </w:rPr>
        <w:t>ontecidas en los últimos años: “</w:t>
      </w:r>
      <w:r w:rsidRPr="00497EDA">
        <w:rPr>
          <w:rFonts w:ascii="Times New Roman" w:hAnsi="Times New Roman" w:cs="Times New Roman"/>
          <w:sz w:val="24"/>
          <w:szCs w:val="24"/>
        </w:rPr>
        <w:t>Los imanes consumían alrededor de 1.000 millones de vatios en electricidad, con lo que hacer la fusión a escala es complicado. Ya hemos conseguido crear las condiciones esenciales en el laboratorio, como por ejemplo los 100 millones de grados que pueden parecer muy exóticos, pero ya los logramos hace 25 años. Lo único que faltaba era hacer la</w:t>
      </w:r>
      <w:r>
        <w:rPr>
          <w:rFonts w:ascii="Times New Roman" w:hAnsi="Times New Roman" w:cs="Times New Roman"/>
          <w:sz w:val="24"/>
          <w:szCs w:val="24"/>
        </w:rPr>
        <w:t xml:space="preserve"> fusión viable económicamente”.</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Conste en acta que las tecnologías de fusión tienen otras aplicaciones realmente interesante</w:t>
      </w:r>
      <w:r>
        <w:rPr>
          <w:rFonts w:ascii="Times New Roman" w:hAnsi="Times New Roman" w:cs="Times New Roman"/>
          <w:sz w:val="24"/>
          <w:szCs w:val="24"/>
        </w:rPr>
        <w:t>s, como la geotermia profunda. “</w:t>
      </w:r>
      <w:r w:rsidRPr="00497EDA">
        <w:rPr>
          <w:rFonts w:ascii="Times New Roman" w:hAnsi="Times New Roman" w:cs="Times New Roman"/>
          <w:sz w:val="24"/>
          <w:szCs w:val="24"/>
        </w:rPr>
        <w:t xml:space="preserve">Es otra idea que ha salido de nuestro laboratorio de fusión y ciencia del plasma para hacer perforaciones profundas con microondas. Es una sinergia que </w:t>
      </w:r>
      <w:r w:rsidRPr="00497EDA">
        <w:rPr>
          <w:rFonts w:ascii="Times New Roman" w:hAnsi="Times New Roman" w:cs="Times New Roman"/>
          <w:sz w:val="24"/>
          <w:szCs w:val="24"/>
        </w:rPr>
        <w:lastRenderedPageBreak/>
        <w:t>nos ofrece una idea fantástica sobre el terreno y que encaja perfecto e</w:t>
      </w:r>
      <w:r>
        <w:rPr>
          <w:rFonts w:ascii="Times New Roman" w:hAnsi="Times New Roman" w:cs="Times New Roman"/>
          <w:sz w:val="24"/>
          <w:szCs w:val="24"/>
        </w:rPr>
        <w:t>n las infraestructuras actuales”</w:t>
      </w:r>
      <w:r w:rsidRPr="00497EDA">
        <w:rPr>
          <w:rFonts w:ascii="Times New Roman" w:hAnsi="Times New Roman" w:cs="Times New Roman"/>
          <w:sz w:val="24"/>
          <w:szCs w:val="24"/>
        </w:rPr>
        <w:t>, presume Dennis Whyte.</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Aluminio e hidrógeno, simbiosis perfecta</w:t>
      </w:r>
    </w:p>
    <w:p w:rsidR="00BF5D7B" w:rsidRPr="00497EDA" w:rsidRDefault="00BF5D7B" w:rsidP="00BF5D7B">
      <w:pPr>
        <w:spacing w:line="240" w:lineRule="auto"/>
        <w:jc w:val="both"/>
        <w:rPr>
          <w:rFonts w:ascii="Times New Roman" w:hAnsi="Times New Roman" w:cs="Times New Roman"/>
          <w:sz w:val="24"/>
          <w:szCs w:val="24"/>
        </w:rPr>
      </w:pPr>
      <w:r w:rsidRPr="00401F66">
        <w:rPr>
          <w:rFonts w:ascii="Times New Roman" w:hAnsi="Times New Roman" w:cs="Times New Roman"/>
          <w:b/>
          <w:color w:val="FF0000"/>
          <w:sz w:val="24"/>
          <w:szCs w:val="24"/>
          <w:u w:val="single"/>
        </w:rPr>
        <w:t>Junto a la fusión nuclear, otra de las aspiraciones de la ciencia pasa por la ya mentada reutilización de los desechos para la producción de fuentes de energía limpias, sostenibles y que favorezcan la economía circular</w:t>
      </w:r>
      <w:r w:rsidRPr="00497EDA">
        <w:rPr>
          <w:rFonts w:ascii="Times New Roman" w:hAnsi="Times New Roman" w:cs="Times New Roman"/>
          <w:sz w:val="24"/>
          <w:szCs w:val="24"/>
        </w:rPr>
        <w:t>. Peter Godart es la gran y prometedo</w:t>
      </w:r>
      <w:r>
        <w:rPr>
          <w:rFonts w:ascii="Times New Roman" w:hAnsi="Times New Roman" w:cs="Times New Roman"/>
          <w:sz w:val="24"/>
          <w:szCs w:val="24"/>
        </w:rPr>
        <w:t>ra voz del MIT en este terreno.</w:t>
      </w:r>
    </w:p>
    <w:p w:rsidR="00BF5D7B" w:rsidRPr="00497ED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Usamos los residuos, por ejemplo los de aluminio, para crear energía de forma sostenible y que sea algo beneficioso para todos. El aluminio es muy denso en energía: si solo se observa el potencial de oxidación por el agua, tiene el doble de densidad volumétrica de energía que el diésel y alrededor de un 80% en términos de julios de ene</w:t>
      </w:r>
      <w:r>
        <w:rPr>
          <w:rFonts w:ascii="Times New Roman" w:hAnsi="Times New Roman" w:cs="Times New Roman"/>
          <w:sz w:val="24"/>
          <w:szCs w:val="24"/>
        </w:rPr>
        <w:t>rgía gravimétrica por kilogramo”</w:t>
      </w:r>
      <w:r w:rsidRPr="00497EDA">
        <w:rPr>
          <w:rFonts w:ascii="Times New Roman" w:hAnsi="Times New Roman" w:cs="Times New Roman"/>
          <w:sz w:val="24"/>
          <w:szCs w:val="24"/>
        </w:rPr>
        <w:t>, explica el investigador, ex del Laboratorio de Propulsión a Chorro de la NASA a cargo de las operaciones diarias del Mars Rover.</w:t>
      </w:r>
    </w:p>
    <w:p w:rsidR="00BF5D7B" w:rsidRPr="00401F66" w:rsidRDefault="00BF5D7B" w:rsidP="00BF5D7B">
      <w:pPr>
        <w:spacing w:line="240" w:lineRule="auto"/>
        <w:jc w:val="both"/>
        <w:rPr>
          <w:rFonts w:ascii="Times New Roman" w:hAnsi="Times New Roman" w:cs="Times New Roman"/>
          <w:sz w:val="24"/>
          <w:szCs w:val="24"/>
          <w:u w:val="single"/>
        </w:rPr>
      </w:pPr>
      <w:r w:rsidRPr="00497EDA">
        <w:rPr>
          <w:rFonts w:ascii="Times New Roman" w:hAnsi="Times New Roman" w:cs="Times New Roman"/>
          <w:sz w:val="24"/>
          <w:szCs w:val="24"/>
        </w:rPr>
        <w:t>¿Cómo se puede convertir el aluminio en energía? No es magia ni mucho menos, sino un proceso medido al mil</w:t>
      </w:r>
      <w:r>
        <w:rPr>
          <w:rFonts w:ascii="Times New Roman" w:hAnsi="Times New Roman" w:cs="Times New Roman"/>
          <w:sz w:val="24"/>
          <w:szCs w:val="24"/>
        </w:rPr>
        <w:t>ímetro por Godart y su equipo: “</w:t>
      </w:r>
      <w:r w:rsidRPr="00497EDA">
        <w:rPr>
          <w:rFonts w:ascii="Times New Roman" w:hAnsi="Times New Roman" w:cs="Times New Roman"/>
          <w:sz w:val="24"/>
          <w:szCs w:val="24"/>
        </w:rPr>
        <w:t xml:space="preserve">Lo que hacemos es usar el aluminio para dividir el agua, reacciona con ella, se corroe y libera hidrógeno. </w:t>
      </w:r>
      <w:r w:rsidRPr="00401F66">
        <w:rPr>
          <w:rFonts w:ascii="Times New Roman" w:hAnsi="Times New Roman" w:cs="Times New Roman"/>
          <w:sz w:val="24"/>
          <w:szCs w:val="24"/>
          <w:u w:val="single"/>
        </w:rPr>
        <w:t>Podemos producir electricidad, hacer desalinización o generar hidrógeno usando simple aluminio, que es el tercer elemento más abundante en la tierra”.</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Godart reconoce que no es viable usar aluminio en grandes proporciones para producir energía, pero sí los residuos cotidianos o los restos en</w:t>
      </w:r>
      <w:r>
        <w:rPr>
          <w:rFonts w:ascii="Times New Roman" w:hAnsi="Times New Roman" w:cs="Times New Roman"/>
          <w:sz w:val="24"/>
          <w:szCs w:val="24"/>
        </w:rPr>
        <w:t xml:space="preserve"> casos de desastres naturales (“</w:t>
      </w:r>
      <w:r w:rsidRPr="00497EDA">
        <w:rPr>
          <w:rFonts w:ascii="Times New Roman" w:hAnsi="Times New Roman" w:cs="Times New Roman"/>
          <w:sz w:val="24"/>
          <w:szCs w:val="24"/>
        </w:rPr>
        <w:t>donde quedan toneladas de aluminio que acaban en un vertedero tra</w:t>
      </w:r>
      <w:r>
        <w:rPr>
          <w:rFonts w:ascii="Times New Roman" w:hAnsi="Times New Roman" w:cs="Times New Roman"/>
          <w:sz w:val="24"/>
          <w:szCs w:val="24"/>
        </w:rPr>
        <w:t xml:space="preserve">s un huracán o un terremoto”). </w:t>
      </w:r>
    </w:p>
    <w:p w:rsidR="00BF5D7B" w:rsidRPr="00401F66" w:rsidRDefault="00BF5D7B" w:rsidP="00BF5D7B">
      <w:pPr>
        <w:spacing w:line="240" w:lineRule="auto"/>
        <w:jc w:val="both"/>
        <w:rPr>
          <w:rFonts w:ascii="Times New Roman" w:hAnsi="Times New Roman" w:cs="Times New Roman"/>
          <w:sz w:val="24"/>
          <w:szCs w:val="24"/>
          <w:u w:val="single"/>
        </w:rPr>
      </w:pPr>
      <w:r w:rsidRPr="00401F66">
        <w:rPr>
          <w:rFonts w:ascii="Times New Roman" w:hAnsi="Times New Roman" w:cs="Times New Roman"/>
          <w:sz w:val="24"/>
          <w:szCs w:val="24"/>
          <w:u w:val="single"/>
        </w:rPr>
        <w:t>“No estaríamos ni cerca de poder satisfacer la demanda mundial de hidrógeno, sería menos del 5% si tomáramos todos los desechos de aluminio cada año. Pero la cosa interesante es que los plásticos también tienen una densidad de hidrógeno comparable”, adelanta.</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Capturar el carbono ante el cambio climático</w:t>
      </w:r>
    </w:p>
    <w:p w:rsidR="00BF5D7B" w:rsidRPr="00401F66" w:rsidRDefault="00BF5D7B" w:rsidP="00BF5D7B">
      <w:pPr>
        <w:spacing w:line="240" w:lineRule="auto"/>
        <w:jc w:val="both"/>
        <w:rPr>
          <w:rFonts w:ascii="Times New Roman" w:hAnsi="Times New Roman" w:cs="Times New Roman"/>
          <w:color w:val="FF0000"/>
          <w:sz w:val="24"/>
          <w:szCs w:val="24"/>
          <w:u w:val="single"/>
        </w:rPr>
      </w:pPr>
      <w:r w:rsidRPr="00401F66">
        <w:rPr>
          <w:rFonts w:ascii="Times New Roman" w:hAnsi="Times New Roman" w:cs="Times New Roman"/>
          <w:color w:val="FF0000"/>
          <w:sz w:val="24"/>
          <w:szCs w:val="24"/>
          <w:u w:val="single"/>
        </w:rPr>
        <w:t xml:space="preserve">Esas son de las tecnologías más prometedoras para articular el modelo energético de las próximas décadas. Pero ¿qué hacemos con el daño ya hecho al medio ambiente y con todo el que causa la extensa cadena de valor global, productora de miles de toneladas de CO2? </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Entra en juego Howard Herzog y su experiencia en captura y almacenamiento de dióxido de carbono. Este físico, que pasó antes del MIT por numerosas empresas privadas (Kodak, Stone &amp; Webster, Aspen Technology o Spectra Physics), cree que este tipo de sistemas ya están muy avanzad</w:t>
      </w:r>
      <w:r>
        <w:rPr>
          <w:rFonts w:ascii="Times New Roman" w:hAnsi="Times New Roman" w:cs="Times New Roman"/>
          <w:sz w:val="24"/>
          <w:szCs w:val="24"/>
        </w:rPr>
        <w:t>os técnicamente, pero de nuevo “</w:t>
      </w:r>
      <w:r w:rsidRPr="00497EDA">
        <w:rPr>
          <w:rFonts w:ascii="Times New Roman" w:hAnsi="Times New Roman" w:cs="Times New Roman"/>
          <w:sz w:val="24"/>
          <w:szCs w:val="24"/>
        </w:rPr>
        <w:t>la ba</w:t>
      </w:r>
      <w:r>
        <w:rPr>
          <w:rFonts w:ascii="Times New Roman" w:hAnsi="Times New Roman" w:cs="Times New Roman"/>
          <w:sz w:val="24"/>
          <w:szCs w:val="24"/>
        </w:rPr>
        <w:t>rrera más grande es económica”.</w:t>
      </w:r>
    </w:p>
    <w:p w:rsidR="00BF5D7B" w:rsidRPr="00497EDA" w:rsidRDefault="00BF5D7B" w:rsidP="00BF5D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Tenemos bastante tecnología fundamental de captura. El problema está en qué hacer con el CO2 una vez capturado, cómo almacenarlo o convertirlo en otro activo. Ahora mismo se suele poner en el suelo, pero lo interesante son los centros en que podemos transportarlo y almacenarlo. En Estados Unidos hay 14 de estos centros potenciales, e incluso Exxon ha anunciado una de estas instalaciones en Houston con capacidad para más de 100 millones de toneladas al año. Y en un informe reciente se identificaban 12 centros potenciales en Europa</w:t>
      </w:r>
      <w:r>
        <w:rPr>
          <w:rFonts w:ascii="Times New Roman" w:hAnsi="Times New Roman" w:cs="Times New Roman"/>
          <w:sz w:val="24"/>
          <w:szCs w:val="24"/>
        </w:rPr>
        <w:t>”</w:t>
      </w:r>
      <w:r w:rsidRPr="00497EDA">
        <w:rPr>
          <w:rFonts w:ascii="Times New Roman" w:hAnsi="Times New Roman" w:cs="Times New Roman"/>
          <w:sz w:val="24"/>
          <w:szCs w:val="24"/>
        </w:rPr>
        <w:t>, indica Herzog. N</w:t>
      </w:r>
      <w:r>
        <w:rPr>
          <w:rFonts w:ascii="Times New Roman" w:hAnsi="Times New Roman" w:cs="Times New Roman"/>
          <w:sz w:val="24"/>
          <w:szCs w:val="24"/>
        </w:rPr>
        <w:t>inguno de ellos está en España.</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w:t>
      </w:r>
      <w:r>
        <w:rPr>
          <w:rFonts w:ascii="Times New Roman" w:hAnsi="Times New Roman" w:cs="Times New Roman"/>
          <w:sz w:val="24"/>
          <w:szCs w:val="24"/>
        </w:rPr>
        <w:t>l investigador lo tiene claro: “</w:t>
      </w:r>
      <w:r w:rsidRPr="00497EDA">
        <w:rPr>
          <w:rFonts w:ascii="Times New Roman" w:hAnsi="Times New Roman" w:cs="Times New Roman"/>
          <w:sz w:val="24"/>
          <w:szCs w:val="24"/>
        </w:rPr>
        <w:t xml:space="preserve">Es mucho más barato capturar el carbono si no tienes que preocuparte de lo que sucede en la calle, si puedes pagar cualquier precio. Se están desarrollando nuevas turbinas de gas que usan oxígeno como entrada pero con una presión </w:t>
      </w:r>
      <w:r w:rsidRPr="00497EDA">
        <w:rPr>
          <w:rFonts w:ascii="Times New Roman" w:hAnsi="Times New Roman" w:cs="Times New Roman"/>
          <w:sz w:val="24"/>
          <w:szCs w:val="24"/>
        </w:rPr>
        <w:lastRenderedPageBreak/>
        <w:t>mucho más alta. También se está tratando de congelar los gases de escape en lugar de usar la absorción química, o de combinar las tecnologías de captura con electricidad para producir hidrógeno o con biomas</w:t>
      </w:r>
      <w:r>
        <w:rPr>
          <w:rFonts w:ascii="Times New Roman" w:hAnsi="Times New Roman" w:cs="Times New Roman"/>
          <w:sz w:val="24"/>
          <w:szCs w:val="24"/>
        </w:rPr>
        <w:t>a para producir biocombustibles”</w:t>
      </w:r>
      <w:r w:rsidRPr="00497EDA">
        <w:rPr>
          <w:rFonts w:ascii="Times New Roman" w:hAnsi="Times New Roman" w:cs="Times New Roman"/>
          <w:sz w:val="24"/>
          <w:szCs w:val="24"/>
        </w:rPr>
        <w:t>.</w:t>
      </w:r>
    </w:p>
    <w:p w:rsidR="00BF5D7B" w:rsidRPr="00401F66" w:rsidRDefault="00BF5D7B" w:rsidP="00BF5D7B">
      <w:pPr>
        <w:spacing w:line="240" w:lineRule="auto"/>
        <w:jc w:val="both"/>
        <w:rPr>
          <w:rFonts w:ascii="Times New Roman" w:hAnsi="Times New Roman" w:cs="Times New Roman"/>
          <w:color w:val="FF0000"/>
          <w:sz w:val="24"/>
          <w:szCs w:val="24"/>
          <w:u w:val="single"/>
        </w:rPr>
      </w:pPr>
      <w:r w:rsidRPr="00497EDA">
        <w:rPr>
          <w:rFonts w:ascii="Times New Roman" w:hAnsi="Times New Roman" w:cs="Times New Roman"/>
          <w:sz w:val="24"/>
          <w:szCs w:val="24"/>
        </w:rPr>
        <w:t>Con todo este empuje innovador como telón de fondo, Sergey Paltse</w:t>
      </w:r>
      <w:r>
        <w:rPr>
          <w:rFonts w:ascii="Times New Roman" w:hAnsi="Times New Roman" w:cs="Times New Roman"/>
          <w:sz w:val="24"/>
          <w:szCs w:val="24"/>
        </w:rPr>
        <w:t xml:space="preserve">v se muestra convencido de que </w:t>
      </w:r>
      <w:r w:rsidRPr="00401F66">
        <w:rPr>
          <w:rFonts w:ascii="Times New Roman" w:hAnsi="Times New Roman" w:cs="Times New Roman"/>
          <w:color w:val="FF0000"/>
          <w:sz w:val="24"/>
          <w:szCs w:val="24"/>
          <w:u w:val="single"/>
        </w:rPr>
        <w:t>“la nueva energía baja en carbono será rentable, pero tal vez a largo plazo”.</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Para llegar a esta conc</w:t>
      </w:r>
      <w:r>
        <w:rPr>
          <w:rFonts w:ascii="Times New Roman" w:hAnsi="Times New Roman" w:cs="Times New Roman"/>
          <w:sz w:val="24"/>
          <w:szCs w:val="24"/>
        </w:rPr>
        <w:t xml:space="preserve">lusión, el experto asegura que </w:t>
      </w:r>
      <w:r w:rsidRPr="00401F66">
        <w:rPr>
          <w:rFonts w:ascii="Times New Roman" w:hAnsi="Times New Roman" w:cs="Times New Roman"/>
          <w:color w:val="FF0000"/>
          <w:sz w:val="24"/>
          <w:szCs w:val="24"/>
          <w:u w:val="single"/>
        </w:rPr>
        <w:t>“necesitaremos mucho capital y muchas inversiones, que requerirán tomar decisiones muy sabias al respecto. Al menos ahora tenemos la esperanza, al menos en teoría, de todas las declaraciones sobre la neutralidad de carbono y las cero emisiones en 2050. Es una presión adicional en términos de acción, pero desgraciadamente ya hemos emitido en las últimas décadas”.</w:t>
      </w:r>
    </w:p>
    <w:p w:rsidR="00BF5D7B" w:rsidRPr="00497EDA"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Los cuatro perfiles del MIT reunidos en Madrid son un ejemplo de la confluencia de ideas, de diferentes disciplinas y con una visión que combina la ciencia con la empresa que predica la histórica universidad estadounidense. No en vano, y como recuerdan Pa</w:t>
      </w:r>
      <w:r>
        <w:rPr>
          <w:rFonts w:ascii="Times New Roman" w:hAnsi="Times New Roman" w:cs="Times New Roman"/>
          <w:sz w:val="24"/>
          <w:szCs w:val="24"/>
        </w:rPr>
        <w:t>ltsev, Whyte, Herzog y Godart, “</w:t>
      </w:r>
      <w:r w:rsidRPr="00497EDA">
        <w:rPr>
          <w:rFonts w:ascii="Times New Roman" w:hAnsi="Times New Roman" w:cs="Times New Roman"/>
          <w:sz w:val="24"/>
          <w:szCs w:val="24"/>
        </w:rPr>
        <w:t>si cogiéramos todas las empresas creadas por los graduados del MIT estaríamos ante la undécima e</w:t>
      </w:r>
      <w:r>
        <w:rPr>
          <w:rFonts w:ascii="Times New Roman" w:hAnsi="Times New Roman" w:cs="Times New Roman"/>
          <w:sz w:val="24"/>
          <w:szCs w:val="24"/>
        </w:rPr>
        <w:t xml:space="preserve">conomía más grande del mundo”. </w:t>
      </w:r>
    </w:p>
    <w:p w:rsidR="00BF5D7B" w:rsidRDefault="00BF5D7B" w:rsidP="00BF5D7B">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El secreto de tamaño éxito radica en la propia concepción del instituto tecnológico (financiado en gran parte por empresas que buscan acelerar la innovación hacia sus sectores de actividad), pero también en la multidisciplinariedad y los encuentros informales entre grupos de investigación para encontrar esas soluciones comprehensivas que tanto demanda la sociedad, también en el ámbito energético.</w:t>
      </w:r>
    </w:p>
    <w:p w:rsidR="00BF5D7B" w:rsidRDefault="00BF5D7B" w:rsidP="00BF5D7B">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 el debido respeto… (en el nombre de la Madre Tierra, del hijo y del… nieto)</w:t>
      </w:r>
    </w:p>
    <w:p w:rsidR="00BF5D7B" w:rsidRPr="00244B4E" w:rsidRDefault="00BF5D7B" w:rsidP="00BF5D7B">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 xml:space="preserve">No está en mi capacidad (ni intención) debatir con estos “grandes bonetes” sobre el futuro de las energías neutras de carbono, que permitan alcanzar el objetivo de las cero emisiones en 2050. Solo intento llamar la atención (humildemente) sobre la “oportunidad” de asumir el compromiso en su totalidad (realidad económica), sobre la necesidad de una “participación” proporcional, mancomunada, y solidaria de todos los países, en el esfuerzo (realidad política), y sobre el justo “reparto” de costos y beneficios del emprendimiento, entre los ciudadanos, empresas y gobiernos (realidad social). No solo es una cuestión de plazos, y/o de responsabilidades, sino también de compensación a los perdedores del cambio. </w:t>
      </w:r>
    </w:p>
    <w:p w:rsidR="00BF5D7B" w:rsidRPr="00244B4E" w:rsidRDefault="00BF5D7B" w:rsidP="00BF5D7B">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Puede que la Unión Europea no posea petróleo o gas (y tenga que depender de proveedores externos impredecibles), pero no tiene por qué renunciar a la energía nucl</w:t>
      </w:r>
      <w:r w:rsidR="00076E63">
        <w:rPr>
          <w:rFonts w:ascii="Times New Roman" w:hAnsi="Times New Roman" w:cs="Times New Roman"/>
          <w:sz w:val="24"/>
          <w:szCs w:val="24"/>
        </w:rPr>
        <w:t>ear, para tranquilizar a los</w:t>
      </w:r>
      <w:r w:rsidRPr="00244B4E">
        <w:rPr>
          <w:rFonts w:ascii="Times New Roman" w:hAnsi="Times New Roman" w:cs="Times New Roman"/>
          <w:sz w:val="24"/>
          <w:szCs w:val="24"/>
        </w:rPr>
        <w:t xml:space="preserve"> miedosos tecnol</w:t>
      </w:r>
      <w:r w:rsidR="00076E63">
        <w:rPr>
          <w:rFonts w:ascii="Times New Roman" w:hAnsi="Times New Roman" w:cs="Times New Roman"/>
          <w:sz w:val="24"/>
          <w:szCs w:val="24"/>
        </w:rPr>
        <w:t>ógicos, o para congraciarse con los</w:t>
      </w:r>
      <w:r w:rsidRPr="00244B4E">
        <w:rPr>
          <w:rFonts w:ascii="Times New Roman" w:hAnsi="Times New Roman" w:cs="Times New Roman"/>
          <w:sz w:val="24"/>
          <w:szCs w:val="24"/>
        </w:rPr>
        <w:t xml:space="preserve"> ecologistas radicales.</w:t>
      </w:r>
    </w:p>
    <w:p w:rsidR="00BF5D7B" w:rsidRPr="00244B4E" w:rsidRDefault="00BF5D7B" w:rsidP="00BF5D7B">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Tampoco el planeta se morirá de repente si por unos años más en la UE se utiliza carbón (como ya está haciendo Alemania o Polonia), para disminuir la factura energética. No hay que olvidar que la UE solo produce el 8% de los gases de efecto invernadero que se emiten a la atmósfera. (China 31%</w:t>
      </w:r>
      <w:r w:rsidR="00244B4E">
        <w:rPr>
          <w:rFonts w:ascii="Times New Roman" w:hAnsi="Times New Roman" w:cs="Times New Roman"/>
          <w:sz w:val="24"/>
          <w:szCs w:val="24"/>
        </w:rPr>
        <w:t>,</w:t>
      </w:r>
      <w:r w:rsidRPr="00244B4E">
        <w:rPr>
          <w:rFonts w:ascii="Times New Roman" w:hAnsi="Times New Roman" w:cs="Times New Roman"/>
          <w:sz w:val="24"/>
          <w:szCs w:val="24"/>
        </w:rPr>
        <w:t xml:space="preserve"> y EEUU 14%). Hay grandes países que hacen de su capa un sayo.</w:t>
      </w:r>
    </w:p>
    <w:p w:rsidR="00BF5D7B" w:rsidRPr="00244B4E" w:rsidRDefault="00BF5D7B" w:rsidP="00BF5D7B">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Los errores han sido muchos y muy notorios, empezando por esa Alemania que de la mano de Angela Merkel hipotecó su independencia energética al petróleo y el gas ruso, al tiempo que cerró las centrales nucleares. ¿Habrá sido</w:t>
      </w:r>
      <w:r w:rsidR="009C20F1">
        <w:rPr>
          <w:rFonts w:ascii="Times New Roman" w:hAnsi="Times New Roman" w:cs="Times New Roman"/>
          <w:sz w:val="24"/>
          <w:szCs w:val="24"/>
        </w:rPr>
        <w:t xml:space="preserve"> por su complejo de “ossie” (NyC</w:t>
      </w:r>
      <w:r w:rsidRPr="00244B4E">
        <w:rPr>
          <w:rFonts w:ascii="Times New Roman" w:hAnsi="Times New Roman" w:cs="Times New Roman"/>
          <w:sz w:val="24"/>
          <w:szCs w:val="24"/>
        </w:rPr>
        <w:t>, en Alemania Oriental), o por la mano de Sch</w:t>
      </w:r>
      <w:r w:rsidR="00A54C10">
        <w:rPr>
          <w:rFonts w:ascii="Times New Roman" w:hAnsi="Times New Roman" w:cs="Times New Roman"/>
          <w:sz w:val="24"/>
          <w:szCs w:val="24"/>
        </w:rPr>
        <w:t>r</w:t>
      </w:r>
      <w:r w:rsidRPr="00244B4E">
        <w:rPr>
          <w:rFonts w:ascii="Times New Roman" w:hAnsi="Times New Roman" w:cs="Times New Roman"/>
          <w:sz w:val="24"/>
          <w:szCs w:val="24"/>
        </w:rPr>
        <w:t>oeder</w:t>
      </w:r>
      <w:r w:rsidR="00A54C10">
        <w:rPr>
          <w:rFonts w:ascii="Times New Roman" w:hAnsi="Times New Roman" w:cs="Times New Roman"/>
          <w:sz w:val="24"/>
          <w:szCs w:val="24"/>
        </w:rPr>
        <w:t xml:space="preserve"> (Gazprom) que “mece la cuna”</w:t>
      </w:r>
      <w:r w:rsidRPr="00244B4E">
        <w:rPr>
          <w:rFonts w:ascii="Times New Roman" w:hAnsi="Times New Roman" w:cs="Times New Roman"/>
          <w:sz w:val="24"/>
          <w:szCs w:val="24"/>
        </w:rPr>
        <w:t>? ¡That is the question!</w:t>
      </w:r>
    </w:p>
    <w:p w:rsidR="00BF5D7B" w:rsidRPr="00A54C10" w:rsidRDefault="00BF5D7B" w:rsidP="00BF5D7B">
      <w:pPr>
        <w:spacing w:line="240" w:lineRule="auto"/>
        <w:jc w:val="both"/>
        <w:rPr>
          <w:rFonts w:ascii="Times New Roman" w:hAnsi="Times New Roman" w:cs="Times New Roman"/>
          <w:b/>
          <w:sz w:val="24"/>
          <w:szCs w:val="24"/>
        </w:rPr>
      </w:pPr>
      <w:r w:rsidRPr="00A54C10">
        <w:rPr>
          <w:rFonts w:ascii="Times New Roman" w:hAnsi="Times New Roman" w:cs="Times New Roman"/>
          <w:b/>
          <w:sz w:val="24"/>
          <w:szCs w:val="24"/>
        </w:rPr>
        <w:t xml:space="preserve">Europa está obligada a imprimir un profundo cambio de rumbo en su política energética, para liberarse de la dependencia de dictadores de toda laya y condición. Los </w:t>
      </w:r>
      <w:r w:rsidR="00A54C10">
        <w:rPr>
          <w:rFonts w:ascii="Times New Roman" w:hAnsi="Times New Roman" w:cs="Times New Roman"/>
          <w:b/>
          <w:sz w:val="24"/>
          <w:szCs w:val="24"/>
        </w:rPr>
        <w:t>Gobiernos de la UE</w:t>
      </w:r>
      <w:r w:rsidRPr="00A54C10">
        <w:rPr>
          <w:rFonts w:ascii="Times New Roman" w:hAnsi="Times New Roman" w:cs="Times New Roman"/>
          <w:b/>
          <w:sz w:val="24"/>
          <w:szCs w:val="24"/>
        </w:rPr>
        <w:t xml:space="preserve"> ya</w:t>
      </w:r>
      <w:r w:rsidR="00A54C10">
        <w:rPr>
          <w:rFonts w:ascii="Times New Roman" w:hAnsi="Times New Roman" w:cs="Times New Roman"/>
          <w:b/>
          <w:sz w:val="24"/>
          <w:szCs w:val="24"/>
        </w:rPr>
        <w:t xml:space="preserve"> deberían estar manos a la obra, sin complejos, ni connivencias.</w:t>
      </w:r>
    </w:p>
    <w:p w:rsidR="00F36C3D" w:rsidRPr="00F36C3D" w:rsidRDefault="00F36C3D" w:rsidP="00F36C3D">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lastRenderedPageBreak/>
        <w:t xml:space="preserve">- </w:t>
      </w:r>
      <w:r w:rsidRPr="00F36C3D">
        <w:rPr>
          <w:rFonts w:ascii="Times New Roman" w:hAnsi="Times New Roman" w:cs="Times New Roman"/>
          <w:b/>
          <w:sz w:val="24"/>
          <w:szCs w:val="24"/>
        </w:rPr>
        <w:t>La Unión Europea ante el fracaso de la Política Agraria Común (PAC)</w:t>
      </w:r>
    </w:p>
    <w:p w:rsidR="00F36C3D" w:rsidRDefault="00F36C3D" w:rsidP="00F36C3D">
      <w:pPr>
        <w:spacing w:line="240" w:lineRule="auto"/>
        <w:jc w:val="both"/>
        <w:rPr>
          <w:rFonts w:ascii="Times New Roman" w:hAnsi="Times New Roman" w:cs="Times New Roman"/>
          <w:b/>
          <w:sz w:val="24"/>
          <w:szCs w:val="24"/>
        </w:rPr>
      </w:pPr>
      <w:r>
        <w:rPr>
          <w:noProof/>
          <w:lang w:eastAsia="es-ES"/>
        </w:rPr>
        <w:drawing>
          <wp:inline distT="0" distB="0" distL="0" distR="0" wp14:anchorId="06C3C3FF" wp14:editId="1F42C157">
            <wp:extent cx="5731510" cy="3352800"/>
            <wp:effectExtent l="0" t="0" r="2540" b="0"/>
            <wp:docPr id="168" name="Imagen 168" descr="Foto: Campo de girasoles en Europa del Este. (EFE/Balazs Moh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Campo de girasoles en Europa del Este. (EFE/Balazs Mohai)"/>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3352800"/>
                    </a:xfrm>
                    <a:prstGeom prst="rect">
                      <a:avLst/>
                    </a:prstGeom>
                    <a:noFill/>
                    <a:ln>
                      <a:noFill/>
                    </a:ln>
                  </pic:spPr>
                </pic:pic>
              </a:graphicData>
            </a:graphic>
          </wp:inline>
        </w:drawing>
      </w:r>
    </w:p>
    <w:p w:rsidR="00F36C3D" w:rsidRPr="00F37DEE" w:rsidRDefault="00F36C3D" w:rsidP="00F36C3D">
      <w:pPr>
        <w:spacing w:line="240" w:lineRule="auto"/>
        <w:jc w:val="both"/>
        <w:rPr>
          <w:rFonts w:ascii="Times New Roman" w:hAnsi="Times New Roman" w:cs="Times New Roman"/>
          <w:b/>
          <w:sz w:val="24"/>
          <w:szCs w:val="24"/>
        </w:rPr>
      </w:pPr>
      <w:r w:rsidRPr="00F37DEE">
        <w:rPr>
          <w:rFonts w:ascii="Times New Roman" w:hAnsi="Times New Roman" w:cs="Times New Roman"/>
          <w:b/>
          <w:sz w:val="24"/>
          <w:szCs w:val="24"/>
        </w:rPr>
        <w:t>(18/3/22) Convulsión en los mercados agrarios (cuando la PAC hizo CRACK)</w:t>
      </w:r>
    </w:p>
    <w:p w:rsidR="00F36C3D" w:rsidRPr="00F37DEE" w:rsidRDefault="00F36C3D" w:rsidP="00F36C3D">
      <w:pPr>
        <w:spacing w:line="240" w:lineRule="auto"/>
        <w:jc w:val="both"/>
        <w:rPr>
          <w:rFonts w:ascii="Times New Roman" w:hAnsi="Times New Roman" w:cs="Times New Roman"/>
          <w:sz w:val="24"/>
          <w:szCs w:val="24"/>
        </w:rPr>
      </w:pPr>
      <w:r w:rsidRPr="00F37DEE">
        <w:rPr>
          <w:rFonts w:ascii="Times New Roman" w:hAnsi="Times New Roman" w:cs="Times New Roman"/>
          <w:sz w:val="24"/>
          <w:szCs w:val="24"/>
        </w:rPr>
        <w:t>El cereal sube un 15% en una semana y pone en estado de alarma la inflación</w:t>
      </w:r>
    </w:p>
    <w:p w:rsidR="00F36C3D" w:rsidRPr="00F37DEE" w:rsidRDefault="00F36C3D" w:rsidP="00F36C3D">
      <w:pPr>
        <w:spacing w:line="240" w:lineRule="auto"/>
        <w:jc w:val="both"/>
        <w:rPr>
          <w:rFonts w:ascii="Times New Roman" w:hAnsi="Times New Roman" w:cs="Times New Roman"/>
          <w:sz w:val="24"/>
          <w:szCs w:val="24"/>
        </w:rPr>
      </w:pPr>
      <w:r w:rsidRPr="00F37DEE">
        <w:rPr>
          <w:rFonts w:ascii="Times New Roman" w:hAnsi="Times New Roman" w:cs="Times New Roman"/>
          <w:sz w:val="24"/>
          <w:szCs w:val="24"/>
        </w:rPr>
        <w:t>El campo vive en estado de agitación. El aumento de los costes ha estrechado los márgenes, pero, al mismo tiempo, ha disparado los precios que paga el consumidor. La convulsión es general</w:t>
      </w:r>
    </w:p>
    <w:p w:rsidR="00F36C3D" w:rsidRDefault="00F36C3D" w:rsidP="00F36C3D">
      <w:pPr>
        <w:spacing w:line="240" w:lineRule="auto"/>
        <w:jc w:val="both"/>
        <w:rPr>
          <w:rFonts w:ascii="Times New Roman" w:hAnsi="Times New Roman" w:cs="Times New Roman"/>
          <w:sz w:val="24"/>
          <w:szCs w:val="24"/>
        </w:rPr>
      </w:pPr>
      <w:r w:rsidRPr="00F37DEE">
        <w:rPr>
          <w:rFonts w:ascii="Times New Roman" w:hAnsi="Times New Roman" w:cs="Times New Roman"/>
          <w:sz w:val="24"/>
          <w:szCs w:val="24"/>
        </w:rPr>
        <w:t>La inflación cambia de teatro de operaciones. Si hasta hace pocos días eran las materias</w:t>
      </w:r>
      <w:r>
        <w:rPr>
          <w:rFonts w:ascii="Times New Roman" w:hAnsi="Times New Roman" w:cs="Times New Roman"/>
          <w:sz w:val="24"/>
          <w:szCs w:val="24"/>
        </w:rPr>
        <w:t xml:space="preserve"> primas asociadas a la energía -petróleo, gas o electricidad-</w:t>
      </w:r>
      <w:r w:rsidRPr="00F37DEE">
        <w:rPr>
          <w:rFonts w:ascii="Times New Roman" w:hAnsi="Times New Roman" w:cs="Times New Roman"/>
          <w:sz w:val="24"/>
          <w:szCs w:val="24"/>
        </w:rPr>
        <w:t xml:space="preserve"> las que subían con fuerza (en la última semana, el precio parece haberse estabilizado en niveles muy elevados, aunque con fuerte volatilidad), el crecimiento se ha trasladado ahora con intensidad al mercado de cereales y, en general, a todas las actividades agrarias, pese a que la producción mundial marca niveles máximos no conocidos desde 2012, según el Consejo Internacional de Cereales.</w:t>
      </w:r>
    </w:p>
    <w:p w:rsidR="00F36C3D" w:rsidRPr="00DB7E7F" w:rsidRDefault="00F36C3D" w:rsidP="00F36C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7E7F">
        <w:rPr>
          <w:rFonts w:ascii="Times New Roman" w:hAnsi="Times New Roman" w:cs="Times New Roman"/>
          <w:sz w:val="24"/>
          <w:szCs w:val="24"/>
          <w:u w:val="single"/>
        </w:rPr>
        <w:t>La OCDE señala a España como el país de la UE más dependiente del trigo de Ucrania</w:t>
      </w:r>
      <w:r>
        <w:rPr>
          <w:rFonts w:ascii="Times New Roman" w:hAnsi="Times New Roman" w:cs="Times New Roman"/>
          <w:sz w:val="24"/>
          <w:szCs w:val="24"/>
        </w:rPr>
        <w:t xml:space="preserve"> (Vozpópuli - </w:t>
      </w:r>
      <w:r w:rsidRPr="00DB7E7F">
        <w:rPr>
          <w:rFonts w:ascii="Times New Roman" w:hAnsi="Times New Roman" w:cs="Times New Roman"/>
          <w:b/>
          <w:sz w:val="24"/>
          <w:szCs w:val="24"/>
        </w:rPr>
        <w:t>18/3/22</w:t>
      </w:r>
      <w:r>
        <w:rPr>
          <w:rFonts w:ascii="Times New Roman" w:hAnsi="Times New Roman" w:cs="Times New Roman"/>
          <w:sz w:val="24"/>
          <w:szCs w:val="24"/>
        </w:rPr>
        <w:t>)</w:t>
      </w:r>
    </w:p>
    <w:p w:rsidR="00F36C3D" w:rsidRPr="00DB7E7F" w:rsidRDefault="00F36C3D" w:rsidP="00F36C3D">
      <w:pPr>
        <w:spacing w:line="240" w:lineRule="auto"/>
        <w:jc w:val="both"/>
        <w:rPr>
          <w:rFonts w:ascii="Times New Roman" w:hAnsi="Times New Roman" w:cs="Times New Roman"/>
          <w:sz w:val="24"/>
          <w:szCs w:val="24"/>
        </w:rPr>
      </w:pPr>
      <w:r>
        <w:rPr>
          <w:rFonts w:ascii="Times New Roman" w:hAnsi="Times New Roman" w:cs="Times New Roman"/>
          <w:sz w:val="24"/>
          <w:szCs w:val="24"/>
        </w:rPr>
        <w:t>(Por Beatriz Triguero)</w:t>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España es el país de la Unión Europea (UE) más dependiente del trigo ucraniano, una materia prima clave para la ganadería y la alimentación, según la Cooperación y el Desarrollo Económicos (OCDE). La guerra con Rusia amenaza con generar problemas de abas</w:t>
      </w:r>
      <w:r>
        <w:rPr>
          <w:rFonts w:ascii="Times New Roman" w:hAnsi="Times New Roman" w:cs="Times New Roman"/>
          <w:sz w:val="24"/>
          <w:szCs w:val="24"/>
        </w:rPr>
        <w:t>tecimiento desde el denominado “granero de Europa”</w:t>
      </w:r>
      <w:r w:rsidRPr="00DB7E7F">
        <w:rPr>
          <w:rFonts w:ascii="Times New Roman" w:hAnsi="Times New Roman" w:cs="Times New Roman"/>
          <w:sz w:val="24"/>
          <w:szCs w:val="24"/>
        </w:rPr>
        <w:t>, lo que hace que nuestro país sea más vulnerable al alza de precios que otros Estados miembros como Alemania, Italia o Francia.</w:t>
      </w:r>
    </w:p>
    <w:p w:rsidR="00F36C3D"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En concreto, el 11% del trigo que España importó en 2019 procedía de Ucrania, frente al 1% de Alemania, el 2% de Francia y el 3% de Italia. Hay otros países europeos más expuestos a </w:t>
      </w:r>
      <w:r w:rsidRPr="00DB7E7F">
        <w:rPr>
          <w:rFonts w:ascii="Times New Roman" w:hAnsi="Times New Roman" w:cs="Times New Roman"/>
          <w:sz w:val="24"/>
          <w:szCs w:val="24"/>
        </w:rPr>
        <w:lastRenderedPageBreak/>
        <w:t>la escasez de trigo que España, como Grecia o Noruega, pero en esos casos son importadores de Rusia. Además, destacan varias economías de Oriente Medio en las que las importaciones de trigo de Rusia y Ucrania llegan a represent</w:t>
      </w:r>
      <w:r>
        <w:rPr>
          <w:rFonts w:ascii="Times New Roman" w:hAnsi="Times New Roman" w:cs="Times New Roman"/>
          <w:sz w:val="24"/>
          <w:szCs w:val="24"/>
        </w:rPr>
        <w:t>ar alrededor del 75% del total.</w:t>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noProof/>
          <w:sz w:val="24"/>
          <w:szCs w:val="24"/>
          <w:lang w:eastAsia="es-ES"/>
        </w:rPr>
        <w:drawing>
          <wp:inline distT="0" distB="0" distL="0" distR="0" wp14:anchorId="5EFFE6D1" wp14:editId="1A46D351">
            <wp:extent cx="5162550" cy="50482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163271" cy="5048955"/>
                    </a:xfrm>
                    <a:prstGeom prst="rect">
                      <a:avLst/>
                    </a:prstGeom>
                  </pic:spPr>
                </pic:pic>
              </a:graphicData>
            </a:graphic>
          </wp:inline>
        </w:drawing>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Rusia y Ucrania en conjunto representan alrededor del 30% de las exportaciones mundiales de trigo, según la OCDE. Esta materia prima es básica para la elaboración de algunos alimentos y </w:t>
      </w:r>
      <w:r>
        <w:rPr>
          <w:rFonts w:ascii="Times New Roman" w:hAnsi="Times New Roman" w:cs="Times New Roman"/>
          <w:sz w:val="24"/>
          <w:szCs w:val="24"/>
        </w:rPr>
        <w:t>para la dieta de los animales. “</w:t>
      </w:r>
      <w:r w:rsidRPr="00DB7E7F">
        <w:rPr>
          <w:rFonts w:ascii="Times New Roman" w:hAnsi="Times New Roman" w:cs="Times New Roman"/>
          <w:sz w:val="24"/>
          <w:szCs w:val="24"/>
        </w:rPr>
        <w:t>Un cese completo de las exportaciones de trigo de Rusia y Ucrania daría lugar a una grave escasez en muchas economías de merc</w:t>
      </w:r>
      <w:r>
        <w:rPr>
          <w:rFonts w:ascii="Times New Roman" w:hAnsi="Times New Roman" w:cs="Times New Roman"/>
          <w:sz w:val="24"/>
          <w:szCs w:val="24"/>
        </w:rPr>
        <w:t>ados emergentes y en desarrollo”</w:t>
      </w:r>
      <w:r w:rsidRPr="00DB7E7F">
        <w:rPr>
          <w:rFonts w:ascii="Times New Roman" w:hAnsi="Times New Roman" w:cs="Times New Roman"/>
          <w:sz w:val="24"/>
          <w:szCs w:val="24"/>
        </w:rPr>
        <w:t>, alerta en un informe publicado este jueves sobre el impacto económico y las implicaciones pol</w:t>
      </w:r>
      <w:r>
        <w:rPr>
          <w:rFonts w:ascii="Times New Roman" w:hAnsi="Times New Roman" w:cs="Times New Roman"/>
          <w:sz w:val="24"/>
          <w:szCs w:val="24"/>
        </w:rPr>
        <w:t>íticas de la guerra en Ucrania.</w:t>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La organización internacional a</w:t>
      </w:r>
      <w:r>
        <w:rPr>
          <w:rFonts w:ascii="Times New Roman" w:hAnsi="Times New Roman" w:cs="Times New Roman"/>
          <w:sz w:val="24"/>
          <w:szCs w:val="24"/>
        </w:rPr>
        <w:t>dvierte que si esto ocurriera, “</w:t>
      </w:r>
      <w:r w:rsidRPr="00DB7E7F">
        <w:rPr>
          <w:rFonts w:ascii="Times New Roman" w:hAnsi="Times New Roman" w:cs="Times New Roman"/>
          <w:sz w:val="24"/>
          <w:szCs w:val="24"/>
        </w:rPr>
        <w:t>existiría un riesgo agudo no solo de crisis económicas en algunos países, sino también de desastres humanitarios, con un fuerte au</w:t>
      </w:r>
      <w:r>
        <w:rPr>
          <w:rFonts w:ascii="Times New Roman" w:hAnsi="Times New Roman" w:cs="Times New Roman"/>
          <w:sz w:val="24"/>
          <w:szCs w:val="24"/>
        </w:rPr>
        <w:t>mento de la pobreza y el hambre”. Además, “</w:t>
      </w:r>
      <w:r w:rsidRPr="00DB7E7F">
        <w:rPr>
          <w:rFonts w:ascii="Times New Roman" w:hAnsi="Times New Roman" w:cs="Times New Roman"/>
          <w:sz w:val="24"/>
          <w:szCs w:val="24"/>
        </w:rPr>
        <w:t>la interrupción en la fabricación de fertilizantes corre el riesgo de hacer que estas interrupciones sean más duraderas, al poner bajo presión el suministro agrícola de los pr</w:t>
      </w:r>
      <w:r>
        <w:rPr>
          <w:rFonts w:ascii="Times New Roman" w:hAnsi="Times New Roman" w:cs="Times New Roman"/>
          <w:sz w:val="24"/>
          <w:szCs w:val="24"/>
        </w:rPr>
        <w:t>óximos años”, añade.</w:t>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Los precios hacen saltar las alarmas</w:t>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Índice de Precios de Consumo (IPC) ya refleja un alza en los precios de los productos que dependen del trigo. Las harinas y otros cereales fueron en febrero un 11,7%</w:t>
      </w:r>
      <w:r>
        <w:rPr>
          <w:rFonts w:ascii="Times New Roman" w:hAnsi="Times New Roman" w:cs="Times New Roman"/>
          <w:sz w:val="24"/>
          <w:szCs w:val="24"/>
        </w:rPr>
        <w:t>,</w:t>
      </w:r>
      <w:r w:rsidRPr="00DB7E7F">
        <w:rPr>
          <w:rFonts w:ascii="Times New Roman" w:hAnsi="Times New Roman" w:cs="Times New Roman"/>
          <w:sz w:val="24"/>
          <w:szCs w:val="24"/>
        </w:rPr>
        <w:t xml:space="preserve"> más caras que un año antes, mientras que el pan y otros productos de panadería se encarecieron un 6,4% y </w:t>
      </w:r>
      <w:r w:rsidRPr="00DB7E7F">
        <w:rPr>
          <w:rFonts w:ascii="Times New Roman" w:hAnsi="Times New Roman" w:cs="Times New Roman"/>
          <w:sz w:val="24"/>
          <w:szCs w:val="24"/>
        </w:rPr>
        <w:lastRenderedPageBreak/>
        <w:t>7,4%, respectivamente. Además, los alimentos para bebé, compuestos en su mayoría de cereales, subieron sus precio</w:t>
      </w:r>
      <w:r>
        <w:rPr>
          <w:rFonts w:ascii="Times New Roman" w:hAnsi="Times New Roman" w:cs="Times New Roman"/>
          <w:sz w:val="24"/>
          <w:szCs w:val="24"/>
        </w:rPr>
        <w:t>s un 10,5% en términos anuales.</w:t>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En su informe, la OCDE también refleja que los hogares vulnerables en España están más expuestos a una subida en los precios de la energía y los alimentos que los de otros países como Francia o Alemania. Para analizar el impacto de la inflación en los hogares, la OCDE divide a la población por quintiles y mide la proporción de sus ingresos que </w:t>
      </w:r>
      <w:r>
        <w:rPr>
          <w:rFonts w:ascii="Times New Roman" w:hAnsi="Times New Roman" w:cs="Times New Roman"/>
          <w:sz w:val="24"/>
          <w:szCs w:val="24"/>
        </w:rPr>
        <w:t xml:space="preserve">gastan en energía y alimentos. </w:t>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primer quintil, que representa a los individuos co</w:t>
      </w:r>
      <w:r>
        <w:rPr>
          <w:rFonts w:ascii="Times New Roman" w:hAnsi="Times New Roman" w:cs="Times New Roman"/>
          <w:sz w:val="24"/>
          <w:szCs w:val="24"/>
        </w:rPr>
        <w:t>n mayor nivel de pobreza, tiene</w:t>
      </w:r>
      <w:r w:rsidRPr="00DB7E7F">
        <w:rPr>
          <w:rFonts w:ascii="Times New Roman" w:hAnsi="Times New Roman" w:cs="Times New Roman"/>
          <w:sz w:val="24"/>
          <w:szCs w:val="24"/>
        </w:rPr>
        <w:t xml:space="preserve"> una exposición a los alimentos y la energía</w:t>
      </w:r>
      <w:r>
        <w:rPr>
          <w:rFonts w:ascii="Times New Roman" w:hAnsi="Times New Roman" w:cs="Times New Roman"/>
          <w:sz w:val="24"/>
          <w:szCs w:val="24"/>
        </w:rPr>
        <w:t>,</w:t>
      </w:r>
      <w:r w:rsidRPr="00DB7E7F">
        <w:rPr>
          <w:rFonts w:ascii="Times New Roman" w:hAnsi="Times New Roman" w:cs="Times New Roman"/>
          <w:sz w:val="24"/>
          <w:szCs w:val="24"/>
        </w:rPr>
        <w:t xml:space="preserve"> próximo al 25% en España, frente al 23% de Alemania y el 20% de Francia. Nuestro país también está ligeramente por encima de la media de la Unión Europea (UE). Por encima de España en lo que a vulnerabilidad de los hogares españoles se refiere están Grecia, Portugal y los países del Este de</w:t>
      </w:r>
      <w:r>
        <w:rPr>
          <w:rFonts w:ascii="Times New Roman" w:hAnsi="Times New Roman" w:cs="Times New Roman"/>
          <w:sz w:val="24"/>
          <w:szCs w:val="24"/>
        </w:rPr>
        <w:t xml:space="preserve"> Europa.</w:t>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Como solución, la OCDE apunta que si bien las rebajas fiscales en los precios energéticos y los límites de precios reducen directamente el coste, también benefician a los hogares de may</w:t>
      </w:r>
      <w:r>
        <w:rPr>
          <w:rFonts w:ascii="Times New Roman" w:hAnsi="Times New Roman" w:cs="Times New Roman"/>
          <w:sz w:val="24"/>
          <w:szCs w:val="24"/>
        </w:rPr>
        <w:t>ores ingresos. Por ese motivo, “</w:t>
      </w:r>
      <w:r w:rsidRPr="00DB7E7F">
        <w:rPr>
          <w:rFonts w:ascii="Times New Roman" w:hAnsi="Times New Roman" w:cs="Times New Roman"/>
          <w:sz w:val="24"/>
          <w:szCs w:val="24"/>
        </w:rPr>
        <w:t>las ayudas directas pueden orientarse mejor y tener mayores efectos multiplicadores si se enfocan en los hogares de ingresos bajos y medios, aunque puede lle</w:t>
      </w:r>
      <w:r>
        <w:rPr>
          <w:rFonts w:ascii="Times New Roman" w:hAnsi="Times New Roman" w:cs="Times New Roman"/>
          <w:sz w:val="24"/>
          <w:szCs w:val="24"/>
        </w:rPr>
        <w:t>var más tiempo implementarlas”.</w:t>
      </w:r>
    </w:p>
    <w:p w:rsidR="00F36C3D" w:rsidRPr="00DB7E7F"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panel de Funcas, que agrupa las estimaciones de una veintena de organismos económicos, ha elevado en 1,9 puntos la inflación media estimada para este año, del 3,5% estimado en enero al 5,4%. También ha incrementado ocho décimas la inflación subyacente (sin energía ni alimentos fresc</w:t>
      </w:r>
      <w:r>
        <w:rPr>
          <w:rFonts w:ascii="Times New Roman" w:hAnsi="Times New Roman" w:cs="Times New Roman"/>
          <w:sz w:val="24"/>
          <w:szCs w:val="24"/>
        </w:rPr>
        <w:t>os) hasta situarla en el 2,8%. “</w:t>
      </w:r>
      <w:r w:rsidRPr="00DB7E7F">
        <w:rPr>
          <w:rFonts w:ascii="Times New Roman" w:hAnsi="Times New Roman" w:cs="Times New Roman"/>
          <w:sz w:val="24"/>
          <w:szCs w:val="24"/>
        </w:rPr>
        <w:t>Las tensiones alcistas preexistentes, derivadas del encarecimiento de las materias primas y los cuellos de botella, se han agudizado tras la invasión de Ucrania, volviendo el panorama inflacioni</w:t>
      </w:r>
      <w:r>
        <w:rPr>
          <w:rFonts w:ascii="Times New Roman" w:hAnsi="Times New Roman" w:cs="Times New Roman"/>
          <w:sz w:val="24"/>
          <w:szCs w:val="24"/>
        </w:rPr>
        <w:t>sta aún más incierto”, señalan.</w:t>
      </w:r>
    </w:p>
    <w:p w:rsidR="00F36C3D" w:rsidRDefault="00F36C3D" w:rsidP="00F36C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Funcas explica que la economía mundial se enfrenta a un shock de oferta como consecuencia del impacto de la contienda en los mercados de la energía y de o</w:t>
      </w:r>
      <w:r>
        <w:rPr>
          <w:rFonts w:ascii="Times New Roman" w:hAnsi="Times New Roman" w:cs="Times New Roman"/>
          <w:sz w:val="24"/>
          <w:szCs w:val="24"/>
        </w:rPr>
        <w:t>tros recursos naturales clave. “</w:t>
      </w:r>
      <w:r w:rsidRPr="00DB7E7F">
        <w:rPr>
          <w:rFonts w:ascii="Times New Roman" w:hAnsi="Times New Roman" w:cs="Times New Roman"/>
          <w:sz w:val="24"/>
          <w:szCs w:val="24"/>
        </w:rPr>
        <w:t>La opinión mayoritaria es netamente pesimista con respecto al contexto internacional, tanto en la UE como fuera de ella. Además, prácticamente todos consideran que ese contexto se mantendrá en los próxi</w:t>
      </w:r>
      <w:r>
        <w:rPr>
          <w:rFonts w:ascii="Times New Roman" w:hAnsi="Times New Roman" w:cs="Times New Roman"/>
          <w:sz w:val="24"/>
          <w:szCs w:val="24"/>
        </w:rPr>
        <w:t>mos meses, o incluso irá a peor”</w:t>
      </w:r>
      <w:r w:rsidRPr="00DB7E7F">
        <w:rPr>
          <w:rFonts w:ascii="Times New Roman" w:hAnsi="Times New Roman" w:cs="Times New Roman"/>
          <w:sz w:val="24"/>
          <w:szCs w:val="24"/>
        </w:rPr>
        <w:t>, sentencian.</w:t>
      </w:r>
    </w:p>
    <w:p w:rsidR="00F36C3D" w:rsidRPr="000F4093" w:rsidRDefault="00F36C3D" w:rsidP="00F36C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F4093">
        <w:rPr>
          <w:rFonts w:ascii="Times New Roman" w:hAnsi="Times New Roman" w:cs="Times New Roman"/>
          <w:sz w:val="24"/>
          <w:szCs w:val="24"/>
          <w:u w:val="single"/>
        </w:rPr>
        <w:t>El trigo de Ucrania y el abandono de tierras de cultivo</w:t>
      </w:r>
      <w:r>
        <w:rPr>
          <w:rFonts w:ascii="Times New Roman" w:hAnsi="Times New Roman" w:cs="Times New Roman"/>
          <w:sz w:val="24"/>
          <w:szCs w:val="24"/>
        </w:rPr>
        <w:t xml:space="preserve"> (Cinco Días - </w:t>
      </w:r>
      <w:r w:rsidRPr="000F4093">
        <w:rPr>
          <w:rFonts w:ascii="Times New Roman" w:hAnsi="Times New Roman" w:cs="Times New Roman"/>
          <w:b/>
          <w:sz w:val="24"/>
          <w:szCs w:val="24"/>
        </w:rPr>
        <w:t>18/3/22</w:t>
      </w:r>
      <w:r>
        <w:rPr>
          <w:rFonts w:ascii="Times New Roman" w:hAnsi="Times New Roman" w:cs="Times New Roman"/>
          <w:sz w:val="24"/>
          <w:szCs w:val="24"/>
        </w:rPr>
        <w:t>)</w:t>
      </w:r>
    </w:p>
    <w:p w:rsidR="00F36C3D" w:rsidRPr="000F4093" w:rsidRDefault="00F36C3D" w:rsidP="00F36C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F4093">
        <w:rPr>
          <w:rFonts w:ascii="Times New Roman" w:hAnsi="Times New Roman" w:cs="Times New Roman"/>
          <w:sz w:val="24"/>
          <w:szCs w:val="24"/>
        </w:rPr>
        <w:t>Aurelio Medel Vicente</w:t>
      </w:r>
      <w:r>
        <w:rPr>
          <w:rFonts w:ascii="Times New Roman" w:hAnsi="Times New Roman" w:cs="Times New Roman"/>
          <w:sz w:val="24"/>
          <w:szCs w:val="24"/>
        </w:rPr>
        <w:t>)</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La pandemia y la guerra de Ucrania ponen al descubierto los riesgos del abandono de productos básicos, como alimentos, confiando su producción a países capaces de suministrarlos a bajo precio. El abaratamiento y rapidez del transporte han hecho creer que da igual donde se produzca un bien, lo relevante es el coste (Made in China). Esta bendita globalización también ha multiplicado la capacidad de contagio de los virus y las guerras. El Covid-19 y el Putin-22 enseñan que ni el pan ni la</w:t>
      </w:r>
      <w:r>
        <w:rPr>
          <w:rFonts w:ascii="Times New Roman" w:hAnsi="Times New Roman" w:cs="Times New Roman"/>
          <w:sz w:val="24"/>
          <w:szCs w:val="24"/>
        </w:rPr>
        <w:t xml:space="preserve"> democracia están garantizados.</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Las generaciones de la EGB aprendieron que Ucrania es el granero de Europa. Ahora, con la invasión de Vladimir Putin, hasta en la barra del bar se sabe que España depende de Rusia y Ucrania en productos tan básicos como los cereales y el girasol, imprescindibles en la alimentación humana y animal. Tener petróleo y gas es cuestión de suerte; pero, ¡el tr</w:t>
      </w:r>
      <w:r>
        <w:rPr>
          <w:rFonts w:ascii="Times New Roman" w:hAnsi="Times New Roman" w:cs="Times New Roman"/>
          <w:sz w:val="24"/>
          <w:szCs w:val="24"/>
        </w:rPr>
        <w:t>igo!</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El déficit en productos básicos está ligado a décadas (1960-1990) primando la industria frente al campo, lo urbano versus lo rural. Después vino la incorporación de España a la UE (1986) </w:t>
      </w:r>
      <w:r w:rsidRPr="000F4093">
        <w:rPr>
          <w:rFonts w:ascii="Times New Roman" w:hAnsi="Times New Roman" w:cs="Times New Roman"/>
          <w:sz w:val="24"/>
          <w:szCs w:val="24"/>
        </w:rPr>
        <w:lastRenderedPageBreak/>
        <w:t>y con ella a la Política Agraria Común (PAC) y el principio de que quien paga manda, dice qué se siembra y qué no. España tiene hoy un sector agrario muy atomizado, de baja rentabilidad, con poco peso en la economía nacional, pese a la enorme extensión que ocupa, y con problemas estructurales, algunos contradictorios, como que haya suelo de cultivo abandonad</w:t>
      </w:r>
      <w:r>
        <w:rPr>
          <w:rFonts w:ascii="Times New Roman" w:hAnsi="Times New Roman" w:cs="Times New Roman"/>
          <w:sz w:val="24"/>
          <w:szCs w:val="24"/>
        </w:rPr>
        <w:t>o y, a la vez, falta de tierra.</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España cuenta con 23 millones de hectáreas de superficie agraria útil (SAU), el 76% de secano y el 24% de regadío. De ese territorio, el 10%, 2,32 millones de hectáreas, se encuentran en estado de abandono, lo que supone que lleva más de cinco años en barbecho o ya es un erial, según datos del Fondo Español de Garantía Agraria (FEGA) de 2019. De esa superficie desaprovechada, tan solo el 9% eran pastos permanentes; el resto, tierras d</w:t>
      </w:r>
      <w:r>
        <w:rPr>
          <w:rFonts w:ascii="Times New Roman" w:hAnsi="Times New Roman" w:cs="Times New Roman"/>
          <w:sz w:val="24"/>
          <w:szCs w:val="24"/>
        </w:rPr>
        <w:t>e cultivo.</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Investigadores del Instituto Pirenaico de Ecología (CSIC), Teodoro Lasanta, Estela Nadal-Romero y Makki Khorchani, y la profesora de la Universidad de Murcia Asunción Romero-Díaz, publicaron en 2021 un estudio sobre las tierras abandonadas en España en el que detallaban una serie de causas socioeconómicas, ambientales y de gestión que explican este ab</w:t>
      </w:r>
      <w:r>
        <w:rPr>
          <w:rFonts w:ascii="Times New Roman" w:hAnsi="Times New Roman" w:cs="Times New Roman"/>
          <w:sz w:val="24"/>
          <w:szCs w:val="24"/>
        </w:rPr>
        <w:t>andono, entre las que destacan:</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1. La migración de la población rural hacia las ciudades y el enve</w:t>
      </w:r>
      <w:r>
        <w:rPr>
          <w:rFonts w:ascii="Times New Roman" w:hAnsi="Times New Roman" w:cs="Times New Roman"/>
          <w:sz w:val="24"/>
          <w:szCs w:val="24"/>
        </w:rPr>
        <w:t>jecimiento de la que permanece.</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2. Las innovaciones tecnológicas y la mecanización, que ha impulsado el abandono de laderas, campos pequeños y áreas poco acces</w:t>
      </w:r>
      <w:r>
        <w:rPr>
          <w:rFonts w:ascii="Times New Roman" w:hAnsi="Times New Roman" w:cs="Times New Roman"/>
          <w:sz w:val="24"/>
          <w:szCs w:val="24"/>
        </w:rPr>
        <w:t>ibles a la maquinaria agrícola.</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3. La baja productividad de algunos campos, por escasa fertilidad o suelos con horizontes poco desarrollados o </w:t>
      </w:r>
      <w:r>
        <w:rPr>
          <w:rFonts w:ascii="Times New Roman" w:hAnsi="Times New Roman" w:cs="Times New Roman"/>
          <w:sz w:val="24"/>
          <w:szCs w:val="24"/>
        </w:rPr>
        <w:t>muy pedregosos</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4. La elevada competitividad de los mercados, lo que hace poco rentables algunos cu</w:t>
      </w:r>
      <w:r>
        <w:rPr>
          <w:rFonts w:ascii="Times New Roman" w:hAnsi="Times New Roman" w:cs="Times New Roman"/>
          <w:sz w:val="24"/>
          <w:szCs w:val="24"/>
        </w:rPr>
        <w:t>ltivos y algunas zonas rurales.</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5. Los efectos de la PAC, que entre 1989 y 2008 incentivó el abandono de tierras agrícolas </w:t>
      </w:r>
      <w:r>
        <w:rPr>
          <w:rFonts w:ascii="Times New Roman" w:hAnsi="Times New Roman" w:cs="Times New Roman"/>
          <w:sz w:val="24"/>
          <w:szCs w:val="24"/>
        </w:rPr>
        <w:t>de forma permanente o temporal.</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6. El clima en ambientes semiáridos que reduce la productividad y aumenta la incertidumbre frente a l</w:t>
      </w:r>
      <w:r>
        <w:rPr>
          <w:rFonts w:ascii="Times New Roman" w:hAnsi="Times New Roman" w:cs="Times New Roman"/>
          <w:sz w:val="24"/>
          <w:szCs w:val="24"/>
        </w:rPr>
        <w:t>a irregularidad de las lluvias.</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7. La existenc</w:t>
      </w:r>
      <w:r>
        <w:rPr>
          <w:rFonts w:ascii="Times New Roman" w:hAnsi="Times New Roman" w:cs="Times New Roman"/>
          <w:sz w:val="24"/>
          <w:szCs w:val="24"/>
        </w:rPr>
        <w:t>ia de ocupaciones alternativas.</w:t>
      </w:r>
    </w:p>
    <w:p w:rsidR="00F36C3D"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8. Factores vinculados a la gestión: inadecuado manejo de explotaciones, sobreexplotación y salinización del suelo y/o de los acuíferos, etc. Estas razones para abandonar suelo útil conviven con que el acceso a la tierra sea la principal barrera de entrada de los jóvenes al sector agrícola, según un estudio realizado por la Comisión Europea. Por eso, el Ministerio de Agricultura, Pesca y Alimentación creó un Grupo Focal de Acceso a la Tierra que en 2020 elaboró un info</w:t>
      </w:r>
      <w:r>
        <w:rPr>
          <w:rFonts w:ascii="Times New Roman" w:hAnsi="Times New Roman" w:cs="Times New Roman"/>
          <w:sz w:val="24"/>
          <w:szCs w:val="24"/>
        </w:rPr>
        <w:t>rme para abordar este problema.</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La superficie agraria española está gestionada por 945.000 explotaciones, con un tamaño medio de 25 hectáreas, el 93% propiedad de personas físicas. Se trata, por tanto, de un sector familiar. Esta característica, que es clave para vertebrar el territorio y fijar población, se convierte en “uno de los principales problemas que amenazan el futuro del sector agrario español, la falta de relevo generacional”, señala el estudio sobre el acceso a la tierra elaborado por el Ministerio de Agricultura, Pesca y Alimentación. En España, por cada joven </w:t>
      </w:r>
      <w:r w:rsidRPr="000F4093">
        <w:rPr>
          <w:rFonts w:ascii="Times New Roman" w:hAnsi="Times New Roman" w:cs="Times New Roman"/>
          <w:sz w:val="24"/>
          <w:szCs w:val="24"/>
        </w:rPr>
        <w:lastRenderedPageBreak/>
        <w:t>agricultor (menor de 40 años) hay casi cuatro mayores de 65 años, mientras que la media de la UE e</w:t>
      </w:r>
      <w:r>
        <w:rPr>
          <w:rFonts w:ascii="Times New Roman" w:hAnsi="Times New Roman" w:cs="Times New Roman"/>
          <w:sz w:val="24"/>
          <w:szCs w:val="24"/>
        </w:rPr>
        <w:t>s de un joven por tres mayores.</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Para solventar esta situación de abandono de tierras y, a la vez, dificultad de acceso a las mismas, el Estado y las comunidades autónomas han promovido diferentes iniciativas, que no han dado grandes resultados. Todos tienen el mismo propósito, cultivar aquellas tierras que por una razón u otra han quedado abandonadas. No se trata solo de tierras de montaña de difícil explotación, hay bancos de tierras de regadío en Extremadura o en la huerta murciana, que se ofrecen para intermediar entre los propietarios que no las cultivan y </w:t>
      </w:r>
      <w:r>
        <w:rPr>
          <w:rFonts w:ascii="Times New Roman" w:hAnsi="Times New Roman" w:cs="Times New Roman"/>
          <w:sz w:val="24"/>
          <w:szCs w:val="24"/>
        </w:rPr>
        <w:t>los interesados en explotarlas.</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La semana pasada el grupo Armanext, especializado en sacar compañías a Bolsa, presentó una iniciativa que encaja entre las soluciones que plantea el Estudio Sobre el Acceso a la Tierra, dar entrada a nuevos actores. Armanext sugiere extender la regulación de las socimi al sector agrario, como ya ocurre en otros países. En definitiva, como sucede en hoteles o centros comerciales, separar la propiedad del activo (edificio/tierra) de la gestión (la explotación), de manera que familias propietarias, pero desinteresadas en el sector agrícola, puedan arrendarlas a largo plazo a jóvenes o </w:t>
      </w:r>
      <w:r>
        <w:rPr>
          <w:rFonts w:ascii="Times New Roman" w:hAnsi="Times New Roman" w:cs="Times New Roman"/>
          <w:sz w:val="24"/>
          <w:szCs w:val="24"/>
        </w:rPr>
        <w:t>empresas para que las exploten.</w:t>
      </w:r>
    </w:p>
    <w:p w:rsidR="00F36C3D" w:rsidRPr="000F4093" w:rsidRDefault="00F36C3D" w:rsidP="00F36C3D">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Esto facilitaría que, por ejemplo, el capital riesgo, que ya ha entrado en la industria agroalimentaria, dé un paso más y se interese por los cultivos e inyecte capital que facilite la modernización y ensanche el campo. Esto podría generar un círculo virtuoso, con explotación de tierras abandonadas, creación de empleo, sostenimiento de población en zonas rurales, reapertura de servicios públicos, revalorización del patrimonio rural y menor dependencia del exterior en productos básicos. Es un lujo absurdo tener un 10% del suelo cultivable como un erial, cualquier medida que lo movi</w:t>
      </w:r>
      <w:r>
        <w:rPr>
          <w:rFonts w:ascii="Times New Roman" w:hAnsi="Times New Roman" w:cs="Times New Roman"/>
          <w:sz w:val="24"/>
          <w:szCs w:val="24"/>
        </w:rPr>
        <w:t>lice debería ser bien recibida.</w:t>
      </w:r>
    </w:p>
    <w:p w:rsidR="00F36C3D" w:rsidRDefault="00F36C3D" w:rsidP="00F36C3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F4093">
        <w:rPr>
          <w:rFonts w:ascii="Times New Roman" w:hAnsi="Times New Roman" w:cs="Times New Roman"/>
          <w:sz w:val="24"/>
          <w:szCs w:val="24"/>
        </w:rPr>
        <w:t>Aurelio Medel es Doctor en Ciencias de la Información. Profesor de la Universidad Complutense</w:t>
      </w:r>
      <w:r>
        <w:rPr>
          <w:rFonts w:ascii="Times New Roman" w:hAnsi="Times New Roman" w:cs="Times New Roman"/>
          <w:sz w:val="24"/>
          <w:szCs w:val="24"/>
        </w:rPr>
        <w:t>)</w:t>
      </w:r>
    </w:p>
    <w:p w:rsidR="00F36C3D" w:rsidRPr="00E95572" w:rsidRDefault="00F36C3D" w:rsidP="00F36C3D">
      <w:pPr>
        <w:pStyle w:val="NormalWeb"/>
        <w:spacing w:after="360"/>
        <w:jc w:val="both"/>
        <w:rPr>
          <w:color w:val="000000"/>
        </w:rPr>
      </w:pPr>
      <w:r>
        <w:rPr>
          <w:color w:val="000000"/>
        </w:rPr>
        <w:t xml:space="preserve">- </w:t>
      </w:r>
      <w:r w:rsidRPr="00E95572">
        <w:rPr>
          <w:color w:val="000000"/>
          <w:u w:val="single"/>
        </w:rPr>
        <w:t>España puede volver a ser el granero de Europa y esto es lo que necesita</w:t>
      </w:r>
      <w:r>
        <w:rPr>
          <w:color w:val="000000"/>
        </w:rPr>
        <w:t xml:space="preserve"> (El Confidencial - </w:t>
      </w:r>
      <w:r w:rsidRPr="00E95572">
        <w:rPr>
          <w:b/>
          <w:color w:val="000000"/>
        </w:rPr>
        <w:t>19/3/22</w:t>
      </w:r>
      <w:r>
        <w:rPr>
          <w:color w:val="000000"/>
        </w:rPr>
        <w:t>)</w:t>
      </w:r>
    </w:p>
    <w:p w:rsidR="00F36C3D" w:rsidRPr="00E95572" w:rsidRDefault="00F36C3D" w:rsidP="00F36C3D">
      <w:pPr>
        <w:pStyle w:val="NormalWeb"/>
        <w:spacing w:after="360"/>
        <w:jc w:val="both"/>
        <w:rPr>
          <w:color w:val="000000"/>
        </w:rPr>
      </w:pPr>
      <w:r w:rsidRPr="00E95572">
        <w:rPr>
          <w:color w:val="000000"/>
        </w:rPr>
        <w:t>El ministro Planas defenderá este lunes flexibilidad con los cupos, el barbecho y el suelo de interés ecológico para plantar cereales mientras abre la mano al grano de Brasil y Argentina por la guerra en Ucrania</w:t>
      </w:r>
    </w:p>
    <w:p w:rsidR="00F36C3D" w:rsidRDefault="00F36C3D" w:rsidP="00F36C3D">
      <w:pPr>
        <w:pStyle w:val="NormalWeb"/>
        <w:spacing w:after="360"/>
        <w:jc w:val="both"/>
        <w:rPr>
          <w:color w:val="000000"/>
        </w:rPr>
      </w:pPr>
      <w:r>
        <w:rPr>
          <w:color w:val="000000"/>
        </w:rPr>
        <w:t>Dice el viejo refrán “</w:t>
      </w:r>
      <w:r w:rsidRPr="00E95572">
        <w:rPr>
          <w:color w:val="000000"/>
        </w:rPr>
        <w:t>Lluvia, sol y guerra en Sebastopol. As</w:t>
      </w:r>
      <w:r>
        <w:rPr>
          <w:color w:val="000000"/>
        </w:rPr>
        <w:t>í beneficia al grano castellano”</w:t>
      </w:r>
      <w:r w:rsidRPr="00E95572">
        <w:rPr>
          <w:color w:val="000000"/>
        </w:rPr>
        <w:t xml:space="preserve"> y la máxima puede hacerse realidad en pleno conflicto bélico en Ucrania. Se trata de hacer de la necesidad urgente una oportunidad de que España recupere su papel de granero de Europa, aunque no será fácil ni inmediato. El Gobierno llevará este lunes al Consejo de Ministros de Agricultura y Pesca de la Comisión Europea un paquete de propuestas para hacer frente a la crisis por la invasión rusa. El m</w:t>
      </w:r>
      <w:r>
        <w:rPr>
          <w:color w:val="000000"/>
        </w:rPr>
        <w:t>inistro Luis Planas cosechó el “apoyo cerrado”</w:t>
      </w:r>
      <w:r w:rsidRPr="00E95572">
        <w:rPr>
          <w:color w:val="000000"/>
        </w:rPr>
        <w:t xml:space="preserve"> de todas las comunidades autónomas durante la Conferencia Sectorial de esta semana. La reunión en Bruselas se celebrará apenas unas horas después de la gran protesta del campo español en Madrid</w:t>
      </w:r>
      <w:r>
        <w:rPr>
          <w:color w:val="000000"/>
        </w:rPr>
        <w:t xml:space="preserve">… </w:t>
      </w:r>
    </w:p>
    <w:p w:rsidR="00F36C3D" w:rsidRPr="00A54C10" w:rsidRDefault="00F36C3D" w:rsidP="00F36C3D">
      <w:pPr>
        <w:pStyle w:val="NormalWeb"/>
        <w:spacing w:after="360"/>
        <w:jc w:val="both"/>
        <w:rPr>
          <w:b/>
          <w:shd w:val="clear" w:color="auto" w:fill="FFFFFF"/>
        </w:rPr>
      </w:pPr>
      <w:r w:rsidRPr="00A54C10">
        <w:rPr>
          <w:b/>
          <w:shd w:val="clear" w:color="auto" w:fill="FFFFFF"/>
        </w:rPr>
        <w:t>Nota: A la Unión Europea se le acabó el cuento del “fin de la historia”, ahora se ven obligados a hacerla, aunque sea sobre la tierra de Ucrania, martirizada en millones de refugiados y una guerra implacable de la que sólo intuimos dos certezas, que sus efectos serán duraderos y que dejará muchas víctimas. </w:t>
      </w:r>
    </w:p>
    <w:p w:rsidR="002B7C74" w:rsidRPr="00C44C18"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r>
        <w:rPr>
          <w:rFonts w:ascii="Times New Roman" w:eastAsia="Times New Roman" w:hAnsi="Times New Roman" w:cs="Times New Roman"/>
          <w:b/>
          <w:bCs/>
          <w:kern w:val="36"/>
          <w:sz w:val="24"/>
          <w:szCs w:val="24"/>
          <w:lang w:eastAsia="es-ES"/>
        </w:rPr>
        <w:lastRenderedPageBreak/>
        <w:t>- La PAC equivale a</w:t>
      </w:r>
      <w:r w:rsidRPr="00C44C18">
        <w:rPr>
          <w:rFonts w:ascii="Times New Roman" w:eastAsia="Times New Roman" w:hAnsi="Times New Roman" w:cs="Times New Roman"/>
          <w:b/>
          <w:bCs/>
          <w:kern w:val="36"/>
          <w:sz w:val="24"/>
          <w:szCs w:val="24"/>
          <w:lang w:eastAsia="es-ES"/>
        </w:rPr>
        <w:t xml:space="preserve"> una </w:t>
      </w:r>
      <w:r>
        <w:rPr>
          <w:rFonts w:ascii="Times New Roman" w:eastAsia="Times New Roman" w:hAnsi="Times New Roman" w:cs="Times New Roman"/>
          <w:b/>
          <w:bCs/>
          <w:kern w:val="36"/>
          <w:sz w:val="24"/>
          <w:szCs w:val="24"/>
          <w:lang w:eastAsia="es-ES"/>
        </w:rPr>
        <w:t>“</w:t>
      </w:r>
      <w:r w:rsidRPr="00C44C18">
        <w:rPr>
          <w:rFonts w:ascii="Times New Roman" w:eastAsia="Times New Roman" w:hAnsi="Times New Roman" w:cs="Times New Roman"/>
          <w:b/>
          <w:bCs/>
          <w:kern w:val="36"/>
          <w:sz w:val="24"/>
          <w:szCs w:val="24"/>
          <w:lang w:eastAsia="es-ES"/>
        </w:rPr>
        <w:t>planifica</w:t>
      </w:r>
      <w:r>
        <w:rPr>
          <w:rFonts w:ascii="Times New Roman" w:eastAsia="Times New Roman" w:hAnsi="Times New Roman" w:cs="Times New Roman"/>
          <w:b/>
          <w:bCs/>
          <w:kern w:val="36"/>
          <w:sz w:val="24"/>
          <w:szCs w:val="24"/>
          <w:lang w:eastAsia="es-ES"/>
        </w:rPr>
        <w:t>ción” semejante a los Planes Quinquenales</w:t>
      </w:r>
      <w:r w:rsidR="0063040C">
        <w:rPr>
          <w:rFonts w:ascii="Times New Roman" w:eastAsia="Times New Roman" w:hAnsi="Times New Roman" w:cs="Times New Roman"/>
          <w:b/>
          <w:bCs/>
          <w:kern w:val="36"/>
          <w:sz w:val="24"/>
          <w:szCs w:val="24"/>
          <w:lang w:eastAsia="es-ES"/>
        </w:rPr>
        <w:t xml:space="preserve"> de la Unión Soviética</w:t>
      </w:r>
      <w:r>
        <w:rPr>
          <w:rFonts w:ascii="Times New Roman" w:eastAsia="Times New Roman" w:hAnsi="Times New Roman" w:cs="Times New Roman"/>
          <w:b/>
          <w:bCs/>
          <w:kern w:val="36"/>
          <w:sz w:val="24"/>
          <w:szCs w:val="24"/>
          <w:lang w:eastAsia="es-ES"/>
        </w:rPr>
        <w:t xml:space="preserve"> </w:t>
      </w:r>
      <w:r w:rsidR="0063040C">
        <w:rPr>
          <w:rFonts w:ascii="Times New Roman" w:eastAsia="Times New Roman" w:hAnsi="Times New Roman" w:cs="Times New Roman"/>
          <w:b/>
          <w:bCs/>
          <w:kern w:val="36"/>
          <w:sz w:val="24"/>
          <w:szCs w:val="24"/>
          <w:lang w:eastAsia="es-ES"/>
        </w:rPr>
        <w:t>-1928-199</w:t>
      </w:r>
      <w:r w:rsidR="00A54C10">
        <w:rPr>
          <w:rFonts w:ascii="Times New Roman" w:eastAsia="Times New Roman" w:hAnsi="Times New Roman" w:cs="Times New Roman"/>
          <w:b/>
          <w:bCs/>
          <w:kern w:val="36"/>
          <w:sz w:val="24"/>
          <w:szCs w:val="24"/>
          <w:lang w:eastAsia="es-ES"/>
        </w:rPr>
        <w:t>1</w:t>
      </w:r>
      <w:r>
        <w:rPr>
          <w:rFonts w:ascii="Times New Roman" w:eastAsia="Times New Roman" w:hAnsi="Times New Roman" w:cs="Times New Roman"/>
          <w:b/>
          <w:bCs/>
          <w:kern w:val="36"/>
          <w:sz w:val="24"/>
          <w:szCs w:val="24"/>
          <w:lang w:eastAsia="es-ES"/>
        </w:rPr>
        <w:t>-</w:t>
      </w:r>
      <w:r w:rsidR="00F63799">
        <w:rPr>
          <w:rFonts w:ascii="Times New Roman" w:eastAsia="Times New Roman" w:hAnsi="Times New Roman" w:cs="Times New Roman"/>
          <w:b/>
          <w:bCs/>
          <w:kern w:val="36"/>
          <w:sz w:val="24"/>
          <w:szCs w:val="24"/>
          <w:lang w:eastAsia="es-ES"/>
        </w:rPr>
        <w:t xml:space="preserve"> (de</w:t>
      </w:r>
      <w:r w:rsidR="0063040C">
        <w:rPr>
          <w:rFonts w:ascii="Times New Roman" w:eastAsia="Times New Roman" w:hAnsi="Times New Roman" w:cs="Times New Roman"/>
          <w:b/>
          <w:bCs/>
          <w:kern w:val="36"/>
          <w:sz w:val="24"/>
          <w:szCs w:val="24"/>
          <w:lang w:eastAsia="es-ES"/>
        </w:rPr>
        <w:t xml:space="preserve"> triste recuerdo, y arriesgado</w:t>
      </w:r>
      <w:r>
        <w:rPr>
          <w:rFonts w:ascii="Times New Roman" w:eastAsia="Times New Roman" w:hAnsi="Times New Roman" w:cs="Times New Roman"/>
          <w:b/>
          <w:bCs/>
          <w:kern w:val="36"/>
          <w:sz w:val="24"/>
          <w:szCs w:val="24"/>
          <w:lang w:eastAsia="es-ES"/>
        </w:rPr>
        <w:t xml:space="preserve"> presente)</w:t>
      </w:r>
      <w:r w:rsidRPr="00C44C18">
        <w:rPr>
          <w:rFonts w:ascii="Times New Roman" w:eastAsia="Times New Roman" w:hAnsi="Times New Roman" w:cs="Times New Roman"/>
          <w:b/>
          <w:bCs/>
          <w:kern w:val="36"/>
          <w:sz w:val="24"/>
          <w:szCs w:val="24"/>
          <w:lang w:eastAsia="es-ES"/>
        </w:rPr>
        <w:t xml:space="preserve"> </w:t>
      </w:r>
    </w:p>
    <w:p w:rsidR="002B7C74" w:rsidRPr="00C44C18"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p>
    <w:p w:rsidR="00F63799" w:rsidRDefault="00A54C10" w:rsidP="002B7C74">
      <w:pPr>
        <w:spacing w:after="0" w:line="240" w:lineRule="auto"/>
        <w:jc w:val="both"/>
        <w:outlineLvl w:val="0"/>
        <w:rPr>
          <w:rFonts w:ascii="Times New Roman" w:eastAsia="Times New Roman" w:hAnsi="Times New Roman" w:cs="Times New Roman"/>
          <w:b/>
          <w:bCs/>
          <w:kern w:val="36"/>
          <w:sz w:val="24"/>
          <w:szCs w:val="24"/>
          <w:lang w:eastAsia="es-ES"/>
        </w:rPr>
      </w:pPr>
      <w:r>
        <w:rPr>
          <w:rFonts w:ascii="Times New Roman" w:eastAsia="Times New Roman" w:hAnsi="Times New Roman" w:cs="Times New Roman"/>
          <w:b/>
          <w:bCs/>
          <w:kern w:val="36"/>
          <w:sz w:val="24"/>
          <w:szCs w:val="24"/>
          <w:lang w:eastAsia="es-ES"/>
        </w:rPr>
        <w:t>El “espíritu” del</w:t>
      </w:r>
      <w:r w:rsidR="00F63799">
        <w:rPr>
          <w:rFonts w:ascii="Times New Roman" w:eastAsia="Times New Roman" w:hAnsi="Times New Roman" w:cs="Times New Roman"/>
          <w:b/>
          <w:bCs/>
          <w:kern w:val="36"/>
          <w:sz w:val="24"/>
          <w:szCs w:val="24"/>
          <w:lang w:eastAsia="es-ES"/>
        </w:rPr>
        <w:t xml:space="preserve"> </w:t>
      </w:r>
      <w:r w:rsidR="0063040C">
        <w:rPr>
          <w:rFonts w:ascii="Times New Roman" w:eastAsia="Times New Roman" w:hAnsi="Times New Roman" w:cs="Times New Roman"/>
          <w:b/>
          <w:bCs/>
          <w:kern w:val="36"/>
          <w:sz w:val="24"/>
          <w:szCs w:val="24"/>
          <w:lang w:eastAsia="es-ES"/>
        </w:rPr>
        <w:t>Gosplá</w:t>
      </w:r>
      <w:r w:rsidR="00F63799">
        <w:rPr>
          <w:rFonts w:ascii="Times New Roman" w:eastAsia="Times New Roman" w:hAnsi="Times New Roman" w:cs="Times New Roman"/>
          <w:b/>
          <w:bCs/>
          <w:kern w:val="36"/>
          <w:sz w:val="24"/>
          <w:szCs w:val="24"/>
          <w:lang w:eastAsia="es-ES"/>
        </w:rPr>
        <w:t>n</w:t>
      </w:r>
      <w:r>
        <w:rPr>
          <w:rFonts w:ascii="Times New Roman" w:eastAsia="Times New Roman" w:hAnsi="Times New Roman" w:cs="Times New Roman"/>
          <w:b/>
          <w:bCs/>
          <w:kern w:val="36"/>
          <w:sz w:val="24"/>
          <w:szCs w:val="24"/>
          <w:lang w:eastAsia="es-ES"/>
        </w:rPr>
        <w:t xml:space="preserve"> (*)</w:t>
      </w:r>
      <w:r w:rsidR="0063040C">
        <w:rPr>
          <w:rFonts w:ascii="Times New Roman" w:eastAsia="Times New Roman" w:hAnsi="Times New Roman" w:cs="Times New Roman"/>
          <w:b/>
          <w:bCs/>
          <w:kern w:val="36"/>
          <w:sz w:val="24"/>
          <w:szCs w:val="24"/>
          <w:lang w:eastAsia="es-ES"/>
        </w:rPr>
        <w:t xml:space="preserve"> en</w:t>
      </w:r>
      <w:r w:rsidR="009B1AA2">
        <w:rPr>
          <w:rFonts w:ascii="Times New Roman" w:eastAsia="Times New Roman" w:hAnsi="Times New Roman" w:cs="Times New Roman"/>
          <w:b/>
          <w:bCs/>
          <w:kern w:val="36"/>
          <w:sz w:val="24"/>
          <w:szCs w:val="24"/>
          <w:lang w:eastAsia="es-ES"/>
        </w:rPr>
        <w:t xml:space="preserve"> la Política Agraria Común</w:t>
      </w:r>
      <w:r w:rsidR="002B7C74">
        <w:rPr>
          <w:rFonts w:ascii="Times New Roman" w:eastAsia="Times New Roman" w:hAnsi="Times New Roman" w:cs="Times New Roman"/>
          <w:b/>
          <w:bCs/>
          <w:kern w:val="36"/>
          <w:sz w:val="24"/>
          <w:szCs w:val="24"/>
          <w:lang w:eastAsia="es-ES"/>
        </w:rPr>
        <w:t xml:space="preserve">: </w:t>
      </w:r>
      <w:r w:rsidR="002B7C74" w:rsidRPr="00187C8E">
        <w:rPr>
          <w:rFonts w:ascii="Times New Roman" w:eastAsia="Times New Roman" w:hAnsi="Times New Roman" w:cs="Times New Roman"/>
          <w:b/>
          <w:bCs/>
          <w:kern w:val="36"/>
          <w:sz w:val="24"/>
          <w:szCs w:val="24"/>
          <w:lang w:eastAsia="es-ES"/>
        </w:rPr>
        <w:t>Ficha Analítica - España</w:t>
      </w:r>
    </w:p>
    <w:p w:rsidR="00F63799" w:rsidRDefault="00F63799" w:rsidP="002B7C74">
      <w:pPr>
        <w:spacing w:after="0" w:line="240" w:lineRule="auto"/>
        <w:jc w:val="both"/>
        <w:outlineLvl w:val="0"/>
        <w:rPr>
          <w:rFonts w:ascii="Times New Roman" w:eastAsia="Times New Roman" w:hAnsi="Times New Roman" w:cs="Times New Roman"/>
          <w:b/>
          <w:bCs/>
          <w:kern w:val="36"/>
          <w:sz w:val="24"/>
          <w:szCs w:val="24"/>
          <w:lang w:eastAsia="es-ES"/>
        </w:rPr>
      </w:pPr>
    </w:p>
    <w:p w:rsidR="002B7C74" w:rsidRPr="00F63799" w:rsidRDefault="00F63799" w:rsidP="002B7C74">
      <w:pPr>
        <w:spacing w:after="0" w:line="240" w:lineRule="auto"/>
        <w:jc w:val="both"/>
        <w:outlineLvl w:val="0"/>
        <w:rPr>
          <w:rFonts w:ascii="Times New Roman" w:eastAsia="Times New Roman" w:hAnsi="Times New Roman" w:cs="Times New Roman"/>
          <w:bCs/>
          <w:kern w:val="36"/>
          <w:sz w:val="24"/>
          <w:szCs w:val="24"/>
          <w:lang w:eastAsia="es-ES"/>
        </w:rPr>
      </w:pPr>
      <w:r w:rsidRPr="00F63799">
        <w:rPr>
          <w:rFonts w:ascii="Times New Roman" w:eastAsia="Times New Roman" w:hAnsi="Times New Roman" w:cs="Times New Roman"/>
          <w:bCs/>
          <w:kern w:val="36"/>
          <w:sz w:val="24"/>
          <w:szCs w:val="24"/>
          <w:lang w:eastAsia="es-ES"/>
        </w:rPr>
        <w:t xml:space="preserve">(Así como este, hay un </w:t>
      </w:r>
      <w:r w:rsidR="007E482E">
        <w:rPr>
          <w:rFonts w:ascii="Times New Roman" w:eastAsia="Times New Roman" w:hAnsi="Times New Roman" w:cs="Times New Roman"/>
          <w:bCs/>
          <w:kern w:val="36"/>
          <w:sz w:val="24"/>
          <w:szCs w:val="24"/>
          <w:lang w:eastAsia="es-ES"/>
        </w:rPr>
        <w:t xml:space="preserve">“exhaustivo” </w:t>
      </w:r>
      <w:r w:rsidRPr="00F63799">
        <w:rPr>
          <w:rFonts w:ascii="Times New Roman" w:eastAsia="Times New Roman" w:hAnsi="Times New Roman" w:cs="Times New Roman"/>
          <w:bCs/>
          <w:kern w:val="36"/>
          <w:sz w:val="24"/>
          <w:szCs w:val="24"/>
          <w:lang w:eastAsia="es-ES"/>
        </w:rPr>
        <w:t xml:space="preserve">plan para </w:t>
      </w:r>
      <w:r w:rsidR="0063040C">
        <w:rPr>
          <w:rFonts w:ascii="Times New Roman" w:eastAsia="Times New Roman" w:hAnsi="Times New Roman" w:cs="Times New Roman"/>
          <w:bCs/>
          <w:kern w:val="36"/>
          <w:sz w:val="24"/>
          <w:szCs w:val="24"/>
          <w:lang w:eastAsia="es-ES"/>
        </w:rPr>
        <w:t>cada uno de los países miembro</w:t>
      </w:r>
      <w:r w:rsidR="007E482E">
        <w:rPr>
          <w:rFonts w:ascii="Times New Roman" w:eastAsia="Times New Roman" w:hAnsi="Times New Roman" w:cs="Times New Roman"/>
          <w:bCs/>
          <w:kern w:val="36"/>
          <w:sz w:val="24"/>
          <w:szCs w:val="24"/>
          <w:lang w:eastAsia="es-ES"/>
        </w:rPr>
        <w:t xml:space="preserve"> de la UE)</w:t>
      </w:r>
      <w:r w:rsidR="002B7C74" w:rsidRPr="00F63799">
        <w:rPr>
          <w:rFonts w:ascii="Times New Roman" w:eastAsia="Times New Roman" w:hAnsi="Times New Roman" w:cs="Times New Roman"/>
          <w:bCs/>
          <w:kern w:val="36"/>
          <w:sz w:val="24"/>
          <w:szCs w:val="24"/>
          <w:lang w:eastAsia="es-ES"/>
        </w:rPr>
        <w:t xml:space="preserve"> </w:t>
      </w:r>
    </w:p>
    <w:p w:rsidR="002B7C74" w:rsidRPr="00187C8E"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Diez objetivos para una futura Política Agrícola Común.</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Esta ficha informativa proporciona una visión general del sector agrícola y el desarrollo rural en España. En forma de panel interactivo, presenta datos y cifras para cada uno de los 10 objetivos específicos de la Política Agrícola Común después de 2020, tal como se define en el reglamento (UE) 2021/2115. La información refleja indicadores de contexto comunes e indicadores de impacto en relación con la agricultura y el desarrollo rural para los que se dispone de datos hasta la fecha. Esta ficha informativa se basa en la información disponible recibida de los Estados miembros por la Comisión hasta diciembre de 2021 para una serie de objetivos específicos. Los datos para los objetivos restantes estarán disponibles a principios de 2022. Los datos se ponen a disposición sin perjuicio de cualquier conclusión con respecto al cumplimiento del marco regulatorio por parte de los Estados miembros y no prejuzga sobre el cumplimiento de los Estados miembros.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t>Contribuir a la mitigación y adaptación al cambio climático</w:t>
      </w:r>
    </w:p>
    <w:p w:rsidR="002B7C74" w:rsidRPr="00187C8E"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Contribuir a la mitigación y adaptación al cambio climático, incluso mediante la reducción de las emisiones de gases de efecto invernadero y la mejora del secuestro de carbono, así como promover la energía sostenible.</w:t>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Contribuyendo a la mitigación del cambio climático</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agricultura contribuye al cambio climático principalmente al emitir tres gases de efecto invernadero (GEI). Primero, está el metano (CH4) de los procesos de digestión del ganado (fermentación entérica), manejo del estiércol y cultivo de arroz. En segundo lugar, el óxido nitroso (N2O) procedente de suelos agrícolas con fertilización nitrogenada orgánica y mineral y manejo de estiércol. Y en tercer lugar, el dióxido de carbono (CO2) del suelo como resultado de la gestión de las tierras agrícolas, como el arado o la conversión del uso de la tierra, por ejemplo, de pastizales a tierras de cultivo. Estas prácticas pueden conducir a la mineralización del carbono orgánico del suelo a CO2 emitido a la atmósfera.</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A54C10"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Las tierras agrícolas también pueden actuar como sumideros de GEI, ya que la vegetación en crecimiento absorbe CO2 de la atmósfera que luego se almacena de manera temporal o permanente en biomasa o suelos.</w:t>
      </w:r>
      <w:r w:rsidR="00DE64B9">
        <w:rPr>
          <w:rFonts w:ascii="Times New Roman" w:eastAsia="Times New Roman" w:hAnsi="Times New Roman" w:cs="Times New Roman"/>
          <w:color w:val="000000"/>
          <w:sz w:val="24"/>
          <w:szCs w:val="24"/>
          <w:lang w:eastAsia="es-ES"/>
        </w:rPr>
        <w:t xml:space="preserve"> </w:t>
      </w:r>
      <w:r w:rsidRPr="00187C8E">
        <w:rPr>
          <w:rFonts w:ascii="Times New Roman" w:eastAsia="Times New Roman" w:hAnsi="Times New Roman" w:cs="Times New Roman"/>
          <w:color w:val="000000"/>
          <w:sz w:val="24"/>
          <w:szCs w:val="24"/>
          <w:lang w:eastAsia="es-ES"/>
        </w:rPr>
        <w:t>El indicador presenta una suma de las emisiones principalmente distintas del CO2 de la fermentación entérica, la gestión del estiércol, el cultivo de arroz y la gestión del suelo y de las emisiones y absorciones de CO2 de UTCUTS (uso de la tierra, cambio de uso de la tierra y silvicultura) de pastizales y tierras de cultivo. Estos son informados por los Es</w:t>
      </w:r>
      <w:r>
        <w:rPr>
          <w:rFonts w:ascii="Times New Roman" w:eastAsia="Times New Roman" w:hAnsi="Times New Roman" w:cs="Times New Roman"/>
          <w:color w:val="000000"/>
          <w:sz w:val="24"/>
          <w:szCs w:val="24"/>
          <w:lang w:eastAsia="es-ES"/>
        </w:rPr>
        <w:t>tados miembros en los sectores “Agricultura” y “LULUCF”</w:t>
      </w:r>
      <w:r w:rsidRPr="00187C8E">
        <w:rPr>
          <w:rFonts w:ascii="Times New Roman" w:eastAsia="Times New Roman" w:hAnsi="Times New Roman" w:cs="Times New Roman"/>
          <w:color w:val="000000"/>
          <w:sz w:val="24"/>
          <w:szCs w:val="24"/>
          <w:lang w:eastAsia="es-ES"/>
        </w:rPr>
        <w:t xml:space="preserve"> según lo definido por el Panel Internacional sobre el Cambio Climático (IPCC), en el inventario nacional de gases de efecto invernadero presentado a la Convención Marco de las Naciones Unidas sobre el Cambio Climático.</w:t>
      </w:r>
    </w:p>
    <w:p w:rsidR="00DE64B9" w:rsidRDefault="00DE64B9" w:rsidP="002B7C74">
      <w:pPr>
        <w:spacing w:after="0" w:line="240" w:lineRule="auto"/>
        <w:jc w:val="both"/>
        <w:rPr>
          <w:rFonts w:ascii="Times New Roman" w:eastAsia="Times New Roman" w:hAnsi="Times New Roman" w:cs="Times New Roman"/>
          <w:b/>
          <w:color w:val="000000"/>
          <w:sz w:val="24"/>
          <w:szCs w:val="24"/>
          <w:lang w:eastAsia="es-ES"/>
        </w:rPr>
      </w:pPr>
    </w:p>
    <w:p w:rsidR="00A54C10" w:rsidRPr="00DE64B9" w:rsidRDefault="00A54C10" w:rsidP="002B7C74">
      <w:pPr>
        <w:spacing w:after="0" w:line="240" w:lineRule="auto"/>
        <w:jc w:val="both"/>
        <w:rPr>
          <w:rFonts w:ascii="Times New Roman" w:eastAsia="Times New Roman" w:hAnsi="Times New Roman" w:cs="Times New Roman"/>
          <w:color w:val="000000"/>
          <w:sz w:val="24"/>
          <w:szCs w:val="24"/>
          <w:lang w:eastAsia="es-ES"/>
        </w:rPr>
      </w:pPr>
      <w:r w:rsidRPr="00DE64B9">
        <w:rPr>
          <w:rFonts w:ascii="Times New Roman" w:eastAsia="Times New Roman" w:hAnsi="Times New Roman" w:cs="Times New Roman"/>
          <w:b/>
          <w:color w:val="000000"/>
          <w:sz w:val="24"/>
          <w:szCs w:val="24"/>
          <w:lang w:eastAsia="es-ES"/>
        </w:rPr>
        <w:t>(*)</w:t>
      </w:r>
      <w:r w:rsidRPr="00DE64B9">
        <w:rPr>
          <w:rFonts w:ascii="Times New Roman" w:eastAsia="Times New Roman" w:hAnsi="Times New Roman" w:cs="Times New Roman"/>
          <w:color w:val="000000"/>
          <w:sz w:val="24"/>
          <w:szCs w:val="24"/>
          <w:lang w:eastAsia="es-ES"/>
        </w:rPr>
        <w:t xml:space="preserve"> El Gosplán era el comité para la planificación económica en la Unión Soviética.</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lastRenderedPageBreak/>
        <w:t>Las emisiones de GEI de la agricultura de la UE (incluidas las tierras de cultivo y los pastizales) se han reducido en más de un 20 % desde 1990, pero se han estancado desde 2010. En 2018 representaron el 13 % de las emisiones totales de GEI de la UE. </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Este indicador no incluye las emisiones de CO2 del uso de energía de la maquinaria agrícola, los edificios y las operaciones agrícolas ni las emisiones de la producción de insumos, como los fertilizantes inorgánicos.</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4C0FF4FD" wp14:editId="1B366248">
            <wp:extent cx="5732042" cy="3035300"/>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035018"/>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Mejorar el secuestro de carbono</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carbono orgánico del suelo, el componente principal de la materia orgánica del suelo, es extremadamente importante en todos los procesos del suelo, incluso por su capacidad para retener agua y, por lo tanto, hacer frente a grandes fluctuaciones en las precipitaciones, lo cual es importante en términos de adaptación climática.</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materia orgánica en el suelo se deriva principalmente de tejidos vegetales residuales, mientras que las contribuciones microbianas, fúngicas y animales constituyen una pequeña parte de su cantidad total. Los microbios, los hongos y los animales descomponen la materia orgánica de manera más o menos eficiente según la temperatura, la humedad y las condiciones ambientales del suelo.</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Dos grupos de factores influyen en el contenido y la acumulación inherentes de materia orgánica: factores naturales (clima, material original del suelo, cobertura terrestre y/o vegetación y topografía); y factores inducidos por el hombre (uso, gestión y degradación de la tierra).</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lastRenderedPageBreak/>
        <w:drawing>
          <wp:inline distT="0" distB="0" distL="0" distR="0" wp14:anchorId="10652BDE" wp14:editId="1450909C">
            <wp:extent cx="5727700" cy="2520950"/>
            <wp:effectExtent l="0" t="0" r="635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522627"/>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Promoción de la energía sostenible en la agricultura</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energía sostenible es crucial para reducir el uso de combustibles fósiles y las emisiones de GEI.</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primer gráfico muestra la producción de energía renovable a partir de biomasa agrícola y forestal. </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energía renovable procedente de biomasa agrícola suma la cantidad de energía obtenida a partir de: biodiésel procedente de cultivos de oleaginosas; bioetanol a partir de cultivos de almidón/azúcar; biocombustibles de segunda generación (a partir de materiales celulósicos no alimentarios); biogás agrícola (estiércol de ganado y cultivos energéticos, desechos y residuos); cultivos energéticos para electricidad o calor (incluido el monte bajo de rotación corta); y residuos de cultivos agrícolas para electricidad o calor. </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energía renovable procedente de biomasa forestal suma la cantidad de energía obtenida a partir de: madera procedente directamente de la silvicultura (leña combustible, astillas, cortezas, virutas, residuos forestales) o transformada a partir de cualquiera de las anteriores (pellets, briquetas, etc.); y subproductos y coproductos de la industria forestal en la UE utilizados para la producción de energía (por ejemplo, aserrín, licor negro).</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indicador se expresa en toneladas equivalentes de petróleo por 1000 hectáreas de terreno. La producción de energía renovable a partir de la agricultura y la silvicultura está aumentando. </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segundo gráfico muestra, por un lado, la participación de la agricultura y la silvicultura en la producción total de energías renovables y, por otro, la participación de las energías renovables en la energía total utilizada por la agricultura y la silvicultura.</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agricultura y la silvicultura siguieron siendo la principal fuente de energía renovable en la UE de los 27 en 2019 (representando el 53 % de la producción). Sin embargo, la dependencia de la agricultura y la silvicultura de los combustibles fósiles</w:t>
      </w:r>
      <w:r>
        <w:rPr>
          <w:rFonts w:ascii="Times New Roman" w:eastAsia="Times New Roman" w:hAnsi="Times New Roman" w:cs="Times New Roman"/>
          <w:color w:val="000000"/>
          <w:sz w:val="24"/>
          <w:szCs w:val="24"/>
          <w:lang w:eastAsia="es-ES"/>
        </w:rPr>
        <w:t>,</w:t>
      </w:r>
      <w:r w:rsidRPr="00187C8E">
        <w:rPr>
          <w:rFonts w:ascii="Times New Roman" w:eastAsia="Times New Roman" w:hAnsi="Times New Roman" w:cs="Times New Roman"/>
          <w:color w:val="000000"/>
          <w:sz w:val="24"/>
          <w:szCs w:val="24"/>
          <w:lang w:eastAsia="es-ES"/>
        </w:rPr>
        <w:t xml:space="preserve"> </w:t>
      </w:r>
      <w:r>
        <w:rPr>
          <w:rFonts w:ascii="Times New Roman" w:eastAsia="Times New Roman" w:hAnsi="Times New Roman" w:cs="Times New Roman"/>
          <w:color w:val="000000"/>
          <w:sz w:val="24"/>
          <w:szCs w:val="24"/>
          <w:lang w:eastAsia="es-ES"/>
        </w:rPr>
        <w:t>sigue</w:t>
      </w:r>
      <w:r w:rsidRPr="00187C8E">
        <w:rPr>
          <w:rFonts w:ascii="Times New Roman" w:eastAsia="Times New Roman" w:hAnsi="Times New Roman" w:cs="Times New Roman"/>
          <w:color w:val="000000"/>
          <w:sz w:val="24"/>
          <w:szCs w:val="24"/>
          <w:lang w:eastAsia="es-ES"/>
        </w:rPr>
        <w:t xml:space="preserve"> siendo muy alta.</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lastRenderedPageBreak/>
        <w:drawing>
          <wp:inline distT="0" distB="0" distL="0" distR="0" wp14:anchorId="71C8638C" wp14:editId="2F9FD883">
            <wp:extent cx="5727121" cy="3117850"/>
            <wp:effectExtent l="0" t="0" r="6985"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3120239"/>
                    </a:xfrm>
                    <a:prstGeom prst="rect">
                      <a:avLst/>
                    </a:prstGeom>
                  </pic:spPr>
                </pic:pic>
              </a:graphicData>
            </a:graphic>
          </wp:inline>
        </w:drawing>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2241EDBD" wp14:editId="564A1E76">
            <wp:extent cx="5728114" cy="2978150"/>
            <wp:effectExtent l="0" t="0" r="635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2979915"/>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Aumento de la superficie sujeta a compromisos agroambientales y climáticos</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Las medidas agroambientales y climáticas (AECM) son compromisos voluntarios para mejorar las prácticas de gestión de la tierra, beneficiosas para el medio ambiente y el clima, incluidas la conservación y restauración de ecosistemas, la eficiencia de los recursos y las prácticas bajas en carbono. </w:t>
      </w:r>
      <w:r w:rsidRPr="00187C8E">
        <w:rPr>
          <w:rFonts w:ascii="Times New Roman" w:eastAsia="Times New Roman" w:hAnsi="Times New Roman" w:cs="Times New Roman"/>
          <w:sz w:val="24"/>
          <w:szCs w:val="24"/>
          <w:lang w:eastAsia="es-ES"/>
        </w:rPr>
        <w:t>Este gráfico muestra la proporción de la superficie agrícola utilizada (SAU) sujeta a AECM en los Estados miembros de la UE-27. </w:t>
      </w:r>
      <w:r w:rsidRPr="00187C8E">
        <w:rPr>
          <w:rFonts w:ascii="Times New Roman" w:eastAsia="Times New Roman" w:hAnsi="Times New Roman" w:cs="Times New Roman"/>
          <w:color w:val="000000"/>
          <w:sz w:val="24"/>
          <w:szCs w:val="24"/>
          <w:lang w:eastAsia="es-ES"/>
        </w:rPr>
        <w:t xml:space="preserve">Estas prácticas se financian a través de la Política Agrícola Común (PAC) y tienen que ir más </w:t>
      </w:r>
      <w:r>
        <w:rPr>
          <w:rFonts w:ascii="Times New Roman" w:eastAsia="Times New Roman" w:hAnsi="Times New Roman" w:cs="Times New Roman"/>
          <w:color w:val="000000"/>
          <w:sz w:val="24"/>
          <w:szCs w:val="24"/>
          <w:lang w:eastAsia="es-ES"/>
        </w:rPr>
        <w:t>allá de la “línea de base”</w:t>
      </w:r>
      <w:r w:rsidRPr="00187C8E">
        <w:rPr>
          <w:rFonts w:ascii="Times New Roman" w:eastAsia="Times New Roman" w:hAnsi="Times New Roman" w:cs="Times New Roman"/>
          <w:color w:val="000000"/>
          <w:sz w:val="24"/>
          <w:szCs w:val="24"/>
          <w:lang w:eastAsia="es-ES"/>
        </w:rPr>
        <w:t>, es decir, el nivel de protección requerido por la legislación nacional y de la UE pertinente. Por ejemplo, estos compromisos agroambientales y climáticos pueden apoyar prácticas que limiten la pérdida de materia orgánica del suelo, fomenten la biodiversidad del suelo o reduzcan la contaminación del suelo.</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lastRenderedPageBreak/>
        <w:drawing>
          <wp:inline distT="0" distB="0" distL="0" distR="0" wp14:anchorId="747F748C" wp14:editId="58A71D56">
            <wp:extent cx="5731510" cy="2666132"/>
            <wp:effectExtent l="0" t="0" r="2540" b="127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2666132"/>
                    </a:xfrm>
                    <a:prstGeom prst="rect">
                      <a:avLst/>
                    </a:prstGeom>
                  </pic:spPr>
                </pic:pic>
              </a:graphicData>
            </a:graphic>
          </wp:inline>
        </w:drawing>
      </w:r>
    </w:p>
    <w:p w:rsidR="002B7C74" w:rsidRPr="00C44C18"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t>Protección de los recursos naturales</w:t>
      </w:r>
    </w:p>
    <w:p w:rsidR="002B7C74" w:rsidRPr="00187C8E"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Fomentar el desarrollo sostenible y la gestión eficiente de los recursos naturales como el agua, el suelo y el aire, incluso mediante la reducción de la dependencia química.</w:t>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Reducir la erosión del suelo</w:t>
      </w:r>
    </w:p>
    <w:p w:rsidR="002B7C74" w:rsidRDefault="002B7C74" w:rsidP="002B7C74">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color w:val="000000"/>
          <w:sz w:val="24"/>
          <w:szCs w:val="24"/>
          <w:lang w:eastAsia="es-ES"/>
        </w:rPr>
        <w:t>La erosión por agua es una de las principales causas de la degradación del suelo en Europa. Los procesos del agua como las salpicaduras de lluvia, el flujo superficial, el lavado de láminas y la formación de riachuelos conducen a la eliminación del suelo y la degradación de la estructura del suelo. Entre las consecuencias para la agricultura se encuentran la pérdida de tierras fértiles, así como un mayor riesgo de inundaciones y contaminación de las aguas superficiales. </w:t>
      </w:r>
      <w:r w:rsidRPr="00187C8E">
        <w:rPr>
          <w:rFonts w:ascii="Times New Roman" w:eastAsia="Times New Roman" w:hAnsi="Times New Roman" w:cs="Times New Roman"/>
          <w:sz w:val="24"/>
          <w:szCs w:val="24"/>
          <w:lang w:eastAsia="es-ES"/>
        </w:rPr>
        <w:t>Las prácticas agrícolas intensivas aumentan el riesgo de erosión del suelo, mientras que la cubierta vegetal lo reduce.</w:t>
      </w:r>
    </w:p>
    <w:p w:rsidR="002B7C74" w:rsidRPr="00187C8E" w:rsidRDefault="002B7C74" w:rsidP="002B7C74">
      <w:pPr>
        <w:spacing w:after="0" w:line="240" w:lineRule="auto"/>
        <w:jc w:val="both"/>
        <w:rPr>
          <w:rFonts w:ascii="Times New Roman" w:eastAsia="Times New Roman" w:hAnsi="Times New Roman" w:cs="Times New Roman"/>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Según la OCDE, la erosión moderada se define por una pérdida de suelo estimada superior a 11 toneladas por hectárea al año. En 2016, se estimó que el 9 % de las zonas agrícolas de la EU-27 estaban afectadas por una erosión moderada del agua del suelo.</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sz w:val="24"/>
          <w:szCs w:val="24"/>
          <w:lang w:eastAsia="es-ES"/>
        </w:rPr>
        <w:t>Las áreas agrícolas incluyen tierras de cultivo, cultivos permanentes y áreas agrícolas heterogéneas como las áreas agroforestales, pero excluyen los pastos y los pastizales naturales.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1E1D5D76" wp14:editId="67973CF3">
            <wp:extent cx="5724027" cy="2260600"/>
            <wp:effectExtent l="0" t="0" r="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263555"/>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lastRenderedPageBreak/>
        <w:t>Mejorando la calidad del aire</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contaminación por amoníaco (NH3) aumenta las deposiciones ácidas y el nivel de nutrientes en el suelo, los ríos y los lagos, lo que puede conducir a la eutrofización. También puede aumentar la carga de partículas en el aire, que es muy dañina para la salud, cuando sufre ciertas reacciones químicas. La agricultura es el principal emisor de amoníaco en la UE (procedente de la ganadería y del uso de algunos fertilizantes nitrogenados inorgánicos).</w:t>
      </w:r>
    </w:p>
    <w:p w:rsidR="002B7C74" w:rsidRPr="00900E09"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900E09">
        <w:rPr>
          <w:rFonts w:ascii="Times New Roman" w:eastAsia="Times New Roman" w:hAnsi="Times New Roman" w:cs="Times New Roman"/>
          <w:bCs/>
          <w:color w:val="000000"/>
          <w:sz w:val="24"/>
          <w:szCs w:val="24"/>
          <w:lang w:eastAsia="es-ES"/>
        </w:rPr>
        <w:t>En la UE-27</w:t>
      </w:r>
      <w:r w:rsidRPr="00187C8E">
        <w:rPr>
          <w:rFonts w:ascii="Times New Roman" w:eastAsia="Times New Roman" w:hAnsi="Times New Roman" w:cs="Times New Roman"/>
          <w:color w:val="000000"/>
          <w:sz w:val="24"/>
          <w:szCs w:val="24"/>
          <w:lang w:eastAsia="es-ES"/>
        </w:rPr>
        <w:t>, las emisiones de amoníaco de la agricultura cayeron de forma más o menos continua entre 1990 y 2012, pero han vuelto a aumentar desde entonces.</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300A2240" wp14:editId="0FD0C147">
            <wp:extent cx="5734050" cy="2889250"/>
            <wp:effectExtent l="0" t="0" r="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2887970"/>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Reducir las pérdidas de nutrientes</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nitrógeno (N) y el fósforo (P) son esenciales para la producción de cultivos, pero a través de la esc</w:t>
      </w:r>
      <w:r>
        <w:rPr>
          <w:rFonts w:ascii="Times New Roman" w:eastAsia="Times New Roman" w:hAnsi="Times New Roman" w:cs="Times New Roman"/>
          <w:color w:val="000000"/>
          <w:sz w:val="24"/>
          <w:szCs w:val="24"/>
          <w:lang w:eastAsia="es-ES"/>
        </w:rPr>
        <w:t>orrentía y la lixiviación, pueden</w:t>
      </w:r>
      <w:r w:rsidRPr="00187C8E">
        <w:rPr>
          <w:rFonts w:ascii="Times New Roman" w:eastAsia="Times New Roman" w:hAnsi="Times New Roman" w:cs="Times New Roman"/>
          <w:color w:val="000000"/>
          <w:sz w:val="24"/>
          <w:szCs w:val="24"/>
          <w:lang w:eastAsia="es-ES"/>
        </w:rPr>
        <w:t xml:space="preserve"> transferirse a los cuerpos de agua. Los niveles excesivos en el agua son una forma importante de contaminación del agua que puede ser perjudicial para la salud y causar eutrofización. El balance bruto de nitrógeno y el balance bruto de fósforo en las tierras agrícolas no son una medida directa de la presencia de estas sustancias químicas en el agua, sino que indican hasta qué punto pueden estar pasando de las tierras agrícolas a los cuerpos de agua.</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900E09">
        <w:rPr>
          <w:rFonts w:ascii="Times New Roman" w:eastAsia="Times New Roman" w:hAnsi="Times New Roman" w:cs="Times New Roman"/>
          <w:bCs/>
          <w:color w:val="000000"/>
          <w:sz w:val="24"/>
          <w:szCs w:val="24"/>
          <w:lang w:eastAsia="es-ES"/>
        </w:rPr>
        <w:t>En la UE-27</w:t>
      </w:r>
      <w:r w:rsidRPr="00187C8E">
        <w:rPr>
          <w:rFonts w:ascii="Times New Roman" w:eastAsia="Times New Roman" w:hAnsi="Times New Roman" w:cs="Times New Roman"/>
          <w:color w:val="000000"/>
          <w:sz w:val="24"/>
          <w:szCs w:val="24"/>
          <w:lang w:eastAsia="es-ES"/>
        </w:rPr>
        <w:t>, las cifras disponibles pueden indicar una disminución en el excedente potencial de nitrógeno desde 2015, pero esta imagen puede ajustarse a medida que surjan más datos con respecto a ese período.</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concepto de “excedente” debe entenderse a la luz del hecho de que la eficiencia de uso de nitrógeno y fósforo por parte de los cultivos no puede alcanzar el 100 %, y el uso óptimo por parte de las plantas depende de una variedad de factores.</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lastRenderedPageBreak/>
        <w:drawing>
          <wp:inline distT="0" distB="0" distL="0" distR="0" wp14:anchorId="569373F8" wp14:editId="71D4CD41">
            <wp:extent cx="5727054" cy="2692400"/>
            <wp:effectExtent l="0" t="0" r="762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2694495"/>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Mejorando la calidad del agua</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Las concentraciones de nitrato en las aguas subterráneas reflejan la intensidad de la actividad agrícola y su impacto potencial en la calidad y contaminación del agua dulce. Debe tenerse en cuenta que es difícil distinguir la contribución de la agricultura a este estatus en comparación con otros factores influyentes, aunque se reconoce que la agricultura es uno de los principales contribuyentes.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Las cifras de nitratos en agua dulce brindan una descripción completa del estado real de los cuerpos de agua, lo que permite la comparación a lo largo del tiempo. Estos datos son complementarios al Balance Bruto de Nutrientes que proporciona una indicación del impacto de la agricultura en esas cifras y brinda información sobre la posible contaminación por fosfatos.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En 2017, 18 de los 27 países de la UE tenían estaciones de control de aguas subterráneas con agua de mala calidad. En estas estaciones de monitoreo de aguas subterráneas, la concentración promedio de nitratos está por encima del Estándar de Calidad de Aguas Subterráneas de la UE de 50 miligramos de nitrato por litro (mg NO3/l), según lo establecido en la Directiva de Aguas Subterráneas (2006/118/EC).</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sz w:val="24"/>
          <w:szCs w:val="24"/>
          <w:lang w:eastAsia="es-ES"/>
        </w:rPr>
        <w:t>Estos datos de la Agencia Europea de Medio Ambiente solo están disponibles a nivel nacional, lo que puede enmascarar importantes variaciones regionales. Además, faltan datos de varios Estados miembros. </w:t>
      </w:r>
      <w:r w:rsidRPr="00187C8E">
        <w:rPr>
          <w:rFonts w:ascii="Times New Roman" w:eastAsia="Times New Roman" w:hAnsi="Times New Roman" w:cs="Times New Roman"/>
          <w:color w:val="000000"/>
          <w:sz w:val="24"/>
          <w:szCs w:val="24"/>
          <w:lang w:eastAsia="es-ES"/>
        </w:rPr>
        <w:t>Puede encontrar más información sobre los nitratos en las aguas subterráneas en el informe de la Comisión sobre la implementación de la Directiva del Consejo 91/676/EEC relativa a la protección de las aguas contra la contaminación causada por los nitratos de fuentes agrícolas basado en los informes de los Estados miembros p</w:t>
      </w:r>
      <w:r>
        <w:rPr>
          <w:rFonts w:ascii="Times New Roman" w:eastAsia="Times New Roman" w:hAnsi="Times New Roman" w:cs="Times New Roman"/>
          <w:color w:val="000000"/>
          <w:sz w:val="24"/>
          <w:szCs w:val="24"/>
          <w:lang w:eastAsia="es-ES"/>
        </w:rPr>
        <w:t>ara el período 2016-2019 (COM (</w:t>
      </w:r>
      <w:r w:rsidRPr="00187C8E">
        <w:rPr>
          <w:rFonts w:ascii="Times New Roman" w:eastAsia="Times New Roman" w:hAnsi="Times New Roman" w:cs="Times New Roman"/>
          <w:color w:val="000000"/>
          <w:sz w:val="24"/>
          <w:szCs w:val="24"/>
          <w:lang w:eastAsia="es-ES"/>
        </w:rPr>
        <w:t>2021) 1000 finales).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lastRenderedPageBreak/>
        <w:drawing>
          <wp:inline distT="0" distB="0" distL="0" distR="0" wp14:anchorId="0BD3207E" wp14:editId="3D922836">
            <wp:extent cx="5731510" cy="2639189"/>
            <wp:effectExtent l="0" t="0" r="2540" b="889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2639189"/>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Reducción de la presión sobre los recursos hídricos</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agricultura es un importante usuario de agua dulce, principalmente para fines de riego, con el fin de mejorar el rendimiento y la calidad de los cultivos.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extracción de agua en la agricultura da una indicación de la presión que ejerce la agricultura sobre los recursos de agua dulce disponibles.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Los datos son muy parciales y algunos de los principales usuarios del agua (Francia e Italia en particular) no están representados.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En la UE-27, la extracción de agua en la agricultura es notablemente mayor en España, Grecia y Portugal. En los últimos años se ha producido una pequeña disminución en el agua extraída para riego en esos países. Polonia, Rumania y Hungría han experimentado un marcado declive desde principios de la década de 1990. </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2B1D806D" wp14:editId="25D4A326">
            <wp:extent cx="5731510" cy="2621431"/>
            <wp:effectExtent l="0" t="0" r="2540" b="762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621431"/>
                    </a:xfrm>
                    <a:prstGeom prst="rect">
                      <a:avLst/>
                    </a:prstGeom>
                  </pic:spPr>
                </pic:pic>
              </a:graphicData>
            </a:graphic>
          </wp:inline>
        </w:drawing>
      </w:r>
    </w:p>
    <w:p w:rsidR="002B7C74"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Pr="00C44C18"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lastRenderedPageBreak/>
        <w:t>Detener y revertir la pérdida de biodiversidad</w:t>
      </w:r>
    </w:p>
    <w:p w:rsidR="002B7C74" w:rsidRPr="00187C8E"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Contribuir a detener y revertir la pérdida de biodiversidad, mejorar los servicios ecosistémicos y preservar hábitats y paisajes.</w:t>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Aumento de la población de aves en las tierras de cultivo</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Índice de Aves de Tierras Agrícolas (FBI) mide los cambios en las poblaciones de aves de tierras agrícolas a lo largo del tiempo. Dado que las aves ocupan un lugar destacado en la cadena alimentaria, el indicador se utiliza a menudo como indicador del estado de la biodiversidad general vinculada a los paisajes agrícolas en Europa, generalmente junto con otros indicadores.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b/>
          <w:bCs/>
          <w:color w:val="000000"/>
          <w:sz w:val="24"/>
          <w:szCs w:val="24"/>
          <w:lang w:eastAsia="es-ES"/>
        </w:rPr>
        <w:t>En la UE-27</w:t>
      </w:r>
      <w:r w:rsidRPr="00187C8E">
        <w:rPr>
          <w:rFonts w:ascii="Times New Roman" w:eastAsia="Times New Roman" w:hAnsi="Times New Roman" w:cs="Times New Roman"/>
          <w:color w:val="000000"/>
          <w:sz w:val="24"/>
          <w:szCs w:val="24"/>
          <w:lang w:eastAsia="es-ES"/>
        </w:rPr>
        <w:t>, el índice ha mostrado una fuerte tendencia a la baja desde el año de referencia de 2000 (valor de referencia en ese año: 100; valor en 2017: 82).</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índice se basa, a través de varios pasos de cálculo, en recuentos de población realizados por una red de ornitólogos voluntarios y coordinados dentro de esquemas nacionales. Tenga en cuenta que, aunque las poblaciones de aves de las tierras de cultivo pueden verse fuertemente afectadas por las actividades agrícolas, varios otros factores también pueden tener un impacto significativo.</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6983C291" wp14:editId="7ECC25BD">
            <wp:extent cx="5731510" cy="2648986"/>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2648986"/>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Mejorar la protección de la biodiversidad</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xml:space="preserve">Varios tipos de hábitats de pastizales agrícolas en </w:t>
      </w:r>
      <w:r>
        <w:rPr>
          <w:rFonts w:ascii="Times New Roman" w:eastAsia="Times New Roman" w:hAnsi="Times New Roman" w:cs="Times New Roman"/>
          <w:color w:val="000000"/>
          <w:sz w:val="24"/>
          <w:szCs w:val="24"/>
          <w:lang w:eastAsia="es-ES"/>
        </w:rPr>
        <w:t>la UE están designados como de “interés”</w:t>
      </w:r>
      <w:r w:rsidRPr="00187C8E">
        <w:rPr>
          <w:rFonts w:ascii="Times New Roman" w:eastAsia="Times New Roman" w:hAnsi="Times New Roman" w:cs="Times New Roman"/>
          <w:color w:val="000000"/>
          <w:sz w:val="24"/>
          <w:szCs w:val="24"/>
          <w:lang w:eastAsia="es-ES"/>
        </w:rPr>
        <w:t xml:space="preserve"> particular para la Unión en virtud de la Directiva de Hábitats (Directiva 92/43/CEE, una de las Directivas sobre la naturaleza de la UE), esencialmente porque presentan ejemplos sobresalientes de características particulares, y /o son de pequeña extensión, y/o están amenazados.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seguimiento del estado de conservación de estos hábitats (según las categorías de la Directiva de Hábitats) arroja algo de luz sobre la interacción entre la agricultura y la biodiversidad.</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b/>
          <w:bCs/>
          <w:color w:val="000000"/>
          <w:sz w:val="24"/>
          <w:szCs w:val="24"/>
          <w:lang w:eastAsia="es-ES"/>
        </w:rPr>
        <w:lastRenderedPageBreak/>
        <w:t>En la UE-27</w:t>
      </w:r>
      <w:r w:rsidRPr="00187C8E">
        <w:rPr>
          <w:rFonts w:ascii="Times New Roman" w:eastAsia="Times New Roman" w:hAnsi="Times New Roman" w:cs="Times New Roman"/>
          <w:color w:val="000000"/>
          <w:sz w:val="24"/>
          <w:szCs w:val="24"/>
          <w:lang w:eastAsia="es-ES"/>
        </w:rPr>
        <w:t xml:space="preserve">, en el período de evaluación que finalizó en 2018, el 20 % de estos hábitats de pastizales se identificaron en estado “favorable”, el 35 % en “desfavorable-inadecuado”, el 43 % en “desfavorable-malo” y </w:t>
      </w:r>
      <w:r w:rsidR="00900E09">
        <w:rPr>
          <w:rFonts w:ascii="Times New Roman" w:eastAsia="Times New Roman" w:hAnsi="Times New Roman" w:cs="Times New Roman"/>
          <w:color w:val="000000"/>
          <w:sz w:val="24"/>
          <w:szCs w:val="24"/>
          <w:lang w:eastAsia="es-ES"/>
        </w:rPr>
        <w:t>el 3 % en estado “desconocido</w:t>
      </w:r>
      <w:r w:rsidRPr="00187C8E">
        <w:rPr>
          <w:rFonts w:ascii="Times New Roman" w:eastAsia="Times New Roman" w:hAnsi="Times New Roman" w:cs="Times New Roman"/>
          <w:color w:val="000000"/>
          <w:sz w:val="24"/>
          <w:szCs w:val="24"/>
          <w:lang w:eastAsia="es-ES"/>
        </w:rPr>
        <w:t>”.</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Nótese que los hábitats así monitorizados no se encuentran únicamente en la red de espacios protegidos Natura 2000, sino también fuera de ella.</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78D0C788" wp14:editId="7C83A09E">
            <wp:extent cx="5730098" cy="2330450"/>
            <wp:effectExtent l="0" t="0" r="4445"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2331024"/>
                    </a:xfrm>
                    <a:prstGeom prst="rect">
                      <a:avLst/>
                    </a:prstGeom>
                  </pic:spPr>
                </pic:pic>
              </a:graphicData>
            </a:graphic>
          </wp:inline>
        </w:drawing>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w:t>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Mejorar la provisión de servicios ecosistémicos</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De acuerdo con sus Directivas de Naturaleza, la UE ha establecido una red en desarrollo de áreas especiales de conservación conocida como la red Natura 2000, que incluye territorio en todos los Estados miembros.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Dado que dentro de esta red se realizan esfuerzos particulares para la conservación de la naturaleza, la información sobre su alcance contribuye a una comprensión general del estado de la biodiversidad en la UE, incluso en relación con las tierras agrícolas y forestales.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b/>
          <w:bCs/>
          <w:color w:val="000000"/>
          <w:sz w:val="24"/>
          <w:szCs w:val="24"/>
          <w:lang w:eastAsia="es-ES"/>
        </w:rPr>
        <w:t>En la UE-27</w:t>
      </w:r>
      <w:r w:rsidRPr="00187C8E">
        <w:rPr>
          <w:rFonts w:ascii="Times New Roman" w:eastAsia="Times New Roman" w:hAnsi="Times New Roman" w:cs="Times New Roman"/>
          <w:color w:val="000000"/>
          <w:sz w:val="24"/>
          <w:szCs w:val="24"/>
          <w:lang w:eastAsia="es-ES"/>
        </w:rPr>
        <w:t>, en 2018, el 11 % de la superficie agrícola (incluidas las praderas naturales) y el 30 % de la superficie forestal (incluidos los matorrales de transición) se encontraban dentro de la red.</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60B5C31C" wp14:editId="380AF0CC">
            <wp:extent cx="5728271" cy="2406650"/>
            <wp:effectExtent l="0" t="0" r="635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2408011"/>
                    </a:xfrm>
                    <a:prstGeom prst="rect">
                      <a:avLst/>
                    </a:prstGeom>
                  </pic:spPr>
                </pic:pic>
              </a:graphicData>
            </a:graphic>
          </wp:inline>
        </w:drawing>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t>Promoviendo el crecimiento y la igualdad en las zonas rurales</w:t>
      </w:r>
    </w:p>
    <w:p w:rsidR="002B7C74" w:rsidRPr="00187C8E"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Promover el empleo, el crecimiento, la igualdad de género, incluida la participación de las mujeres en la agricultura, la inclusión social y el desarrollo local en las zonas rurales, incluida la bioeconomía circular y la silvicultura sostenible.</w:t>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Contribuir al empleo en las zonas rurales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promoción del empleo rural es crucial para mejorar la calidad de vida, el acceso a los servicios y frenar la despoblación de las zonas rurales. Estos gráficos muestran datos sobre las personas empleadas de 20 a 64 años como porcentaje de la población total del mismo grupo de edad. Comprende a todos los trabajadores asalariados, autónomos y familiares no remunerados.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primer gráfico compara las tasas de empleo rural y total (es</w:t>
      </w:r>
      <w:r>
        <w:rPr>
          <w:rFonts w:ascii="Times New Roman" w:eastAsia="Times New Roman" w:hAnsi="Times New Roman" w:cs="Times New Roman"/>
          <w:color w:val="000000"/>
          <w:sz w:val="24"/>
          <w:szCs w:val="24"/>
          <w:lang w:eastAsia="es-ES"/>
        </w:rPr>
        <w:t xml:space="preserve"> decir, áreas rurales y otras). </w:t>
      </w:r>
      <w:r w:rsidRPr="00187C8E">
        <w:rPr>
          <w:rFonts w:ascii="Times New Roman" w:eastAsia="Times New Roman" w:hAnsi="Times New Roman" w:cs="Times New Roman"/>
          <w:color w:val="000000"/>
          <w:sz w:val="24"/>
          <w:szCs w:val="24"/>
          <w:lang w:eastAsia="es-ES"/>
        </w:rPr>
        <w:t>En las zonas rurales de la EU-27, la tasa media de empleo aumentó entre 2012 y 2020. Sin embargo, existe una situación muy diversa en los Estados miembros y los jóvenes tienen una tasa de desempleo más alta en comparación con la población general, también en las zonas rurales.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segundo gráfico compara las tasas de empleo total de hombres y mujeres, ya que aún no se dispone de datos específicos para las zonas rurales para estos indicadores. Existe una brecha entre el empleo de hombres y mujeres en todos los Estados miembros de la UE-27, lo que demuestra que aún se necesitan esfuerzos para lograr la igualdad de género. Además, cabe señalar que en las zonas rurales, muchas mujeres tienen contratos precarios (por ejemplo, trabajadoras</w:t>
      </w:r>
      <w:r>
        <w:rPr>
          <w:rFonts w:ascii="Times New Roman" w:eastAsia="Times New Roman" w:hAnsi="Times New Roman" w:cs="Times New Roman"/>
          <w:color w:val="000000"/>
          <w:sz w:val="24"/>
          <w:szCs w:val="24"/>
          <w:lang w:eastAsia="es-ES"/>
        </w:rPr>
        <w:t xml:space="preserve"> de temporada) o desempeñan un “papel invisible”</w:t>
      </w:r>
      <w:r w:rsidRPr="00187C8E">
        <w:rPr>
          <w:rFonts w:ascii="Times New Roman" w:eastAsia="Times New Roman" w:hAnsi="Times New Roman" w:cs="Times New Roman"/>
          <w:color w:val="000000"/>
          <w:sz w:val="24"/>
          <w:szCs w:val="24"/>
          <w:lang w:eastAsia="es-ES"/>
        </w:rPr>
        <w:t xml:space="preserve"> en las sociedades rurales (por ejemplo, cónyuges colaboradores), lo que puede dejarlas expuestas a situaciones vulnerables (como sin acceso a protección social o beneficios de maternidad, en algunos casos). Al mismo tiempo, las mujeres representan una importante fuerza impulsora de la prosperidad y la inclusión social en las zonas rurales, en particular a través del espíritu empresarial. </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16C4A3F8" wp14:editId="10D31D1D">
            <wp:extent cx="5731510" cy="2573056"/>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2573056"/>
                    </a:xfrm>
                    <a:prstGeom prst="rect">
                      <a:avLst/>
                    </a:prstGeom>
                  </pic:spPr>
                </pic:pic>
              </a:graphicData>
            </a:graphic>
          </wp:inline>
        </w:drawing>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lastRenderedPageBreak/>
        <w:drawing>
          <wp:inline distT="0" distB="0" distL="0" distR="0" wp14:anchorId="0E10A7F9" wp14:editId="3008A50B">
            <wp:extent cx="5731510" cy="2502637"/>
            <wp:effectExtent l="0" t="0" r="254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2502637"/>
                    </a:xfrm>
                    <a:prstGeom prst="rect">
                      <a:avLst/>
                    </a:prstGeom>
                  </pic:spPr>
                </pic:pic>
              </a:graphicData>
            </a:graphic>
          </wp:inline>
        </w:drawing>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Contribuir al crecimiento en las zonas rurales</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Bajo el objetivo de un desarrollo territorial equilibrado, la PAC pretende reducir la brecha en el nivel de vida entre las zonas rurales y otras zonas de la UE. El Producto Interno Bruto (PIB) per cápita, en estándar de poder adquisitivo (PPS), se puede utilizar para comparar el nivel de vida agregado entre diferentes entidades geográficas. Este gráfico muestra un índice del nivel relativo del PIB per cápita en los Estados miembros (en las regiones rurales y en todas las regiones), en comparación con la media de la EU-27.</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En todos los Estados miembros de la EU-27, el PIB per cápita sigue siendo más bajo en las zonas rurales que en otras zonas.</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56B06991" wp14:editId="48CEBFF5">
            <wp:extent cx="5731510" cy="2664295"/>
            <wp:effectExtent l="0" t="0" r="2540" b="317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664295"/>
                    </a:xfrm>
                    <a:prstGeom prst="rect">
                      <a:avLst/>
                    </a:prstGeom>
                  </pic:spPr>
                </pic:pic>
              </a:graphicData>
            </a:graphic>
          </wp:inline>
        </w:drawing>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Reducir la pobreza en las zonas rurales</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xml:space="preserve">La lucha contra la pobreza en las zonas rurales es crucial para reducir las desigualdades con respecto a otras zonas, contribuir a la inclusión social y el respeto de los derechos fundamentales y frenar la despoblación de las zonas rurales. Este gráfico muestra la tasa de </w:t>
      </w:r>
      <w:r w:rsidRPr="00187C8E">
        <w:rPr>
          <w:rFonts w:ascii="Times New Roman" w:eastAsia="Times New Roman" w:hAnsi="Times New Roman" w:cs="Times New Roman"/>
          <w:color w:val="000000"/>
          <w:sz w:val="24"/>
          <w:szCs w:val="24"/>
          <w:lang w:eastAsia="es-ES"/>
        </w:rPr>
        <w:lastRenderedPageBreak/>
        <w:t>pobreza rural (porcentaje de población en riesgo de pobreza o exclusión social tal como se define en la clasificación del grado de urbanización (DEGURBA)), en comparación con la tasa de pobreza general, a nivel de Estado miembro y de la UE.</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Desde 2010, las tasas de pobreza en la UE27 han ido disminuyendo y la brecha entre las zonas rurales y otras se está reduciendo. Sin embargo, en algunos Estados miembros, las tasas de pobreza siguen aumentando.</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3EA70381" wp14:editId="283E3C1D">
            <wp:extent cx="5731510" cy="2657559"/>
            <wp:effectExtent l="0" t="0" r="2540" b="952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2657559"/>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Aumento del turismo rural</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turismo rural refleja el atractivo de las zonas rurales y es un factor de crecimiento y diversificación económica. En los últimos años en las áreas rurales, el peso de los servicios (por ejemplo, turismo, recreación) aumentó y marcó un cambio estructural en muchas economías rurales, mientras que la participación del sector de la industria y la construcción se mantuvo constante.</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7694EC9D" wp14:editId="4A463932">
            <wp:extent cx="5731510" cy="3061704"/>
            <wp:effectExtent l="0" t="0" r="2540" b="571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061704"/>
                    </a:xfrm>
                    <a:prstGeom prst="rect">
                      <a:avLst/>
                    </a:prstGeom>
                  </pic:spPr>
                </pic:pic>
              </a:graphicData>
            </a:graphic>
          </wp:inline>
        </w:drawing>
      </w:r>
    </w:p>
    <w:p w:rsidR="002B7C74"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t>Contribuyendo a la sostenibilidad alimentaria y la salud</w:t>
      </w:r>
    </w:p>
    <w:p w:rsidR="002B7C74" w:rsidRPr="00187C8E"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Mejorar la respuesta de la agricultura de la Unión a las demandas sociales en materia de alimentación y salud, incluidos alimentos de alta calidad, seguros y nutritivos producidos de manera sostenible, para reducir el desperdicio de alimentos, así como para mejorar el bienestar animal y combatir la resistencia a los antimicrobianos.</w:t>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Limitar el uso de antibióticos en la agricultura</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Para evitar el desarrollo de resistencia a los antimicrobianos, es necesaria la reducción del uso general de antimicrobianos para los animales de granja y para los seres humanos. En la UE-27, se observa una reducción continua en las ventas de agentes antimicrobianos veterinarios en mg por unidad de corrección de población (PCU). Sin embargo, existen diferencias significativas entre los Estados miembros.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Actualmente, los datos sobre las ventas de agentes antimicrobianos veterinarios son el mejor indicador para monitorear su uso. Para mejorar esto, los Estados miembros también deberán recopilar datos sobre el uso de antimicrobianos en animales de granja a partir de enero de 2022. </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030D1E3E" wp14:editId="294DD34B">
            <wp:extent cx="5731510" cy="2577342"/>
            <wp:effectExtent l="0" t="0" r="254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2577342"/>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Fomento del uso sostenible de plaguicidas</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Una transición hacia sistemas alimentarios sostenibles requiere, entre otras acciones, una reducción en el uso de pesticidas químicos. Los datos presentados en este gráfico incluyen las ventas de productos fitosanitarios en la agricultura y en otros sectores de nuestra economía. Las ventas incluyen sustancias químicas y no químicas.  </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Por el momento, los datos de ventas son el mejor indicador del uso de plaguicidas a nivel de explotación, ya que los datos sobre las cantidades de plaguicidas utilizados por cultivo (todavía) no están disponibles a nivel de la UE.</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lastRenderedPageBreak/>
        <w:drawing>
          <wp:inline distT="0" distB="0" distL="0" distR="0" wp14:anchorId="29AFA284" wp14:editId="51FA6A42">
            <wp:extent cx="5731510" cy="2625717"/>
            <wp:effectExtent l="0" t="0" r="2540" b="381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2625717"/>
                    </a:xfrm>
                    <a:prstGeom prst="rect">
                      <a:avLst/>
                    </a:prstGeom>
                  </pic:spPr>
                </pic:pic>
              </a:graphicData>
            </a:graphic>
          </wp:inline>
        </w:drawing>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Reducir la intensidad de cultivo</w:t>
      </w:r>
    </w:p>
    <w:p w:rsidR="002B7C74" w:rsidRDefault="002B7C74" w:rsidP="002B7C74">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sz w:val="24"/>
          <w:szCs w:val="24"/>
          <w:lang w:eastAsia="es-ES"/>
        </w:rPr>
        <w:t>La intensidad de los insumos agrícolas se refiere al nivel de insumos (p. ej., fertilizantes, pesticidas, otros productos fitosanitarios y alimentos comprados) por unidad de factor de producción (en general, tierra).  El gráfico muestra el nivel de intensidad de insumos agrícolas (bajo, medio y alto) expresado como porcentaje del área agrícola utilizada total (SAU) administrada por las granjas. </w:t>
      </w:r>
    </w:p>
    <w:p w:rsidR="002B7C74" w:rsidRPr="00187C8E" w:rsidRDefault="002B7C74" w:rsidP="002B7C74">
      <w:pPr>
        <w:spacing w:after="0" w:line="240" w:lineRule="auto"/>
        <w:jc w:val="both"/>
        <w:rPr>
          <w:rFonts w:ascii="Times New Roman" w:eastAsia="Times New Roman" w:hAnsi="Times New Roman" w:cs="Times New Roman"/>
          <w:sz w:val="24"/>
          <w:szCs w:val="24"/>
          <w:lang w:eastAsia="es-ES"/>
        </w:rPr>
      </w:pPr>
    </w:p>
    <w:p w:rsidR="002B7C74" w:rsidRDefault="002B7C74" w:rsidP="002B7C74">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sz w:val="24"/>
          <w:szCs w:val="24"/>
          <w:lang w:eastAsia="es-ES"/>
        </w:rPr>
        <w:t>La intensificación se define como el aumento de la intensidad agrícola, mientras que la extensificación describe la tendencia opuesta. Este enfoque permite cubrir tanto la producción agrícola como la ganadera.</w:t>
      </w:r>
    </w:p>
    <w:p w:rsidR="002B7C74" w:rsidRPr="00187C8E" w:rsidRDefault="002B7C74" w:rsidP="002B7C74">
      <w:pPr>
        <w:spacing w:after="0" w:line="240" w:lineRule="auto"/>
        <w:jc w:val="both"/>
        <w:rPr>
          <w:rFonts w:ascii="Times New Roman" w:eastAsia="Times New Roman" w:hAnsi="Times New Roman" w:cs="Times New Roman"/>
          <w:sz w:val="24"/>
          <w:szCs w:val="24"/>
          <w:lang w:eastAsia="es-ES"/>
        </w:rPr>
      </w:pPr>
    </w:p>
    <w:p w:rsidR="002B7C74" w:rsidRDefault="002B7C74" w:rsidP="002B7C74">
      <w:pPr>
        <w:spacing w:after="0" w:line="240" w:lineRule="auto"/>
        <w:jc w:val="both"/>
        <w:rPr>
          <w:rFonts w:ascii="Times New Roman" w:eastAsia="Times New Roman" w:hAnsi="Times New Roman" w:cs="Times New Roman"/>
          <w:sz w:val="24"/>
          <w:szCs w:val="24"/>
          <w:lang w:eastAsia="es-ES"/>
        </w:rPr>
      </w:pPr>
      <w:r w:rsidRPr="00187C8E">
        <w:rPr>
          <w:rFonts w:ascii="Times New Roman" w:eastAsia="Times New Roman" w:hAnsi="Times New Roman" w:cs="Times New Roman"/>
          <w:sz w:val="24"/>
          <w:szCs w:val="24"/>
          <w:lang w:eastAsia="es-ES"/>
        </w:rPr>
        <w:t>Los umbrales se han establecido de tal manera que la UAA en la UE se divide por igual en las tres categorías (baja, media, alta). Estos niveles no pretenden representar fronteras de agricultura extensiva e intensiva. Se establecen de manera pragmática para estudiar la evolución de la intensidad de cultivo a lo largo del tiempo.</w:t>
      </w:r>
    </w:p>
    <w:p w:rsidR="002B7C74" w:rsidRPr="00C44C18" w:rsidRDefault="002B7C74" w:rsidP="002B7C74">
      <w:pPr>
        <w:spacing w:after="0" w:line="240" w:lineRule="auto"/>
        <w:jc w:val="both"/>
        <w:rPr>
          <w:rFonts w:ascii="Times New Roman" w:eastAsia="Times New Roman" w:hAnsi="Times New Roman" w:cs="Times New Roman"/>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0ECB4AAF" wp14:editId="27FCD3D9">
            <wp:extent cx="5731510" cy="2618369"/>
            <wp:effectExtent l="0" t="0" r="254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2618369"/>
                    </a:xfrm>
                    <a:prstGeom prst="rect">
                      <a:avLst/>
                    </a:prstGeom>
                  </pic:spPr>
                </pic:pic>
              </a:graphicData>
            </a:graphic>
          </wp:inline>
        </w:drawing>
      </w:r>
    </w:p>
    <w:p w:rsidR="002B7C74"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lastRenderedPageBreak/>
        <w:t>Aumentar la cuota de agricultura ecológica</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agricultura ecológica tiene como objetivo producir alimentos utilizando sustancias y procesos naturales. Esto significa que la agricultura orgánica tiende a tener un impacto ambiental limitado ya que fomenta: el uso responsable de la energía y los recursos naturales; mantenimiento de la biodiversidad; preservación de los equilibrios ecológicos regionales; mejora de la fertilidad del suelo; mantenimiento de la calidad del agua.</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Además, las reglas de la agricultura orgánica fomentan un alto nivel de bienestar animal y requieren que los agricultores satisfagan las necesidades específicas de comportamiento de los animales.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Este gráfico muestra la proporción de la superficie dedicada a la agricultura ecológica en la superficie agrícola utilizada total (SAU), que comprende tanto la superficie totalmente convertida a la agricultura ecológica como la superficie convertida a la agricultura ecológica.</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En la UE-27, la agricultura orgánica está creciendo rápidamente, lo que es un resultado directo del mayor interés de los consumidores por los productos orgánicos. La SAU total de la UE-27 en agricultura ecológica fue del 8,5 % en 2019, con diferencias importantes entre los Estados miembros.</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2957EF1F" wp14:editId="2D7D3016">
            <wp:extent cx="5731510" cy="2626330"/>
            <wp:effectExtent l="0" t="0" r="2540" b="317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2626330"/>
                    </a:xfrm>
                    <a:prstGeom prst="rect">
                      <a:avLst/>
                    </a:prstGeom>
                  </pic:spPr>
                </pic:pic>
              </a:graphicData>
            </a:graphic>
          </wp:inline>
        </w:drawing>
      </w:r>
    </w:p>
    <w:p w:rsidR="002B7C74" w:rsidRDefault="002B7C74" w:rsidP="002B7C74">
      <w:pPr>
        <w:spacing w:after="0" w:line="240" w:lineRule="auto"/>
        <w:jc w:val="both"/>
        <w:outlineLvl w:val="0"/>
        <w:rPr>
          <w:rFonts w:ascii="Times New Roman" w:eastAsia="Times New Roman" w:hAnsi="Times New Roman" w:cs="Times New Roman"/>
          <w:b/>
          <w:bCs/>
          <w:color w:val="004494"/>
          <w:kern w:val="36"/>
          <w:sz w:val="24"/>
          <w:szCs w:val="24"/>
          <w:lang w:eastAsia="es-ES"/>
        </w:rPr>
      </w:pPr>
    </w:p>
    <w:p w:rsidR="002B7C74"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r w:rsidRPr="00187C8E">
        <w:rPr>
          <w:rFonts w:ascii="Times New Roman" w:eastAsia="Times New Roman" w:hAnsi="Times New Roman" w:cs="Times New Roman"/>
          <w:b/>
          <w:bCs/>
          <w:kern w:val="36"/>
          <w:sz w:val="24"/>
          <w:szCs w:val="24"/>
          <w:lang w:eastAsia="es-ES"/>
        </w:rPr>
        <w:t>Fomento y puesta en común del conocimiento, la innovación y la digitalización</w:t>
      </w:r>
    </w:p>
    <w:p w:rsidR="002B7C74" w:rsidRPr="00187C8E" w:rsidRDefault="002B7C74" w:rsidP="002B7C74">
      <w:pPr>
        <w:spacing w:after="0" w:line="240" w:lineRule="auto"/>
        <w:jc w:val="both"/>
        <w:outlineLvl w:val="0"/>
        <w:rPr>
          <w:rFonts w:ascii="Times New Roman" w:eastAsia="Times New Roman" w:hAnsi="Times New Roman" w:cs="Times New Roman"/>
          <w:b/>
          <w:bCs/>
          <w:kern w:val="36"/>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Modernizar la agricultura y las zonas rurales mediante el fomento y el intercambio de conocimientos, la innovación y la digitalización en la agricultura y las zonas rurales, y fomentando su aceptación por parte de los agricultores, mediante un mejor acceso a la investigación, la innovación, el intercambio de conocimientos y la formación.</w:t>
      </w: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t>Aumentar la cooperación y el intercambio de conocimientos</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 xml:space="preserve">El apoyo al intercambio de conocimientos, la formación, el asesoramiento y la innovación es fundamental para garantizar una agricultura, una silvicultura y unas zonas rurales inteligentes y sostenibles. Incluye inversión en transferencia de conocimiento y acciones de información, servicios de asesoramiento, gestión de explotaciones y servicios de ayuda a explotaciones, y </w:t>
      </w:r>
      <w:r w:rsidRPr="00187C8E">
        <w:rPr>
          <w:rFonts w:ascii="Times New Roman" w:eastAsia="Times New Roman" w:hAnsi="Times New Roman" w:cs="Times New Roman"/>
          <w:color w:val="000000"/>
          <w:sz w:val="24"/>
          <w:szCs w:val="24"/>
          <w:lang w:eastAsia="es-ES"/>
        </w:rPr>
        <w:lastRenderedPageBreak/>
        <w:t>para la cooperación/Asociación Europea para la Innovación. El nivel de apoyo varía entre los Estados miembros de la UE, lo que refleja su contexto nacional específico y sus prioridades.</w:t>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Este gráfico muestra el dinero de desarrollo rural gastado en conocimiento e innovación como porcentaje de los gastos totales ya realizados para el presupuesto plurianual 2014-2020 (incluidas las contribuciones nacionales). En 2021, esto totalizó un poco más del 2 % del gasto real de 2014-2020. Es probable que esto cambie en los próximos años, ya que los Estados miembros todavía tienen la posibilidad de declarar gastos de desarrollo rural hasta 2025 para este período. </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36AA7BD5" wp14:editId="455D6AED">
            <wp:extent cx="5731510" cy="2638577"/>
            <wp:effectExtent l="0" t="0" r="2540" b="952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2638577"/>
                    </a:xfrm>
                    <a:prstGeom prst="rect">
                      <a:avLst/>
                    </a:prstGeom>
                  </pic:spPr>
                </pic:pic>
              </a:graphicData>
            </a:graphic>
          </wp:inline>
        </w:drawing>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La Asociación Europea de Innovación (EIP) para la productividad y la sostenibilidad agrícolas reúne a agricultores, investigadores, asesores y otros actores en proyectos de cooperación, los llamados Grupos Operativos, para promover la innovación en los sectores agrícola y forestal y las áreas rurales. Los Estados miembros de la UE emiten convocatorias regulares para proyectos de grupos operativos para abordar sus necesidades específicas de innovación a lo largo de todos los objetivos de la PAC. Desde 2014, se han lanzado más de 2000 proyectos innovadores en toda Europa y el número sigue creciendo. </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color w:val="000000"/>
          <w:sz w:val="24"/>
          <w:szCs w:val="24"/>
          <w:lang w:eastAsia="es-ES"/>
        </w:rPr>
        <w:t xml:space="preserve"> </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2BDBEA0E" wp14:editId="2EAEDA67">
            <wp:extent cx="5731510" cy="2670418"/>
            <wp:effectExtent l="0" t="0" r="254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2670418"/>
                    </a:xfrm>
                    <a:prstGeom prst="rect">
                      <a:avLst/>
                    </a:prstGeom>
                  </pic:spPr>
                </pic:pic>
              </a:graphicData>
            </a:graphic>
          </wp:inline>
        </w:drawing>
      </w: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before="100" w:beforeAutospacing="1" w:after="100" w:afterAutospacing="1" w:line="240" w:lineRule="auto"/>
        <w:jc w:val="both"/>
        <w:outlineLvl w:val="1"/>
        <w:rPr>
          <w:rFonts w:ascii="Times New Roman" w:eastAsia="Times New Roman" w:hAnsi="Times New Roman" w:cs="Times New Roman"/>
          <w:b/>
          <w:bCs/>
          <w:color w:val="000000"/>
          <w:sz w:val="24"/>
          <w:szCs w:val="24"/>
          <w:lang w:eastAsia="es-ES"/>
        </w:rPr>
      </w:pPr>
      <w:r w:rsidRPr="00187C8E">
        <w:rPr>
          <w:rFonts w:ascii="Times New Roman" w:eastAsia="Times New Roman" w:hAnsi="Times New Roman" w:cs="Times New Roman"/>
          <w:b/>
          <w:bCs/>
          <w:color w:val="000000"/>
          <w:sz w:val="24"/>
          <w:szCs w:val="24"/>
          <w:lang w:eastAsia="es-ES"/>
        </w:rPr>
        <w:lastRenderedPageBreak/>
        <w:t>Mejorar la formación agrícola</w:t>
      </w:r>
    </w:p>
    <w:p w:rsidR="002B7C74"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187C8E">
        <w:rPr>
          <w:rFonts w:ascii="Times New Roman" w:eastAsia="Times New Roman" w:hAnsi="Times New Roman" w:cs="Times New Roman"/>
          <w:color w:val="000000"/>
          <w:sz w:val="24"/>
          <w:szCs w:val="24"/>
          <w:lang w:eastAsia="es-ES"/>
        </w:rPr>
        <w:t>El conocimiento permite a los agricultores abordar mejor los desafíos económicos, ambientales y sociales. En la UE-27, la mayoría de los administradores de fincas adquieren conocimientos a través de la experiencia práctica en la finca. La proporción de aquellos que obtienen una formación básica (cualquier curso de formación completado en un colegio agrícola general o una institución similar, o un aprendizaje agrícola completo) y una formación agrícola completa (equivalente a al menos dos años a tiempo completo después de la educación obligat</w:t>
      </w:r>
      <w:r>
        <w:rPr>
          <w:rFonts w:ascii="Times New Roman" w:eastAsia="Times New Roman" w:hAnsi="Times New Roman" w:cs="Times New Roman"/>
          <w:color w:val="000000"/>
          <w:sz w:val="24"/>
          <w:szCs w:val="24"/>
          <w:lang w:eastAsia="es-ES"/>
        </w:rPr>
        <w:t xml:space="preserve">oria), aunque sigue aumentando, </w:t>
      </w:r>
      <w:r w:rsidRPr="00187C8E">
        <w:rPr>
          <w:rFonts w:ascii="Times New Roman" w:eastAsia="Times New Roman" w:hAnsi="Times New Roman" w:cs="Times New Roman"/>
          <w:color w:val="000000"/>
          <w:sz w:val="24"/>
          <w:szCs w:val="24"/>
          <w:lang w:eastAsia="es-ES"/>
        </w:rPr>
        <w:t>relativamente bajo.  </w:t>
      </w:r>
    </w:p>
    <w:p w:rsidR="002B7C74" w:rsidRPr="00C44C18" w:rsidRDefault="002B7C74" w:rsidP="002B7C74">
      <w:pPr>
        <w:spacing w:after="0" w:line="240" w:lineRule="auto"/>
        <w:jc w:val="both"/>
        <w:rPr>
          <w:rFonts w:ascii="Times New Roman" w:eastAsia="Times New Roman" w:hAnsi="Times New Roman" w:cs="Times New Roman"/>
          <w:color w:val="000000"/>
          <w:sz w:val="24"/>
          <w:szCs w:val="24"/>
          <w:lang w:eastAsia="es-ES"/>
        </w:rPr>
      </w:pPr>
    </w:p>
    <w:p w:rsidR="002B7C74" w:rsidRPr="00187C8E" w:rsidRDefault="002B7C74" w:rsidP="002B7C74">
      <w:pPr>
        <w:spacing w:after="0" w:line="240" w:lineRule="auto"/>
        <w:jc w:val="both"/>
        <w:rPr>
          <w:rFonts w:ascii="Times New Roman" w:eastAsia="Times New Roman" w:hAnsi="Times New Roman" w:cs="Times New Roman"/>
          <w:color w:val="000000"/>
          <w:sz w:val="24"/>
          <w:szCs w:val="24"/>
          <w:lang w:eastAsia="es-ES"/>
        </w:rPr>
      </w:pPr>
      <w:r w:rsidRPr="00C44C18">
        <w:rPr>
          <w:rFonts w:ascii="Times New Roman" w:eastAsia="Times New Roman" w:hAnsi="Times New Roman" w:cs="Times New Roman"/>
          <w:noProof/>
          <w:color w:val="000000"/>
          <w:sz w:val="24"/>
          <w:szCs w:val="24"/>
          <w:lang w:eastAsia="es-ES"/>
        </w:rPr>
        <w:drawing>
          <wp:inline distT="0" distB="0" distL="0" distR="0" wp14:anchorId="04FD678E" wp14:editId="087A66AA">
            <wp:extent cx="5731510" cy="2636127"/>
            <wp:effectExtent l="0" t="0" r="254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2636127"/>
                    </a:xfrm>
                    <a:prstGeom prst="rect">
                      <a:avLst/>
                    </a:prstGeom>
                  </pic:spPr>
                </pic:pic>
              </a:graphicData>
            </a:graphic>
          </wp:inline>
        </w:drawing>
      </w:r>
    </w:p>
    <w:p w:rsidR="002B7C74" w:rsidRDefault="002B7C74" w:rsidP="002B7C74">
      <w:pPr>
        <w:spacing w:line="240" w:lineRule="auto"/>
        <w:jc w:val="both"/>
        <w:rPr>
          <w:rFonts w:ascii="Times New Roman" w:hAnsi="Times New Roman" w:cs="Times New Roman"/>
          <w:sz w:val="24"/>
          <w:szCs w:val="24"/>
        </w:rPr>
      </w:pPr>
      <w:r>
        <w:rPr>
          <w:rFonts w:ascii="Times New Roman" w:hAnsi="Times New Roman" w:cs="Times New Roman"/>
          <w:sz w:val="24"/>
          <w:szCs w:val="24"/>
        </w:rPr>
        <w:t>(Fuente:</w:t>
      </w:r>
      <w:r w:rsidRPr="00773E3C">
        <w:rPr>
          <w:rFonts w:ascii="Times New Roman" w:hAnsi="Times New Roman" w:cs="Times New Roman"/>
          <w:sz w:val="24"/>
          <w:szCs w:val="24"/>
        </w:rPr>
        <w:t>https://agridata.ec.europa.eu/extensions/CountryFactsheets/CountryFactsheets.html?memberstate=Spain</w:t>
      </w:r>
      <w:r>
        <w:rPr>
          <w:rFonts w:ascii="Times New Roman" w:hAnsi="Times New Roman" w:cs="Times New Roman"/>
          <w:sz w:val="24"/>
          <w:szCs w:val="24"/>
        </w:rPr>
        <w:t>)</w:t>
      </w:r>
    </w:p>
    <w:p w:rsidR="002B7C74" w:rsidRPr="00DE64B9" w:rsidRDefault="002B7C74" w:rsidP="002B7C74">
      <w:pPr>
        <w:spacing w:line="240" w:lineRule="auto"/>
        <w:jc w:val="both"/>
        <w:rPr>
          <w:rFonts w:ascii="Times New Roman" w:hAnsi="Times New Roman" w:cs="Times New Roman"/>
          <w:b/>
          <w:sz w:val="24"/>
          <w:szCs w:val="24"/>
        </w:rPr>
      </w:pPr>
      <w:r w:rsidRPr="00DE64B9">
        <w:rPr>
          <w:rFonts w:ascii="Times New Roman" w:hAnsi="Times New Roman" w:cs="Times New Roman"/>
          <w:b/>
          <w:sz w:val="24"/>
          <w:szCs w:val="24"/>
        </w:rPr>
        <w:t>Nota: Los planes quinquenales de la Unión Soviética (crónica de un fracaso anunciado)</w:t>
      </w:r>
    </w:p>
    <w:p w:rsidR="002B7C74" w:rsidRPr="00DE64B9" w:rsidRDefault="002B7C74" w:rsidP="002B7C74">
      <w:pPr>
        <w:spacing w:line="240" w:lineRule="auto"/>
        <w:jc w:val="both"/>
        <w:rPr>
          <w:rFonts w:ascii="Times New Roman" w:hAnsi="Times New Roman" w:cs="Times New Roman"/>
          <w:sz w:val="24"/>
          <w:szCs w:val="24"/>
        </w:rPr>
      </w:pPr>
      <w:r w:rsidRPr="00DE64B9">
        <w:rPr>
          <w:rFonts w:ascii="Times New Roman" w:hAnsi="Times New Roman" w:cs="Times New Roman"/>
          <w:sz w:val="24"/>
          <w:szCs w:val="24"/>
        </w:rPr>
        <w:t>Los planes quinquenales para la economía nacional de la Unión Soviética fueron una serie de proyectos internacionales centralizados​ en el desarrollo económico de la creciente Unión Soviética. Estos proye</w:t>
      </w:r>
      <w:r w:rsidR="00DE64B9">
        <w:rPr>
          <w:rFonts w:ascii="Times New Roman" w:hAnsi="Times New Roman" w:cs="Times New Roman"/>
          <w:sz w:val="24"/>
          <w:szCs w:val="24"/>
        </w:rPr>
        <w:t>ctos fueron desarrollados por el</w:t>
      </w:r>
      <w:r w:rsidRPr="00DE64B9">
        <w:rPr>
          <w:rFonts w:ascii="Times New Roman" w:hAnsi="Times New Roman" w:cs="Times New Roman"/>
          <w:sz w:val="24"/>
          <w:szCs w:val="24"/>
        </w:rPr>
        <w:t xml:space="preserve"> Gosplán basándose en la “Teoría de las fuerzas productivas”, que era parte de las directrices generales del Partido Comunista para el desarrollo económico. La realización del plan llegó a ser la insignia de la burocracia soviética. Esto ayudó al desarrollo rápido de la industria, y en especial de la industria pesada.</w:t>
      </w:r>
    </w:p>
    <w:p w:rsidR="002B7C74" w:rsidRPr="00DE64B9" w:rsidRDefault="002B7C74" w:rsidP="002B7C74">
      <w:pPr>
        <w:spacing w:line="240" w:lineRule="auto"/>
        <w:jc w:val="both"/>
        <w:rPr>
          <w:rFonts w:ascii="Times New Roman" w:hAnsi="Times New Roman" w:cs="Times New Roman"/>
          <w:sz w:val="24"/>
          <w:szCs w:val="24"/>
        </w:rPr>
      </w:pPr>
      <w:r w:rsidRPr="00DE64B9">
        <w:rPr>
          <w:rFonts w:ascii="Times New Roman" w:hAnsi="Times New Roman" w:cs="Times New Roman"/>
          <w:sz w:val="24"/>
          <w:szCs w:val="24"/>
        </w:rPr>
        <w:t>Estos planes propuestos por Stalin consistían en la planificación de la economía cada cinco años. Varios planes quinquenales no se llevaron a cabo en su totalidad en el período asignado para ellos (unos satisfactoriamente fueron completados antes de lo esperado, mientras que otros fracasaron y fueron abandonados, o debieron ser suspendidos por alguna razón -por ejemplo inicio de una guerra-).</w:t>
      </w:r>
    </w:p>
    <w:p w:rsidR="002B7C74" w:rsidRPr="00DE64B9" w:rsidRDefault="002B7C74" w:rsidP="002B7C74">
      <w:pPr>
        <w:spacing w:line="240" w:lineRule="auto"/>
        <w:jc w:val="both"/>
        <w:rPr>
          <w:rFonts w:ascii="Times New Roman" w:hAnsi="Times New Roman" w:cs="Times New Roman"/>
          <w:sz w:val="24"/>
          <w:szCs w:val="24"/>
        </w:rPr>
      </w:pPr>
      <w:r w:rsidRPr="00DE64B9">
        <w:rPr>
          <w:rFonts w:ascii="Times New Roman" w:hAnsi="Times New Roman" w:cs="Times New Roman"/>
          <w:sz w:val="24"/>
          <w:szCs w:val="24"/>
        </w:rPr>
        <w:t>Los planes quinquenales iniciales fueron creados para ayudar en la rápida industrialización de la Unión Soviética,​ concentrando sus esfuerzos en la industria pesada. En total, hubo 13 proyectos de cinco años. El primero fue aceptado en 1928 para el quinquenio de 1929 a 1933, y completado un año antes de lo previsto. El último plan quinquenal, el decimotercero, fue durante el período 1991-1995, y no fue completado debido a la disolución de la Unión Soviética en 1991.​ De 1928 a 1945 se decretaron tres planes: 1928-1932, 1933-1937 y 1938-1941. Este último se vio interrumpido por la invasión alemana, pero después de la Segunda Guerra Mundial (1939-1945) se volvieron a elaborar.</w:t>
      </w:r>
    </w:p>
    <w:p w:rsidR="007E482E" w:rsidRPr="00B11B7F"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F04C6">
        <w:rPr>
          <w:rFonts w:ascii="Times New Roman" w:hAnsi="Times New Roman" w:cs="Times New Roman"/>
          <w:b/>
          <w:sz w:val="24"/>
          <w:szCs w:val="24"/>
        </w:rPr>
        <w:t xml:space="preserve">La verdad de la milanesa: </w:t>
      </w:r>
      <w:r w:rsidR="009B1AA2">
        <w:rPr>
          <w:rFonts w:ascii="Times New Roman" w:hAnsi="Times New Roman" w:cs="Times New Roman"/>
          <w:b/>
          <w:sz w:val="24"/>
          <w:szCs w:val="24"/>
        </w:rPr>
        <w:t>La</w:t>
      </w:r>
      <w:r w:rsidR="00DE64B9">
        <w:rPr>
          <w:rFonts w:ascii="Times New Roman" w:hAnsi="Times New Roman" w:cs="Times New Roman"/>
          <w:b/>
          <w:sz w:val="24"/>
          <w:szCs w:val="24"/>
        </w:rPr>
        <w:t xml:space="preserve"> evacuación del</w:t>
      </w:r>
      <w:r w:rsidR="009B1AA2">
        <w:rPr>
          <w:rFonts w:ascii="Times New Roman" w:hAnsi="Times New Roman" w:cs="Times New Roman"/>
          <w:b/>
          <w:sz w:val="24"/>
          <w:szCs w:val="24"/>
        </w:rPr>
        <w:t xml:space="preserve"> “Gosplán” en</w:t>
      </w:r>
      <w:r>
        <w:rPr>
          <w:rFonts w:ascii="Times New Roman" w:hAnsi="Times New Roman" w:cs="Times New Roman"/>
          <w:b/>
          <w:sz w:val="24"/>
          <w:szCs w:val="24"/>
        </w:rPr>
        <w:t xml:space="preserve"> la Política Agraria Común (PAC) provoca la pérdida de soberanía alimentaria de la Unión Europea </w:t>
      </w:r>
    </w:p>
    <w:p w:rsidR="007E482E" w:rsidRDefault="007E482E" w:rsidP="007E482E">
      <w:pPr>
        <w:spacing w:line="240" w:lineRule="auto"/>
      </w:pPr>
      <w:r>
        <w:rPr>
          <w:noProof/>
          <w:lang w:eastAsia="es-ES"/>
        </w:rPr>
        <w:drawing>
          <wp:inline distT="0" distB="0" distL="0" distR="0" wp14:anchorId="7D87AD4B" wp14:editId="590FFFD2">
            <wp:extent cx="5731510" cy="2596287"/>
            <wp:effectExtent l="0" t="0" r="2540" b="0"/>
            <wp:docPr id="126" name="Imagen 126" descr="Un tractor en un cul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tractor en un cultivo."/>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2596287"/>
                    </a:xfrm>
                    <a:prstGeom prst="rect">
                      <a:avLst/>
                    </a:prstGeom>
                    <a:noFill/>
                    <a:ln>
                      <a:noFill/>
                    </a:ln>
                  </pic:spPr>
                </pic:pic>
              </a:graphicData>
            </a:graphic>
          </wp:inline>
        </w:drawing>
      </w:r>
    </w:p>
    <w:p w:rsidR="007E482E" w:rsidRPr="00B54E12" w:rsidRDefault="007E482E" w:rsidP="007E482E">
      <w:pPr>
        <w:spacing w:line="240" w:lineRule="auto"/>
        <w:jc w:val="both"/>
        <w:rPr>
          <w:rFonts w:ascii="Times New Roman" w:hAnsi="Times New Roman" w:cs="Times New Roman"/>
          <w:b/>
          <w:sz w:val="24"/>
          <w:szCs w:val="24"/>
        </w:rPr>
      </w:pPr>
      <w:r w:rsidRPr="00B54E12">
        <w:rPr>
          <w:rFonts w:ascii="Times New Roman" w:hAnsi="Times New Roman" w:cs="Times New Roman"/>
          <w:b/>
          <w:sz w:val="24"/>
          <w:szCs w:val="24"/>
        </w:rPr>
        <w:t>Highlights</w:t>
      </w:r>
    </w:p>
    <w:p w:rsidR="007E482E" w:rsidRPr="00221B57" w:rsidRDefault="007E482E" w:rsidP="007E482E">
      <w:pPr>
        <w:spacing w:line="240" w:lineRule="auto"/>
        <w:jc w:val="both"/>
        <w:rPr>
          <w:rFonts w:ascii="Times New Roman" w:hAnsi="Times New Roman" w:cs="Times New Roman"/>
          <w:sz w:val="24"/>
          <w:szCs w:val="24"/>
        </w:rPr>
      </w:pPr>
      <w:r w:rsidRPr="00221B57">
        <w:rPr>
          <w:rFonts w:ascii="Times New Roman" w:hAnsi="Times New Roman" w:cs="Times New Roman"/>
          <w:sz w:val="24"/>
          <w:szCs w:val="24"/>
        </w:rPr>
        <w:t>La EU-27, los Estados Unidos y China representaron el 42 % del comercio internacional de mercancías en 2018.</w:t>
      </w:r>
    </w:p>
    <w:p w:rsidR="007E482E" w:rsidRPr="00221B57" w:rsidRDefault="007E482E" w:rsidP="007E482E">
      <w:pPr>
        <w:spacing w:line="240" w:lineRule="auto"/>
        <w:jc w:val="both"/>
        <w:rPr>
          <w:rFonts w:ascii="Times New Roman" w:hAnsi="Times New Roman" w:cs="Times New Roman"/>
          <w:sz w:val="24"/>
          <w:szCs w:val="24"/>
        </w:rPr>
      </w:pPr>
      <w:r w:rsidRPr="00221B57">
        <w:rPr>
          <w:rFonts w:ascii="Times New Roman" w:hAnsi="Times New Roman" w:cs="Times New Roman"/>
          <w:sz w:val="24"/>
          <w:szCs w:val="24"/>
        </w:rPr>
        <w:t>El principal socio de la EU-27 para las exportaciones en 2019 fueron los Estados Unidos y, para las importaciones, China.</w:t>
      </w:r>
    </w:p>
    <w:p w:rsidR="007E482E" w:rsidRDefault="007E482E" w:rsidP="007E482E">
      <w:pPr>
        <w:spacing w:line="240" w:lineRule="auto"/>
        <w:jc w:val="both"/>
        <w:rPr>
          <w:rFonts w:ascii="Times New Roman" w:hAnsi="Times New Roman" w:cs="Times New Roman"/>
          <w:sz w:val="24"/>
          <w:szCs w:val="24"/>
        </w:rPr>
      </w:pPr>
      <w:r w:rsidRPr="00221B57">
        <w:rPr>
          <w:rFonts w:ascii="Times New Roman" w:hAnsi="Times New Roman" w:cs="Times New Roman"/>
          <w:sz w:val="24"/>
          <w:szCs w:val="24"/>
        </w:rPr>
        <w:t>La maquinaria y los vehículos representaron el 41 % de las exportaciones de la EU-27 y el 33 % de las importaciones de la EU-27 en 2019.</w:t>
      </w:r>
    </w:p>
    <w:p w:rsidR="007E482E" w:rsidRDefault="007E482E" w:rsidP="007E482E">
      <w:pPr>
        <w:spacing w:line="240" w:lineRule="auto"/>
        <w:jc w:val="both"/>
        <w:rPr>
          <w:rFonts w:ascii="Times New Roman" w:hAnsi="Times New Roman" w:cs="Times New Roman"/>
          <w:sz w:val="24"/>
          <w:szCs w:val="24"/>
        </w:rPr>
      </w:pPr>
      <w:r w:rsidRPr="00221B57">
        <w:rPr>
          <w:rFonts w:ascii="Times New Roman" w:hAnsi="Times New Roman" w:cs="Times New Roman"/>
          <w:noProof/>
          <w:sz w:val="24"/>
          <w:szCs w:val="24"/>
          <w:lang w:eastAsia="es-ES"/>
        </w:rPr>
        <w:drawing>
          <wp:inline distT="0" distB="0" distL="0" distR="0" wp14:anchorId="544D3DBC" wp14:editId="32464338">
            <wp:extent cx="5731510" cy="2521619"/>
            <wp:effectExtent l="0" t="0" r="254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2521619"/>
                    </a:xfrm>
                    <a:prstGeom prst="rect">
                      <a:avLst/>
                    </a:prstGeom>
                  </pic:spPr>
                </pic:pic>
              </a:graphicData>
            </a:graphic>
          </wp:inline>
        </w:drawing>
      </w:r>
    </w:p>
    <w:p w:rsidR="007E482E" w:rsidRDefault="007E482E" w:rsidP="007E482E">
      <w:pPr>
        <w:spacing w:line="240" w:lineRule="auto"/>
        <w:jc w:val="both"/>
        <w:rPr>
          <w:rFonts w:ascii="Times New Roman" w:hAnsi="Times New Roman" w:cs="Times New Roman"/>
          <w:sz w:val="24"/>
          <w:szCs w:val="24"/>
          <w:shd w:val="clear" w:color="auto" w:fill="FFFFFF"/>
        </w:rPr>
      </w:pPr>
      <w:r w:rsidRPr="00221B57">
        <w:rPr>
          <w:rFonts w:ascii="Times New Roman" w:hAnsi="Times New Roman" w:cs="Times New Roman"/>
          <w:sz w:val="24"/>
          <w:szCs w:val="24"/>
          <w:shd w:val="clear" w:color="auto" w:fill="FFFFFF"/>
        </w:rPr>
        <w:t>La </w:t>
      </w:r>
      <w:hyperlink r:id="rId95" w:history="1">
        <w:r w:rsidRPr="007E482E">
          <w:rPr>
            <w:rStyle w:val="Hipervnculo"/>
            <w:rFonts w:ascii="Times New Roman" w:hAnsi="Times New Roman" w:cs="Times New Roman"/>
            <w:color w:val="auto"/>
            <w:sz w:val="24"/>
            <w:szCs w:val="24"/>
            <w:u w:val="none"/>
            <w:shd w:val="clear" w:color="auto" w:fill="FFFFFF"/>
          </w:rPr>
          <w:t>EU-27</w:t>
        </w:r>
      </w:hyperlink>
      <w:r w:rsidRPr="007E482E">
        <w:rPr>
          <w:rFonts w:ascii="Times New Roman" w:hAnsi="Times New Roman" w:cs="Times New Roman"/>
          <w:sz w:val="24"/>
          <w:szCs w:val="24"/>
          <w:shd w:val="clear" w:color="auto" w:fill="FFFFFF"/>
        </w:rPr>
        <w:t> </w:t>
      </w:r>
      <w:r w:rsidRPr="00221B57">
        <w:rPr>
          <w:rFonts w:ascii="Times New Roman" w:hAnsi="Times New Roman" w:cs="Times New Roman"/>
          <w:sz w:val="24"/>
          <w:szCs w:val="24"/>
          <w:shd w:val="clear" w:color="auto" w:fill="FFFFFF"/>
        </w:rPr>
        <w:t>representa aproximadamente el 15 % del comercio mundial de mercancías. El valor del comercio internacional de mercancías supera con mucho el de los servicios (es aproximadamente tres veces superior), ya que algunos servicios, por su propia naturaleza, son más difíciles de comercializar a través de las fronteras.</w:t>
      </w:r>
    </w:p>
    <w:p w:rsidR="007E482E" w:rsidRPr="00221B57" w:rsidRDefault="007E482E" w:rsidP="007E482E">
      <w:pPr>
        <w:pStyle w:val="NormalWeb"/>
        <w:shd w:val="clear" w:color="auto" w:fill="FFFFFF"/>
        <w:spacing w:before="0" w:beforeAutospacing="0" w:after="105" w:afterAutospacing="0"/>
        <w:jc w:val="both"/>
      </w:pPr>
      <w:r w:rsidRPr="00221B57">
        <w:t xml:space="preserve">La EU-27, China y los Estados Unidos han sido los tres principales actores mundiales del comercio internacional (véase el gráfico 1) desde 2004, cuando China superó a Japón. En </w:t>
      </w:r>
      <w:r w:rsidRPr="00221B57">
        <w:lastRenderedPageBreak/>
        <w:t xml:space="preserve">2018, el nivel total del comercio de mercancías (exportaciones e importaciones) </w:t>
      </w:r>
      <w:r>
        <w:t>registrado en la EU-27 fue de 3.</w:t>
      </w:r>
      <w:r w:rsidRPr="00221B57">
        <w:t>967 millardos EUR (obsérvese que no se incluye el comercio inte</w:t>
      </w:r>
      <w:r>
        <w:t>rior de la Unión), es decir, 50.</w:t>
      </w:r>
      <w:r w:rsidRPr="00221B57">
        <w:t>000 m</w:t>
      </w:r>
      <w:r>
        <w:t>illones EUR más que China y 342.</w:t>
      </w:r>
      <w:r w:rsidRPr="00221B57">
        <w:t>000 millones EUR por encima del nivel registrado para los Estados Unidos; Japón ocupó el cuarto puesto por nivel d</w:t>
      </w:r>
      <w:r>
        <w:t>e comercio de mercancías, con 1.</w:t>
      </w:r>
      <w:r w:rsidRPr="00221B57">
        <w:t>260 millardos EUR.</w:t>
      </w:r>
    </w:p>
    <w:p w:rsidR="007E482E" w:rsidRDefault="007E482E" w:rsidP="007E482E">
      <w:pPr>
        <w:pStyle w:val="NormalWeb"/>
        <w:shd w:val="clear" w:color="auto" w:fill="FFFFFF"/>
        <w:spacing w:before="0" w:beforeAutospacing="0" w:after="105" w:afterAutospacing="0"/>
        <w:jc w:val="both"/>
        <w:rPr>
          <w:color w:val="333333"/>
        </w:rPr>
      </w:pPr>
      <w:r>
        <w:rPr>
          <w:noProof/>
        </w:rPr>
        <w:drawing>
          <wp:inline distT="0" distB="0" distL="0" distR="0" wp14:anchorId="16D9562A" wp14:editId="2ACB5756">
            <wp:extent cx="4762500" cy="3486150"/>
            <wp:effectExtent l="0" t="0" r="0" b="0"/>
            <wp:docPr id="128" name="Imagen 128" descr="https://ec.europa.eu/eurostat/statistics-explained/images/thumb/f/f3/Main_players_for_international_trade_in_goods%2C_2018_%28billion_EUR%29_FP2020.png/500px-Main_players_for_international_trade_in_goods%2C_2018_%28billion_EUR%2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c.europa.eu/eurostat/statistics-explained/images/thumb/f/f3/Main_players_for_international_trade_in_goods%2C_2018_%28billion_EUR%29_FP2020.png/500px-Main_players_for_international_trade_in_goods%2C_2018_%28billion_EUR%29_FP2020.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762500" cy="3486150"/>
                    </a:xfrm>
                    <a:prstGeom prst="rect">
                      <a:avLst/>
                    </a:prstGeom>
                    <a:noFill/>
                    <a:ln>
                      <a:noFill/>
                    </a:ln>
                  </pic:spPr>
                </pic:pic>
              </a:graphicData>
            </a:graphic>
          </wp:inline>
        </w:drawing>
      </w:r>
    </w:p>
    <w:p w:rsidR="007E482E" w:rsidRPr="00221B57" w:rsidRDefault="007E482E" w:rsidP="007E482E">
      <w:pPr>
        <w:pStyle w:val="NormalWeb"/>
        <w:shd w:val="clear" w:color="auto" w:fill="FFFFFF"/>
        <w:spacing w:before="0" w:beforeAutospacing="0" w:after="105" w:afterAutospacing="0"/>
        <w:jc w:val="both"/>
      </w:pPr>
      <w:r w:rsidRPr="00221B57">
        <w:rPr>
          <w:shd w:val="clear" w:color="auto" w:fill="FFFFFF"/>
        </w:rPr>
        <w:t>En 2018, la relación entre las importaciones y exportaciones (coeficiente de cobertura) fue particularmente elevada a favor de las exportaciones en relación con Rusia, y China (véase el gráfico 2), quienes en términos absolutos tuvieron el mayor </w:t>
      </w:r>
      <w:hyperlink r:id="rId97" w:history="1">
        <w:r w:rsidRPr="007E482E">
          <w:rPr>
            <w:rStyle w:val="Hipervnculo"/>
            <w:color w:val="auto"/>
            <w:u w:val="none"/>
            <w:shd w:val="clear" w:color="auto" w:fill="FFFFFF"/>
          </w:rPr>
          <w:t>excedente comercial</w:t>
        </w:r>
      </w:hyperlink>
      <w:r w:rsidRPr="00221B57">
        <w:rPr>
          <w:shd w:val="clear" w:color="auto" w:fill="FFFFFF"/>
        </w:rPr>
        <w:t> anual.</w:t>
      </w:r>
    </w:p>
    <w:p w:rsidR="007E482E" w:rsidRDefault="007E482E" w:rsidP="007E482E">
      <w:pPr>
        <w:spacing w:line="240" w:lineRule="auto"/>
        <w:jc w:val="both"/>
        <w:rPr>
          <w:rFonts w:ascii="Times New Roman" w:hAnsi="Times New Roman" w:cs="Times New Roman"/>
          <w:sz w:val="24"/>
          <w:szCs w:val="24"/>
        </w:rPr>
      </w:pPr>
      <w:r>
        <w:rPr>
          <w:noProof/>
          <w:lang w:eastAsia="es-ES"/>
        </w:rPr>
        <w:drawing>
          <wp:inline distT="0" distB="0" distL="0" distR="0" wp14:anchorId="655F8341" wp14:editId="1C3B302E">
            <wp:extent cx="4762500" cy="3200400"/>
            <wp:effectExtent l="0" t="0" r="0" b="0"/>
            <wp:docPr id="129" name="Imagen 129" descr="https://ec.europa.eu/eurostat/statistics-explained/images/thumb/7/77/Cover_ratio_for_international_trade_in_goods%2C_2008_and_2018_%28%25%29_FP2020.png/500px-Cover_ratio_for_international_trade_in_goods%2C_2008_and_2018_%28%25%2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c.europa.eu/eurostat/statistics-explained/images/thumb/7/77/Cover_ratio_for_international_trade_in_goods%2C_2008_and_2018_%28%25%29_FP2020.png/500px-Cover_ratio_for_international_trade_in_goods%2C_2008_and_2018_%28%25%29_FP202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221B57">
        <w:rPr>
          <w:rFonts w:ascii="Times New Roman" w:hAnsi="Times New Roman" w:cs="Times New Roman"/>
          <w:sz w:val="24"/>
          <w:szCs w:val="24"/>
        </w:rPr>
        <w:t>Gráfico 2: Coeficiente de cobertura del comercio internaci</w:t>
      </w:r>
      <w:r>
        <w:rPr>
          <w:rFonts w:ascii="Times New Roman" w:hAnsi="Times New Roman" w:cs="Times New Roman"/>
          <w:sz w:val="24"/>
          <w:szCs w:val="24"/>
        </w:rPr>
        <w:t xml:space="preserve">onal de mercancías, 2008 y 2018 </w:t>
      </w:r>
      <w:r w:rsidRPr="00221B57">
        <w:rPr>
          <w:rFonts w:ascii="Times New Roman" w:hAnsi="Times New Roman" w:cs="Times New Roman"/>
          <w:sz w:val="24"/>
          <w:szCs w:val="24"/>
        </w:rPr>
        <w:t>(%)</w:t>
      </w:r>
    </w:p>
    <w:p w:rsidR="007E482E" w:rsidRDefault="007E482E" w:rsidP="007E482E">
      <w:pPr>
        <w:spacing w:line="240" w:lineRule="auto"/>
        <w:jc w:val="both"/>
        <w:rPr>
          <w:rFonts w:ascii="Times New Roman" w:hAnsi="Times New Roman" w:cs="Times New Roman"/>
          <w:sz w:val="24"/>
          <w:szCs w:val="24"/>
        </w:rPr>
      </w:pPr>
      <w:r w:rsidRPr="00221B57">
        <w:rPr>
          <w:rFonts w:ascii="Times New Roman" w:hAnsi="Times New Roman" w:cs="Times New Roman"/>
          <w:sz w:val="24"/>
          <w:szCs w:val="24"/>
        </w:rPr>
        <w:lastRenderedPageBreak/>
        <w:t>En 2018, los Estados Unidos tuvieron el mayor déficit (véase el gráfico 3), dando continuidad a una pauta que ha sido evidente durante la totalidad de la última década sobre la que se dispone de datos.</w:t>
      </w:r>
    </w:p>
    <w:p w:rsidR="007E482E" w:rsidRDefault="007E482E" w:rsidP="007E482E">
      <w:pPr>
        <w:spacing w:line="240" w:lineRule="auto"/>
        <w:jc w:val="both"/>
        <w:rPr>
          <w:rFonts w:ascii="Times New Roman" w:hAnsi="Times New Roman" w:cs="Times New Roman"/>
          <w:sz w:val="24"/>
          <w:szCs w:val="24"/>
        </w:rPr>
      </w:pPr>
      <w:r>
        <w:rPr>
          <w:noProof/>
          <w:lang w:eastAsia="es-ES"/>
        </w:rPr>
        <w:drawing>
          <wp:inline distT="0" distB="0" distL="0" distR="0" wp14:anchorId="7D4940E2" wp14:editId="7E4B293D">
            <wp:extent cx="4762500" cy="3105150"/>
            <wp:effectExtent l="0" t="0" r="0" b="0"/>
            <wp:docPr id="130" name="Imagen 130" descr="https://ec.europa.eu/eurostat/statistics-explained/images/thumb/e/ea/Trade_balance_for_international_trade_in_goods%2C_2008_and_2018_FP2020.png/500px-Trade_balance_for_international_trade_in_goods%2C_2008_and_2018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c.europa.eu/eurostat/statistics-explained/images/thumb/e/ea/Trade_balance_for_international_trade_in_goods%2C_2008_and_2018_FP2020.png/500px-Trade_balance_for_international_trade_in_goods%2C_2008_and_2018_FP2020.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762500" cy="310515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221B57">
        <w:rPr>
          <w:rFonts w:ascii="Times New Roman" w:hAnsi="Times New Roman" w:cs="Times New Roman"/>
          <w:sz w:val="24"/>
          <w:szCs w:val="24"/>
        </w:rPr>
        <w:t>Gráfico 3: Balanza comercial del comercio internaci</w:t>
      </w:r>
      <w:r>
        <w:rPr>
          <w:rFonts w:ascii="Times New Roman" w:hAnsi="Times New Roman" w:cs="Times New Roman"/>
          <w:sz w:val="24"/>
          <w:szCs w:val="24"/>
        </w:rPr>
        <w:t xml:space="preserve">onal de mercancías, 2008 y 2018 </w:t>
      </w:r>
      <w:r w:rsidRPr="00221B57">
        <w:rPr>
          <w:rFonts w:ascii="Times New Roman" w:hAnsi="Times New Roman" w:cs="Times New Roman"/>
          <w:sz w:val="24"/>
          <w:szCs w:val="24"/>
        </w:rPr>
        <w:t>(miles de millones EUR)</w:t>
      </w:r>
    </w:p>
    <w:p w:rsidR="007E482E" w:rsidRDefault="007E482E" w:rsidP="007E482E">
      <w:pPr>
        <w:spacing w:line="240" w:lineRule="auto"/>
        <w:jc w:val="both"/>
        <w:rPr>
          <w:rFonts w:ascii="Times New Roman" w:hAnsi="Times New Roman" w:cs="Times New Roman"/>
          <w:color w:val="333333"/>
          <w:sz w:val="24"/>
          <w:szCs w:val="24"/>
          <w:shd w:val="clear" w:color="auto" w:fill="FFFFFF"/>
        </w:rPr>
      </w:pPr>
      <w:r w:rsidRPr="00221B57">
        <w:rPr>
          <w:rFonts w:ascii="Times New Roman" w:hAnsi="Times New Roman" w:cs="Times New Roman"/>
          <w:color w:val="333333"/>
          <w:sz w:val="24"/>
          <w:szCs w:val="24"/>
          <w:shd w:val="clear" w:color="auto" w:fill="FFFFFF"/>
        </w:rPr>
        <w:t>Respecto a los flujos de exportaciones e importaciones, la EU-27 tuvo el segundo mayor porcentaje de exportaciones e importaciones mundiales de mercancías (véanse los gráficos 4 y 5) en 2018: las exportaciones de mercancías de la EU-27 equivalieron al 15,5 % del total mundial. Solamente China (15,8 %) tuvo un porcentaje mayor, seguida a cierta distancia por los Estados Unidos (10,6 %).</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6EE6FC57" wp14:editId="2E6B9B34">
            <wp:extent cx="3644900" cy="2959100"/>
            <wp:effectExtent l="0" t="0" r="0" b="0"/>
            <wp:docPr id="131" name="Imagen 131" descr="https://ec.europa.eu/eurostat/statistics-explained/images/thumb/d/de/Shares_in_the_world_market_for_exports_of_goods%2C_2018_FP2020.png/500px-Shares_in_the_world_market_for_exports_of_goods%2C_2018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c.europa.eu/eurostat/statistics-explained/images/thumb/d/de/Shares_in_the_world_market_for_exports_of_goods%2C_2018_FP2020.png/500px-Shares_in_the_world_market_for_exports_of_goods%2C_2018_FP2020.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44900" cy="295910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2B076E">
        <w:rPr>
          <w:rFonts w:ascii="Times New Roman" w:hAnsi="Times New Roman" w:cs="Times New Roman"/>
          <w:sz w:val="24"/>
          <w:szCs w:val="24"/>
        </w:rPr>
        <w:t>Gráfico 4: Porcentaje de exportaciones en el mercado mundial de mercancías, 2018</w:t>
      </w:r>
      <w:r>
        <w:rPr>
          <w:rFonts w:ascii="Times New Roman" w:hAnsi="Times New Roman" w:cs="Times New Roman"/>
          <w:sz w:val="24"/>
          <w:szCs w:val="24"/>
        </w:rPr>
        <w:t xml:space="preserve"> </w:t>
      </w:r>
      <w:r w:rsidRPr="002B076E">
        <w:rPr>
          <w:rFonts w:ascii="Times New Roman" w:hAnsi="Times New Roman" w:cs="Times New Roman"/>
          <w:sz w:val="24"/>
          <w:szCs w:val="24"/>
        </w:rPr>
        <w:t>(% de las exportaciones mundiales)</w:t>
      </w:r>
    </w:p>
    <w:p w:rsidR="007E482E" w:rsidRDefault="007E482E" w:rsidP="007E482E">
      <w:pPr>
        <w:spacing w:line="240" w:lineRule="auto"/>
        <w:jc w:val="both"/>
        <w:rPr>
          <w:rFonts w:ascii="Times New Roman" w:hAnsi="Times New Roman" w:cs="Times New Roman"/>
          <w:color w:val="333333"/>
          <w:sz w:val="24"/>
          <w:szCs w:val="24"/>
          <w:shd w:val="clear" w:color="auto" w:fill="FFFFFF"/>
        </w:rPr>
      </w:pPr>
      <w:r w:rsidRPr="002B076E">
        <w:rPr>
          <w:rFonts w:ascii="Times New Roman" w:hAnsi="Times New Roman" w:cs="Times New Roman"/>
          <w:color w:val="333333"/>
          <w:sz w:val="24"/>
          <w:szCs w:val="24"/>
          <w:shd w:val="clear" w:color="auto" w:fill="FFFFFF"/>
        </w:rPr>
        <w:lastRenderedPageBreak/>
        <w:t>En 2018, los Estados Unidos tuvieron un porcentaje mayor de importaciones mundiales (15,8 %) que la EU-27 (13,7 %) o China (13,0 %).</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395E8835" wp14:editId="7A9C260D">
            <wp:extent cx="3714750" cy="3124200"/>
            <wp:effectExtent l="0" t="0" r="0" b="0"/>
            <wp:docPr id="145" name="Imagen 145" descr="https://ec.europa.eu/eurostat/statistics-explained/images/thumb/3/35/Shares_in_the_world_market_for_imports_of_goods%2C_2018_FP2020.png/500px-Shares_in_the_world_market_for_imports_of_goods%2C_2018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ec.europa.eu/eurostat/statistics-explained/images/thumb/3/35/Shares_in_the_world_market_for_imports_of_goods%2C_2018_FP2020.png/500px-Shares_in_the_world_market_for_imports_of_goods%2C_2018_FP2020.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14750" cy="312420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2B076E">
        <w:rPr>
          <w:rFonts w:ascii="Times New Roman" w:hAnsi="Times New Roman" w:cs="Times New Roman"/>
          <w:sz w:val="24"/>
          <w:szCs w:val="24"/>
        </w:rPr>
        <w:t>Gráfico 5: Porcentajes de importaciones de mercanc</w:t>
      </w:r>
      <w:r>
        <w:rPr>
          <w:rFonts w:ascii="Times New Roman" w:hAnsi="Times New Roman" w:cs="Times New Roman"/>
          <w:sz w:val="24"/>
          <w:szCs w:val="24"/>
        </w:rPr>
        <w:t xml:space="preserve">ías en el mercado mundial, 2018 </w:t>
      </w:r>
      <w:r w:rsidRPr="002B076E">
        <w:rPr>
          <w:rFonts w:ascii="Times New Roman" w:hAnsi="Times New Roman" w:cs="Times New Roman"/>
          <w:sz w:val="24"/>
          <w:szCs w:val="24"/>
        </w:rPr>
        <w:t>(% de las importaciones mundiales)</w:t>
      </w:r>
    </w:p>
    <w:p w:rsidR="007E482E" w:rsidRPr="007E482E" w:rsidRDefault="007E482E" w:rsidP="007E482E">
      <w:pPr>
        <w:pStyle w:val="Ttulo3"/>
        <w:shd w:val="clear" w:color="auto" w:fill="FFFFFF"/>
        <w:spacing w:before="150" w:line="240" w:lineRule="auto"/>
        <w:jc w:val="both"/>
        <w:rPr>
          <w:rFonts w:ascii="Times New Roman" w:hAnsi="Times New Roman" w:cs="Times New Roman"/>
          <w:b w:val="0"/>
          <w:bCs w:val="0"/>
          <w:color w:val="auto"/>
          <w:sz w:val="24"/>
          <w:szCs w:val="24"/>
          <w:u w:val="single"/>
        </w:rPr>
      </w:pPr>
      <w:r w:rsidRPr="002B076E">
        <w:rPr>
          <w:rStyle w:val="mw-headline"/>
          <w:rFonts w:ascii="Times New Roman" w:hAnsi="Times New Roman" w:cs="Times New Roman"/>
          <w:b w:val="0"/>
          <w:bCs w:val="0"/>
          <w:color w:val="auto"/>
          <w:sz w:val="24"/>
          <w:szCs w:val="24"/>
          <w:u w:val="single"/>
        </w:rPr>
        <w:t>Un excedente para el comercio exterior de la UE desde 2012</w:t>
      </w:r>
    </w:p>
    <w:p w:rsidR="007E482E" w:rsidRDefault="007E482E" w:rsidP="007E482E">
      <w:pPr>
        <w:pStyle w:val="NormalWeb"/>
        <w:shd w:val="clear" w:color="auto" w:fill="FFFFFF"/>
        <w:spacing w:before="0" w:beforeAutospacing="0" w:after="105" w:afterAutospacing="0"/>
        <w:jc w:val="both"/>
      </w:pPr>
    </w:p>
    <w:p w:rsidR="007E482E" w:rsidRPr="002B076E" w:rsidRDefault="007E482E" w:rsidP="007E482E">
      <w:pPr>
        <w:pStyle w:val="NormalWeb"/>
        <w:shd w:val="clear" w:color="auto" w:fill="FFFFFF"/>
        <w:spacing w:before="0" w:beforeAutospacing="0" w:after="105" w:afterAutospacing="0"/>
        <w:jc w:val="both"/>
      </w:pPr>
      <w:r w:rsidRPr="002B076E">
        <w:t>El comercio internacional de mercancías de la EU-27 con el resto del mundo (suma de las importaciones y exportaciones fuera de la Uni</w:t>
      </w:r>
      <w:r>
        <w:t>ón) se valoró en 4.</w:t>
      </w:r>
      <w:r w:rsidRPr="002B076E">
        <w:t>067 millardos EUR en 2019 (véase el gráfico 6). Tanto las importaciones como las exportaciones aumentaron en comparación con 2018, con un incr</w:t>
      </w:r>
      <w:r>
        <w:t>emento de las importaciones (27.</w:t>
      </w:r>
      <w:r w:rsidRPr="002B076E">
        <w:t>000 millones EUR) infer</w:t>
      </w:r>
      <w:r>
        <w:t>ior al de las exportaciones (73.</w:t>
      </w:r>
      <w:r w:rsidRPr="002B076E">
        <w:t>000 millones EUR). Como consecuencia de ello, el excedente comercial de l</w:t>
      </w:r>
      <w:r>
        <w:t>a EU-27 aumentó, pasando de 152.000 millones EUR en 2018 a 197.</w:t>
      </w:r>
      <w:r w:rsidRPr="002B076E">
        <w:t>000 millones EUR en 2019.</w:t>
      </w:r>
    </w:p>
    <w:p w:rsidR="007E482E" w:rsidRDefault="007E482E" w:rsidP="007E482E">
      <w:pPr>
        <w:pStyle w:val="NormalWeb"/>
        <w:shd w:val="clear" w:color="auto" w:fill="FFFFFF"/>
        <w:spacing w:before="0" w:beforeAutospacing="0" w:after="105" w:afterAutospacing="0"/>
        <w:jc w:val="both"/>
      </w:pPr>
      <w:r w:rsidRPr="002B076E">
        <w:t xml:space="preserve">Entre 2009 y 2012, la EU-27 registró un aumento rápido de </w:t>
      </w:r>
      <w:r>
        <w:t>sus exportaciones, pasando de 1.</w:t>
      </w:r>
      <w:r w:rsidRPr="002B076E">
        <w:t>184 millardo</w:t>
      </w:r>
      <w:r>
        <w:t>s EUR a 1.</w:t>
      </w:r>
      <w:r w:rsidRPr="002B076E">
        <w:t>771 millardos EUR. Entre 2012 y 2016, las exportaciones se mantuvieron relativamente estables, pero en los tres años siguientes experime</w:t>
      </w:r>
      <w:r>
        <w:t>ntaron un aumento, pasando de 1.867 millardos EUR en 2016 a 2.132.</w:t>
      </w:r>
      <w:r w:rsidRPr="002B076E">
        <w:t>000 millones EUR en 2019. Las importaciones siguieron más o menos el mismo patrón que las exp</w:t>
      </w:r>
      <w:r>
        <w:t>ortaciones; aumentaron, desde 1.193 millardos EUR en 2009 a 1.</w:t>
      </w:r>
      <w:r w:rsidRPr="002B076E">
        <w:t>666 millardos EUR en 2011. Entre 2011 y 2016 se mantuvieron relativamente estables, pero en los tres años siguientes experimentaron un aumento, p</w:t>
      </w:r>
      <w:r>
        <w:t>asando de 1.602 millardos EUR a 1.</w:t>
      </w:r>
      <w:r w:rsidRPr="002B076E">
        <w:t>935 millardos EUR en 2019.</w:t>
      </w:r>
    </w:p>
    <w:p w:rsidR="007E482E" w:rsidRPr="00DE64B9" w:rsidRDefault="007E482E" w:rsidP="007E482E">
      <w:pPr>
        <w:pStyle w:val="NormalWeb"/>
        <w:shd w:val="clear" w:color="auto" w:fill="FFFFFF"/>
        <w:spacing w:before="0" w:beforeAutospacing="0" w:after="105" w:afterAutospacing="0"/>
        <w:jc w:val="both"/>
      </w:pPr>
      <w:r w:rsidRPr="00DE64B9">
        <w:t xml:space="preserve">Entre los Estados miembros de la UE, el mayor porcentaje de comercio exterior de la EU-27 en 2019 lo detentó, con diferencia, Alemania, que contribuyó en un 29,6 % a las exportaciones de mercancías de la EU-27 a terceros países y supuso más de una quinta parte (21,0 %) de las importaciones de la EU-27 (véase el gráfico 7). Los siguientes tres mayores exportadores, Francia (11,6 %), Italia (11,0 %) y los Países Bajos (10,3 %), fueron los únicos Estados miembros de la UE, además de Alemania, con un porcentaje de dos dígitos respecto de las exportaciones de la EU-27. Los Países Bajos (17,5 %), Francia (10,7 %) e Italia (9,5 %) siguieron a Alemania como los mayores importadores de mercancías procedentes de </w:t>
      </w:r>
      <w:r w:rsidRPr="00DE64B9">
        <w:lastRenderedPageBreak/>
        <w:t>terceros países en 2019. El porcentaje relativamente alto de los Países Bajos se debe, al menos en parte, a la considerable cantidad de mercancías que entran en la Unión a través de Rotterdam, el principal puerto marítimo de la UE.</w:t>
      </w:r>
    </w:p>
    <w:p w:rsidR="007E482E" w:rsidRDefault="007E482E" w:rsidP="007E482E">
      <w:pPr>
        <w:pStyle w:val="NormalWeb"/>
        <w:shd w:val="clear" w:color="auto" w:fill="FFFFFF"/>
        <w:spacing w:before="0" w:beforeAutospacing="0" w:after="105" w:afterAutospacing="0"/>
        <w:jc w:val="both"/>
        <w:rPr>
          <w:color w:val="333333"/>
        </w:rPr>
      </w:pPr>
      <w:r>
        <w:rPr>
          <w:noProof/>
        </w:rPr>
        <w:drawing>
          <wp:inline distT="0" distB="0" distL="0" distR="0" wp14:anchorId="7196F5B1" wp14:editId="475C8CBF">
            <wp:extent cx="4762500" cy="3454400"/>
            <wp:effectExtent l="0" t="0" r="0" b="0"/>
            <wp:docPr id="146" name="Imagen 146" descr="https://ec.europa.eu/eurostat/statistics-explained/images/thumb/d/dc/Development_of_international_trade_in_goods%2C_EU-27%2C_2009-2019_FP2020.png/500px-Development_of_international_trade_in_goods%2C_EU-27%2C_2009-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ec.europa.eu/eurostat/statistics-explained/images/thumb/d/dc/Development_of_international_trade_in_goods%2C_EU-27%2C_2009-2019_FP2020.png/500px-Development_of_international_trade_in_goods%2C_EU-27%2C_2009-2019_FP2020.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762500" cy="3454400"/>
                    </a:xfrm>
                    <a:prstGeom prst="rect">
                      <a:avLst/>
                    </a:prstGeom>
                    <a:noFill/>
                    <a:ln>
                      <a:noFill/>
                    </a:ln>
                  </pic:spPr>
                </pic:pic>
              </a:graphicData>
            </a:graphic>
          </wp:inline>
        </w:drawing>
      </w:r>
    </w:p>
    <w:p w:rsidR="007E482E" w:rsidRPr="00DE64B9" w:rsidRDefault="007E482E" w:rsidP="007E482E">
      <w:pPr>
        <w:pStyle w:val="NormalWeb"/>
        <w:shd w:val="clear" w:color="auto" w:fill="FFFFFF"/>
        <w:spacing w:after="105"/>
        <w:jc w:val="both"/>
      </w:pPr>
      <w:r w:rsidRPr="00DE64B9">
        <w:t>Gráfico 6: Desarrollo del comercio internacional de mercancías, EU-27, 2009–2019 (miles de millones EUR)</w:t>
      </w:r>
    </w:p>
    <w:p w:rsidR="007E482E" w:rsidRPr="00DE64B9" w:rsidRDefault="007E482E" w:rsidP="007E482E">
      <w:pPr>
        <w:pStyle w:val="NormalWeb"/>
        <w:shd w:val="clear" w:color="auto" w:fill="FFFFFF"/>
        <w:spacing w:after="105"/>
        <w:jc w:val="both"/>
      </w:pPr>
      <w:r w:rsidRPr="00DE64B9">
        <w:t xml:space="preserve">               </w:t>
      </w:r>
      <w:r w:rsidRPr="00DE64B9">
        <w:rPr>
          <w:noProof/>
        </w:rPr>
        <w:drawing>
          <wp:inline distT="0" distB="0" distL="0" distR="0" wp14:anchorId="0530F863" wp14:editId="42B5A809">
            <wp:extent cx="4762500" cy="2590800"/>
            <wp:effectExtent l="0" t="0" r="0" b="0"/>
            <wp:docPr id="147" name="Imagen 147" descr="https://ec.europa.eu/eurostat/statistics-explained/images/thumb/6/66/Extra_EU-27_trade_in_goods%2C_2019_FP2020.png/500px-Extra_EU-27_trade_in_goods%2C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ec.europa.eu/eurostat/statistics-explained/images/thumb/6/66/Extra_EU-27_trade_in_goods%2C_2019_FP2020.png/500px-Extra_EU-27_trade_in_goods%2C_2019_FP2020.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762500" cy="2590800"/>
                    </a:xfrm>
                    <a:prstGeom prst="rect">
                      <a:avLst/>
                    </a:prstGeom>
                    <a:noFill/>
                    <a:ln>
                      <a:noFill/>
                    </a:ln>
                  </pic:spPr>
                </pic:pic>
              </a:graphicData>
            </a:graphic>
          </wp:inline>
        </w:drawing>
      </w:r>
    </w:p>
    <w:p w:rsidR="007E482E" w:rsidRPr="00DE64B9" w:rsidRDefault="007E482E" w:rsidP="007E482E">
      <w:pPr>
        <w:pStyle w:val="NormalWeb"/>
        <w:shd w:val="clear" w:color="auto" w:fill="FFFFFF"/>
        <w:spacing w:after="105"/>
        <w:jc w:val="both"/>
      </w:pPr>
      <w:r w:rsidRPr="00DE64B9">
        <w:t>Gráfico 7: Comercio exterior de mercancías de la EU-27, 2019 (% de las exportaciones/importaciones de la EU-27)</w:t>
      </w:r>
    </w:p>
    <w:p w:rsidR="007E482E" w:rsidRPr="00DE64B9" w:rsidRDefault="007E482E" w:rsidP="007E482E">
      <w:pPr>
        <w:pStyle w:val="NormalWeb"/>
        <w:shd w:val="clear" w:color="auto" w:fill="FFFFFF"/>
        <w:spacing w:after="105"/>
        <w:jc w:val="both"/>
        <w:rPr>
          <w:shd w:val="clear" w:color="auto" w:fill="FFFFFF"/>
        </w:rPr>
      </w:pPr>
      <w:r w:rsidRPr="00DE64B9">
        <w:rPr>
          <w:shd w:val="clear" w:color="auto" w:fill="FFFFFF"/>
        </w:rPr>
        <w:t xml:space="preserve">El mayor excedente comercial en relación con el intercambio de mercancías fuera de la EU-27, por valor de 224.300 millones EUR en 2019, correspondió a Alemania, seguida de Italia (51.900 millones EUR), Irlanda (40.600 millones EUR;) y Francia (39.200 millones EUR). </w:t>
      </w:r>
      <w:r w:rsidRPr="00DE64B9">
        <w:rPr>
          <w:shd w:val="clear" w:color="auto" w:fill="FFFFFF"/>
        </w:rPr>
        <w:lastRenderedPageBreak/>
        <w:t>Los mayores déficits comerciales en el comercio exterior de mercancías de la Unión se registraron en los Países Bajos (118.700 millones EUR) y España (30.700 millones EUR).</w:t>
      </w:r>
    </w:p>
    <w:p w:rsidR="007E482E" w:rsidRPr="00DE64B9" w:rsidRDefault="007E482E" w:rsidP="007E482E">
      <w:pPr>
        <w:pStyle w:val="NormalWeb"/>
        <w:shd w:val="clear" w:color="auto" w:fill="FFFFFF"/>
        <w:spacing w:after="105"/>
        <w:jc w:val="both"/>
      </w:pPr>
      <w:r w:rsidRPr="00DE64B9">
        <w:rPr>
          <w:shd w:val="clear" w:color="auto" w:fill="FFFFFF"/>
        </w:rPr>
        <w:t>El comercio de mercancías entre los Estados miembro de la UE</w:t>
      </w:r>
    </w:p>
    <w:p w:rsidR="007E482E" w:rsidRPr="00DE64B9" w:rsidRDefault="007E482E" w:rsidP="007E482E">
      <w:pPr>
        <w:pStyle w:val="NormalWeb"/>
        <w:shd w:val="clear" w:color="auto" w:fill="FFFFFF"/>
        <w:spacing w:before="0" w:beforeAutospacing="0" w:after="105" w:afterAutospacing="0"/>
        <w:jc w:val="both"/>
      </w:pPr>
      <w:r w:rsidRPr="00DE64B9">
        <w:t>El comercio de mercancías entre los Estados miembro de la UE (comercio interior de la Unión) se valoró, en términos de exportaciones, en 3.061 millardos EUR en 2019. Fue un 44 % superior al nivel registrado de las exportaciones de la EU-27 a terceros países, que ascendieron a 2.132 millardos EUR (comercio exterior de la Unión).</w:t>
      </w:r>
    </w:p>
    <w:p w:rsidR="007E482E" w:rsidRPr="00DE64B9" w:rsidRDefault="007E482E" w:rsidP="007E482E">
      <w:pPr>
        <w:pStyle w:val="NormalWeb"/>
        <w:shd w:val="clear" w:color="auto" w:fill="FFFFFF"/>
        <w:spacing w:before="0" w:beforeAutospacing="0" w:after="105" w:afterAutospacing="0"/>
        <w:jc w:val="both"/>
      </w:pPr>
      <w:r w:rsidRPr="00DE64B9">
        <w:t>Entre 2018 y 2019, el comercio interior de la EU-27, medido de nuevo por las mercancías exportadas, aumentó en un 1,5 % en toda la EU-27. Por lo que se refiere a las exportaciones, entre 2018 y 2019 solo registró un crecimiento de dos dígitos Chipre (16,4 %), mientras que solo Suecia (-0,6 %), Bélgica (-0,3 %) y Eslovaquia (-0,1 %) experimentaron una reducción de sus exportaciones a otros Estados miembros de la UE. En cuanto a las importaciones, solo Croacia (7,8 %) y Portugal (7,4 %) registraron un crecimiento superior al 5 %, mientras que las importaciones de Irlanda (-3,9 %), Bélgica (-1,4 %), Malta (-1,3 %) y Suecia (-0,9 %) disminuyeron.</w:t>
      </w:r>
    </w:p>
    <w:p w:rsidR="007E482E" w:rsidRPr="00DE64B9" w:rsidRDefault="007E482E" w:rsidP="007E482E">
      <w:pPr>
        <w:pStyle w:val="NormalWeb"/>
        <w:shd w:val="clear" w:color="auto" w:fill="FFFFFF"/>
        <w:spacing w:before="0" w:beforeAutospacing="0" w:after="105" w:afterAutospacing="0"/>
        <w:jc w:val="both"/>
      </w:pPr>
      <w:r w:rsidRPr="00DE64B9">
        <w:t>Igual que respecto al comercio exterior de la EU-27, Alemania fue también el Estado miembro con el nivel más elevado de comercio interior de la EU-27 en 2019; supuso el 22,8 % de las exportaciones de mercancías de la EU-27 a otros Estados miembros y también el 23,2 % de las importaciones de mercancías procedentes de otros Estados miembros efectuadas por la EU-27 (véase el gráfico 8). Los Países Bajos (13,5 %) fueron el único Estado miembro que contribuyó en más de una décima parte a las exportaciones dentro de la Unión, una vez más una consecuencia del efecto Rotterdam, mientras que Francia (12,5 %) fue el único Estado miembro que contribuyó en más de una décima parte a las importaciones dentro de la Unión.</w:t>
      </w:r>
    </w:p>
    <w:p w:rsidR="007E482E" w:rsidRPr="00DE64B9" w:rsidRDefault="007E482E" w:rsidP="007E482E">
      <w:pPr>
        <w:pStyle w:val="NormalWeb"/>
        <w:shd w:val="clear" w:color="auto" w:fill="FFFFFF"/>
        <w:spacing w:before="0" w:beforeAutospacing="0" w:after="105" w:afterAutospacing="0"/>
        <w:jc w:val="both"/>
      </w:pPr>
    </w:p>
    <w:p w:rsidR="007E482E" w:rsidRPr="00DE64B9" w:rsidRDefault="007E482E" w:rsidP="007E482E">
      <w:pPr>
        <w:pStyle w:val="NormalWeb"/>
        <w:shd w:val="clear" w:color="auto" w:fill="FFFFFF"/>
        <w:spacing w:before="0" w:beforeAutospacing="0" w:after="105" w:afterAutospacing="0"/>
        <w:jc w:val="both"/>
      </w:pPr>
      <w:r w:rsidRPr="00DE64B9">
        <w:t xml:space="preserve">                     </w:t>
      </w:r>
      <w:r w:rsidRPr="00DE64B9">
        <w:rPr>
          <w:noProof/>
        </w:rPr>
        <w:drawing>
          <wp:inline distT="0" distB="0" distL="0" distR="0" wp14:anchorId="7892CC3A" wp14:editId="32B1C4BB">
            <wp:extent cx="4762500" cy="2457450"/>
            <wp:effectExtent l="0" t="0" r="0" b="0"/>
            <wp:docPr id="148" name="Imagen 148" descr="https://ec.europa.eu/eurostat/statistics-explained/images/thumb/a/ac/Intra_EU-27_trade_in_goods%2C_2019_FP2020.png/500px-Intra_EU-27_trade_in_goods%2C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ec.europa.eu/eurostat/statistics-explained/images/thumb/a/ac/Intra_EU-27_trade_in_goods%2C_2019_FP2020.png/500px-Intra_EU-27_trade_in_goods%2C_2019_FP2020.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762500" cy="2457450"/>
                    </a:xfrm>
                    <a:prstGeom prst="rect">
                      <a:avLst/>
                    </a:prstGeom>
                    <a:noFill/>
                    <a:ln>
                      <a:noFill/>
                    </a:ln>
                  </pic:spPr>
                </pic:pic>
              </a:graphicData>
            </a:graphic>
          </wp:inline>
        </w:drawing>
      </w:r>
    </w:p>
    <w:p w:rsidR="007E482E" w:rsidRPr="00DE64B9" w:rsidRDefault="007E482E" w:rsidP="007E482E">
      <w:pPr>
        <w:pStyle w:val="NormalWeb"/>
        <w:shd w:val="clear" w:color="auto" w:fill="FFFFFF"/>
        <w:spacing w:before="0" w:beforeAutospacing="0" w:after="105" w:afterAutospacing="0"/>
        <w:jc w:val="both"/>
      </w:pPr>
      <w:r w:rsidRPr="00DE64B9">
        <w:t xml:space="preserve">       </w:t>
      </w:r>
    </w:p>
    <w:p w:rsidR="007E482E" w:rsidRPr="00DE64B9" w:rsidRDefault="007E482E" w:rsidP="007E482E">
      <w:pPr>
        <w:spacing w:line="240" w:lineRule="auto"/>
        <w:jc w:val="both"/>
        <w:rPr>
          <w:rFonts w:ascii="Times New Roman" w:hAnsi="Times New Roman" w:cs="Times New Roman"/>
          <w:sz w:val="24"/>
          <w:szCs w:val="24"/>
        </w:rPr>
      </w:pPr>
      <w:r w:rsidRPr="00DE64B9">
        <w:rPr>
          <w:rFonts w:ascii="Times New Roman" w:hAnsi="Times New Roman" w:cs="Times New Roman"/>
          <w:sz w:val="24"/>
          <w:szCs w:val="24"/>
        </w:rPr>
        <w:t>Gráfico 8: Comercio interior de mercancías de la EU-27, 2019 (% de las exportaciones/importaciones de la EU-27)</w:t>
      </w:r>
    </w:p>
    <w:p w:rsidR="007E482E" w:rsidRDefault="007E482E" w:rsidP="007E482E">
      <w:pPr>
        <w:spacing w:line="240" w:lineRule="auto"/>
        <w:jc w:val="both"/>
        <w:rPr>
          <w:rFonts w:ascii="Times New Roman" w:hAnsi="Times New Roman" w:cs="Times New Roman"/>
          <w:color w:val="FF0000"/>
          <w:sz w:val="24"/>
          <w:szCs w:val="24"/>
        </w:rPr>
      </w:pPr>
      <w:r w:rsidRPr="00470FD1">
        <w:rPr>
          <w:rFonts w:ascii="Times New Roman" w:hAnsi="Times New Roman" w:cs="Times New Roman"/>
          <w:color w:val="FF0000"/>
          <w:sz w:val="24"/>
          <w:szCs w:val="24"/>
        </w:rPr>
        <w:t xml:space="preserve">La importancia del mercado interior de la Unión se puso de relieve por el hecho de que el comercio interior de mercancías (exportaciones e importaciones combinadas) fue superior al comercio exterior (exportaciones e importaciones combinadas) para todos los Estados </w:t>
      </w:r>
      <w:r w:rsidRPr="00470FD1">
        <w:rPr>
          <w:rFonts w:ascii="Times New Roman" w:hAnsi="Times New Roman" w:cs="Times New Roman"/>
          <w:color w:val="FF0000"/>
          <w:sz w:val="24"/>
          <w:szCs w:val="24"/>
        </w:rPr>
        <w:lastRenderedPageBreak/>
        <w:t>miembros de la UE, a excepción de Irlanda (véase el gráfico 9). La proporción del comercio total de mercancías registrada por los flujos interior/exterior de la Unión varió considerablemente entre los Estados miembros, lo que refleja en cierta medida los vínculos históricos y la localización geográfica. Los porcentajes más elevados de comercio interior de la Unión (más del 75 % del comercio total) correspondieron a Luxemburgo (82,0 %), Eslovaquia (79,5 %), Chequia (76,6 %) y Hungría (75,1 %) y, en cambio, este porcentaje descendió hasta el 51,5 % en Grecia, y el 37,5 % en Irlanda.</w:t>
      </w:r>
    </w:p>
    <w:p w:rsidR="007E482E" w:rsidRDefault="007E482E" w:rsidP="007E482E">
      <w:pPr>
        <w:spacing w:line="240" w:lineRule="auto"/>
        <w:jc w:val="both"/>
        <w:rPr>
          <w:rFonts w:ascii="Times New Roman" w:hAnsi="Times New Roman" w:cs="Times New Roman"/>
          <w:color w:val="FF0000"/>
          <w:sz w:val="24"/>
          <w:szCs w:val="24"/>
        </w:rPr>
      </w:pPr>
      <w:r>
        <w:rPr>
          <w:noProof/>
          <w:lang w:eastAsia="es-ES"/>
        </w:rPr>
        <w:drawing>
          <wp:inline distT="0" distB="0" distL="0" distR="0" wp14:anchorId="5772D602" wp14:editId="6B88F81F">
            <wp:extent cx="4762500" cy="3511550"/>
            <wp:effectExtent l="0" t="0" r="0" b="0"/>
            <wp:docPr id="149" name="Imagen 149" descr="https://ec.europa.eu/eurostat/statistics-explained/images/thumb/e/ea/Intra_and_extra_EU-27_trade_in_goods%2C_2019_FP2020.png/500px-Intra_and_extra_EU-27_trade_in_goods%2C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ec.europa.eu/eurostat/statistics-explained/images/thumb/e/ea/Intra_and_extra_EU-27_trade_in_goods%2C_2019_FP2020.png/500px-Intra_and_extra_EU-27_trade_in_goods%2C_2019_FP2020.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762500" cy="351155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470FD1">
        <w:rPr>
          <w:rFonts w:ascii="Times New Roman" w:hAnsi="Times New Roman" w:cs="Times New Roman"/>
          <w:sz w:val="24"/>
          <w:szCs w:val="24"/>
        </w:rPr>
        <w:t>Gráfico 9: Comercio interior y exterior de la EU-27, 2019 (importaciones más exportaciones, % del comercio total)</w:t>
      </w:r>
    </w:p>
    <w:p w:rsidR="007E482E" w:rsidRPr="00470FD1" w:rsidRDefault="007E482E" w:rsidP="007E482E">
      <w:pPr>
        <w:spacing w:line="240" w:lineRule="auto"/>
        <w:jc w:val="both"/>
        <w:rPr>
          <w:rFonts w:ascii="Times New Roman" w:hAnsi="Times New Roman" w:cs="Times New Roman"/>
          <w:sz w:val="24"/>
          <w:szCs w:val="24"/>
        </w:rPr>
      </w:pPr>
      <w:r w:rsidRPr="00470FD1">
        <w:rPr>
          <w:rFonts w:ascii="Times New Roman" w:hAnsi="Times New Roman" w:cs="Times New Roman"/>
          <w:sz w:val="24"/>
          <w:szCs w:val="24"/>
        </w:rPr>
        <w:t>Fuerte aumento del comercio de mercancías con China en 2009-2019</w:t>
      </w:r>
    </w:p>
    <w:p w:rsidR="007E482E" w:rsidRPr="00470FD1" w:rsidRDefault="007E482E" w:rsidP="007E482E">
      <w:pPr>
        <w:spacing w:line="240" w:lineRule="auto"/>
        <w:jc w:val="both"/>
        <w:rPr>
          <w:rFonts w:ascii="Times New Roman" w:hAnsi="Times New Roman" w:cs="Times New Roman"/>
          <w:color w:val="FF0000"/>
          <w:sz w:val="24"/>
          <w:szCs w:val="24"/>
        </w:rPr>
      </w:pPr>
      <w:r w:rsidRPr="00470FD1">
        <w:rPr>
          <w:rFonts w:ascii="Times New Roman" w:hAnsi="Times New Roman" w:cs="Times New Roman"/>
          <w:color w:val="FF0000"/>
          <w:sz w:val="24"/>
          <w:szCs w:val="24"/>
        </w:rPr>
        <w:t>Entre 2009 y 2019 varió considerablemente la evolución de las exportaciones de mercancías de la EU-27 desglosadas por principal socio comercial. Entre los principales socios comerciales, la tasa de crecimiento medio anual más alta se registró para las exportaciones a China (9,9 %) y México (9,5 %); véase el gráfico 10. El crecimiento más bajo se observó en las exportaciones a Rusia (3,3 %) y Noruega (4,1 %).</w:t>
      </w:r>
    </w:p>
    <w:p w:rsidR="007E482E" w:rsidRDefault="007E482E" w:rsidP="007E482E">
      <w:pPr>
        <w:spacing w:line="240" w:lineRule="auto"/>
        <w:jc w:val="both"/>
        <w:rPr>
          <w:rFonts w:ascii="Times New Roman" w:hAnsi="Times New Roman" w:cs="Times New Roman"/>
          <w:color w:val="FF0000"/>
          <w:sz w:val="24"/>
          <w:szCs w:val="24"/>
        </w:rPr>
      </w:pPr>
      <w:r w:rsidRPr="00470FD1">
        <w:rPr>
          <w:rFonts w:ascii="Times New Roman" w:hAnsi="Times New Roman" w:cs="Times New Roman"/>
          <w:color w:val="FF0000"/>
          <w:sz w:val="24"/>
          <w:szCs w:val="24"/>
        </w:rPr>
        <w:t>En lo que respecta a las importaciones, entre 2009 y 2019 las importaciones de mercancías procedentes de México (10,5 %) y Turquía (8,1 %) registraron la tasa de crecimiento medio anual más alta. Las tasas de crecimiento más bajas se registraron en las importaciones desde Noruega (0,3 %) y Rusia (2,3 %), que fueron a la vez grandes exportadores de productos energéticos, así como desde Japón (2,2 %).</w:t>
      </w:r>
    </w:p>
    <w:p w:rsidR="007E482E" w:rsidRDefault="007E482E" w:rsidP="007E482E">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5341B81C" wp14:editId="1B40F21A">
            <wp:extent cx="4762500" cy="3454400"/>
            <wp:effectExtent l="0" t="0" r="0" b="0"/>
            <wp:docPr id="150" name="Imagen 150" descr="https://ec.europa.eu/eurostat/statistics-explained/images/thumb/2/28/Extra_EU-27_trade_in_goods_by_main_trading_partners%2C_EU-27%2C_2009_and_2019_FP2020.png/500px-Extra_EU-27_trade_in_goods_by_main_trading_partners%2C_EU-27%2C_2009_and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ec.europa.eu/eurostat/statistics-explained/images/thumb/2/28/Extra_EU-27_trade_in_goods_by_main_trading_partners%2C_EU-27%2C_2009_and_2019_FP2020.png/500px-Extra_EU-27_trade_in_goods_by_main_trading_partners%2C_EU-27%2C_2009_and_2019_FP2020.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762500" cy="345440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color w:val="333333"/>
          <w:sz w:val="24"/>
          <w:szCs w:val="24"/>
          <w:shd w:val="clear" w:color="auto" w:fill="FFFFFF"/>
        </w:rPr>
      </w:pPr>
      <w:r w:rsidRPr="00470FD1">
        <w:rPr>
          <w:rFonts w:ascii="Times New Roman" w:hAnsi="Times New Roman" w:cs="Times New Roman"/>
          <w:color w:val="333333"/>
          <w:sz w:val="24"/>
          <w:szCs w:val="24"/>
          <w:shd w:val="clear" w:color="auto" w:fill="FFFFFF"/>
        </w:rPr>
        <w:t>Gráfico 10: Comercio exterior de mercancías desglosado por principales socios comerciales, EU-27, 2009 y 2019</w:t>
      </w:r>
      <w:r>
        <w:rPr>
          <w:rFonts w:ascii="Times New Roman" w:hAnsi="Times New Roman" w:cs="Times New Roman"/>
          <w:color w:val="333333"/>
          <w:sz w:val="24"/>
          <w:szCs w:val="24"/>
        </w:rPr>
        <w:t xml:space="preserve"> </w:t>
      </w:r>
      <w:r w:rsidRPr="00470FD1">
        <w:rPr>
          <w:rFonts w:ascii="Times New Roman" w:hAnsi="Times New Roman" w:cs="Times New Roman"/>
          <w:color w:val="333333"/>
          <w:sz w:val="24"/>
          <w:szCs w:val="24"/>
          <w:shd w:val="clear" w:color="auto" w:fill="FFFFFF"/>
        </w:rPr>
        <w:t>(miles de millones EUR)</w:t>
      </w:r>
    </w:p>
    <w:p w:rsidR="007E482E" w:rsidRDefault="007E482E" w:rsidP="007E482E">
      <w:pPr>
        <w:spacing w:line="240" w:lineRule="auto"/>
        <w:jc w:val="both"/>
        <w:rPr>
          <w:rFonts w:ascii="Times New Roman" w:hAnsi="Times New Roman" w:cs="Times New Roman"/>
          <w:color w:val="FF0000"/>
          <w:sz w:val="24"/>
          <w:szCs w:val="24"/>
          <w:shd w:val="clear" w:color="auto" w:fill="FFFFFF"/>
        </w:rPr>
      </w:pPr>
      <w:r w:rsidRPr="00470FD1">
        <w:rPr>
          <w:rFonts w:ascii="Times New Roman" w:hAnsi="Times New Roman" w:cs="Times New Roman"/>
          <w:color w:val="FF0000"/>
          <w:sz w:val="24"/>
          <w:szCs w:val="24"/>
          <w:shd w:val="clear" w:color="auto" w:fill="FFFFFF"/>
        </w:rPr>
        <w:t>Los Estados Unidos siguieron siendo el destino más habitual de las mercancías exportadas por la EU-27 en 2019 (véase el gráfico 11) con un porcentaje del 18,0 %. El Reino Unido fue el segundo mayor destino de las exportaciones de la EU-27 (14,9 % del total de la EU-27), seguido de China (9,3 %). Los siete mayores mercados de destino para las exportaciones de mercancías de la EU-27 (Estados Unidos, Reino Unido, China, Suiza, Rusia, Turquía y Japón) representaron casi tres quintas partes (59,3 %) del total de las exportaciones de mercancías de la EU-27.</w:t>
      </w:r>
    </w:p>
    <w:p w:rsidR="007E482E" w:rsidRDefault="007E482E" w:rsidP="007E482E">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Pr>
          <w:noProof/>
          <w:lang w:eastAsia="es-ES"/>
        </w:rPr>
        <w:drawing>
          <wp:inline distT="0" distB="0" distL="0" distR="0" wp14:anchorId="2409D385" wp14:editId="28046232">
            <wp:extent cx="3587750" cy="2901950"/>
            <wp:effectExtent l="0" t="0" r="0" b="0"/>
            <wp:docPr id="151" name="Imagen 151" descr="https://ec.europa.eu/eurostat/statistics-explained/images/thumb/a/a6/Main_trading_partners_for_exports_of_goods%2C_EU-27%2C_2019_FP2020.png/500px-Main_trading_partners_for_exports_of_goods%2C_EU-27%2C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ec.europa.eu/eurostat/statistics-explained/images/thumb/a/a6/Main_trading_partners_for_exports_of_goods%2C_EU-27%2C_2019_FP2020.png/500px-Main_trading_partners_for_exports_of_goods%2C_EU-27%2C_2019_FP2020.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587750" cy="290195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470FD1">
        <w:rPr>
          <w:rFonts w:ascii="Times New Roman" w:hAnsi="Times New Roman" w:cs="Times New Roman"/>
          <w:sz w:val="24"/>
          <w:szCs w:val="24"/>
        </w:rPr>
        <w:t>Gráfico 11: Principales socios comerciales en la exporta</w:t>
      </w:r>
      <w:r>
        <w:rPr>
          <w:rFonts w:ascii="Times New Roman" w:hAnsi="Times New Roman" w:cs="Times New Roman"/>
          <w:sz w:val="24"/>
          <w:szCs w:val="24"/>
        </w:rPr>
        <w:t xml:space="preserve">ción de mercancías, EU-27, 2019 </w:t>
      </w:r>
      <w:r w:rsidRPr="00470FD1">
        <w:rPr>
          <w:rFonts w:ascii="Times New Roman" w:hAnsi="Times New Roman" w:cs="Times New Roman"/>
          <w:sz w:val="24"/>
          <w:szCs w:val="24"/>
        </w:rPr>
        <w:t>(% de las exportaciones fuera de la EU-27)</w:t>
      </w:r>
    </w:p>
    <w:p w:rsidR="007E482E" w:rsidRDefault="007E482E" w:rsidP="007E482E">
      <w:pPr>
        <w:spacing w:line="240" w:lineRule="auto"/>
        <w:jc w:val="both"/>
        <w:rPr>
          <w:rFonts w:ascii="Times New Roman" w:hAnsi="Times New Roman" w:cs="Times New Roman"/>
          <w:color w:val="FF0000"/>
          <w:sz w:val="24"/>
          <w:szCs w:val="24"/>
          <w:shd w:val="clear" w:color="auto" w:fill="FFFFFF"/>
        </w:rPr>
      </w:pPr>
      <w:r w:rsidRPr="00470FD1">
        <w:rPr>
          <w:rFonts w:ascii="Times New Roman" w:hAnsi="Times New Roman" w:cs="Times New Roman"/>
          <w:color w:val="FF0000"/>
          <w:sz w:val="24"/>
          <w:szCs w:val="24"/>
          <w:shd w:val="clear" w:color="auto" w:fill="FFFFFF"/>
        </w:rPr>
        <w:lastRenderedPageBreak/>
        <w:t>Los siete proveedores más importantes de las importaciones de mercancías a la EU-27 fueron los mismos países que los siete mayores mercados de destino para las exportaciones de la EU-27, aunque su orden fue ligeramente diferente (compárense los gráficos 11 y 12). Estos siete países registraron un porcentaje mayor de importaciones de mercancías de la EU-27 que de exportaciones de mercancías a la EU-27: casi tres quintas partes (60,7 %) de todas las importaciones de mercancías en la EU-27 procedían de estos siete países. Con casi una quinta parte (18,7 %) de todas las importaciones, China fue el principal proveedor de mercancías importadas en la EU-27 en 2019, seguida a cierta distancia de los Estados Unidos (12,0 %) y el Reino Unido (10,0 %).</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52FA9B84" wp14:editId="732D0638">
            <wp:extent cx="3594100" cy="3048000"/>
            <wp:effectExtent l="0" t="0" r="6350" b="0"/>
            <wp:docPr id="152" name="Imagen 152" descr="https://ec.europa.eu/eurostat/statistics-explained/images/thumb/e/ef/Main_trading_partners_for_imports_of_goods%2C_EU-27%2C_2019_FP2020.png/500px-Main_trading_partners_for_imports_of_goods%2C_EU-27%2C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ec.europa.eu/eurostat/statistics-explained/images/thumb/e/ef/Main_trading_partners_for_imports_of_goods%2C_EU-27%2C_2019_FP2020.png/500px-Main_trading_partners_for_imports_of_goods%2C_EU-27%2C_2019_FP2020.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594100" cy="304800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470FD1">
        <w:rPr>
          <w:rFonts w:ascii="Times New Roman" w:hAnsi="Times New Roman" w:cs="Times New Roman"/>
          <w:sz w:val="24"/>
          <w:szCs w:val="24"/>
        </w:rPr>
        <w:t>Gráfico 12: Principales socios comerciales en la importa</w:t>
      </w:r>
      <w:r>
        <w:rPr>
          <w:rFonts w:ascii="Times New Roman" w:hAnsi="Times New Roman" w:cs="Times New Roman"/>
          <w:sz w:val="24"/>
          <w:szCs w:val="24"/>
        </w:rPr>
        <w:t xml:space="preserve">ción de mercancías, EU-27, 2019 </w:t>
      </w:r>
      <w:r w:rsidRPr="00470FD1">
        <w:rPr>
          <w:rFonts w:ascii="Times New Roman" w:hAnsi="Times New Roman" w:cs="Times New Roman"/>
          <w:sz w:val="24"/>
          <w:szCs w:val="24"/>
        </w:rPr>
        <w:t>(% de las importaciones fuera de la EU-27)</w:t>
      </w:r>
    </w:p>
    <w:p w:rsidR="007E482E" w:rsidRPr="00470FD1" w:rsidRDefault="007E482E" w:rsidP="007E482E">
      <w:pPr>
        <w:pStyle w:val="Ttulo3"/>
        <w:shd w:val="clear" w:color="auto" w:fill="FFFFFF"/>
        <w:spacing w:before="150" w:line="240" w:lineRule="auto"/>
        <w:jc w:val="both"/>
        <w:rPr>
          <w:rFonts w:ascii="Times New Roman" w:hAnsi="Times New Roman" w:cs="Times New Roman"/>
          <w:b w:val="0"/>
          <w:bCs w:val="0"/>
          <w:color w:val="auto"/>
          <w:sz w:val="24"/>
          <w:szCs w:val="24"/>
          <w:u w:val="single"/>
        </w:rPr>
      </w:pPr>
      <w:r w:rsidRPr="00470FD1">
        <w:rPr>
          <w:rStyle w:val="mw-headline"/>
          <w:rFonts w:ascii="Times New Roman" w:hAnsi="Times New Roman" w:cs="Times New Roman"/>
          <w:b w:val="0"/>
          <w:bCs w:val="0"/>
          <w:color w:val="auto"/>
          <w:sz w:val="24"/>
          <w:szCs w:val="24"/>
          <w:u w:val="single"/>
        </w:rPr>
        <w:t>Gran excedente comercial en relación con maquinaria y vehículos y con productos químicos</w:t>
      </w:r>
    </w:p>
    <w:p w:rsidR="007E482E" w:rsidRDefault="007E482E" w:rsidP="007E482E">
      <w:pPr>
        <w:pStyle w:val="NormalWeb"/>
        <w:shd w:val="clear" w:color="auto" w:fill="FFFFFF"/>
        <w:spacing w:before="0" w:beforeAutospacing="0" w:after="105" w:afterAutospacing="0"/>
        <w:jc w:val="both"/>
        <w:rPr>
          <w:color w:val="333333"/>
        </w:rPr>
      </w:pPr>
    </w:p>
    <w:p w:rsidR="007E482E" w:rsidRPr="00E350E0" w:rsidRDefault="007E482E" w:rsidP="007E482E">
      <w:pPr>
        <w:pStyle w:val="NormalWeb"/>
        <w:shd w:val="clear" w:color="auto" w:fill="FFFFFF"/>
        <w:spacing w:before="0" w:beforeAutospacing="0" w:after="105" w:afterAutospacing="0"/>
        <w:jc w:val="both"/>
      </w:pPr>
      <w:r w:rsidRPr="00E350E0">
        <w:t>Entre 2014 y 2019, el valor de las exportaciones de la EU-27 fuera de su territorio aumentó en relación con la mayor parte los grupos de productos indicados en el gráfico 13, a excepción de las exportaciones de energía, que disminuyeron un 8,2 %. El mayor índice de crecimiento de las exportaciones correspondió a los productos químicos, que registraron un aumento del 35,8 %. También se produjo un incremento de más del 20 % en el caso de los alimentos y las bebidas (22,7 %) y de las materias primas (20,1 %).</w:t>
      </w:r>
    </w:p>
    <w:p w:rsidR="007E482E" w:rsidRPr="00E350E0" w:rsidRDefault="007E482E" w:rsidP="007E482E">
      <w:pPr>
        <w:pStyle w:val="NormalWeb"/>
        <w:shd w:val="clear" w:color="auto" w:fill="FFFFFF"/>
        <w:spacing w:before="0" w:beforeAutospacing="0" w:after="105" w:afterAutospacing="0"/>
        <w:jc w:val="both"/>
      </w:pPr>
      <w:r w:rsidRPr="00E350E0">
        <w:t>En el lado de las importaciones, se observó una pauta similar, con una elevada reducción global en el nivel de importaciones de energía procedentes de fuera de la Unión (-15,2 %) entre 2014 y 2019; obsérvese que algunas de las pérdidas pueden atribuirse a las variaciones de precios o a las fluctuaciones de los tipos de cambio, pues los precios del crudo se indican en los mercados mundiales en dólares estadounidenses. Por el contrario, las importaciones procedentes de fuera de la Unión de maquinaria y vehículos aumentaron un 45,4 %, registrándose unos índices de crecimiento relativamente elevados también en el caso de los productos químicos (28,6 %) y otros productos manufacturados (24,1 %).</w:t>
      </w:r>
    </w:p>
    <w:p w:rsidR="007E482E" w:rsidRPr="00E350E0" w:rsidRDefault="007E482E" w:rsidP="007E482E">
      <w:pPr>
        <w:pStyle w:val="NormalWeb"/>
        <w:shd w:val="clear" w:color="auto" w:fill="FFFFFF"/>
        <w:spacing w:before="0" w:beforeAutospacing="0" w:after="105" w:afterAutospacing="0"/>
        <w:jc w:val="both"/>
      </w:pPr>
      <w:r w:rsidRPr="00E350E0">
        <w:t xml:space="preserve">El excedente comercial del comercio exterior de mercancías de la EU-27 (197.100 millones EUR en 2019) fue el fruto de una balanza comercial positiva en relación con la </w:t>
      </w:r>
      <w:r w:rsidRPr="00E350E0">
        <w:lastRenderedPageBreak/>
        <w:t>maquinaria y los vehículos (237.100 millones EUR) y los productos químicos (171.600 millones EUR), junto con excedentes más pequeños en alimentos y bebidas y otros productos manufacturados, que no pudieron compensarse por el gran déficit comercial en relación con la energía (-258.200 millones EUR) y el déficit más reducido en relación con las materias primas (-26.100 millones EUR).</w:t>
      </w:r>
    </w:p>
    <w:p w:rsidR="007E482E" w:rsidRDefault="007E482E" w:rsidP="007E482E">
      <w:pPr>
        <w:spacing w:line="240" w:lineRule="auto"/>
        <w:jc w:val="both"/>
        <w:rPr>
          <w:rFonts w:ascii="Times New Roman" w:hAnsi="Times New Roman" w:cs="Times New Roman"/>
          <w:sz w:val="24"/>
          <w:szCs w:val="24"/>
        </w:rPr>
      </w:pPr>
      <w:r>
        <w:rPr>
          <w:noProof/>
          <w:lang w:eastAsia="es-ES"/>
        </w:rPr>
        <w:drawing>
          <wp:inline distT="0" distB="0" distL="0" distR="0" wp14:anchorId="4BD53645" wp14:editId="4D8FDFD7">
            <wp:extent cx="4762500" cy="2997200"/>
            <wp:effectExtent l="0" t="0" r="0" b="0"/>
            <wp:docPr id="153" name="Imagen 153" descr="https://ec.europa.eu/eurostat/statistics-explained/images/thumb/9/98/Extra_EU-27_trade_by_main_products%2C_EU-27%2C_2014_and_2019_FP2020.png/500px-Extra_EU-27_trade_by_main_products%2C_EU-27%2C_2014_and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ec.europa.eu/eurostat/statistics-explained/images/thumb/9/98/Extra_EU-27_trade_by_main_products%2C_EU-27%2C_2014_and_2019_FP2020.png/500px-Extra_EU-27_trade_by_main_products%2C_EU-27%2C_2014_and_2019_FP2020.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762500" cy="299720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shd w:val="clear" w:color="auto" w:fill="FFFFFF"/>
        </w:rPr>
      </w:pPr>
      <w:r w:rsidRPr="00CA1105">
        <w:rPr>
          <w:rFonts w:ascii="Times New Roman" w:hAnsi="Times New Roman" w:cs="Times New Roman"/>
          <w:sz w:val="24"/>
          <w:szCs w:val="24"/>
          <w:shd w:val="clear" w:color="auto" w:fill="FFFFFF"/>
        </w:rPr>
        <w:t>Gráfico 13: Comercio exterior desglosado por productos principales, EU-27, 2014 y 2019</w:t>
      </w:r>
      <w:r w:rsidRPr="00CA1105">
        <w:rPr>
          <w:rFonts w:ascii="Times New Roman" w:hAnsi="Times New Roman" w:cs="Times New Roman"/>
          <w:sz w:val="24"/>
          <w:szCs w:val="24"/>
        </w:rPr>
        <w:br/>
      </w:r>
      <w:r w:rsidRPr="00CA1105">
        <w:rPr>
          <w:rFonts w:ascii="Times New Roman" w:hAnsi="Times New Roman" w:cs="Times New Roman"/>
          <w:sz w:val="24"/>
          <w:szCs w:val="24"/>
          <w:shd w:val="clear" w:color="auto" w:fill="FFFFFF"/>
        </w:rPr>
        <w:t>(miles de millones EUR)</w:t>
      </w:r>
    </w:p>
    <w:p w:rsidR="007E482E" w:rsidRDefault="007E482E" w:rsidP="007E482E">
      <w:pPr>
        <w:spacing w:line="240" w:lineRule="auto"/>
        <w:jc w:val="both"/>
        <w:rPr>
          <w:rFonts w:ascii="Times New Roman" w:hAnsi="Times New Roman" w:cs="Times New Roman"/>
          <w:sz w:val="24"/>
          <w:szCs w:val="24"/>
        </w:rPr>
      </w:pPr>
      <w:r w:rsidRPr="00CA1105">
        <w:rPr>
          <w:rFonts w:ascii="Times New Roman" w:hAnsi="Times New Roman" w:cs="Times New Roman"/>
          <w:sz w:val="24"/>
          <w:szCs w:val="24"/>
        </w:rPr>
        <w:t>La estructura de las exportaciones de mercancías de la EU-27 no cambió mucho entre 2014 y 2019 (véase el gráfico 14) aparte de un aumento de 2,4 puntos porcentuales (p. p.) de incremento, desde un 16,7 % en 2014 a un 19,1 % en 2019 en los productos químicos y una disminución similar para la energía de 1,4 p. p.</w:t>
      </w:r>
    </w:p>
    <w:p w:rsidR="007E482E" w:rsidRDefault="007E482E" w:rsidP="007E482E">
      <w:pPr>
        <w:spacing w:line="240" w:lineRule="auto"/>
        <w:jc w:val="both"/>
        <w:rPr>
          <w:rFonts w:ascii="Times New Roman" w:hAnsi="Times New Roman" w:cs="Times New Roman"/>
          <w:sz w:val="24"/>
          <w:szCs w:val="24"/>
        </w:rPr>
      </w:pPr>
      <w:r>
        <w:rPr>
          <w:noProof/>
          <w:lang w:eastAsia="es-ES"/>
        </w:rPr>
        <w:drawing>
          <wp:inline distT="0" distB="0" distL="0" distR="0" wp14:anchorId="39F9B37F" wp14:editId="3B67F2A4">
            <wp:extent cx="4762500" cy="2717800"/>
            <wp:effectExtent l="0" t="0" r="0" b="6350"/>
            <wp:docPr id="154" name="Imagen 154" descr="https://ec.europa.eu/eurostat/statistics-explained/images/thumb/f/f0/Main_exports_by_product%2C_EU-27%2C_2014_and_2019_FP2020.png/500px-Main_exports_by_product%2C_EU-27%2C_2014_and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ec.europa.eu/eurostat/statistics-explained/images/thumb/f/f0/Main_exports_by_product%2C_EU-27%2C_2014_and_2019_FP2020.png/500px-Main_exports_by_product%2C_EU-27%2C_2014_and_2019_FP2020.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762500" cy="271780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CA1105">
        <w:rPr>
          <w:rFonts w:ascii="Times New Roman" w:hAnsi="Times New Roman" w:cs="Times New Roman"/>
          <w:sz w:val="24"/>
          <w:szCs w:val="24"/>
        </w:rPr>
        <w:t>Gráfico 14: Principales exportaciones por producto, EU-27,</w:t>
      </w:r>
      <w:r>
        <w:rPr>
          <w:rFonts w:ascii="Times New Roman" w:hAnsi="Times New Roman" w:cs="Times New Roman"/>
          <w:sz w:val="24"/>
          <w:szCs w:val="24"/>
        </w:rPr>
        <w:t xml:space="preserve"> 2014 y 2019 </w:t>
      </w:r>
      <w:r w:rsidRPr="00CA1105">
        <w:rPr>
          <w:rFonts w:ascii="Times New Roman" w:hAnsi="Times New Roman" w:cs="Times New Roman"/>
          <w:sz w:val="24"/>
          <w:szCs w:val="24"/>
        </w:rPr>
        <w:t>(% de las exportaciones fuera de la EU-27)</w:t>
      </w:r>
    </w:p>
    <w:p w:rsidR="007E482E" w:rsidRDefault="007E482E" w:rsidP="007E482E">
      <w:pPr>
        <w:spacing w:line="240" w:lineRule="auto"/>
        <w:jc w:val="both"/>
        <w:rPr>
          <w:rFonts w:ascii="Times New Roman" w:hAnsi="Times New Roman" w:cs="Times New Roman"/>
          <w:sz w:val="24"/>
          <w:szCs w:val="24"/>
        </w:rPr>
      </w:pPr>
      <w:r w:rsidRPr="00CA1105">
        <w:rPr>
          <w:rFonts w:ascii="Times New Roman" w:hAnsi="Times New Roman" w:cs="Times New Roman"/>
          <w:sz w:val="24"/>
          <w:szCs w:val="24"/>
        </w:rPr>
        <w:lastRenderedPageBreak/>
        <w:t>En cuanto a la estructura de las importaciones de la EU-27 entre 2014 y 2019, se produjo un importante descenso del porcentaje correspondiente a la energía, que disminuyó 7,6 p. p., desde un 26,3 % a un 18,7 % (véase el gráfico 15). Esta disminución se debió en parte a la caída de los precios de los productos energéticos. En cambio, durante el mismo período, el porcentaje correspondiente a la maquinaria y los vehículos aumentó 6,0 p. p., desde un 26,9 % a un 32,8 %. Los porcentajes de los demás productos cambiaron solo ligeramente.</w:t>
      </w:r>
    </w:p>
    <w:p w:rsidR="007E482E" w:rsidRDefault="007E482E" w:rsidP="007E482E">
      <w:pPr>
        <w:spacing w:line="240" w:lineRule="auto"/>
        <w:jc w:val="both"/>
        <w:rPr>
          <w:rFonts w:ascii="Times New Roman" w:hAnsi="Times New Roman" w:cs="Times New Roman"/>
          <w:sz w:val="24"/>
          <w:szCs w:val="24"/>
        </w:rPr>
      </w:pPr>
      <w:r>
        <w:rPr>
          <w:noProof/>
          <w:lang w:eastAsia="es-ES"/>
        </w:rPr>
        <w:drawing>
          <wp:inline distT="0" distB="0" distL="0" distR="0" wp14:anchorId="52329F79" wp14:editId="7B1CD340">
            <wp:extent cx="4762500" cy="2400300"/>
            <wp:effectExtent l="0" t="0" r="0" b="0"/>
            <wp:docPr id="155" name="Imagen 155" descr="https://ec.europa.eu/eurostat/statistics-explained/images/thumb/c/c7/Main_imports_by_product%2C_EU-27%2C_2014_and_2019_FP2020.png/500px-Main_imports_by_product%2C_EU-27%2C_2014_and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ec.europa.eu/eurostat/statistics-explained/images/thumb/c/c7/Main_imports_by_product%2C_EU-27%2C_2014_and_2019_FP2020.png/500px-Main_imports_by_product%2C_EU-27%2C_2014_and_2019_FP2020.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762500" cy="240030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CA1105">
        <w:rPr>
          <w:rFonts w:ascii="Times New Roman" w:hAnsi="Times New Roman" w:cs="Times New Roman"/>
          <w:sz w:val="24"/>
          <w:szCs w:val="24"/>
        </w:rPr>
        <w:t>Gráfico 15: Principales importaciones p</w:t>
      </w:r>
      <w:r>
        <w:rPr>
          <w:rFonts w:ascii="Times New Roman" w:hAnsi="Times New Roman" w:cs="Times New Roman"/>
          <w:sz w:val="24"/>
          <w:szCs w:val="24"/>
        </w:rPr>
        <w:t xml:space="preserve">or producto, EU-27, 2014 y 2019 </w:t>
      </w:r>
      <w:r w:rsidRPr="00CA1105">
        <w:rPr>
          <w:rFonts w:ascii="Times New Roman" w:hAnsi="Times New Roman" w:cs="Times New Roman"/>
          <w:sz w:val="24"/>
          <w:szCs w:val="24"/>
        </w:rPr>
        <w:t>(% de las importaciones fuera de la EU-27)</w:t>
      </w:r>
    </w:p>
    <w:p w:rsidR="007E482E" w:rsidRDefault="007E482E" w:rsidP="007E482E">
      <w:pPr>
        <w:spacing w:line="240" w:lineRule="auto"/>
        <w:jc w:val="both"/>
        <w:rPr>
          <w:rFonts w:ascii="Times New Roman" w:hAnsi="Times New Roman" w:cs="Times New Roman"/>
          <w:sz w:val="24"/>
          <w:szCs w:val="24"/>
        </w:rPr>
      </w:pPr>
      <w:r w:rsidRPr="00CA1105">
        <w:rPr>
          <w:rFonts w:ascii="Times New Roman" w:hAnsi="Times New Roman" w:cs="Times New Roman"/>
          <w:sz w:val="24"/>
          <w:szCs w:val="24"/>
        </w:rPr>
        <w:t>En el gráfico 16 se compara la estructura de las importaciones y exportaciones de la EU-27 en 2019: debe tenerse en cuenta que el nivel global de las exportaciones fue un 10,2 % más elevado que el de las importaciones. La diferencia más significativa se encuentra en el porcentaje correspondiente a la energía, que fue casi cuatro veces más elevado para las importaciones que para las exportaciones. Esto se compensó con unos porcentajes de importación más bajos en comparación con las exportaciones para maquinaria y vehículos y para productos químicos.</w:t>
      </w:r>
    </w:p>
    <w:p w:rsidR="007E482E" w:rsidRDefault="007E482E" w:rsidP="007E482E">
      <w:pPr>
        <w:spacing w:line="240" w:lineRule="auto"/>
        <w:jc w:val="both"/>
        <w:rPr>
          <w:rFonts w:ascii="Times New Roman" w:hAnsi="Times New Roman" w:cs="Times New Roman"/>
          <w:sz w:val="24"/>
          <w:szCs w:val="24"/>
        </w:rPr>
      </w:pPr>
      <w:r>
        <w:rPr>
          <w:noProof/>
          <w:lang w:eastAsia="es-ES"/>
        </w:rPr>
        <w:drawing>
          <wp:inline distT="0" distB="0" distL="0" distR="0" wp14:anchorId="12DC3CE0" wp14:editId="26181187">
            <wp:extent cx="4762500" cy="2736850"/>
            <wp:effectExtent l="0" t="0" r="0" b="6350"/>
            <wp:docPr id="156" name="Imagen 156" descr="https://ec.europa.eu/eurostat/statistics-explained/images/thumb/0/0f/Main_exports_and_imports_by_product%2C_EU-27%2C_2019_FP2020.png/500px-Main_exports_and_imports_by_product%2C_EU-27%2C_2019_FP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ec.europa.eu/eurostat/statistics-explained/images/thumb/0/0f/Main_exports_and_imports_by_product%2C_EU-27%2C_2019_FP2020.png/500px-Main_exports_and_imports_by_product%2C_EU-27%2C_2019_FP2020.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62500" cy="273685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CA1105">
        <w:rPr>
          <w:rFonts w:ascii="Times New Roman" w:hAnsi="Times New Roman" w:cs="Times New Roman"/>
          <w:sz w:val="24"/>
          <w:szCs w:val="24"/>
        </w:rPr>
        <w:t>Gráfico 16: Principales importaciones y exportac</w:t>
      </w:r>
      <w:r>
        <w:rPr>
          <w:rFonts w:ascii="Times New Roman" w:hAnsi="Times New Roman" w:cs="Times New Roman"/>
          <w:sz w:val="24"/>
          <w:szCs w:val="24"/>
        </w:rPr>
        <w:t xml:space="preserve">iones por producto, EU-27, 2019 </w:t>
      </w:r>
      <w:r w:rsidRPr="00CA1105">
        <w:rPr>
          <w:rFonts w:ascii="Times New Roman" w:hAnsi="Times New Roman" w:cs="Times New Roman"/>
          <w:sz w:val="24"/>
          <w:szCs w:val="24"/>
        </w:rPr>
        <w:t>(% de las importaciones/exportaciones exteriores de la EU-27)</w:t>
      </w:r>
    </w:p>
    <w:p w:rsidR="007E482E" w:rsidRDefault="007E482E" w:rsidP="007E482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4C40AD">
        <w:rPr>
          <w:rFonts w:ascii="Times New Roman" w:hAnsi="Times New Roman" w:cs="Times New Roman"/>
          <w:b/>
          <w:sz w:val="24"/>
          <w:szCs w:val="24"/>
        </w:rPr>
        <w:t xml:space="preserve">El </w:t>
      </w:r>
      <w:r>
        <w:rPr>
          <w:rFonts w:ascii="Times New Roman" w:hAnsi="Times New Roman" w:cs="Times New Roman"/>
          <w:b/>
          <w:sz w:val="24"/>
          <w:szCs w:val="24"/>
        </w:rPr>
        <w:t>“</w:t>
      </w:r>
      <w:r w:rsidR="009B1AA2">
        <w:rPr>
          <w:rFonts w:ascii="Times New Roman" w:hAnsi="Times New Roman" w:cs="Times New Roman"/>
          <w:b/>
          <w:sz w:val="24"/>
          <w:szCs w:val="24"/>
        </w:rPr>
        <w:t>Plan Quinquenal”</w:t>
      </w:r>
      <w:r w:rsidRPr="004C40AD">
        <w:rPr>
          <w:rFonts w:ascii="Times New Roman" w:hAnsi="Times New Roman" w:cs="Times New Roman"/>
          <w:b/>
          <w:sz w:val="24"/>
          <w:szCs w:val="24"/>
        </w:rPr>
        <w:t xml:space="preserve"> d</w:t>
      </w:r>
      <w:r>
        <w:rPr>
          <w:rFonts w:ascii="Times New Roman" w:hAnsi="Times New Roman" w:cs="Times New Roman"/>
          <w:b/>
          <w:sz w:val="24"/>
          <w:szCs w:val="24"/>
        </w:rPr>
        <w:t>e la PAC (</w:t>
      </w:r>
      <w:r w:rsidR="009B1AA2">
        <w:rPr>
          <w:rFonts w:ascii="Times New Roman" w:hAnsi="Times New Roman" w:cs="Times New Roman"/>
          <w:b/>
          <w:sz w:val="24"/>
          <w:szCs w:val="24"/>
        </w:rPr>
        <w:t>del “pensamiento Alicia”, a</w:t>
      </w:r>
      <w:r>
        <w:rPr>
          <w:rFonts w:ascii="Times New Roman" w:hAnsi="Times New Roman" w:cs="Times New Roman"/>
          <w:b/>
          <w:sz w:val="24"/>
          <w:szCs w:val="24"/>
        </w:rPr>
        <w:t xml:space="preserve"> los “brócolis de la ira”</w:t>
      </w:r>
      <w:r w:rsidRPr="004C40AD">
        <w:rPr>
          <w:rFonts w:ascii="Times New Roman" w:hAnsi="Times New Roman" w:cs="Times New Roman"/>
          <w:b/>
          <w:sz w:val="24"/>
          <w:szCs w:val="24"/>
        </w:rPr>
        <w:t>)</w:t>
      </w:r>
    </w:p>
    <w:p w:rsidR="007E482E" w:rsidRPr="004C40AD" w:rsidRDefault="007E482E" w:rsidP="007E482E">
      <w:pPr>
        <w:spacing w:line="240" w:lineRule="auto"/>
        <w:jc w:val="both"/>
        <w:rPr>
          <w:rFonts w:ascii="Times New Roman" w:hAnsi="Times New Roman" w:cs="Times New Roman"/>
          <w:b/>
          <w:sz w:val="24"/>
          <w:szCs w:val="24"/>
        </w:rPr>
      </w:pPr>
      <w:r>
        <w:rPr>
          <w:noProof/>
          <w:lang w:eastAsia="es-ES"/>
        </w:rPr>
        <w:drawing>
          <wp:inline distT="0" distB="0" distL="0" distR="0" wp14:anchorId="1CA958FF" wp14:editId="27C800FC">
            <wp:extent cx="5728017" cy="2825750"/>
            <wp:effectExtent l="0" t="0" r="6350" b="0"/>
            <wp:docPr id="170" name="Imagen 170" descr="tractor-fertilizantes-campo-770-dreamst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ractor-fertilizantes-campo-770-dreamstime.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2827473"/>
                    </a:xfrm>
                    <a:prstGeom prst="rect">
                      <a:avLst/>
                    </a:prstGeom>
                    <a:noFill/>
                    <a:ln>
                      <a:noFill/>
                    </a:ln>
                  </pic:spPr>
                </pic:pic>
              </a:graphicData>
            </a:graphic>
          </wp:inline>
        </w:drawing>
      </w:r>
    </w:p>
    <w:p w:rsidR="007E482E" w:rsidRDefault="00606F63"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Pago verde: p</w:t>
      </w:r>
      <w:r w:rsidR="007E482E" w:rsidRPr="00FC16A1">
        <w:rPr>
          <w:rFonts w:ascii="Times New Roman" w:hAnsi="Times New Roman" w:cs="Times New Roman"/>
          <w:sz w:val="24"/>
          <w:szCs w:val="24"/>
        </w:rPr>
        <w:t>ago de la PAC que fomenta las prácticas beneficiosas para el clima y medio ambiente. El pago verde, conocido también como greening, es un pago anual vinculado a un derecho de pago básico siempre que se respeten determinadas prácticas medioambientales.</w:t>
      </w:r>
    </w:p>
    <w:p w:rsidR="007E482E" w:rsidRPr="00FC16A1" w:rsidRDefault="007E482E" w:rsidP="007E482E">
      <w:pPr>
        <w:spacing w:line="240" w:lineRule="auto"/>
        <w:jc w:val="both"/>
        <w:rPr>
          <w:rFonts w:ascii="Times New Roman" w:hAnsi="Times New Roman" w:cs="Times New Roman"/>
          <w:sz w:val="24"/>
          <w:szCs w:val="24"/>
          <w:u w:val="single"/>
        </w:rPr>
      </w:pPr>
      <w:r w:rsidRPr="00FC16A1">
        <w:rPr>
          <w:rFonts w:ascii="Times New Roman" w:hAnsi="Times New Roman" w:cs="Times New Roman"/>
          <w:sz w:val="24"/>
          <w:szCs w:val="24"/>
          <w:u w:val="single"/>
        </w:rPr>
        <w:t>Pol</w:t>
      </w:r>
      <w:r w:rsidR="00C55E82">
        <w:rPr>
          <w:rFonts w:ascii="Times New Roman" w:hAnsi="Times New Roman" w:cs="Times New Roman"/>
          <w:sz w:val="24"/>
          <w:szCs w:val="24"/>
          <w:u w:val="single"/>
        </w:rPr>
        <w:t xml:space="preserve">ítica Agraria Común (PAC) 2022 - </w:t>
      </w:r>
      <w:r w:rsidRPr="00FC16A1">
        <w:rPr>
          <w:rFonts w:ascii="Times New Roman" w:hAnsi="Times New Roman" w:cs="Times New Roman"/>
          <w:sz w:val="24"/>
          <w:szCs w:val="24"/>
          <w:u w:val="single"/>
        </w:rPr>
        <w:t>Pago verde</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Pago de la PAC que fomenta las prácticas beneficiosas para el clima y medio ambiente.</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El pago verde, conocido también como greening, es un pago anual vinculado a un derecho de pago básico siempre que se respeten determinadas prácticas medioambientales.</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Las prácticas medioambienta</w:t>
      </w:r>
      <w:r>
        <w:rPr>
          <w:rFonts w:ascii="Times New Roman" w:hAnsi="Times New Roman" w:cs="Times New Roman"/>
          <w:sz w:val="24"/>
          <w:szCs w:val="24"/>
        </w:rPr>
        <w:t>les vinculadas a este pago son:</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diversificación de cultivos</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mantenimiento de los pastos permanentes existentes</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contar con superficies de interés ecológico (SIE) en las explotaciones</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La diversificación de cultivos consiste en sembrar varios cultivos diferentes en la tierra de cultivo de la explotación, que normalmente se cosechan con carácte</w:t>
      </w:r>
      <w:r>
        <w:rPr>
          <w:rFonts w:ascii="Times New Roman" w:hAnsi="Times New Roman" w:cs="Times New Roman"/>
          <w:sz w:val="24"/>
          <w:szCs w:val="24"/>
        </w:rPr>
        <w:t>r anual, o dejarla en barbecho.</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Cuando se han convertido pastos permanente</w:t>
      </w:r>
      <w:r>
        <w:rPr>
          <w:rFonts w:ascii="Times New Roman" w:hAnsi="Times New Roman" w:cs="Times New Roman"/>
          <w:sz w:val="24"/>
          <w:szCs w:val="24"/>
        </w:rPr>
        <w:t>s</w:t>
      </w:r>
      <w:r w:rsidRPr="00FC16A1">
        <w:rPr>
          <w:rFonts w:ascii="Times New Roman" w:hAnsi="Times New Roman" w:cs="Times New Roman"/>
          <w:sz w:val="24"/>
          <w:szCs w:val="24"/>
        </w:rPr>
        <w:t xml:space="preserve"> a otros usos (tierra de cultivo), los agricultores tiene la obligación de restaurar esas superficies nuevamente como p</w:t>
      </w:r>
      <w:r>
        <w:rPr>
          <w:rFonts w:ascii="Times New Roman" w:hAnsi="Times New Roman" w:cs="Times New Roman"/>
          <w:sz w:val="24"/>
          <w:szCs w:val="24"/>
        </w:rPr>
        <w:t>astos. En ningún caso los pastos</w:t>
      </w:r>
      <w:r w:rsidRPr="00FC16A1">
        <w:rPr>
          <w:rFonts w:ascii="Times New Roman" w:hAnsi="Times New Roman" w:cs="Times New Roman"/>
          <w:sz w:val="24"/>
          <w:szCs w:val="24"/>
        </w:rPr>
        <w:t xml:space="preserve"> permanentes situados en zonas cubiertas por zonas de conservación de hábitats naturales y de la fauna y flora silvestre ZEC (Zonas de Especial Conservación) y ZEPAS  (Zonas de Especial Protección para las Aves) y que se han designado como medioambientalmente sensibles pueden convertirse a otros usos, ni labrarse ni efectuar labores más allá de las ne</w:t>
      </w:r>
      <w:r>
        <w:rPr>
          <w:rFonts w:ascii="Times New Roman" w:hAnsi="Times New Roman" w:cs="Times New Roman"/>
          <w:sz w:val="24"/>
          <w:szCs w:val="24"/>
        </w:rPr>
        <w:t>cesarias para su mantenimiento.</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Las superficies de interés ecológico (SIE) son explotaciones que tienen más de 15 ha de tierra de cultivo, y al menos, el 5% de dicha tierra de cultivo y de las superficies que han sido forestadas se dedican a alguna de las estas categorías:</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FC16A1">
        <w:rPr>
          <w:rFonts w:ascii="Times New Roman" w:hAnsi="Times New Roman" w:cs="Times New Roman"/>
          <w:sz w:val="24"/>
          <w:szCs w:val="24"/>
        </w:rPr>
        <w:t>tierras de barbecho</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superficies sembradas con cultivos fijadores de nitrógeno</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superficies forestadas</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superficies dedicadas a agrosilvicultura</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superficies con Miscanthus</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superfices con Silphium perfoliatum, silfo</w:t>
      </w:r>
    </w:p>
    <w:p w:rsidR="007E482E" w:rsidRPr="00FC16A1"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C16A1">
        <w:rPr>
          <w:rFonts w:ascii="Times New Roman" w:hAnsi="Times New Roman" w:cs="Times New Roman"/>
          <w:sz w:val="24"/>
          <w:szCs w:val="24"/>
        </w:rPr>
        <w:t>tierras en barbecho para plantas ricas en polen y néctar</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Los agricultores que tienen derecho autom</w:t>
      </w:r>
      <w:r>
        <w:rPr>
          <w:rFonts w:ascii="Times New Roman" w:hAnsi="Times New Roman" w:cs="Times New Roman"/>
          <w:sz w:val="24"/>
          <w:szCs w:val="24"/>
        </w:rPr>
        <w:t>áticamente al pago son los que:</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Se dedican a la agricultura ecológica, únicamente en las unidades de la explotación que sea una superficie destinada a la producción ecológica.</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Están acogidos al régimen de pequeños agricultores que quedó establecido en el año 2015 para los productores que cobraron en la campaña menos de 1</w:t>
      </w:r>
      <w:r>
        <w:rPr>
          <w:rFonts w:ascii="Times New Roman" w:hAnsi="Times New Roman" w:cs="Times New Roman"/>
          <w:sz w:val="24"/>
          <w:szCs w:val="24"/>
        </w:rPr>
        <w:t>.</w:t>
      </w:r>
      <w:r w:rsidRPr="00FC16A1">
        <w:rPr>
          <w:rFonts w:ascii="Times New Roman" w:hAnsi="Times New Roman" w:cs="Times New Roman"/>
          <w:sz w:val="24"/>
          <w:szCs w:val="24"/>
        </w:rPr>
        <w:t>250 € de pagos directos.</w:t>
      </w:r>
    </w:p>
    <w:p w:rsidR="007E482E" w:rsidRPr="00FC16A1"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Disponen de cultivos permanentes (viñedo, olivar, trigo, frutales) y, en general, cultivos que permanecen en terreno durante cinco años o más y no entran en rotación de cultivos de la explotación.</w:t>
      </w:r>
    </w:p>
    <w:p w:rsidR="007E482E" w:rsidRDefault="007E482E" w:rsidP="007E482E">
      <w:pPr>
        <w:spacing w:line="240" w:lineRule="auto"/>
        <w:jc w:val="both"/>
        <w:rPr>
          <w:rFonts w:ascii="Times New Roman" w:hAnsi="Times New Roman" w:cs="Times New Roman"/>
          <w:sz w:val="24"/>
          <w:szCs w:val="24"/>
        </w:rPr>
      </w:pPr>
      <w:r w:rsidRPr="00FC16A1">
        <w:rPr>
          <w:rFonts w:ascii="Times New Roman" w:hAnsi="Times New Roman" w:cs="Times New Roman"/>
          <w:sz w:val="24"/>
          <w:szCs w:val="24"/>
        </w:rPr>
        <w:t>Si la explotación está situada, total o parcialmente en zonas de especial conservación (ZEC), de protección de las aves silvestres (ZEPAS) o en el ámbito de actuación de las políticas de aguas, se tienen que respetar estas prácticas:</w:t>
      </w:r>
    </w:p>
    <w:p w:rsidR="007E482E" w:rsidRDefault="007E482E" w:rsidP="007E482E">
      <w:pPr>
        <w:spacing w:line="240" w:lineRule="auto"/>
        <w:jc w:val="both"/>
        <w:rPr>
          <w:rFonts w:ascii="Times New Roman" w:hAnsi="Times New Roman" w:cs="Times New Roman"/>
          <w:b/>
          <w:sz w:val="24"/>
          <w:szCs w:val="24"/>
        </w:rPr>
      </w:pPr>
      <w:r w:rsidRPr="00DA6D55">
        <w:rPr>
          <w:rFonts w:ascii="Times New Roman" w:hAnsi="Times New Roman" w:cs="Times New Roman"/>
          <w:b/>
          <w:sz w:val="24"/>
          <w:szCs w:val="24"/>
        </w:rPr>
        <w:t>Prácticas de Pago Verde 2022</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(Manual de Instrucciones de</w:t>
      </w:r>
      <w:r w:rsidR="009C20F1">
        <w:rPr>
          <w:rFonts w:ascii="Times New Roman" w:hAnsi="Times New Roman" w:cs="Times New Roman"/>
          <w:sz w:val="24"/>
          <w:szCs w:val="24"/>
        </w:rPr>
        <w:t>l “Gosplá</w:t>
      </w:r>
      <w:r>
        <w:rPr>
          <w:rFonts w:ascii="Times New Roman" w:hAnsi="Times New Roman" w:cs="Times New Roman"/>
          <w:sz w:val="24"/>
          <w:szCs w:val="24"/>
        </w:rPr>
        <w:t>n”, provisto por el Gobierno de Aragón - España)</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1. D</w:t>
      </w:r>
      <w:r>
        <w:rPr>
          <w:rFonts w:ascii="Times New Roman" w:hAnsi="Times New Roman" w:cs="Times New Roman"/>
          <w:sz w:val="24"/>
          <w:szCs w:val="24"/>
        </w:rPr>
        <w:t>iversificación de cultivos</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R</w:t>
      </w:r>
      <w:r>
        <w:rPr>
          <w:rFonts w:ascii="Times New Roman" w:hAnsi="Times New Roman" w:cs="Times New Roman"/>
          <w:sz w:val="24"/>
          <w:szCs w:val="24"/>
        </w:rPr>
        <w:t>equisitos de explotación:</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10 ha &lt; TC &lt; 30 ha: al menos 2 cultivos diferentes en la superficie de TC, y el cultivo principal debe ocupar &lt; 75% de la superficie.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TC &gt; 30 ha: al menos 3 cultivos diferentes en la superficie de TC, el cultivo principal debe ocupar &lt; 75% de la superficie y la suma de los 2 principales &lt; 95%. Cultivos: diferentes géneros botánicos (El cultivo de Triticum Spelta se considera cultivo diferenciado del género Triticum); diferentes especies de las familias Brassica, Solanáceas y Cucurbitáceas; tierras de barbecho; hierba u otros forrajes herbáceos. Las mezclas se consideran un único cultivo.</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1. D</w:t>
      </w:r>
      <w:r>
        <w:rPr>
          <w:rFonts w:ascii="Times New Roman" w:hAnsi="Times New Roman" w:cs="Times New Roman"/>
          <w:sz w:val="24"/>
          <w:szCs w:val="24"/>
        </w:rPr>
        <w:t>iversificación de cultivos</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w:t>
      </w:r>
      <w:r>
        <w:rPr>
          <w:rFonts w:ascii="Times New Roman" w:hAnsi="Times New Roman" w:cs="Times New Roman"/>
          <w:sz w:val="24"/>
          <w:szCs w:val="24"/>
        </w:rPr>
        <w:t xml:space="preserve"> Exenciones a la diversificación</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TC75% de la TC con alguno de los siguientes productos o su combinación: hierba u otros forrajes herbáceos / barbechos / leguminosas.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&gt;75% de la superficie admisible con alguno de los siguientes productos o su combinación: pastos permanentes / hierba u otros forrajes herbáceos / cultivos bajo agua.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lastRenderedPageBreak/>
        <w:t xml:space="preserve">• Exento de cumplir umbrales (no nº cultivos): &gt;75% de la TC con alguno de los siguientes productos: hierba u otros forrajes herbáceos / barbechos / cultivos bajo agua. El cultivo principal de la TC restante no incluye más del 75%, excepto si está cubierta por hierba/forrajes herbáceos o barbecho.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El solicitante marca acogerse a la comparación geoespacial de imágenes de las tierras de cultivo de la campaña actual y de la anterior.</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1. D</w:t>
      </w:r>
      <w:r>
        <w:rPr>
          <w:rFonts w:ascii="Times New Roman" w:hAnsi="Times New Roman" w:cs="Times New Roman"/>
          <w:sz w:val="24"/>
          <w:szCs w:val="24"/>
        </w:rPr>
        <w:t>iversificación de cultivos</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P</w:t>
      </w:r>
      <w:r>
        <w:rPr>
          <w:rFonts w:ascii="Times New Roman" w:hAnsi="Times New Roman" w:cs="Times New Roman"/>
          <w:sz w:val="24"/>
          <w:szCs w:val="24"/>
        </w:rPr>
        <w:t>eríodo de diversificación:</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El período de diversificación se extiende de marzo a agosto.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Los productos declarables se incluirán sin ciclo de cultivo.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D</w:t>
      </w:r>
      <w:r>
        <w:rPr>
          <w:rFonts w:ascii="Times New Roman" w:hAnsi="Times New Roman" w:cs="Times New Roman"/>
          <w:sz w:val="24"/>
          <w:szCs w:val="24"/>
        </w:rPr>
        <w:t>obles cosechas</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Aunque los cultivos predominantes durante el período de diversificación son los cultivos de primavera, se admiten cultivos de invierno como principales siempre que coexistan en el tiempo y en el terreno con los declarados como principales de primavera.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No se puede declarar un 2º cultivo si el principal es Barbecho ni declarar Barbecho como 2º cultivo.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O</w:t>
      </w:r>
      <w:r>
        <w:rPr>
          <w:rFonts w:ascii="Times New Roman" w:hAnsi="Times New Roman" w:cs="Times New Roman"/>
          <w:sz w:val="24"/>
          <w:szCs w:val="24"/>
        </w:rPr>
        <w:t>tras cuestiones</w:t>
      </w:r>
      <w:r w:rsidRPr="00DA6D55">
        <w:rPr>
          <w:rFonts w:ascii="Times New Roman" w:hAnsi="Times New Roman" w:cs="Times New Roman"/>
          <w:sz w:val="24"/>
          <w:szCs w:val="24"/>
        </w:rPr>
        <w:t>:</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Los productos del grupo “hierbas u otros forrajes herbáceos”, declarados 5 años consecutivos con el mismo producto pasarán a PR, si hay laboreo sigue TA.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2. S</w:t>
      </w:r>
      <w:r>
        <w:rPr>
          <w:rFonts w:ascii="Times New Roman" w:hAnsi="Times New Roman" w:cs="Times New Roman"/>
          <w:sz w:val="24"/>
          <w:szCs w:val="24"/>
        </w:rPr>
        <w:t>uperficies interés ecológico</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R</w:t>
      </w:r>
      <w:r>
        <w:rPr>
          <w:rFonts w:ascii="Times New Roman" w:hAnsi="Times New Roman" w:cs="Times New Roman"/>
          <w:sz w:val="24"/>
          <w:szCs w:val="24"/>
        </w:rPr>
        <w:t>equisitos explotación</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TC &gt; 15 ha: mantener una SIE de al menos un 5% de la (TC + FOR).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En la solicitud única se marcarán los recintos elegidos para computar como SIE.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E</w:t>
      </w:r>
      <w:r>
        <w:rPr>
          <w:rFonts w:ascii="Times New Roman" w:hAnsi="Times New Roman" w:cs="Times New Roman"/>
          <w:sz w:val="24"/>
          <w:szCs w:val="24"/>
        </w:rPr>
        <w:t>xenciones al mantenimiento de SIE</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TC75% de la TC con alguno de los siguientes productos o combinación: hierba u otros forrajes herbáceos / barbechos / leguminosas.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&gt;75% de la superficie agraria admisible con alguno de los siguientes productos o combinación: PP/hierba u otros forrajes herbáceos/cultivos bajo agua.</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2. S</w:t>
      </w:r>
      <w:r>
        <w:rPr>
          <w:rFonts w:ascii="Times New Roman" w:hAnsi="Times New Roman" w:cs="Times New Roman"/>
          <w:sz w:val="24"/>
          <w:szCs w:val="24"/>
        </w:rPr>
        <w:t>uperficies interés ecológico</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Superficies</w:t>
      </w:r>
      <w:r w:rsidRPr="00DA6D55">
        <w:rPr>
          <w:rFonts w:ascii="Times New Roman" w:hAnsi="Times New Roman" w:cs="Times New Roman"/>
          <w:sz w:val="24"/>
          <w:szCs w:val="24"/>
        </w:rPr>
        <w:t xml:space="preserve"> SIE: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Tierras de barbecho: Se mantendrán sin producción entre el 1 de marzo y el 31 de agosto y no se podrán aplicar fitosanitarios durante el período de no producción.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Barbechos melíferos: además de los requisitos de no producción ni aplicación de fitosanitarios, se sembrarán con una mezcla de mínimo 4 especies elegibles, respetando una dosis mínima de siembra razonable para alcanzar una cubierta herbácea adecuada. Se permite </w:t>
      </w:r>
      <w:r w:rsidRPr="00DA6D55">
        <w:rPr>
          <w:rFonts w:ascii="Times New Roman" w:hAnsi="Times New Roman" w:cs="Times New Roman"/>
          <w:sz w:val="24"/>
          <w:szCs w:val="24"/>
        </w:rPr>
        <w:lastRenderedPageBreak/>
        <w:t>la colocación de colmenas. En la campaña 2020 se ha actu</w:t>
      </w:r>
      <w:r>
        <w:rPr>
          <w:rFonts w:ascii="Times New Roman" w:hAnsi="Times New Roman" w:cs="Times New Roman"/>
          <w:sz w:val="24"/>
          <w:szCs w:val="24"/>
        </w:rPr>
        <w:t>a</w:t>
      </w:r>
      <w:r w:rsidRPr="00DA6D55">
        <w:rPr>
          <w:rFonts w:ascii="Times New Roman" w:hAnsi="Times New Roman" w:cs="Times New Roman"/>
          <w:sz w:val="24"/>
          <w:szCs w:val="24"/>
        </w:rPr>
        <w:t xml:space="preserve">lizado el listado de especies melíferas elegibles.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Cultivos fijadores de nitrógeno (CFN): se incluyen los cultivos de soja, cacahuete, Crotalaria J. y mezclas de CFN con otros cultivos siempre que el CFN sea el cultivo principal). No se puede aplicar fitosanitarios durante el ciclo de cultivo.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Superficies forestadas: incluidas obligatoriamente en un programa PDR válido.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Superficies declaradas de Miscanthus y Silphium perfoliatum: no se puede aplicar productos fitosanitarios ni fertilizantes minerales.</w:t>
      </w:r>
    </w:p>
    <w:p w:rsidR="007E482E"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2. S</w:t>
      </w:r>
      <w:r>
        <w:rPr>
          <w:rFonts w:ascii="Times New Roman" w:hAnsi="Times New Roman" w:cs="Times New Roman"/>
          <w:sz w:val="24"/>
          <w:szCs w:val="24"/>
        </w:rPr>
        <w:t>uperficies interés ecológico</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L</w:t>
      </w:r>
      <w:r>
        <w:rPr>
          <w:rFonts w:ascii="Times New Roman" w:hAnsi="Times New Roman" w:cs="Times New Roman"/>
          <w:sz w:val="24"/>
          <w:szCs w:val="24"/>
        </w:rPr>
        <w:t>istado especies melíferas elegibles</w:t>
      </w:r>
      <w:r w:rsidRPr="00DA6D55">
        <w:rPr>
          <w:rFonts w:ascii="Times New Roman" w:hAnsi="Times New Roman" w:cs="Times New Roman"/>
          <w:sz w:val="24"/>
          <w:szCs w:val="24"/>
        </w:rPr>
        <w:t>: (se señalan 27 especies)</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2. S</w:t>
      </w:r>
      <w:r>
        <w:rPr>
          <w:rFonts w:ascii="Times New Roman" w:hAnsi="Times New Roman" w:cs="Times New Roman"/>
          <w:sz w:val="24"/>
          <w:szCs w:val="24"/>
        </w:rPr>
        <w:t>uperficies interés ecológico</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R</w:t>
      </w:r>
      <w:r>
        <w:rPr>
          <w:rFonts w:ascii="Times New Roman" w:hAnsi="Times New Roman" w:cs="Times New Roman"/>
          <w:sz w:val="24"/>
          <w:szCs w:val="24"/>
        </w:rPr>
        <w:t>otación de cultivos</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Las superficies de barbecho que pretendan computarse como de interés ecológico, no deberán haber estado precedidas por ningún cultivo fijador de nitrógeno (haya computado como SIE o no).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Al objeto de evitar el riesgo de lixiviación del nitrógeno fijado por los cultivos fijadores de nitrógeno en otoño, así como de aprovechar la mejora del suelo, las superficies de CFN que pretendan computar como SIE no podrán ir seguidas en la rotación de cultivos por tierras de barbecho (computen como SIE o no).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O</w:t>
      </w:r>
      <w:r>
        <w:rPr>
          <w:rFonts w:ascii="Times New Roman" w:hAnsi="Times New Roman" w:cs="Times New Roman"/>
          <w:sz w:val="24"/>
          <w:szCs w:val="24"/>
        </w:rPr>
        <w:t>tras cuestiones</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xml:space="preserve">• Los cultivos secundarios CFN (otros cultivos) computan a efectos de SIE (siempre que no se contabilice el cultivo principal).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3. M</w:t>
      </w:r>
      <w:r>
        <w:rPr>
          <w:rFonts w:ascii="Times New Roman" w:hAnsi="Times New Roman" w:cs="Times New Roman"/>
          <w:sz w:val="24"/>
          <w:szCs w:val="24"/>
        </w:rPr>
        <w:t>antenimiento pastos</w:t>
      </w:r>
      <w:r w:rsidRPr="00DA6D55">
        <w:rPr>
          <w:rFonts w:ascii="Times New Roman" w:hAnsi="Times New Roman" w:cs="Times New Roman"/>
          <w:sz w:val="24"/>
          <w:szCs w:val="24"/>
        </w:rPr>
        <w:t xml:space="preserv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R</w:t>
      </w:r>
      <w:r>
        <w:rPr>
          <w:rFonts w:ascii="Times New Roman" w:hAnsi="Times New Roman" w:cs="Times New Roman"/>
          <w:sz w:val="24"/>
          <w:szCs w:val="24"/>
        </w:rPr>
        <w:t>equisitos explotación</w:t>
      </w:r>
      <w:r w:rsidRPr="00DA6D55">
        <w:rPr>
          <w:rFonts w:ascii="Times New Roman" w:hAnsi="Times New Roman" w:cs="Times New Roman"/>
          <w:sz w:val="24"/>
          <w:szCs w:val="24"/>
        </w:rPr>
        <w:t xml:space="preserve">: Esta práctica se subdivide en dos: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Mantenimiento de pastos medioambientalmente sensibles: los productores no pueden convertir ni labrar, ni efectuar labores más allá del mantenimiento de los PMS, situados en la</w:t>
      </w:r>
      <w:r>
        <w:rPr>
          <w:rFonts w:ascii="Times New Roman" w:hAnsi="Times New Roman" w:cs="Times New Roman"/>
          <w:sz w:val="24"/>
          <w:szCs w:val="24"/>
        </w:rPr>
        <w:t>s zonas contempladas en las Directivas</w:t>
      </w:r>
      <w:r w:rsidRPr="00DA6D55">
        <w:rPr>
          <w:rFonts w:ascii="Times New Roman" w:hAnsi="Times New Roman" w:cs="Times New Roman"/>
          <w:sz w:val="24"/>
          <w:szCs w:val="24"/>
        </w:rPr>
        <w:t xml:space="preserve"> de Hábitats o de Aves. - Aragón: Pastos situados en zonas RN2000 y más de 1500 m. - En caso de roturación, se avisa al solicitante de la obligación de revertir los PMS a la situación inicial de pasto permanente. </w:t>
      </w:r>
    </w:p>
    <w:p w:rsidR="007E482E" w:rsidRPr="00DA6D55"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sz w:val="24"/>
          <w:szCs w:val="24"/>
        </w:rPr>
        <w:t>• Mantenimiento de la proporción de PP: La proporción de PP a nivel nacional no puede disminuir más de un 5% respecto a la proporción de referencia establecida.</w:t>
      </w:r>
    </w:p>
    <w:p w:rsidR="007E482E" w:rsidRDefault="007E482E" w:rsidP="007E482E">
      <w:pPr>
        <w:spacing w:line="240" w:lineRule="auto"/>
        <w:jc w:val="both"/>
        <w:rPr>
          <w:rFonts w:ascii="Times New Roman" w:hAnsi="Times New Roman" w:cs="Times New Roman"/>
          <w:sz w:val="24"/>
          <w:szCs w:val="24"/>
        </w:rPr>
      </w:pPr>
      <w:r w:rsidRPr="00DA6D55">
        <w:rPr>
          <w:rFonts w:ascii="Times New Roman" w:hAnsi="Times New Roman" w:cs="Times New Roman"/>
          <w:b/>
          <w:sz w:val="24"/>
          <w:szCs w:val="24"/>
        </w:rPr>
        <w:t>Basta para mí:</w:t>
      </w:r>
      <w:r>
        <w:rPr>
          <w:rFonts w:ascii="Times New Roman" w:hAnsi="Times New Roman" w:cs="Times New Roman"/>
          <w:sz w:val="24"/>
          <w:szCs w:val="24"/>
        </w:rPr>
        <w:t xml:space="preserve"> creo que Orwell, no podría haber escrito un “Manual del Pensamiento Único” (</w:t>
      </w:r>
      <w:r w:rsidRPr="00DA6D55">
        <w:rPr>
          <w:rFonts w:ascii="Times New Roman" w:hAnsi="Times New Roman" w:cs="Times New Roman"/>
          <w:sz w:val="24"/>
          <w:szCs w:val="24"/>
        </w:rPr>
        <w:t>Prácticas beneficiosas para el clima y el medio ambiente</w:t>
      </w:r>
      <w:r w:rsidR="00606F63">
        <w:rPr>
          <w:rFonts w:ascii="Times New Roman" w:hAnsi="Times New Roman" w:cs="Times New Roman"/>
          <w:sz w:val="24"/>
          <w:szCs w:val="24"/>
        </w:rPr>
        <w:t>) con mayor</w:t>
      </w:r>
      <w:r>
        <w:rPr>
          <w:rFonts w:ascii="Times New Roman" w:hAnsi="Times New Roman" w:cs="Times New Roman"/>
          <w:sz w:val="24"/>
          <w:szCs w:val="24"/>
        </w:rPr>
        <w:t xml:space="preserve"> grado de detalle. </w:t>
      </w:r>
      <w:r w:rsidRPr="00DA6D55">
        <w:rPr>
          <w:rFonts w:ascii="Times New Roman" w:hAnsi="Times New Roman" w:cs="Times New Roman"/>
          <w:sz w:val="24"/>
          <w:szCs w:val="24"/>
        </w:rPr>
        <w:t>El pensam</w:t>
      </w:r>
      <w:r>
        <w:rPr>
          <w:rFonts w:ascii="Times New Roman" w:hAnsi="Times New Roman" w:cs="Times New Roman"/>
          <w:sz w:val="24"/>
          <w:szCs w:val="24"/>
        </w:rPr>
        <w:t>iento único se sostiene con lo “políticamente correcto”. “Q</w:t>
      </w:r>
      <w:r w:rsidRPr="00DA6D55">
        <w:rPr>
          <w:rFonts w:ascii="Times New Roman" w:hAnsi="Times New Roman" w:cs="Times New Roman"/>
          <w:sz w:val="24"/>
          <w:szCs w:val="24"/>
        </w:rPr>
        <w:t>uien controla el poder de definir las palab</w:t>
      </w:r>
      <w:r>
        <w:rPr>
          <w:rFonts w:ascii="Times New Roman" w:hAnsi="Times New Roman" w:cs="Times New Roman"/>
          <w:sz w:val="24"/>
          <w:szCs w:val="24"/>
        </w:rPr>
        <w:t>ras controla también las mentes”</w:t>
      </w:r>
      <w:r w:rsidRPr="00DA6D55">
        <w:rPr>
          <w:rFonts w:ascii="Times New Roman" w:hAnsi="Times New Roman" w:cs="Times New Roman"/>
          <w:sz w:val="24"/>
          <w:szCs w:val="24"/>
        </w:rPr>
        <w:t>.</w:t>
      </w:r>
      <w:r>
        <w:rPr>
          <w:rFonts w:ascii="Times New Roman" w:hAnsi="Times New Roman" w:cs="Times New Roman"/>
          <w:sz w:val="24"/>
          <w:szCs w:val="24"/>
        </w:rPr>
        <w:t xml:space="preserve"> Tampoco a Kafka, le hubiera ido mal buscando ejemplos de autoritarismo: “</w:t>
      </w:r>
      <w:r w:rsidRPr="00173D1F">
        <w:rPr>
          <w:rFonts w:ascii="Times New Roman" w:hAnsi="Times New Roman" w:cs="Times New Roman"/>
          <w:sz w:val="24"/>
          <w:szCs w:val="24"/>
        </w:rPr>
        <w:t>El progreso se evapora y deja</w:t>
      </w:r>
      <w:r>
        <w:rPr>
          <w:rFonts w:ascii="Times New Roman" w:hAnsi="Times New Roman" w:cs="Times New Roman"/>
          <w:sz w:val="24"/>
          <w:szCs w:val="24"/>
        </w:rPr>
        <w:t xml:space="preserve"> atrás una estela de burocracia”</w:t>
      </w:r>
      <w:r w:rsidRPr="00173D1F">
        <w:rPr>
          <w:rFonts w:ascii="Times New Roman" w:hAnsi="Times New Roman" w:cs="Times New Roman"/>
          <w:sz w:val="24"/>
          <w:szCs w:val="24"/>
        </w:rPr>
        <w:t>.</w:t>
      </w:r>
      <w:r>
        <w:rPr>
          <w:rFonts w:ascii="Times New Roman" w:hAnsi="Times New Roman" w:cs="Times New Roman"/>
          <w:sz w:val="24"/>
          <w:szCs w:val="24"/>
        </w:rPr>
        <w:t xml:space="preserve"> “</w:t>
      </w:r>
      <w:r w:rsidRPr="00173D1F">
        <w:rPr>
          <w:rFonts w:ascii="Times New Roman" w:hAnsi="Times New Roman" w:cs="Times New Roman"/>
          <w:sz w:val="24"/>
          <w:szCs w:val="24"/>
        </w:rPr>
        <w:t>Todos los errores humanos son fruto de la impaciencia, interrupción prematura de un proceso ordenado, obstáculo artificial levantado alred</w:t>
      </w:r>
      <w:r>
        <w:rPr>
          <w:rFonts w:ascii="Times New Roman" w:hAnsi="Times New Roman" w:cs="Times New Roman"/>
          <w:sz w:val="24"/>
          <w:szCs w:val="24"/>
        </w:rPr>
        <w:t>edor de una realidad artificial”</w:t>
      </w:r>
      <w:r w:rsidRPr="00173D1F">
        <w:rPr>
          <w:rFonts w:ascii="Times New Roman" w:hAnsi="Times New Roman" w:cs="Times New Roman"/>
          <w:sz w:val="24"/>
          <w:szCs w:val="24"/>
        </w:rPr>
        <w:t>.</w:t>
      </w:r>
    </w:p>
    <w:p w:rsidR="007E482E" w:rsidRDefault="007E482E" w:rsidP="007E482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El efecto Greta (zombi) </w:t>
      </w:r>
      <w:r w:rsidRPr="0078269C">
        <w:rPr>
          <w:rFonts w:ascii="Times New Roman" w:hAnsi="Times New Roman" w:cs="Times New Roman"/>
          <w:b/>
          <w:sz w:val="24"/>
          <w:szCs w:val="24"/>
        </w:rPr>
        <w:t>Thunberg</w:t>
      </w:r>
      <w:r>
        <w:rPr>
          <w:rFonts w:ascii="Times New Roman" w:hAnsi="Times New Roman" w:cs="Times New Roman"/>
          <w:b/>
          <w:sz w:val="24"/>
          <w:szCs w:val="24"/>
        </w:rPr>
        <w:t xml:space="preserve"> en la UE (transformar su zona agrícola en un gran campo de golf con ovejas protegidas, y a sus agricultores en jardineros o </w:t>
      </w:r>
      <w:r w:rsidRPr="00A752FA">
        <w:rPr>
          <w:rFonts w:ascii="Times New Roman" w:hAnsi="Times New Roman" w:cs="Times New Roman"/>
          <w:b/>
          <w:sz w:val="24"/>
          <w:szCs w:val="24"/>
        </w:rPr>
        <w:t>birdwatch</w:t>
      </w:r>
      <w:r>
        <w:rPr>
          <w:rFonts w:ascii="Times New Roman" w:hAnsi="Times New Roman" w:cs="Times New Roman"/>
          <w:b/>
          <w:sz w:val="24"/>
          <w:szCs w:val="24"/>
        </w:rPr>
        <w:t>ers</w:t>
      </w:r>
      <w:r w:rsidRPr="0078269C">
        <w:rPr>
          <w:rFonts w:ascii="Times New Roman" w:hAnsi="Times New Roman" w:cs="Times New Roman"/>
          <w:b/>
          <w:sz w:val="24"/>
          <w:szCs w:val="24"/>
        </w:rPr>
        <w:t>)</w:t>
      </w:r>
    </w:p>
    <w:p w:rsidR="007E482E" w:rsidRDefault="007E482E" w:rsidP="007E482E">
      <w:pPr>
        <w:spacing w:line="240" w:lineRule="auto"/>
        <w:jc w:val="both"/>
        <w:rPr>
          <w:rFonts w:ascii="Times New Roman" w:hAnsi="Times New Roman" w:cs="Times New Roman"/>
          <w:sz w:val="24"/>
          <w:szCs w:val="24"/>
        </w:rPr>
      </w:pPr>
      <w:r w:rsidRPr="0078269C">
        <w:rPr>
          <w:rFonts w:ascii="Times New Roman" w:hAnsi="Times New Roman" w:cs="Times New Roman"/>
          <w:sz w:val="24"/>
          <w:szCs w:val="24"/>
        </w:rPr>
        <w:t xml:space="preserve">(Fuente: Comisión Europea - </w:t>
      </w:r>
      <w:r>
        <w:rPr>
          <w:rFonts w:ascii="Times New Roman" w:hAnsi="Times New Roman" w:cs="Times New Roman"/>
          <w:sz w:val="24"/>
          <w:szCs w:val="24"/>
        </w:rPr>
        <w:t>información disponible al 21/3/22)</w:t>
      </w:r>
    </w:p>
    <w:p w:rsidR="007E482E" w:rsidRPr="0078269C" w:rsidRDefault="007E482E" w:rsidP="007E482E">
      <w:pPr>
        <w:spacing w:line="240" w:lineRule="auto"/>
        <w:jc w:val="both"/>
        <w:rPr>
          <w:rFonts w:ascii="Times New Roman" w:hAnsi="Times New Roman" w:cs="Times New Roman"/>
          <w:b/>
          <w:sz w:val="24"/>
          <w:szCs w:val="24"/>
        </w:rPr>
      </w:pPr>
      <w:r w:rsidRPr="0078269C">
        <w:rPr>
          <w:rFonts w:ascii="Times New Roman" w:hAnsi="Times New Roman" w:cs="Times New Roman"/>
          <w:b/>
          <w:sz w:val="24"/>
          <w:szCs w:val="24"/>
        </w:rPr>
        <w:t>Sostenibilidad medioambiental en la PAC</w:t>
      </w:r>
    </w:p>
    <w:p w:rsidR="007E482E" w:rsidRPr="00B4374C" w:rsidRDefault="007E482E" w:rsidP="007E482E">
      <w:pPr>
        <w:pStyle w:val="NormalWeb"/>
        <w:shd w:val="clear" w:color="auto" w:fill="FFFFFF"/>
        <w:jc w:val="both"/>
      </w:pPr>
      <w:r w:rsidRPr="00B4374C">
        <w:t>La política agrícola común (PAC) tiene tres objetivos medioambientales claros que se recogen en el </w:t>
      </w:r>
      <w:hyperlink r:id="rId114" w:history="1">
        <w:r w:rsidRPr="00B4374C">
          <w:rPr>
            <w:rStyle w:val="Hipervnculo"/>
            <w:color w:val="auto"/>
            <w:u w:val="none"/>
          </w:rPr>
          <w:t>Pacto Verde Europeo</w:t>
        </w:r>
      </w:hyperlink>
      <w:r w:rsidRPr="00B4374C">
        <w:t> y en la estrategia “</w:t>
      </w:r>
      <w:hyperlink r:id="rId115" w:history="1">
        <w:r w:rsidRPr="00B4374C">
          <w:rPr>
            <w:rStyle w:val="Hipervnculo"/>
            <w:color w:val="auto"/>
            <w:u w:val="none"/>
          </w:rPr>
          <w:t>De la granja a la mesa</w:t>
        </w:r>
      </w:hyperlink>
      <w:r w:rsidRPr="00B4374C">
        <w:t>”:</w:t>
      </w:r>
    </w:p>
    <w:p w:rsidR="007E482E" w:rsidRPr="00B4374C" w:rsidRDefault="007E482E" w:rsidP="007E482E">
      <w:pPr>
        <w:numPr>
          <w:ilvl w:val="0"/>
          <w:numId w:val="16"/>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luchar contra el cambio climático;</w:t>
      </w:r>
    </w:p>
    <w:p w:rsidR="007E482E" w:rsidRPr="00B4374C" w:rsidRDefault="007E482E" w:rsidP="007E482E">
      <w:pPr>
        <w:numPr>
          <w:ilvl w:val="0"/>
          <w:numId w:val="16"/>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proteger los recursos naturales;</w:t>
      </w:r>
    </w:p>
    <w:p w:rsidR="007E482E" w:rsidRPr="00B4374C" w:rsidRDefault="007E482E" w:rsidP="007E482E">
      <w:pPr>
        <w:numPr>
          <w:ilvl w:val="0"/>
          <w:numId w:val="16"/>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reforzar la biodiversidad.</w:t>
      </w:r>
    </w:p>
    <w:p w:rsidR="007E482E" w:rsidRPr="00B4374C" w:rsidRDefault="007E482E" w:rsidP="007E482E">
      <w:pPr>
        <w:pStyle w:val="NormalWeb"/>
        <w:shd w:val="clear" w:color="auto" w:fill="FFFFFF"/>
        <w:jc w:val="both"/>
      </w:pPr>
      <w:r w:rsidRPr="00B4374C">
        <w:t>Para alcanzar estos objetivos, la PAC fomenta la </w:t>
      </w:r>
      <w:hyperlink r:id="rId116" w:history="1">
        <w:r w:rsidRPr="00B4374C">
          <w:rPr>
            <w:rStyle w:val="Hipervnculo"/>
            <w:color w:val="auto"/>
            <w:u w:val="none"/>
          </w:rPr>
          <w:t>agricultura ecológica</w:t>
        </w:r>
      </w:hyperlink>
      <w:r w:rsidRPr="00B4374C">
        <w:t> y la </w:t>
      </w:r>
      <w:hyperlink r:id="rId117" w:history="1">
        <w:r w:rsidRPr="00B4374C">
          <w:rPr>
            <w:rStyle w:val="Hipervnculo"/>
            <w:color w:val="auto"/>
            <w:u w:val="none"/>
          </w:rPr>
          <w:t>gestión responsable de insumos</w:t>
        </w:r>
      </w:hyperlink>
      <w:r w:rsidRPr="00B4374C">
        <w:t> tales como plaguicidas y fertilizantes.</w:t>
      </w:r>
    </w:p>
    <w:p w:rsidR="007E482E" w:rsidRPr="00B4374C" w:rsidRDefault="007E482E" w:rsidP="007E482E">
      <w:pPr>
        <w:pStyle w:val="NormalWeb"/>
        <w:shd w:val="clear" w:color="auto" w:fill="FFFFFF"/>
        <w:jc w:val="both"/>
      </w:pPr>
      <w:r w:rsidRPr="00B4374C">
        <w:t>La PAC pretende alcanzar sus objetivos medioambientales de una manera social y económicamente sostenible para los agricultores, las comunidades rurales y la UE en su conjunto.</w:t>
      </w:r>
    </w:p>
    <w:p w:rsidR="007E482E" w:rsidRPr="00B4374C" w:rsidRDefault="007E482E" w:rsidP="007E482E">
      <w:pPr>
        <w:pStyle w:val="Ttulo3"/>
        <w:shd w:val="clear" w:color="auto" w:fill="FFFFFF"/>
        <w:spacing w:line="240" w:lineRule="auto"/>
        <w:jc w:val="both"/>
        <w:rPr>
          <w:rFonts w:ascii="Times New Roman" w:hAnsi="Times New Roman" w:cs="Times New Roman"/>
          <w:color w:val="auto"/>
          <w:sz w:val="24"/>
          <w:szCs w:val="24"/>
        </w:rPr>
      </w:pPr>
      <w:r w:rsidRPr="00B4374C">
        <w:rPr>
          <w:rFonts w:ascii="Times New Roman" w:hAnsi="Times New Roman" w:cs="Times New Roman"/>
          <w:color w:val="auto"/>
          <w:sz w:val="24"/>
          <w:szCs w:val="24"/>
        </w:rPr>
        <w:t>Medidas medioambientales en la PAC</w:t>
      </w:r>
    </w:p>
    <w:p w:rsidR="007E482E" w:rsidRPr="00B4374C" w:rsidRDefault="007E482E" w:rsidP="007E482E">
      <w:pPr>
        <w:pStyle w:val="NormalWeb"/>
        <w:shd w:val="clear" w:color="auto" w:fill="FFFFFF"/>
        <w:jc w:val="both"/>
      </w:pPr>
      <w:r w:rsidRPr="00B4374C">
        <w:t>Las medidas que fomentan la agricultura ecológica y la aplicación de las normas medioambientales constituyen una parte fundamental de la PAC:</w:t>
      </w:r>
    </w:p>
    <w:p w:rsidR="007E482E" w:rsidRPr="00B4374C" w:rsidRDefault="007E482E" w:rsidP="007E482E">
      <w:pPr>
        <w:numPr>
          <w:ilvl w:val="0"/>
          <w:numId w:val="17"/>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las normas de </w:t>
      </w:r>
      <w:hyperlink r:id="rId118" w:history="1">
        <w:r w:rsidRPr="00B4374C">
          <w:rPr>
            <w:rStyle w:val="Hipervnculo"/>
            <w:rFonts w:ascii="Times New Roman" w:hAnsi="Times New Roman" w:cs="Times New Roman"/>
            <w:color w:val="auto"/>
            <w:sz w:val="24"/>
            <w:szCs w:val="24"/>
            <w:u w:val="none"/>
          </w:rPr>
          <w:t>condicionalidad</w:t>
        </w:r>
      </w:hyperlink>
      <w:r w:rsidRPr="00B4374C">
        <w:rPr>
          <w:rFonts w:ascii="Times New Roman" w:hAnsi="Times New Roman" w:cs="Times New Roman"/>
          <w:sz w:val="24"/>
          <w:szCs w:val="24"/>
        </w:rPr>
        <w:t> vinculan la ayuda financiera a las normas de la UE en materia de medio ambiente, salud humana y animal y fitosanidad;</w:t>
      </w:r>
    </w:p>
    <w:p w:rsidR="007E482E" w:rsidRPr="00B4374C" w:rsidRDefault="007E482E" w:rsidP="007E482E">
      <w:pPr>
        <w:numPr>
          <w:ilvl w:val="0"/>
          <w:numId w:val="17"/>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los </w:t>
      </w:r>
      <w:hyperlink r:id="rId119" w:history="1">
        <w:r w:rsidRPr="00B4374C">
          <w:rPr>
            <w:rStyle w:val="Hipervnculo"/>
            <w:rFonts w:ascii="Times New Roman" w:hAnsi="Times New Roman" w:cs="Times New Roman"/>
            <w:color w:val="auto"/>
            <w:sz w:val="24"/>
            <w:szCs w:val="24"/>
            <w:u w:val="none"/>
          </w:rPr>
          <w:t>pagos directos ecológicos</w:t>
        </w:r>
      </w:hyperlink>
      <w:r w:rsidRPr="00B4374C">
        <w:rPr>
          <w:rFonts w:ascii="Times New Roman" w:hAnsi="Times New Roman" w:cs="Times New Roman"/>
          <w:sz w:val="24"/>
          <w:szCs w:val="24"/>
        </w:rPr>
        <w:t> establecen acciones obligatorias (mantenimiento de pastos permanentes, diversidad de cultivos y superficies de interés ecológico) orientadas a la protección del medio ambiente y a la lucha contra el cambio climático;</w:t>
      </w:r>
    </w:p>
    <w:p w:rsidR="007E482E" w:rsidRPr="00B4374C" w:rsidRDefault="007E482E" w:rsidP="007E482E">
      <w:pPr>
        <w:numPr>
          <w:ilvl w:val="0"/>
          <w:numId w:val="17"/>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política de </w:t>
      </w:r>
      <w:hyperlink r:id="rId120" w:history="1">
        <w:r w:rsidRPr="00B4374C">
          <w:rPr>
            <w:rStyle w:val="Hipervnculo"/>
            <w:rFonts w:ascii="Times New Roman" w:hAnsi="Times New Roman" w:cs="Times New Roman"/>
            <w:color w:val="auto"/>
            <w:sz w:val="24"/>
            <w:szCs w:val="24"/>
            <w:u w:val="none"/>
          </w:rPr>
          <w:t>desarrollo rural</w:t>
        </w:r>
      </w:hyperlink>
      <w:r w:rsidRPr="00B4374C">
        <w:rPr>
          <w:rFonts w:ascii="Times New Roman" w:hAnsi="Times New Roman" w:cs="Times New Roman"/>
          <w:sz w:val="24"/>
          <w:szCs w:val="24"/>
        </w:rPr>
        <w:t> apoya las inversiones y las actividades agrícolas que contribuyen a la acción por el clima y la gestión sostenible de los recursos naturales.</w:t>
      </w:r>
    </w:p>
    <w:p w:rsidR="007E482E" w:rsidRPr="00B4374C" w:rsidRDefault="007E482E" w:rsidP="007E482E">
      <w:pPr>
        <w:pStyle w:val="Ttulo3"/>
        <w:shd w:val="clear" w:color="auto" w:fill="FFFFFF"/>
        <w:spacing w:line="240" w:lineRule="auto"/>
        <w:jc w:val="both"/>
        <w:rPr>
          <w:rFonts w:ascii="Times New Roman" w:hAnsi="Times New Roman" w:cs="Times New Roman"/>
          <w:color w:val="auto"/>
          <w:sz w:val="24"/>
          <w:szCs w:val="24"/>
        </w:rPr>
      </w:pPr>
      <w:r w:rsidRPr="00B4374C">
        <w:rPr>
          <w:rFonts w:ascii="Times New Roman" w:hAnsi="Times New Roman" w:cs="Times New Roman"/>
          <w:color w:val="auto"/>
          <w:sz w:val="24"/>
          <w:szCs w:val="24"/>
        </w:rPr>
        <w:t>La nueva PAC: 2023-2027</w:t>
      </w:r>
    </w:p>
    <w:p w:rsidR="007E482E" w:rsidRPr="00B4374C" w:rsidRDefault="007E482E" w:rsidP="007E482E">
      <w:pPr>
        <w:pStyle w:val="NormalWeb"/>
        <w:shd w:val="clear" w:color="auto" w:fill="FFFFFF"/>
        <w:jc w:val="both"/>
      </w:pPr>
      <w:r w:rsidRPr="00B4374C">
        <w:t>La </w:t>
      </w:r>
      <w:hyperlink r:id="rId121" w:history="1">
        <w:r w:rsidRPr="00B4374C">
          <w:rPr>
            <w:rStyle w:val="Hipervnculo"/>
            <w:color w:val="auto"/>
            <w:u w:val="none"/>
          </w:rPr>
          <w:t>nueva PAC</w:t>
        </w:r>
      </w:hyperlink>
      <w:r w:rsidRPr="00B4374C">
        <w:t> adoptará otras medidas para conseguir una agricultura ecológica y sostenible en la UE. Comprenderá lo siguiente:</w:t>
      </w:r>
    </w:p>
    <w:p w:rsidR="007E482E" w:rsidRPr="00B4374C" w:rsidRDefault="007E482E" w:rsidP="007E482E">
      <w:pPr>
        <w:numPr>
          <w:ilvl w:val="0"/>
          <w:numId w:val="18"/>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un enfoque más simplificado, más flexible y más específico;</w:t>
      </w:r>
    </w:p>
    <w:p w:rsidR="007E482E" w:rsidRPr="00B4374C" w:rsidRDefault="007E482E" w:rsidP="007E482E">
      <w:pPr>
        <w:numPr>
          <w:ilvl w:val="0"/>
          <w:numId w:val="18"/>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unas condiciones y normas medioambientales más estrictas para los agricultores;</w:t>
      </w:r>
    </w:p>
    <w:p w:rsidR="007E482E" w:rsidRPr="00B4374C" w:rsidRDefault="007E482E" w:rsidP="007E482E">
      <w:pPr>
        <w:numPr>
          <w:ilvl w:val="0"/>
          <w:numId w:val="18"/>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un mayor número de medidas medioambientales voluntarias para los agricultores, a través de regímenes ecológicos y de la política de desarrollo rural.</w:t>
      </w:r>
    </w:p>
    <w:p w:rsidR="007E482E" w:rsidRPr="00B4374C" w:rsidRDefault="007E482E" w:rsidP="007E482E">
      <w:pPr>
        <w:shd w:val="clear" w:color="auto" w:fill="FFFFFF"/>
        <w:spacing w:before="100" w:beforeAutospacing="1" w:after="100" w:afterAutospacing="1" w:line="240" w:lineRule="auto"/>
        <w:jc w:val="both"/>
        <w:rPr>
          <w:rFonts w:ascii="Times New Roman" w:hAnsi="Times New Roman" w:cs="Times New Roman"/>
          <w:b/>
          <w:sz w:val="24"/>
          <w:szCs w:val="24"/>
        </w:rPr>
      </w:pPr>
      <w:r w:rsidRPr="00B4374C">
        <w:rPr>
          <w:rFonts w:ascii="Times New Roman" w:hAnsi="Times New Roman" w:cs="Times New Roman"/>
          <w:b/>
          <w:sz w:val="24"/>
          <w:szCs w:val="24"/>
        </w:rPr>
        <w:t>Luchar contra el cambio climático</w:t>
      </w:r>
    </w:p>
    <w:p w:rsidR="007E482E" w:rsidRPr="00B4374C" w:rsidRDefault="007E482E" w:rsidP="007E482E">
      <w:pPr>
        <w:pStyle w:val="NormalWeb"/>
        <w:shd w:val="clear" w:color="auto" w:fill="FFFFFF"/>
        <w:jc w:val="both"/>
      </w:pPr>
      <w:r w:rsidRPr="00B4374C">
        <w:t>La PAC es un instrumento fundamental para liberar el potencial de la agricultura en la lucha contra el cambio climático. Un total estimado de 104 000 millones de euros (el 25 %) de la financiación de la PAC para el período 2014-2020 se destinó a medidas relacionadas con el clima, tales como:</w:t>
      </w:r>
    </w:p>
    <w:p w:rsidR="007E482E" w:rsidRPr="00B4374C" w:rsidRDefault="007E482E" w:rsidP="007E482E">
      <w:pPr>
        <w:numPr>
          <w:ilvl w:val="0"/>
          <w:numId w:val="19"/>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lastRenderedPageBreak/>
        <w:t>reducir las emisiones de gases de efecto invernadero mediante la mejora de los métodos de gestión y cría de la ganadería, y la inversión en el almacenamiento y el tratamiento del estiércol;</w:t>
      </w:r>
    </w:p>
    <w:p w:rsidR="007E482E" w:rsidRPr="00B4374C" w:rsidRDefault="007E482E" w:rsidP="007E482E">
      <w:pPr>
        <w:numPr>
          <w:ilvl w:val="0"/>
          <w:numId w:val="19"/>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aumentar la captura y el almacenamiento de carbono a través de medidas e inversiones en protección del suelo y restauración forestal;</w:t>
      </w:r>
    </w:p>
    <w:p w:rsidR="007E482E" w:rsidRPr="00B4374C" w:rsidRDefault="007E482E" w:rsidP="007E482E">
      <w:pPr>
        <w:numPr>
          <w:ilvl w:val="0"/>
          <w:numId w:val="19"/>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ayudar a los agricultores a adaptarse a los retos que plantea el cambio climático mediante inversiones y asesoramiento sobre nuevos métodos y tecnologías.</w:t>
      </w:r>
    </w:p>
    <w:p w:rsidR="007E482E" w:rsidRPr="00B4374C" w:rsidRDefault="007E482E" w:rsidP="007E482E">
      <w:pPr>
        <w:pStyle w:val="NormalWeb"/>
        <w:shd w:val="clear" w:color="auto" w:fill="FFFFFF"/>
        <w:jc w:val="both"/>
      </w:pPr>
      <w:r w:rsidRPr="00B4374C">
        <w:t>Gracias a estas medidas, las emisiones de la agricultura disminuyeron un 21 % entre 1990 y 2017, sin reducir los niveles de producción. La nueva PAC incluye un mayor apoyo a la mitigación del cambio climático y contribuirán al objetivo de </w:t>
      </w:r>
      <w:hyperlink r:id="rId122" w:history="1">
        <w:r w:rsidRPr="00B4374C">
          <w:rPr>
            <w:rStyle w:val="Hipervnculo"/>
            <w:color w:val="auto"/>
            <w:u w:val="none"/>
          </w:rPr>
          <w:t>acción por el clima</w:t>
        </w:r>
      </w:hyperlink>
      <w:r w:rsidRPr="00B4374C">
        <w:t> del Pacto Verde de lograr cero emisiones netas de gases de efecto invernadero en toda la UE de aquí a 2050.</w:t>
      </w:r>
    </w:p>
    <w:p w:rsidR="007E482E" w:rsidRPr="00B4374C" w:rsidRDefault="007E482E" w:rsidP="007E482E">
      <w:pPr>
        <w:pStyle w:val="NormalWeb"/>
        <w:shd w:val="clear" w:color="auto" w:fill="FFFFFF"/>
        <w:jc w:val="both"/>
        <w:rPr>
          <w:b/>
        </w:rPr>
      </w:pPr>
      <w:r w:rsidRPr="00B4374C">
        <w:rPr>
          <w:b/>
        </w:rPr>
        <w:t>Proteger los recursos naturales</w:t>
      </w:r>
    </w:p>
    <w:p w:rsidR="007E482E" w:rsidRPr="00B4374C" w:rsidRDefault="007E482E" w:rsidP="007E482E">
      <w:pPr>
        <w:pStyle w:val="NormalWeb"/>
        <w:shd w:val="clear" w:color="auto" w:fill="FFFFFF"/>
        <w:jc w:val="both"/>
      </w:pPr>
      <w:r w:rsidRPr="00B4374C">
        <w:t>Con el fin de proteger los recursos naturales esenciales para la agricultura, la PAC:</w:t>
      </w:r>
    </w:p>
    <w:p w:rsidR="007E482E" w:rsidRPr="00B4374C" w:rsidRDefault="007E482E" w:rsidP="007E482E">
      <w:pPr>
        <w:numPr>
          <w:ilvl w:val="0"/>
          <w:numId w:val="20"/>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salvaguarda la cantidad y la calidad del </w:t>
      </w:r>
      <w:hyperlink r:id="rId123" w:history="1">
        <w:r w:rsidRPr="00B4374C">
          <w:rPr>
            <w:rStyle w:val="Hipervnculo"/>
            <w:rFonts w:ascii="Times New Roman" w:hAnsi="Times New Roman" w:cs="Times New Roman"/>
            <w:color w:val="auto"/>
            <w:sz w:val="24"/>
            <w:szCs w:val="24"/>
            <w:u w:val="none"/>
          </w:rPr>
          <w:t>agua</w:t>
        </w:r>
      </w:hyperlink>
      <w:r w:rsidRPr="00B4374C">
        <w:rPr>
          <w:rFonts w:ascii="Times New Roman" w:hAnsi="Times New Roman" w:cs="Times New Roman"/>
          <w:sz w:val="24"/>
          <w:szCs w:val="24"/>
        </w:rPr>
        <w:t> utilizada en la agricultura mediante la creación de franjas de protección a lo largo de los ríos, el apoyo a sistemas de riego más eficaces y la mejora del cumplimiento de las normas en las zonas vulnerables a los nitratos;</w:t>
      </w:r>
    </w:p>
    <w:p w:rsidR="007E482E" w:rsidRPr="00B4374C" w:rsidRDefault="007E482E" w:rsidP="007E482E">
      <w:pPr>
        <w:numPr>
          <w:ilvl w:val="0"/>
          <w:numId w:val="20"/>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establece normas obligatorias para la cobertura mínima del </w:t>
      </w:r>
      <w:hyperlink r:id="rId124" w:history="1">
        <w:r w:rsidRPr="00B4374C">
          <w:rPr>
            <w:rStyle w:val="Hipervnculo"/>
            <w:rFonts w:ascii="Times New Roman" w:hAnsi="Times New Roman" w:cs="Times New Roman"/>
            <w:color w:val="auto"/>
            <w:sz w:val="24"/>
            <w:szCs w:val="24"/>
            <w:u w:val="none"/>
          </w:rPr>
          <w:t>suelo</w:t>
        </w:r>
      </w:hyperlink>
      <w:r w:rsidRPr="00B4374C">
        <w:rPr>
          <w:rFonts w:ascii="Times New Roman" w:hAnsi="Times New Roman" w:cs="Times New Roman"/>
          <w:sz w:val="24"/>
          <w:szCs w:val="24"/>
        </w:rPr>
        <w:t> y alienta nuevas prácticas que limiten la erosión del suelo y mantengan la materia orgánica;</w:t>
      </w:r>
    </w:p>
    <w:p w:rsidR="007E482E" w:rsidRPr="00B4374C" w:rsidRDefault="007E482E" w:rsidP="007E482E">
      <w:pPr>
        <w:numPr>
          <w:ilvl w:val="0"/>
          <w:numId w:val="20"/>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protege la </w:t>
      </w:r>
      <w:hyperlink r:id="rId125" w:history="1">
        <w:r w:rsidRPr="00B4374C">
          <w:rPr>
            <w:rStyle w:val="Hipervnculo"/>
            <w:rFonts w:ascii="Times New Roman" w:hAnsi="Times New Roman" w:cs="Times New Roman"/>
            <w:color w:val="auto"/>
            <w:sz w:val="24"/>
            <w:szCs w:val="24"/>
            <w:u w:val="none"/>
          </w:rPr>
          <w:t>calidad del aire</w:t>
        </w:r>
      </w:hyperlink>
      <w:r w:rsidRPr="00B4374C">
        <w:rPr>
          <w:rFonts w:ascii="Times New Roman" w:hAnsi="Times New Roman" w:cs="Times New Roman"/>
          <w:sz w:val="24"/>
          <w:szCs w:val="24"/>
        </w:rPr>
        <w:t> mediante el fomento de la reducción de las emisiones de amoníaco, la imposición de restricciones a la combustión de residuos y la prohibición de la pulverización de plaguicidas en condiciones ventosas.</w:t>
      </w:r>
    </w:p>
    <w:p w:rsidR="007E482E" w:rsidRPr="00B4374C" w:rsidRDefault="007E482E" w:rsidP="007E482E">
      <w:pPr>
        <w:pStyle w:val="NormalWeb"/>
        <w:shd w:val="clear" w:color="auto" w:fill="FFFFFF"/>
        <w:jc w:val="both"/>
      </w:pPr>
      <w:r w:rsidRPr="00B4374C">
        <w:t>A través de la política de desarrollo rural, la PAC también contribuye a la </w:t>
      </w:r>
      <w:hyperlink r:id="rId126" w:anchor="theeuforeststrategy" w:history="1">
        <w:r w:rsidRPr="00B4374C">
          <w:rPr>
            <w:rStyle w:val="Hipervnculo"/>
            <w:color w:val="auto"/>
            <w:u w:val="none"/>
          </w:rPr>
          <w:t>estrategia forestal</w:t>
        </w:r>
      </w:hyperlink>
      <w:r w:rsidRPr="00B4374C">
        <w:t> de la UE apoyando la protección, el establecimiento, la restauración y la gestión sostenible de los bosques en toda Europa.</w:t>
      </w:r>
    </w:p>
    <w:p w:rsidR="007E482E" w:rsidRPr="00B4374C" w:rsidRDefault="007E482E" w:rsidP="007E482E">
      <w:pPr>
        <w:pStyle w:val="NormalWeb"/>
        <w:shd w:val="clear" w:color="auto" w:fill="FFFFFF"/>
        <w:jc w:val="both"/>
      </w:pPr>
      <w:r w:rsidRPr="00B4374C">
        <w:t>Al proteger los recursos naturales esenciales para la agricultura y la silvicultura, la PAC contribuye al objetivo del Pacto Verde de </w:t>
      </w:r>
      <w:hyperlink r:id="rId127" w:history="1">
        <w:r w:rsidRPr="00B4374C">
          <w:rPr>
            <w:rStyle w:val="Hipervnculo"/>
            <w:color w:val="auto"/>
            <w:u w:val="none"/>
          </w:rPr>
          <w:t>eliminar la contaminación</w:t>
        </w:r>
      </w:hyperlink>
      <w:r w:rsidRPr="00B4374C">
        <w:t> en toda la UE.</w:t>
      </w:r>
    </w:p>
    <w:p w:rsidR="007E482E" w:rsidRPr="00B4374C" w:rsidRDefault="007E482E" w:rsidP="007E482E">
      <w:pPr>
        <w:pStyle w:val="NormalWeb"/>
        <w:shd w:val="clear" w:color="auto" w:fill="FFFFFF"/>
        <w:jc w:val="both"/>
        <w:rPr>
          <w:b/>
        </w:rPr>
      </w:pPr>
      <w:r w:rsidRPr="00B4374C">
        <w:rPr>
          <w:b/>
        </w:rPr>
        <w:t>Reforzar la biodiversidad</w:t>
      </w:r>
    </w:p>
    <w:p w:rsidR="007E482E" w:rsidRPr="00B4374C" w:rsidRDefault="007E482E" w:rsidP="007E482E">
      <w:pPr>
        <w:pStyle w:val="NormalWeb"/>
        <w:shd w:val="clear" w:color="auto" w:fill="FFFFFF"/>
        <w:jc w:val="both"/>
      </w:pPr>
      <w:r w:rsidRPr="00B4374C">
        <w:t>Con el fin de proteger el ecosistema de las tierras agrícolas, la PAC enlaza con las directivas de la UE sobre especies silvestres y en sus propósitos estará alcanzar los objetivos de la nueva </w:t>
      </w:r>
      <w:hyperlink r:id="rId128" w:history="1">
        <w:r w:rsidRPr="00B4374C">
          <w:rPr>
            <w:rStyle w:val="Hipervnculo"/>
            <w:color w:val="auto"/>
            <w:u w:val="none"/>
          </w:rPr>
          <w:t>estrategia sobre biodiversidad</w:t>
        </w:r>
      </w:hyperlink>
      <w:r w:rsidRPr="00B4374C">
        <w:t> de la Comisión, que forma parte del Pacto Verde.</w:t>
      </w:r>
    </w:p>
    <w:p w:rsidR="007E482E" w:rsidRPr="00B4374C" w:rsidRDefault="007E482E" w:rsidP="007E482E">
      <w:pPr>
        <w:pStyle w:val="NormalWeb"/>
        <w:shd w:val="clear" w:color="auto" w:fill="FFFFFF"/>
        <w:jc w:val="both"/>
      </w:pPr>
      <w:r w:rsidRPr="00B4374C">
        <w:t>La PAC protege la biodiversidad de diversas maneras:</w:t>
      </w:r>
    </w:p>
    <w:p w:rsidR="007E482E" w:rsidRPr="00B4374C" w:rsidRDefault="007E482E" w:rsidP="007E482E">
      <w:pPr>
        <w:numPr>
          <w:ilvl w:val="0"/>
          <w:numId w:val="21"/>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las normas de condicionalidad cubren tanto la Directiva sobre aves como la Directiva sobre hábitats, así como las medidas destinadas a conservar los elementos paisajísticos y reducir el uso de plaguicidas;</w:t>
      </w:r>
    </w:p>
    <w:p w:rsidR="007E482E" w:rsidRPr="00B4374C" w:rsidRDefault="007E482E" w:rsidP="007E482E">
      <w:pPr>
        <w:numPr>
          <w:ilvl w:val="0"/>
          <w:numId w:val="21"/>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creación de superficies de interés ecológico mediante pagos directos ecológicos ha permitido conservar elementos paisajísticos y poner un mayor número de tierras en barbecho, lo que ha beneficiado a la biodiversidad al facilitar la polinización y proteger los hábitats;</w:t>
      </w:r>
    </w:p>
    <w:p w:rsidR="007E482E" w:rsidRPr="00B4374C" w:rsidRDefault="007E482E" w:rsidP="007E482E">
      <w:pPr>
        <w:numPr>
          <w:ilvl w:val="0"/>
          <w:numId w:val="21"/>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lastRenderedPageBreak/>
        <w:t>la política de desarrollo rural favorece medidas que conservan y mejoran la biodiversidad, como la aportación de fondos para la creación y el mantenimiento de elementos paisajísticos y “pasillos ecológicos” y el apoyo a sistemas agrícolas de gran valor natural y planes de gestión de la naturaleza que mantengan zonas respetuosas con la vida salvaje.</w:t>
      </w:r>
    </w:p>
    <w:p w:rsidR="007E482E" w:rsidRPr="00B4374C" w:rsidRDefault="007E482E" w:rsidP="007E482E">
      <w:pPr>
        <w:shd w:val="clear" w:color="auto" w:fill="FFFFFF"/>
        <w:spacing w:before="100" w:beforeAutospacing="1" w:after="100" w:afterAutospacing="1" w:line="240" w:lineRule="auto"/>
        <w:jc w:val="both"/>
        <w:rPr>
          <w:rFonts w:ascii="Times New Roman" w:hAnsi="Times New Roman" w:cs="Times New Roman"/>
          <w:b/>
          <w:sz w:val="24"/>
          <w:szCs w:val="24"/>
        </w:rPr>
      </w:pPr>
      <w:r w:rsidRPr="00B4374C">
        <w:rPr>
          <w:rFonts w:ascii="Times New Roman" w:hAnsi="Times New Roman" w:cs="Times New Roman"/>
          <w:b/>
          <w:sz w:val="24"/>
          <w:szCs w:val="24"/>
        </w:rPr>
        <w:t>Fomentar la agricultura de bajos insumos</w:t>
      </w:r>
    </w:p>
    <w:p w:rsidR="007E482E" w:rsidRPr="00B4374C" w:rsidRDefault="007E482E" w:rsidP="007E482E">
      <w:pPr>
        <w:pStyle w:val="NormalWeb"/>
        <w:shd w:val="clear" w:color="auto" w:fill="FFFFFF"/>
        <w:jc w:val="both"/>
      </w:pPr>
      <w:r w:rsidRPr="00B4374C">
        <w:t>Los plaguicidas, los fertilizantes y los antibióticos se utilizan ampliamente en toda la UE para ayudar a la agricultura a producir alimentos y otras materias esenciales para la sociedad. Sin embargo, un uso excesivo e indebido de esos productos puede dañar el medio ambiente, así como la salud de las plantas, los animales y las personas.</w:t>
      </w:r>
    </w:p>
    <w:p w:rsidR="007E482E" w:rsidRPr="00B4374C" w:rsidRDefault="007E482E" w:rsidP="007E482E">
      <w:pPr>
        <w:pStyle w:val="NormalWeb"/>
        <w:shd w:val="clear" w:color="auto" w:fill="FFFFFF"/>
        <w:jc w:val="both"/>
      </w:pPr>
      <w:r w:rsidRPr="00B4374C">
        <w:t>Entre los objetivos de la PAC está fomentar un uso reducido y responsable de estos insumos, además de:</w:t>
      </w:r>
    </w:p>
    <w:p w:rsidR="007E482E" w:rsidRPr="00B4374C" w:rsidRDefault="007E482E" w:rsidP="007E482E">
      <w:pPr>
        <w:numPr>
          <w:ilvl w:val="0"/>
          <w:numId w:val="22"/>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promover la agricultura ecológica;</w:t>
      </w:r>
    </w:p>
    <w:p w:rsidR="007E482E" w:rsidRPr="00B4374C" w:rsidRDefault="007E482E" w:rsidP="007E482E">
      <w:pPr>
        <w:numPr>
          <w:ilvl w:val="0"/>
          <w:numId w:val="22"/>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ayudar a los agricultores a utilizar plaguicidas y fertilizantes de manera responsable y a aplicar técnicas de gestión respetuosas con el medio ambiente, métodos alternativos y nuevas tecnologías;</w:t>
      </w:r>
    </w:p>
    <w:p w:rsidR="007E482E" w:rsidRPr="00B4374C" w:rsidRDefault="007E482E" w:rsidP="007E482E">
      <w:pPr>
        <w:numPr>
          <w:ilvl w:val="0"/>
          <w:numId w:val="22"/>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reducir la necesidad de antibióticos mediante inversiones y asesoramiento que redunden en beneficio de la salud y el bienestar de los animales.</w:t>
      </w:r>
    </w:p>
    <w:p w:rsidR="007E482E" w:rsidRPr="00B4374C" w:rsidRDefault="007E482E" w:rsidP="007E482E">
      <w:pPr>
        <w:pStyle w:val="NormalWeb"/>
        <w:shd w:val="clear" w:color="auto" w:fill="FFFFFF"/>
        <w:jc w:val="both"/>
        <w:rPr>
          <w:b/>
        </w:rPr>
      </w:pPr>
      <w:r w:rsidRPr="00B4374C">
        <w:rPr>
          <w:b/>
        </w:rPr>
        <w:t>Evaluación de las medidas medioambientales</w:t>
      </w:r>
    </w:p>
    <w:p w:rsidR="007E482E" w:rsidRPr="00B4374C" w:rsidRDefault="007E482E" w:rsidP="007E482E">
      <w:pPr>
        <w:pStyle w:val="NormalWeb"/>
        <w:shd w:val="clear" w:color="auto" w:fill="FFFFFF"/>
        <w:jc w:val="both"/>
      </w:pPr>
      <w:r w:rsidRPr="00B4374C">
        <w:t>La Comisión Europea evalúa constantemente la eficacia de la PAC en el cumplimiento de sus objetivos medioambientales:</w:t>
      </w:r>
    </w:p>
    <w:p w:rsidR="007E482E" w:rsidRPr="00B4374C" w:rsidRDefault="007E482E" w:rsidP="007E482E">
      <w:pPr>
        <w:numPr>
          <w:ilvl w:val="0"/>
          <w:numId w:val="23"/>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en el conjunto de </w:t>
      </w:r>
      <w:hyperlink r:id="rId129" w:history="1">
        <w:r w:rsidRPr="00B4374C">
          <w:rPr>
            <w:rStyle w:val="Hipervnculo"/>
            <w:rFonts w:ascii="Times New Roman" w:hAnsi="Times New Roman" w:cs="Times New Roman"/>
            <w:color w:val="auto"/>
            <w:sz w:val="24"/>
            <w:szCs w:val="24"/>
            <w:u w:val="none"/>
          </w:rPr>
          <w:t>indicadores</w:t>
        </w:r>
      </w:hyperlink>
      <w:r w:rsidRPr="00B4374C">
        <w:rPr>
          <w:rFonts w:ascii="Times New Roman" w:hAnsi="Times New Roman" w:cs="Times New Roman"/>
          <w:sz w:val="24"/>
          <w:szCs w:val="24"/>
        </w:rPr>
        <w:t> recogidos en el </w:t>
      </w:r>
      <w:hyperlink r:id="rId130" w:history="1">
        <w:r w:rsidRPr="00B4374C">
          <w:rPr>
            <w:rStyle w:val="Hipervnculo"/>
            <w:rFonts w:ascii="Times New Roman" w:hAnsi="Times New Roman" w:cs="Times New Roman"/>
            <w:color w:val="auto"/>
            <w:sz w:val="24"/>
            <w:szCs w:val="24"/>
            <w:u w:val="none"/>
          </w:rPr>
          <w:t>marco común de seguimiento y evaluación</w:t>
        </w:r>
      </w:hyperlink>
      <w:r w:rsidRPr="00B4374C">
        <w:rPr>
          <w:rFonts w:ascii="Times New Roman" w:hAnsi="Times New Roman" w:cs="Times New Roman"/>
          <w:sz w:val="24"/>
          <w:szCs w:val="24"/>
        </w:rPr>
        <w:t> (MCSE) se incluye una amplia gama de datos medioambientales;</w:t>
      </w:r>
    </w:p>
    <w:p w:rsidR="007E482E" w:rsidRPr="00B4374C" w:rsidRDefault="007E482E" w:rsidP="007E482E">
      <w:pPr>
        <w:numPr>
          <w:ilvl w:val="0"/>
          <w:numId w:val="23"/>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un conjunto complementario de 28 </w:t>
      </w:r>
      <w:hyperlink r:id="rId131" w:history="1">
        <w:r w:rsidRPr="00B4374C">
          <w:rPr>
            <w:rStyle w:val="Hipervnculo"/>
            <w:rFonts w:ascii="Times New Roman" w:hAnsi="Times New Roman" w:cs="Times New Roman"/>
            <w:color w:val="auto"/>
            <w:sz w:val="24"/>
            <w:szCs w:val="24"/>
            <w:u w:val="none"/>
          </w:rPr>
          <w:t>indicadores agroambientales</w:t>
        </w:r>
      </w:hyperlink>
      <w:r w:rsidRPr="00B4374C">
        <w:rPr>
          <w:rFonts w:ascii="Times New Roman" w:hAnsi="Times New Roman" w:cs="Times New Roman"/>
          <w:sz w:val="24"/>
          <w:szCs w:val="24"/>
        </w:rPr>
        <w:t> permite seguir la pista de la integración de las cuestiones medioambientales en la PAC;</w:t>
      </w:r>
    </w:p>
    <w:p w:rsidR="007E482E" w:rsidRPr="00B4374C" w:rsidRDefault="007E482E" w:rsidP="007E482E">
      <w:pPr>
        <w:numPr>
          <w:ilvl w:val="0"/>
          <w:numId w:val="23"/>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como parte del MCSE, expertos independientes realizan en nombre de la Comisión </w:t>
      </w:r>
      <w:hyperlink r:id="rId132" w:history="1">
        <w:r w:rsidRPr="00B4374C">
          <w:rPr>
            <w:rStyle w:val="Hipervnculo"/>
            <w:rFonts w:ascii="Times New Roman" w:hAnsi="Times New Roman" w:cs="Times New Roman"/>
            <w:color w:val="auto"/>
            <w:sz w:val="24"/>
            <w:szCs w:val="24"/>
            <w:u w:val="none"/>
          </w:rPr>
          <w:t>evaluaciones y estudios externos sobre sostenibilidad medioambiental</w:t>
        </w:r>
      </w:hyperlink>
      <w:r w:rsidRPr="00B4374C">
        <w:rPr>
          <w:rFonts w:ascii="Times New Roman" w:hAnsi="Times New Roman" w:cs="Times New Roman"/>
          <w:sz w:val="24"/>
          <w:szCs w:val="24"/>
        </w:rPr>
        <w:t>.</w:t>
      </w:r>
    </w:p>
    <w:p w:rsidR="007E482E" w:rsidRPr="00B4374C" w:rsidRDefault="007E482E" w:rsidP="007E482E">
      <w:pPr>
        <w:pStyle w:val="NormalWeb"/>
        <w:shd w:val="clear" w:color="auto" w:fill="FFFFFF"/>
        <w:jc w:val="both"/>
      </w:pPr>
      <w:r w:rsidRPr="00B4374C">
        <w:t>Los datos recopilados por la Comisión proporcionan información exhaustiva sobre:</w:t>
      </w:r>
    </w:p>
    <w:p w:rsidR="007E482E" w:rsidRPr="00B4374C" w:rsidRDefault="007E482E" w:rsidP="007E482E">
      <w:pPr>
        <w:numPr>
          <w:ilvl w:val="0"/>
          <w:numId w:val="24"/>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situación del medio rural en la UE y su evolución a lo largo del tiempo;</w:t>
      </w:r>
    </w:p>
    <w:p w:rsidR="007E482E" w:rsidRPr="00B4374C" w:rsidRDefault="007E482E" w:rsidP="007E482E">
      <w:pPr>
        <w:numPr>
          <w:ilvl w:val="0"/>
          <w:numId w:val="24"/>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el impacto de la agricultura en el clima, los recursos naturales y la biodiversidad;</w:t>
      </w:r>
    </w:p>
    <w:p w:rsidR="007E482E" w:rsidRPr="00B4374C" w:rsidRDefault="007E482E" w:rsidP="007E482E">
      <w:pPr>
        <w:numPr>
          <w:ilvl w:val="0"/>
          <w:numId w:val="24"/>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aplicación de las medidas medioambientales de la PAC en toda la UE;</w:t>
      </w:r>
    </w:p>
    <w:p w:rsidR="007E482E" w:rsidRPr="00B4374C" w:rsidRDefault="007E482E" w:rsidP="007E482E">
      <w:pPr>
        <w:numPr>
          <w:ilvl w:val="0"/>
          <w:numId w:val="24"/>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el éxito de las medidas medioambientales a la hora de alcanzar sus metas y su impacto más amplio que los objetivos declarados.</w:t>
      </w:r>
    </w:p>
    <w:p w:rsidR="007E482E" w:rsidRPr="00B4374C" w:rsidRDefault="007E482E" w:rsidP="007E482E">
      <w:pPr>
        <w:pStyle w:val="NormalWeb"/>
        <w:shd w:val="clear" w:color="auto" w:fill="FFFFFF"/>
        <w:jc w:val="both"/>
      </w:pPr>
      <w:r w:rsidRPr="00B4374C">
        <w:t>La evaluación de las medidas medioambientales de la PAC tiene en cuenta los complejos vínculos entre las medidas políticas, los cambios en las prácticas agrícolas y las mejoras medioambientales, así como otros muchos factores, como los fenómenos meteorológicos, el impacto de las tendencias del mercado y las diferencias de las condiciones medioambientales entre los países y regiones de la UE.</w:t>
      </w:r>
    </w:p>
    <w:p w:rsidR="007E482E" w:rsidRPr="00B4374C" w:rsidRDefault="007E482E" w:rsidP="007E482E">
      <w:pPr>
        <w:pStyle w:val="NormalWeb"/>
        <w:shd w:val="clear" w:color="auto" w:fill="FFFFFF"/>
        <w:jc w:val="both"/>
      </w:pPr>
    </w:p>
    <w:p w:rsidR="007E482E" w:rsidRPr="00B4374C" w:rsidRDefault="007E482E" w:rsidP="007E482E">
      <w:pPr>
        <w:pStyle w:val="NormalWeb"/>
        <w:shd w:val="clear" w:color="auto" w:fill="FFFFFF"/>
        <w:jc w:val="both"/>
        <w:rPr>
          <w:b/>
        </w:rPr>
      </w:pPr>
      <w:r w:rsidRPr="00B4374C">
        <w:rPr>
          <w:b/>
        </w:rPr>
        <w:lastRenderedPageBreak/>
        <w:t>El papel del conocimiento y la innovación</w:t>
      </w:r>
    </w:p>
    <w:p w:rsidR="007E482E" w:rsidRPr="00B4374C" w:rsidRDefault="007E482E" w:rsidP="007E482E">
      <w:pPr>
        <w:pStyle w:val="NormalWeb"/>
        <w:shd w:val="clear" w:color="auto" w:fill="FFFFFF"/>
        <w:jc w:val="both"/>
      </w:pPr>
      <w:r w:rsidRPr="00B4374C">
        <w:t>El conocimiento, la investigación y la innovación favorecen una agricultura sostenible desde el punto de vista medioambiental en la UE:</w:t>
      </w:r>
    </w:p>
    <w:p w:rsidR="007E482E" w:rsidRPr="00B4374C" w:rsidRDefault="0098611F" w:rsidP="007E482E">
      <w:pPr>
        <w:numPr>
          <w:ilvl w:val="0"/>
          <w:numId w:val="25"/>
        </w:numPr>
        <w:shd w:val="clear" w:color="auto" w:fill="FFFFFF"/>
        <w:spacing w:before="100" w:beforeAutospacing="1" w:after="100" w:afterAutospacing="1" w:line="240" w:lineRule="auto"/>
        <w:jc w:val="both"/>
        <w:rPr>
          <w:rFonts w:ascii="Times New Roman" w:hAnsi="Times New Roman" w:cs="Times New Roman"/>
          <w:sz w:val="24"/>
          <w:szCs w:val="24"/>
        </w:rPr>
      </w:pPr>
      <w:hyperlink r:id="rId133" w:history="1">
        <w:r w:rsidR="007E482E" w:rsidRPr="00B4374C">
          <w:rPr>
            <w:rStyle w:val="Hipervnculo"/>
            <w:rFonts w:ascii="Times New Roman" w:hAnsi="Times New Roman" w:cs="Times New Roman"/>
            <w:color w:val="auto"/>
            <w:sz w:val="24"/>
            <w:szCs w:val="24"/>
            <w:u w:val="none"/>
          </w:rPr>
          <w:t>la investigación y la innovación</w:t>
        </w:r>
      </w:hyperlink>
      <w:r w:rsidR="007E482E" w:rsidRPr="00B4374C">
        <w:rPr>
          <w:rFonts w:ascii="Times New Roman" w:hAnsi="Times New Roman" w:cs="Times New Roman"/>
          <w:sz w:val="24"/>
          <w:szCs w:val="24"/>
        </w:rPr>
        <w:t> aportan a la agricultura nuevas técnicas respetuosas con el medio ambiente y nuevas tecnologías para la agricultura;</w:t>
      </w:r>
    </w:p>
    <w:p w:rsidR="007E482E" w:rsidRPr="00B4374C" w:rsidRDefault="007E482E" w:rsidP="007E482E">
      <w:pPr>
        <w:numPr>
          <w:ilvl w:val="0"/>
          <w:numId w:val="25"/>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el </w:t>
      </w:r>
      <w:hyperlink r:id="rId134" w:history="1">
        <w:r w:rsidRPr="00B4374C">
          <w:rPr>
            <w:rStyle w:val="Hipervnculo"/>
            <w:rFonts w:ascii="Times New Roman" w:hAnsi="Times New Roman" w:cs="Times New Roman"/>
            <w:color w:val="auto"/>
            <w:sz w:val="24"/>
            <w:szCs w:val="24"/>
            <w:u w:val="none"/>
          </w:rPr>
          <w:t>sistema de asesoramiento a las explotaciones</w:t>
        </w:r>
      </w:hyperlink>
      <w:r w:rsidRPr="00B4374C">
        <w:rPr>
          <w:rFonts w:ascii="Times New Roman" w:hAnsi="Times New Roman" w:cs="Times New Roman"/>
          <w:sz w:val="24"/>
          <w:szCs w:val="24"/>
        </w:rPr>
        <w:t> mantendrá informados a los agricultores sobre la utilización de la investigación y los nuevos métodos y tecnologías para garantizar una agricultura respetuosa con el medio ambiente;</w:t>
      </w:r>
    </w:p>
    <w:p w:rsidR="007E482E" w:rsidRPr="00B4374C" w:rsidRDefault="007E482E" w:rsidP="007E482E">
      <w:pPr>
        <w:numPr>
          <w:ilvl w:val="0"/>
          <w:numId w:val="25"/>
        </w:num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la </w:t>
      </w:r>
      <w:hyperlink r:id="rId135" w:history="1">
        <w:r w:rsidRPr="00B4374C">
          <w:rPr>
            <w:rStyle w:val="Hipervnculo"/>
            <w:rFonts w:ascii="Times New Roman" w:hAnsi="Times New Roman" w:cs="Times New Roman"/>
            <w:color w:val="auto"/>
            <w:sz w:val="24"/>
            <w:szCs w:val="24"/>
            <w:u w:val="none"/>
          </w:rPr>
          <w:t>Asociación Europea para la Innovación Agrícola</w:t>
        </w:r>
      </w:hyperlink>
      <w:r w:rsidRPr="00B4374C">
        <w:rPr>
          <w:rFonts w:ascii="Times New Roman" w:hAnsi="Times New Roman" w:cs="Times New Roman"/>
          <w:sz w:val="24"/>
          <w:szCs w:val="24"/>
        </w:rPr>
        <w:t> (AEI-AGRI) impulsa las ideas innovadoras que fomenten la agricultura y la silvicultura sostenibles en la UE.</w:t>
      </w:r>
    </w:p>
    <w:p w:rsidR="007E482E" w:rsidRPr="00B4374C" w:rsidRDefault="007E482E" w:rsidP="007E482E">
      <w:pPr>
        <w:shd w:val="clear" w:color="auto" w:fill="FFFFFF"/>
        <w:spacing w:before="100" w:beforeAutospacing="1" w:after="100" w:afterAutospacing="1" w:line="240" w:lineRule="auto"/>
        <w:jc w:val="both"/>
        <w:rPr>
          <w:rFonts w:ascii="Times New Roman" w:hAnsi="Times New Roman" w:cs="Times New Roman"/>
          <w:b/>
          <w:sz w:val="24"/>
          <w:szCs w:val="24"/>
        </w:rPr>
      </w:pPr>
      <w:r w:rsidRPr="00B4374C">
        <w:rPr>
          <w:rFonts w:ascii="Times New Roman" w:hAnsi="Times New Roman" w:cs="Times New Roman"/>
          <w:b/>
          <w:sz w:val="24"/>
          <w:szCs w:val="24"/>
        </w:rPr>
        <w:t>Indicadores agroambientales</w:t>
      </w:r>
    </w:p>
    <w:p w:rsidR="007E482E" w:rsidRPr="00B4374C" w:rsidRDefault="00606F63" w:rsidP="007E482E">
      <w:pPr>
        <w:shd w:val="clear" w:color="auto" w:fill="FFFFFF"/>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(Fuente: Eurostat - I</w:t>
      </w:r>
      <w:r w:rsidR="007E482E" w:rsidRPr="00B4374C">
        <w:rPr>
          <w:rFonts w:ascii="Times New Roman" w:hAnsi="Times New Roman" w:cs="Times New Roman"/>
          <w:sz w:val="24"/>
          <w:szCs w:val="24"/>
        </w:rPr>
        <w:t>nformación disponible al 21/3/22)</w:t>
      </w:r>
    </w:p>
    <w:p w:rsidR="007E482E" w:rsidRPr="00B4374C" w:rsidRDefault="007E482E" w:rsidP="007E482E">
      <w:pPr>
        <w:shd w:val="clear" w:color="auto" w:fill="FFFFFF"/>
        <w:spacing w:before="100" w:beforeAutospacing="1" w:after="100" w:afterAutospacing="1" w:line="240" w:lineRule="auto"/>
        <w:jc w:val="both"/>
        <w:rPr>
          <w:rFonts w:ascii="Times New Roman" w:hAnsi="Times New Roman" w:cs="Times New Roman"/>
          <w:sz w:val="24"/>
          <w:szCs w:val="24"/>
        </w:rPr>
      </w:pPr>
      <w:r w:rsidRPr="00B4374C">
        <w:rPr>
          <w:rFonts w:ascii="Times New Roman" w:hAnsi="Times New Roman" w:cs="Times New Roman"/>
          <w:sz w:val="24"/>
          <w:szCs w:val="24"/>
        </w:rPr>
        <w:t>Esta publicación en línea de Eurostat presenta una descripción detallada de un conjunto actualizado de 28 indicadores agroambientales para la Unión Europea (UE) destinados a monitorear la integración de las preocupaciones ambientales en la Política Agrícola Común (PAC).</w:t>
      </w:r>
    </w:p>
    <w:p w:rsidR="007E482E" w:rsidRPr="00B4374C" w:rsidRDefault="007E482E" w:rsidP="007E482E">
      <w:pPr>
        <w:pStyle w:val="Ttulo2"/>
        <w:shd w:val="clear" w:color="auto" w:fill="FFFFFF"/>
        <w:spacing w:before="210" w:beforeAutospacing="0" w:after="105" w:afterAutospacing="0"/>
        <w:rPr>
          <w:rStyle w:val="mw-headline"/>
          <w:b w:val="0"/>
          <w:bCs w:val="0"/>
          <w:sz w:val="24"/>
          <w:szCs w:val="24"/>
        </w:rPr>
      </w:pPr>
      <w:r w:rsidRPr="00B4374C">
        <w:rPr>
          <w:rStyle w:val="mw-headline"/>
          <w:b w:val="0"/>
          <w:bCs w:val="0"/>
          <w:sz w:val="24"/>
          <w:szCs w:val="24"/>
        </w:rPr>
        <w:t>Tabla de contenido</w:t>
      </w:r>
    </w:p>
    <w:p w:rsidR="007E482E" w:rsidRPr="00B4374C" w:rsidRDefault="007E482E" w:rsidP="007E482E">
      <w:pPr>
        <w:pStyle w:val="Ttulo2"/>
        <w:shd w:val="clear" w:color="auto" w:fill="FFFFFF"/>
        <w:spacing w:before="210" w:beforeAutospacing="0" w:after="105" w:afterAutospacing="0"/>
        <w:rPr>
          <w:b w:val="0"/>
          <w:bCs w:val="0"/>
          <w:sz w:val="24"/>
          <w:szCs w:val="24"/>
        </w:rPr>
      </w:pPr>
      <w:r w:rsidRPr="00B4374C">
        <w:rPr>
          <w:rStyle w:val="mw-headline"/>
          <w:b w:val="0"/>
          <w:bCs w:val="0"/>
          <w:sz w:val="24"/>
          <w:szCs w:val="24"/>
        </w:rPr>
        <w:t>(…)</w:t>
      </w:r>
    </w:p>
    <w:p w:rsidR="007E482E" w:rsidRPr="00B4374C" w:rsidRDefault="007E482E" w:rsidP="007E482E">
      <w:pPr>
        <w:pStyle w:val="Ttulo4"/>
        <w:shd w:val="clear" w:color="auto" w:fill="FFFFFF"/>
        <w:spacing w:before="105" w:after="105" w:line="240" w:lineRule="auto"/>
        <w:rPr>
          <w:rFonts w:ascii="Times New Roman" w:hAnsi="Times New Roman" w:cs="Times New Roman"/>
          <w:b w:val="0"/>
          <w:bCs w:val="0"/>
          <w:i w:val="0"/>
          <w:color w:val="auto"/>
          <w:sz w:val="24"/>
          <w:szCs w:val="24"/>
        </w:rPr>
      </w:pPr>
      <w:r w:rsidRPr="00B4374C">
        <w:rPr>
          <w:rStyle w:val="mw-headline"/>
          <w:rFonts w:ascii="Times New Roman" w:hAnsi="Times New Roman" w:cs="Times New Roman"/>
          <w:b w:val="0"/>
          <w:bCs w:val="0"/>
          <w:i w:val="0"/>
          <w:color w:val="auto"/>
          <w:sz w:val="24"/>
          <w:szCs w:val="24"/>
        </w:rPr>
        <w:t>2.2 Fuerzas impulsoras</w:t>
      </w:r>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36" w:tooltip="Indicador agroambiental - consumo de fertilizantes minerales" w:history="1">
        <w:r w:rsidR="007E482E" w:rsidRPr="00B4374C">
          <w:rPr>
            <w:rStyle w:val="Hipervnculo"/>
            <w:rFonts w:ascii="Times New Roman" w:hAnsi="Times New Roman" w:cs="Times New Roman"/>
            <w:color w:val="auto"/>
            <w:sz w:val="24"/>
            <w:szCs w:val="24"/>
            <w:u w:val="none"/>
          </w:rPr>
          <w:t>2.2.1 Consumo de fertilizantes minerales</w:t>
        </w:r>
      </w:hyperlink>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37" w:tooltip="Indicador agroambiental - consumo de plaguicidas" w:history="1">
        <w:r w:rsidR="007E482E" w:rsidRPr="00B4374C">
          <w:rPr>
            <w:rStyle w:val="Hipervnculo"/>
            <w:rFonts w:ascii="Times New Roman" w:hAnsi="Times New Roman" w:cs="Times New Roman"/>
            <w:color w:val="auto"/>
            <w:sz w:val="24"/>
            <w:szCs w:val="24"/>
            <w:u w:val="none"/>
          </w:rPr>
          <w:t>2.2.2 Consumo de plaguicidas</w:t>
        </w:r>
      </w:hyperlink>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38" w:tooltip="Indicador agroambiental - riego" w:history="1">
        <w:r w:rsidR="007E482E" w:rsidRPr="00B4374C">
          <w:rPr>
            <w:rStyle w:val="Hipervnculo"/>
            <w:rFonts w:ascii="Times New Roman" w:hAnsi="Times New Roman" w:cs="Times New Roman"/>
            <w:color w:val="auto"/>
            <w:sz w:val="24"/>
            <w:szCs w:val="24"/>
            <w:u w:val="none"/>
          </w:rPr>
          <w:t>2.2.3 Irrigación</w:t>
        </w:r>
      </w:hyperlink>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39" w:tooltip="Indicador agroambiental - uso de energía" w:history="1">
        <w:r w:rsidR="007E482E" w:rsidRPr="00B4374C">
          <w:rPr>
            <w:rStyle w:val="Hipervnculo"/>
            <w:rFonts w:ascii="Times New Roman" w:hAnsi="Times New Roman" w:cs="Times New Roman"/>
            <w:color w:val="auto"/>
            <w:sz w:val="24"/>
            <w:szCs w:val="24"/>
            <w:u w:val="none"/>
          </w:rPr>
          <w:t>2.2.4 Uso de energía</w:t>
        </w:r>
      </w:hyperlink>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40" w:tgtFrame="_blank" w:history="1">
        <w:r w:rsidR="007E482E" w:rsidRPr="00B4374C">
          <w:rPr>
            <w:rStyle w:val="Hipervnculo"/>
            <w:rFonts w:ascii="Times New Roman" w:hAnsi="Times New Roman" w:cs="Times New Roman"/>
            <w:color w:val="auto"/>
            <w:sz w:val="24"/>
            <w:szCs w:val="24"/>
            <w:u w:val="none"/>
          </w:rPr>
          <w:t>2.2.5 Cambio de uso del suelo</w:t>
        </w:r>
      </w:hyperlink>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41" w:tooltip="Indicador agroambiental - patrones de cultivo" w:history="1">
        <w:r w:rsidR="007E482E" w:rsidRPr="00B4374C">
          <w:rPr>
            <w:rStyle w:val="Hipervnculo"/>
            <w:rFonts w:ascii="Times New Roman" w:hAnsi="Times New Roman" w:cs="Times New Roman"/>
            <w:color w:val="auto"/>
            <w:sz w:val="24"/>
            <w:szCs w:val="24"/>
            <w:u w:val="none"/>
          </w:rPr>
          <w:t>2.2.6 Patrones</w:t>
        </w:r>
      </w:hyperlink>
      <w:r w:rsidR="007E482E" w:rsidRPr="00B4374C">
        <w:rPr>
          <w:rFonts w:ascii="Times New Roman" w:hAnsi="Times New Roman" w:cs="Times New Roman"/>
          <w:sz w:val="24"/>
          <w:szCs w:val="24"/>
        </w:rPr>
        <w:t> de cultivo y</w:t>
      </w:r>
      <w:hyperlink r:id="rId142" w:tooltip="Indicador agroambiental - patrones ganaderos" w:history="1">
        <w:r w:rsidR="007E482E" w:rsidRPr="00B4374C">
          <w:rPr>
            <w:rStyle w:val="Hipervnculo"/>
            <w:rFonts w:ascii="Times New Roman" w:hAnsi="Times New Roman" w:cs="Times New Roman"/>
            <w:color w:val="auto"/>
            <w:sz w:val="24"/>
            <w:szCs w:val="24"/>
            <w:u w:val="none"/>
          </w:rPr>
          <w:t> patrones de ganadería</w:t>
        </w:r>
      </w:hyperlink>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43" w:tooltip="Indicador agroambiental - cobertura del suelo" w:history="1">
        <w:r w:rsidR="007E482E" w:rsidRPr="00B4374C">
          <w:rPr>
            <w:rStyle w:val="Hipervnculo"/>
            <w:rFonts w:ascii="Times New Roman" w:hAnsi="Times New Roman" w:cs="Times New Roman"/>
            <w:color w:val="auto"/>
            <w:sz w:val="24"/>
            <w:szCs w:val="24"/>
            <w:u w:val="none"/>
          </w:rPr>
          <w:t>2.2.7 Cobertura del suelo</w:t>
        </w:r>
      </w:hyperlink>
      <w:r w:rsidR="007E482E" w:rsidRPr="00B4374C">
        <w:rPr>
          <w:rFonts w:ascii="Times New Roman" w:hAnsi="Times New Roman" w:cs="Times New Roman"/>
          <w:sz w:val="24"/>
          <w:szCs w:val="24"/>
        </w:rPr>
        <w:t> ,</w:t>
      </w:r>
      <w:hyperlink r:id="rId144" w:tooltip="Indicador agroambiental - prácticas de labranza" w:history="1">
        <w:r w:rsidR="007E482E" w:rsidRPr="00B4374C">
          <w:rPr>
            <w:rStyle w:val="Hipervnculo"/>
            <w:rFonts w:ascii="Times New Roman" w:hAnsi="Times New Roman" w:cs="Times New Roman"/>
            <w:color w:val="auto"/>
            <w:sz w:val="24"/>
            <w:szCs w:val="24"/>
            <w:u w:val="none"/>
          </w:rPr>
          <w:t> Prácticas de labranza</w:t>
        </w:r>
      </w:hyperlink>
      <w:r w:rsidR="007E482E" w:rsidRPr="00B4374C">
        <w:rPr>
          <w:rFonts w:ascii="Times New Roman" w:hAnsi="Times New Roman" w:cs="Times New Roman"/>
          <w:sz w:val="24"/>
          <w:szCs w:val="24"/>
        </w:rPr>
        <w:t> , Almacenamiento de estiércol</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2.2.8 Intensificación/extensificación - </w:t>
      </w:r>
      <w:hyperlink r:id="rId145" w:tgtFrame="_blank" w:history="1">
        <w:r w:rsidRPr="00B4374C">
          <w:rPr>
            <w:rStyle w:val="Hipervnculo"/>
            <w:rFonts w:ascii="Times New Roman" w:hAnsi="Times New Roman" w:cs="Times New Roman"/>
            <w:color w:val="auto"/>
            <w:sz w:val="24"/>
            <w:szCs w:val="24"/>
            <w:u w:val="none"/>
          </w:rPr>
          <w:t>Véase el indicador 33 del contexto de la PAC: Intensidad agrícola</w:t>
        </w:r>
      </w:hyperlink>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46" w:tooltip="Indicador agroambiental - especialización" w:history="1">
        <w:r w:rsidR="007E482E" w:rsidRPr="00B4374C">
          <w:rPr>
            <w:rStyle w:val="Hipervnculo"/>
            <w:rFonts w:ascii="Times New Roman" w:hAnsi="Times New Roman" w:cs="Times New Roman"/>
            <w:color w:val="auto"/>
            <w:sz w:val="24"/>
            <w:szCs w:val="24"/>
            <w:u w:val="none"/>
          </w:rPr>
          <w:t>2.2.9 Especialización</w:t>
        </w:r>
      </w:hyperlink>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2.2.10 Riesgo de abandono de tierras (archivado)</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 Presiones y riesgos</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2.3.1 Balance bruto de nitrógeno (archivado)</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2.3.2 Riesgo de contaminación por fósforo (archivado)</w:t>
      </w:r>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47" w:tgtFrame="_blank" w:history="1">
        <w:r w:rsidR="007E482E" w:rsidRPr="00B4374C">
          <w:rPr>
            <w:rStyle w:val="Hipervnculo"/>
            <w:rFonts w:ascii="Times New Roman" w:hAnsi="Times New Roman" w:cs="Times New Roman"/>
            <w:color w:val="auto"/>
            <w:sz w:val="24"/>
            <w:szCs w:val="24"/>
            <w:u w:val="none"/>
          </w:rPr>
          <w:t>2.3.3 Riesgo de plaguicidas</w:t>
        </w:r>
      </w:hyperlink>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2.3.4 Emisiones de amoníaco (archivado)</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2.3.5 Emisiones de gases de efecto invernadero - </w:t>
      </w:r>
      <w:hyperlink r:id="rId148" w:tgtFrame="_blank" w:history="1">
        <w:r w:rsidRPr="00B4374C">
          <w:rPr>
            <w:rStyle w:val="Hipervnculo"/>
            <w:rFonts w:ascii="Times New Roman" w:hAnsi="Times New Roman" w:cs="Times New Roman"/>
            <w:color w:val="auto"/>
            <w:sz w:val="24"/>
            <w:szCs w:val="24"/>
            <w:u w:val="none"/>
          </w:rPr>
          <w:t>Véase Cambio climático - fuerzas motrices</w:t>
        </w:r>
      </w:hyperlink>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2.3.6 Captación de agua - </w:t>
      </w:r>
      <w:hyperlink r:id="rId149" w:tgtFrame="_blank" w:history="1">
        <w:r w:rsidRPr="00B4374C">
          <w:rPr>
            <w:rStyle w:val="Hipervnculo"/>
            <w:rFonts w:ascii="Times New Roman" w:hAnsi="Times New Roman" w:cs="Times New Roman"/>
            <w:color w:val="auto"/>
            <w:sz w:val="24"/>
            <w:szCs w:val="24"/>
            <w:u w:val="none"/>
          </w:rPr>
          <w:t>Véase el indicador 39 del contexto de la PAC: Captación de agua en la agricultura</w:t>
        </w:r>
      </w:hyperlink>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50" w:tooltip="Indicador agroambiental - erosión del suelo" w:history="1">
        <w:r w:rsidR="007E482E" w:rsidRPr="00B4374C">
          <w:rPr>
            <w:rStyle w:val="Hipervnculo"/>
            <w:rFonts w:ascii="Times New Roman" w:hAnsi="Times New Roman" w:cs="Times New Roman"/>
            <w:color w:val="auto"/>
            <w:sz w:val="24"/>
            <w:szCs w:val="24"/>
            <w:u w:val="none"/>
          </w:rPr>
          <w:t>2.3.7 Erosión del suelo</w:t>
        </w:r>
      </w:hyperlink>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2.3.8 Diversidad genética</w:t>
      </w:r>
    </w:p>
    <w:p w:rsidR="007E482E" w:rsidRPr="00B4374C" w:rsidRDefault="0098611F" w:rsidP="007E482E">
      <w:pPr>
        <w:shd w:val="clear" w:color="auto" w:fill="FFFFFF"/>
        <w:spacing w:line="240" w:lineRule="auto"/>
        <w:ind w:left="720"/>
        <w:rPr>
          <w:rFonts w:ascii="Times New Roman" w:hAnsi="Times New Roman" w:cs="Times New Roman"/>
          <w:sz w:val="24"/>
          <w:szCs w:val="24"/>
        </w:rPr>
      </w:pPr>
      <w:hyperlink r:id="rId151" w:tooltip="Indicador agroambiental - Tierras de Alto Valor Natural" w:history="1">
        <w:r w:rsidR="007E482E" w:rsidRPr="00B4374C">
          <w:rPr>
            <w:rStyle w:val="Hipervnculo"/>
            <w:rFonts w:ascii="Times New Roman" w:hAnsi="Times New Roman" w:cs="Times New Roman"/>
            <w:color w:val="auto"/>
            <w:sz w:val="24"/>
            <w:szCs w:val="24"/>
            <w:u w:val="none"/>
          </w:rPr>
          <w:t>2.3.9 Suelos de Alto Valor Natural</w:t>
        </w:r>
      </w:hyperlink>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2.3.10 Producción de energías renovables - </w:t>
      </w:r>
      <w:hyperlink r:id="rId152" w:tgtFrame="_blank" w:history="1">
        <w:r w:rsidRPr="00B4374C">
          <w:rPr>
            <w:rStyle w:val="Hipervnculo"/>
            <w:rFonts w:ascii="Times New Roman" w:hAnsi="Times New Roman" w:cs="Times New Roman"/>
            <w:color w:val="auto"/>
            <w:sz w:val="24"/>
            <w:szCs w:val="24"/>
            <w:u w:val="none"/>
          </w:rPr>
          <w:t>Véase el indicador 43 del contexto de la PAC: Producción de energías renovables a partir de la agricultura y la silvicultura</w:t>
        </w:r>
      </w:hyperlink>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 Estado / impacto</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2.4.1 Tendencias de la población de aves de tierras agrícolas - Ver Estadísticas de biodiversidad o Aves comunes de tierras agrícolas en la UE</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2.4.2 Calidad del suelo (archivado)</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2.4.3 Calidad del agua - Contaminación por nitratos (archivado) - Ver Waterbase</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2.4.4 Calidad del agua - Contaminación por pesticidas (archivado) - Ver Waterbase</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2.4.5 Paisaje - estado y diversidad (archivado)</w:t>
      </w:r>
    </w:p>
    <w:p w:rsidR="007E482E" w:rsidRPr="00B4374C" w:rsidRDefault="007E482E" w:rsidP="007E482E">
      <w:pPr>
        <w:shd w:val="clear" w:color="auto" w:fill="FFFFFF"/>
        <w:spacing w:line="240" w:lineRule="auto"/>
        <w:ind w:left="720"/>
        <w:rPr>
          <w:rFonts w:ascii="Times New Roman" w:hAnsi="Times New Roman" w:cs="Times New Roman"/>
          <w:sz w:val="24"/>
          <w:szCs w:val="24"/>
        </w:rPr>
      </w:pPr>
      <w:r w:rsidRPr="00B4374C">
        <w:rPr>
          <w:rFonts w:ascii="Times New Roman" w:hAnsi="Times New Roman" w:cs="Times New Roman"/>
          <w:sz w:val="24"/>
          <w:szCs w:val="24"/>
        </w:rPr>
        <w:t>(…)</w:t>
      </w:r>
    </w:p>
    <w:p w:rsidR="007E482E" w:rsidRDefault="007E482E" w:rsidP="007E482E">
      <w:pPr>
        <w:shd w:val="clear" w:color="auto" w:fill="FFFFFF"/>
        <w:spacing w:line="240" w:lineRule="auto"/>
        <w:rPr>
          <w:rFonts w:ascii="Times New Roman" w:hAnsi="Times New Roman" w:cs="Times New Roman"/>
          <w:b/>
          <w:sz w:val="24"/>
          <w:szCs w:val="24"/>
        </w:rPr>
      </w:pPr>
      <w:r w:rsidRPr="00D25D93">
        <w:rPr>
          <w:rFonts w:ascii="Times New Roman" w:hAnsi="Times New Roman" w:cs="Times New Roman"/>
          <w:b/>
          <w:sz w:val="24"/>
          <w:szCs w:val="24"/>
        </w:rPr>
        <w:t>Comercio extracomunitario de productos agrícolas</w:t>
      </w:r>
    </w:p>
    <w:p w:rsidR="007E482E" w:rsidRDefault="007E482E" w:rsidP="007E482E">
      <w:pPr>
        <w:shd w:val="clear" w:color="auto" w:fill="FFFFFF"/>
        <w:spacing w:line="240" w:lineRule="auto"/>
        <w:rPr>
          <w:rFonts w:ascii="Times New Roman" w:hAnsi="Times New Roman" w:cs="Times New Roman"/>
          <w:sz w:val="24"/>
          <w:szCs w:val="24"/>
        </w:rPr>
      </w:pPr>
      <w:r>
        <w:rPr>
          <w:rFonts w:ascii="Times New Roman" w:hAnsi="Times New Roman" w:cs="Times New Roman"/>
          <w:sz w:val="24"/>
          <w:szCs w:val="24"/>
        </w:rPr>
        <w:t xml:space="preserve">(Fuente: Eurostat - </w:t>
      </w:r>
      <w:r w:rsidRPr="00D25D93">
        <w:rPr>
          <w:rFonts w:ascii="Times New Roman" w:hAnsi="Times New Roman" w:cs="Times New Roman"/>
          <w:sz w:val="24"/>
          <w:szCs w:val="24"/>
        </w:rPr>
        <w:t>Datos extraídos en marzo de 2021</w:t>
      </w:r>
      <w:r>
        <w:rPr>
          <w:rFonts w:ascii="Times New Roman" w:hAnsi="Times New Roman" w:cs="Times New Roman"/>
          <w:sz w:val="24"/>
          <w:szCs w:val="24"/>
        </w:rPr>
        <w:t>)</w:t>
      </w:r>
    </w:p>
    <w:p w:rsidR="007E482E" w:rsidRDefault="007E482E" w:rsidP="007E482E">
      <w:pPr>
        <w:shd w:val="clear" w:color="auto" w:fill="FFFFFF"/>
        <w:spacing w:line="240" w:lineRule="auto"/>
        <w:rPr>
          <w:rFonts w:ascii="Times New Roman" w:hAnsi="Times New Roman" w:cs="Times New Roman"/>
          <w:sz w:val="24"/>
          <w:szCs w:val="24"/>
        </w:rPr>
      </w:pPr>
      <w:r w:rsidRPr="00655B83">
        <w:rPr>
          <w:rFonts w:ascii="Times New Roman" w:hAnsi="Times New Roman" w:cs="Times New Roman"/>
          <w:sz w:val="24"/>
          <w:szCs w:val="24"/>
        </w:rPr>
        <w:t>Highlights</w:t>
      </w:r>
    </w:p>
    <w:p w:rsidR="007E482E" w:rsidRPr="00655B83" w:rsidRDefault="007E482E" w:rsidP="007E482E">
      <w:pPr>
        <w:shd w:val="clear" w:color="auto" w:fill="FFFFFF"/>
        <w:spacing w:line="240" w:lineRule="auto"/>
        <w:ind w:left="720"/>
        <w:rPr>
          <w:rFonts w:ascii="Times New Roman" w:hAnsi="Times New Roman" w:cs="Times New Roman"/>
          <w:sz w:val="24"/>
          <w:szCs w:val="24"/>
        </w:rPr>
      </w:pPr>
      <w:r w:rsidRPr="00655B83">
        <w:rPr>
          <w:rFonts w:ascii="Times New Roman" w:hAnsi="Times New Roman" w:cs="Times New Roman"/>
          <w:sz w:val="24"/>
          <w:szCs w:val="24"/>
        </w:rPr>
        <w:t>En 2020, el comercio extracomunitario de productos agrícolas representó el 9 % del total del comercio internacional extracomunitario de mercancías.</w:t>
      </w:r>
    </w:p>
    <w:p w:rsidR="007E482E" w:rsidRPr="00655B83" w:rsidRDefault="007E482E" w:rsidP="007E482E">
      <w:pPr>
        <w:shd w:val="clear" w:color="auto" w:fill="FFFFFF"/>
        <w:spacing w:line="240" w:lineRule="auto"/>
        <w:ind w:left="720"/>
        <w:rPr>
          <w:rFonts w:ascii="Times New Roman" w:hAnsi="Times New Roman" w:cs="Times New Roman"/>
          <w:sz w:val="24"/>
          <w:szCs w:val="24"/>
        </w:rPr>
      </w:pPr>
      <w:r w:rsidRPr="00655B83">
        <w:rPr>
          <w:rFonts w:ascii="Times New Roman" w:hAnsi="Times New Roman" w:cs="Times New Roman"/>
          <w:sz w:val="24"/>
          <w:szCs w:val="24"/>
        </w:rPr>
        <w:t>Entre 2002 y 2020, el comercio de productos agrícolas de la UE se duplicó con creces, lo que equivale a un crecimiento medio anual del 5 %.</w:t>
      </w:r>
    </w:p>
    <w:p w:rsidR="007E482E" w:rsidRDefault="007E482E" w:rsidP="007E482E">
      <w:pPr>
        <w:shd w:val="clear" w:color="auto" w:fill="FFFFFF"/>
        <w:spacing w:line="240" w:lineRule="auto"/>
        <w:ind w:left="720"/>
        <w:rPr>
          <w:rFonts w:ascii="Times New Roman" w:hAnsi="Times New Roman" w:cs="Times New Roman"/>
          <w:sz w:val="24"/>
          <w:szCs w:val="24"/>
        </w:rPr>
      </w:pPr>
      <w:r w:rsidRPr="00655B83">
        <w:rPr>
          <w:rFonts w:ascii="Times New Roman" w:hAnsi="Times New Roman" w:cs="Times New Roman"/>
          <w:sz w:val="24"/>
          <w:szCs w:val="24"/>
        </w:rPr>
        <w:t>En 2020, el Reino Unido fue el mayor destino de exportación de productos agrícolas de la UE y el mayor origen de las importaciones de la UE.</w:t>
      </w:r>
    </w:p>
    <w:p w:rsidR="007E482E" w:rsidRDefault="007E482E" w:rsidP="007E482E">
      <w:pPr>
        <w:shd w:val="clear" w:color="auto" w:fill="FFFFFF"/>
        <w:spacing w:line="240" w:lineRule="auto"/>
        <w:rPr>
          <w:rFonts w:ascii="Times New Roman" w:hAnsi="Times New Roman" w:cs="Times New Roman"/>
          <w:sz w:val="24"/>
          <w:szCs w:val="24"/>
        </w:rPr>
      </w:pPr>
      <w:r w:rsidRPr="00655B83">
        <w:rPr>
          <w:rFonts w:ascii="Times New Roman" w:hAnsi="Times New Roman" w:cs="Times New Roman"/>
          <w:noProof/>
          <w:sz w:val="24"/>
          <w:szCs w:val="24"/>
          <w:lang w:eastAsia="es-ES"/>
        </w:rPr>
        <w:lastRenderedPageBreak/>
        <w:drawing>
          <wp:inline distT="0" distB="0" distL="0" distR="0" wp14:anchorId="6131091E" wp14:editId="3137AFF2">
            <wp:extent cx="5732166" cy="2711450"/>
            <wp:effectExtent l="0" t="0" r="1905"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2711140"/>
                    </a:xfrm>
                    <a:prstGeom prst="rect">
                      <a:avLst/>
                    </a:prstGeom>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En 2020, el comercio extracomunitario de productos agrícolas representó el 9,0 % del total del comercio internacional extracomunitario de mercancías. Este fue un punto porcentual (pp) superior al 8,0 % de 2019, principalmente debido a una caída en el comercio de otros bienes relacionados con la pandemia de Covid-19. Los datos sobre el comercio de productos agrícolas son fundamentales para dos importantes políticas de la UE: la Política Agrícola Común (PAC) y la política comercial común, que gestiona las relaciones comerciales con países no pertenecientes a la UE.</w:t>
      </w:r>
    </w:p>
    <w:p w:rsidR="007E482E" w:rsidRPr="008F5911" w:rsidRDefault="007E482E" w:rsidP="007E482E">
      <w:pPr>
        <w:shd w:val="clear" w:color="auto" w:fill="FFFFFF"/>
        <w:spacing w:line="240" w:lineRule="auto"/>
        <w:jc w:val="both"/>
        <w:rPr>
          <w:rFonts w:ascii="Times New Roman" w:hAnsi="Times New Roman" w:cs="Times New Roman"/>
          <w:sz w:val="24"/>
          <w:szCs w:val="24"/>
          <w:u w:val="single"/>
        </w:rPr>
      </w:pPr>
      <w:r w:rsidRPr="008F5911">
        <w:rPr>
          <w:rFonts w:ascii="Times New Roman" w:hAnsi="Times New Roman" w:cs="Times New Roman"/>
          <w:sz w:val="24"/>
          <w:szCs w:val="24"/>
          <w:u w:val="single"/>
        </w:rPr>
        <w:t>Comercio de productos agrícolas de la UE: superávit de 43.000 millones de euros</w:t>
      </w:r>
    </w:p>
    <w:p w:rsidR="007E482E"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 xml:space="preserve">En 2020, el valor del comercio total (importaciones más exportaciones) de productos agrícolas entre la UE </w:t>
      </w:r>
      <w:r>
        <w:rPr>
          <w:rFonts w:ascii="Times New Roman" w:hAnsi="Times New Roman" w:cs="Times New Roman"/>
          <w:sz w:val="24"/>
          <w:szCs w:val="24"/>
        </w:rPr>
        <w:t>y el resto del mundo fue de 327.</w:t>
      </w:r>
      <w:r w:rsidRPr="008F5911">
        <w:rPr>
          <w:rFonts w:ascii="Times New Roman" w:hAnsi="Times New Roman" w:cs="Times New Roman"/>
          <w:sz w:val="24"/>
          <w:szCs w:val="24"/>
        </w:rPr>
        <w:t xml:space="preserve">000 millones EUR (véase la figura 1). </w:t>
      </w:r>
      <w:r>
        <w:rPr>
          <w:rFonts w:ascii="Times New Roman" w:hAnsi="Times New Roman" w:cs="Times New Roman"/>
          <w:sz w:val="24"/>
          <w:szCs w:val="24"/>
        </w:rPr>
        <w:t>Dado que las exportaciones (185.</w:t>
      </w:r>
      <w:r w:rsidRPr="008F5911">
        <w:rPr>
          <w:rFonts w:ascii="Times New Roman" w:hAnsi="Times New Roman" w:cs="Times New Roman"/>
          <w:sz w:val="24"/>
          <w:szCs w:val="24"/>
        </w:rPr>
        <w:t>000 millones EUR) fueron superiores a las import</w:t>
      </w:r>
      <w:r>
        <w:rPr>
          <w:rFonts w:ascii="Times New Roman" w:hAnsi="Times New Roman" w:cs="Times New Roman"/>
          <w:sz w:val="24"/>
          <w:szCs w:val="24"/>
        </w:rPr>
        <w:t>aciones (142.</w:t>
      </w:r>
      <w:r w:rsidRPr="008F5911">
        <w:rPr>
          <w:rFonts w:ascii="Times New Roman" w:hAnsi="Times New Roman" w:cs="Times New Roman"/>
          <w:sz w:val="24"/>
          <w:szCs w:val="24"/>
        </w:rPr>
        <w:t>000 millones EUR), hu</w:t>
      </w:r>
      <w:r>
        <w:rPr>
          <w:rFonts w:ascii="Times New Roman" w:hAnsi="Times New Roman" w:cs="Times New Roman"/>
          <w:sz w:val="24"/>
          <w:szCs w:val="24"/>
        </w:rPr>
        <w:t>bo un superávit comercial de 43.</w:t>
      </w:r>
      <w:r w:rsidRPr="008F5911">
        <w:rPr>
          <w:rFonts w:ascii="Times New Roman" w:hAnsi="Times New Roman" w:cs="Times New Roman"/>
          <w:sz w:val="24"/>
          <w:szCs w:val="24"/>
        </w:rPr>
        <w:t>000 millones EUR. Entre 2002 y 2020, el comercio de productos agrícolas de la UE se duplicó con creces, lo que equivale a un crecimiento medio anual del 4,8 %. En este período, las exportaciones (5,3 %) crecieron más que las importaciones (4,1 %).</w:t>
      </w:r>
    </w:p>
    <w:p w:rsidR="007E482E"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32374B3E" wp14:editId="0E4E653D">
            <wp:extent cx="4762500" cy="2578100"/>
            <wp:effectExtent l="0" t="0" r="0" b="0"/>
            <wp:docPr id="122" name="Imagen 122" descr="https://ec.europa.eu/eurostat/statistics-explained/images/thumb/c/cf/EU_trade_in_agricultural_products%2C_2002-2020.png/500px-EU_trade_in_agricultural_products%2C_2002-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c.europa.eu/eurostat/statistics-explained/images/thumb/c/cf/EU_trade_in_agricultural_products%2C_2002-2020.png/500px-EU_trade_in_agricultural_products%2C_2002-2020.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762500" cy="2578100"/>
                    </a:xfrm>
                    <a:prstGeom prst="rect">
                      <a:avLst/>
                    </a:prstGeom>
                    <a:noFill/>
                    <a:ln>
                      <a:noFill/>
                    </a:ln>
                  </pic:spPr>
                </pic:pic>
              </a:graphicData>
            </a:graphic>
          </wp:inline>
        </w:drawing>
      </w:r>
      <w:r w:rsidRPr="008F5911">
        <w:rPr>
          <w:rFonts w:ascii="Times New Roman" w:hAnsi="Times New Roman" w:cs="Times New Roman"/>
          <w:sz w:val="24"/>
          <w:szCs w:val="24"/>
        </w:rPr>
        <w:t>Figura 1: Comercio de productos agrícolas de la UE, 2002-2020 (miles de millones de euros)</w:t>
      </w:r>
    </w:p>
    <w:p w:rsidR="007E482E"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lastRenderedPageBreak/>
        <w:t>En 2002, la cuota de la UE de productos agrícolas en el comercio total fue del 7,3 %, aumentando al 9,0 % en 2020 (véase la figura 2). De 2002 a 2004, la participación fue aproximadamente igual para las exportaciones y las importaciones, pero desde 2005 la participación de las exportaciones es mayor que la de las importaciones. Esta diferencia fue mayor en 2020, aunque todavía solo un poco más de 1 pp.</w:t>
      </w:r>
    </w:p>
    <w:p w:rsidR="007E482E"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6F70A9A2" wp14:editId="5028A097">
            <wp:extent cx="4972050" cy="2787650"/>
            <wp:effectExtent l="0" t="0" r="0" b="0"/>
            <wp:docPr id="132" name="Imagen 132" descr="Archivo:Cuota de la UE de productos agrícolas en el comercio total, 2002-2020 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chivo:Cuota de la UE de productos agrícolas en el comercio total, 2002-2020 update.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972109" cy="2787683"/>
                    </a:xfrm>
                    <a:prstGeom prst="rect">
                      <a:avLst/>
                    </a:prstGeom>
                    <a:noFill/>
                    <a:ln>
                      <a:noFill/>
                    </a:ln>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Figura 2: Participación de la UE de productos agrícolas en el comercio total, 2002-2020</w:t>
      </w:r>
    </w:p>
    <w:p w:rsidR="007E482E"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La UE importó 145 millones de toneladas de productos agrícolas en 2020, mientras que exportó 144 millones de toneladas (ver Figura 3). Entre 2002 y 2020, el volumen comercial total tuvo una tasa de crecimiento anual promedio de 2,4 %. Aquí también, las exportaciones (3,6 %) crecieron más rápido que las importaciones (1,3 %). El aumento promedio anual de los precios de las importaciones (2,7 %) fue superior al de las exportaciones (1,6 %).</w:t>
      </w:r>
    </w:p>
    <w:p w:rsidR="007E482E"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57FA5113" wp14:editId="39053805">
            <wp:extent cx="4762500" cy="3117850"/>
            <wp:effectExtent l="0" t="0" r="0" b="6350"/>
            <wp:docPr id="133" name="Imagen 133" descr="https://ec.europa.eu/eurostat/statistics-explained/images/thumb/1/16/Value%2C_weight_and_average_price_of_EU_trade_in_agricultural_products%2C_2002-2020.png/500px-Value%2C_weight_and_average_price_of_EU_trade_in_agricultural_products%2C_2002-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c.europa.eu/eurostat/statistics-explained/images/thumb/1/16/Value%2C_weight_and_average_price_of_EU_trade_in_agricultural_products%2C_2002-2020.png/500px-Value%2C_weight_and_average_price_of_EU_trade_in_agricultural_products%2C_2002-2020.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762500" cy="3117850"/>
                    </a:xfrm>
                    <a:prstGeom prst="rect">
                      <a:avLst/>
                    </a:prstGeom>
                    <a:noFill/>
                    <a:ln>
                      <a:noFill/>
                    </a:ln>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Figura 3: Valor, peso y precio medio del comercio de productos agrícolas de la UE, 2002-2020</w:t>
      </w:r>
    </w:p>
    <w:p w:rsidR="007E482E" w:rsidRPr="008F5911" w:rsidRDefault="007E482E" w:rsidP="007E482E">
      <w:pPr>
        <w:shd w:val="clear" w:color="auto" w:fill="FFFFFF"/>
        <w:spacing w:line="240" w:lineRule="auto"/>
        <w:jc w:val="both"/>
        <w:rPr>
          <w:rFonts w:ascii="Times New Roman" w:hAnsi="Times New Roman" w:cs="Times New Roman"/>
          <w:sz w:val="24"/>
          <w:szCs w:val="24"/>
          <w:u w:val="single"/>
        </w:rPr>
      </w:pPr>
      <w:r w:rsidRPr="008F5911">
        <w:rPr>
          <w:rFonts w:ascii="Times New Roman" w:hAnsi="Times New Roman" w:cs="Times New Roman"/>
          <w:sz w:val="24"/>
          <w:szCs w:val="24"/>
          <w:u w:val="single"/>
        </w:rPr>
        <w:lastRenderedPageBreak/>
        <w:t>Productos agrícolas: 3 grupos principales</w:t>
      </w:r>
    </w:p>
    <w:p w:rsidR="007E482E"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Los productos agrícolas se pueden subdividir en tres grupos principales: productos animales, productos vegetales y alimentos (ver Figura 4). En las exportaciones, el grupo más grande fue el de los alimentos (53 %), seguido de los productos vegetales (24 %) y los productos animales (23 %). En las importaciones, el grupo más grande fue el de los productos vegetal</w:t>
      </w:r>
      <w:r>
        <w:rPr>
          <w:rFonts w:ascii="Times New Roman" w:hAnsi="Times New Roman" w:cs="Times New Roman"/>
          <w:sz w:val="24"/>
          <w:szCs w:val="24"/>
        </w:rPr>
        <w:t xml:space="preserve">es </w:t>
      </w:r>
      <w:r w:rsidRPr="008F5911">
        <w:rPr>
          <w:rFonts w:ascii="Times New Roman" w:hAnsi="Times New Roman" w:cs="Times New Roman"/>
          <w:sz w:val="24"/>
          <w:szCs w:val="24"/>
        </w:rPr>
        <w:t>(47 %), seguido de los alimentos (33 %)</w:t>
      </w:r>
      <w:r>
        <w:rPr>
          <w:rFonts w:ascii="Times New Roman" w:hAnsi="Times New Roman" w:cs="Times New Roman"/>
          <w:sz w:val="24"/>
          <w:szCs w:val="24"/>
        </w:rPr>
        <w:t>,</w:t>
      </w:r>
      <w:r w:rsidRPr="008F5911">
        <w:rPr>
          <w:rFonts w:ascii="Times New Roman" w:hAnsi="Times New Roman" w:cs="Times New Roman"/>
          <w:sz w:val="24"/>
          <w:szCs w:val="24"/>
        </w:rPr>
        <w:t xml:space="preserve"> y los productos animales (20 %).</w:t>
      </w:r>
    </w:p>
    <w:p w:rsidR="007E482E"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5CFA8D97" wp14:editId="1316B3D9">
            <wp:extent cx="4762500" cy="2533650"/>
            <wp:effectExtent l="0" t="0" r="0" b="0"/>
            <wp:docPr id="134" name="Imagen 134" descr="https://ec.europa.eu/eurostat/statistics-explained/images/thumb/7/78/EU_exports_and_imports_of_agricultural_products_by_category%2C_2020_update.png/500px-EU_exports_and_imports_of_agricultural_products_by_category%2C_2020_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c.europa.eu/eurostat/statistics-explained/images/thumb/7/78/EU_exports_and_imports_of_agricultural_products_by_category%2C_2020_update.png/500px-EU_exports_and_imports_of_agricultural_products_by_category%2C_2020_update.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762500" cy="2533650"/>
                    </a:xfrm>
                    <a:prstGeom prst="rect">
                      <a:avLst/>
                    </a:prstGeom>
                    <a:noFill/>
                    <a:ln>
                      <a:noFill/>
                    </a:ln>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Figura 4: Comercio de la UE de productos agrícolas por categoría, 2020</w:t>
      </w:r>
    </w:p>
    <w:p w:rsidR="007E482E" w:rsidRPr="008F5911"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Cada una de las categorías discutidas anteriormente se puede subdividir en capítulos (ver Figura 5).</w:t>
      </w:r>
    </w:p>
    <w:p w:rsidR="007E482E" w:rsidRPr="008F5911"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La categoría de productos de origen animal consta de cinco capítulos. En las exportaciones de productos animales, los ca</w:t>
      </w:r>
      <w:r>
        <w:rPr>
          <w:rFonts w:ascii="Times New Roman" w:hAnsi="Times New Roman" w:cs="Times New Roman"/>
          <w:sz w:val="24"/>
          <w:szCs w:val="24"/>
        </w:rPr>
        <w:t>pítulos más importantes fueron “carne y despojos comestibles”</w:t>
      </w:r>
      <w:r w:rsidRPr="008F5911">
        <w:rPr>
          <w:rFonts w:ascii="Times New Roman" w:hAnsi="Times New Roman" w:cs="Times New Roman"/>
          <w:sz w:val="24"/>
          <w:szCs w:val="24"/>
        </w:rPr>
        <w:t xml:space="preserve"> (44 </w:t>
      </w:r>
      <w:r>
        <w:rPr>
          <w:rFonts w:ascii="Times New Roman" w:hAnsi="Times New Roman" w:cs="Times New Roman"/>
          <w:sz w:val="24"/>
          <w:szCs w:val="24"/>
        </w:rPr>
        <w:t>%, 19.000 millones de euros) y “</w:t>
      </w:r>
      <w:r w:rsidRPr="008F5911">
        <w:rPr>
          <w:rFonts w:ascii="Times New Roman" w:hAnsi="Times New Roman" w:cs="Times New Roman"/>
          <w:sz w:val="24"/>
          <w:szCs w:val="24"/>
        </w:rPr>
        <w:t>productos lácteos; huevos de aves; miel natural; productos comestibles de origen animal, no expresados ​​ni compre</w:t>
      </w:r>
      <w:r>
        <w:rPr>
          <w:rFonts w:ascii="Times New Roman" w:hAnsi="Times New Roman" w:cs="Times New Roman"/>
          <w:sz w:val="24"/>
          <w:szCs w:val="24"/>
        </w:rPr>
        <w:t>ndidos en otra parte” (36 %, 16.</w:t>
      </w:r>
      <w:r w:rsidRPr="008F5911">
        <w:rPr>
          <w:rFonts w:ascii="Times New Roman" w:hAnsi="Times New Roman" w:cs="Times New Roman"/>
          <w:sz w:val="24"/>
          <w:szCs w:val="24"/>
        </w:rPr>
        <w:t>000 millones EUR). En las importaciones de productos animales, el cap</w:t>
      </w:r>
      <w:r>
        <w:rPr>
          <w:rFonts w:ascii="Times New Roman" w:hAnsi="Times New Roman" w:cs="Times New Roman"/>
          <w:sz w:val="24"/>
          <w:szCs w:val="24"/>
        </w:rPr>
        <w:t>ítulo más importante fue el de “</w:t>
      </w:r>
      <w:r w:rsidRPr="008F5911">
        <w:rPr>
          <w:rFonts w:ascii="Times New Roman" w:hAnsi="Times New Roman" w:cs="Times New Roman"/>
          <w:sz w:val="24"/>
          <w:szCs w:val="24"/>
        </w:rPr>
        <w:t xml:space="preserve">peces y crustáceos, moluscos </w:t>
      </w:r>
      <w:r>
        <w:rPr>
          <w:rFonts w:ascii="Times New Roman" w:hAnsi="Times New Roman" w:cs="Times New Roman"/>
          <w:sz w:val="24"/>
          <w:szCs w:val="24"/>
        </w:rPr>
        <w:t>y otros invertebrados acuáticos” (70 %, 19.</w:t>
      </w:r>
      <w:r w:rsidRPr="008F5911">
        <w:rPr>
          <w:rFonts w:ascii="Times New Roman" w:hAnsi="Times New Roman" w:cs="Times New Roman"/>
          <w:sz w:val="24"/>
          <w:szCs w:val="24"/>
        </w:rPr>
        <w:t>000 millones EUR)</w:t>
      </w:r>
    </w:p>
    <w:p w:rsidR="007E482E" w:rsidRPr="008F5911"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Hay diez capítulos en la categoría de productos vegetales. En las exportaciones de productos vegetales, el ca</w:t>
      </w:r>
      <w:r>
        <w:rPr>
          <w:rFonts w:ascii="Times New Roman" w:hAnsi="Times New Roman" w:cs="Times New Roman"/>
          <w:sz w:val="24"/>
          <w:szCs w:val="24"/>
        </w:rPr>
        <w:t>pítulo más importante fue el de “cereales”</w:t>
      </w:r>
      <w:r w:rsidRPr="008F5911">
        <w:rPr>
          <w:rFonts w:ascii="Times New Roman" w:hAnsi="Times New Roman" w:cs="Times New Roman"/>
          <w:sz w:val="24"/>
          <w:szCs w:val="24"/>
        </w:rPr>
        <w:t xml:space="preserve"> (23 %, 10.000 millones de euros). En las importaciones de productos vegetal</w:t>
      </w:r>
      <w:r>
        <w:rPr>
          <w:rFonts w:ascii="Times New Roman" w:hAnsi="Times New Roman" w:cs="Times New Roman"/>
          <w:sz w:val="24"/>
          <w:szCs w:val="24"/>
        </w:rPr>
        <w:t>es, el capítulo más grande fue “</w:t>
      </w:r>
      <w:r w:rsidRPr="008F5911">
        <w:rPr>
          <w:rFonts w:ascii="Times New Roman" w:hAnsi="Times New Roman" w:cs="Times New Roman"/>
          <w:sz w:val="24"/>
          <w:szCs w:val="24"/>
        </w:rPr>
        <w:t>frutas y nueces comestib</w:t>
      </w:r>
      <w:r>
        <w:rPr>
          <w:rFonts w:ascii="Times New Roman" w:hAnsi="Times New Roman" w:cs="Times New Roman"/>
          <w:sz w:val="24"/>
          <w:szCs w:val="24"/>
        </w:rPr>
        <w:t>les; piel de cítricos o melones” (30 %, 20.</w:t>
      </w:r>
      <w:r w:rsidRPr="008F5911">
        <w:rPr>
          <w:rFonts w:ascii="Times New Roman" w:hAnsi="Times New Roman" w:cs="Times New Roman"/>
          <w:sz w:val="24"/>
          <w:szCs w:val="24"/>
        </w:rPr>
        <w:t>000 millones EUR)</w:t>
      </w:r>
    </w:p>
    <w:p w:rsidR="007E482E" w:rsidRDefault="007E482E" w:rsidP="007E482E">
      <w:pPr>
        <w:shd w:val="clear" w:color="auto" w:fill="FFFFFF"/>
        <w:spacing w:line="240" w:lineRule="auto"/>
        <w:jc w:val="both"/>
        <w:rPr>
          <w:rFonts w:ascii="Times New Roman" w:hAnsi="Times New Roman" w:cs="Times New Roman"/>
          <w:sz w:val="24"/>
          <w:szCs w:val="24"/>
        </w:rPr>
      </w:pPr>
      <w:r w:rsidRPr="008F5911">
        <w:rPr>
          <w:rFonts w:ascii="Times New Roman" w:hAnsi="Times New Roman" w:cs="Times New Roman"/>
          <w:sz w:val="24"/>
          <w:szCs w:val="24"/>
        </w:rPr>
        <w:t>Los productos alimenticios consisten en varios tipos de alimentos procesados. El capítulo más importante en la exportación</w:t>
      </w:r>
      <w:r>
        <w:rPr>
          <w:rFonts w:ascii="Times New Roman" w:hAnsi="Times New Roman" w:cs="Times New Roman"/>
          <w:sz w:val="24"/>
          <w:szCs w:val="24"/>
        </w:rPr>
        <w:t xml:space="preserve"> de productos alimenticios fue “bebidas, licores y vinagre”</w:t>
      </w:r>
      <w:r w:rsidR="00606F63">
        <w:rPr>
          <w:rFonts w:ascii="Times New Roman" w:hAnsi="Times New Roman" w:cs="Times New Roman"/>
          <w:sz w:val="24"/>
          <w:szCs w:val="24"/>
        </w:rPr>
        <w:t xml:space="preserve"> (31 %, 31.</w:t>
      </w:r>
      <w:r w:rsidRPr="008F5911">
        <w:rPr>
          <w:rFonts w:ascii="Times New Roman" w:hAnsi="Times New Roman" w:cs="Times New Roman"/>
          <w:sz w:val="24"/>
          <w:szCs w:val="24"/>
        </w:rPr>
        <w:t xml:space="preserve">000 millones de euros). En las importaciones de alimentos, </w:t>
      </w:r>
      <w:r>
        <w:rPr>
          <w:rFonts w:ascii="Times New Roman" w:hAnsi="Times New Roman" w:cs="Times New Roman"/>
          <w:sz w:val="24"/>
          <w:szCs w:val="24"/>
        </w:rPr>
        <w:t>el capítulo más importante fue “</w:t>
      </w:r>
      <w:r w:rsidRPr="008F5911">
        <w:rPr>
          <w:rFonts w:ascii="Times New Roman" w:hAnsi="Times New Roman" w:cs="Times New Roman"/>
          <w:sz w:val="24"/>
          <w:szCs w:val="24"/>
        </w:rPr>
        <w:t>residuos y desperdicios de las industrias alimentarias; p</w:t>
      </w:r>
      <w:r>
        <w:rPr>
          <w:rFonts w:ascii="Times New Roman" w:hAnsi="Times New Roman" w:cs="Times New Roman"/>
          <w:sz w:val="24"/>
          <w:szCs w:val="24"/>
        </w:rPr>
        <w:t>iensos preparados para animales” (20 %, 9.</w:t>
      </w:r>
      <w:r w:rsidRPr="008F5911">
        <w:rPr>
          <w:rFonts w:ascii="Times New Roman" w:hAnsi="Times New Roman" w:cs="Times New Roman"/>
          <w:sz w:val="24"/>
          <w:szCs w:val="24"/>
        </w:rPr>
        <w:t>000 millones EUR)</w:t>
      </w:r>
    </w:p>
    <w:p w:rsidR="007E482E" w:rsidRDefault="007E482E" w:rsidP="007E482E">
      <w:pPr>
        <w:shd w:val="clear" w:color="auto" w:fill="FFFFFF"/>
        <w:spacing w:line="240" w:lineRule="auto"/>
        <w:jc w:val="both"/>
        <w:rPr>
          <w:rFonts w:ascii="Times New Roman" w:hAnsi="Times New Roman" w:cs="Times New Roman"/>
          <w:sz w:val="24"/>
          <w:szCs w:val="24"/>
        </w:rPr>
      </w:pPr>
      <w:r w:rsidRPr="007E46FC">
        <w:rPr>
          <w:rFonts w:ascii="Times New Roman" w:hAnsi="Times New Roman" w:cs="Times New Roman"/>
          <w:noProof/>
          <w:sz w:val="24"/>
          <w:szCs w:val="24"/>
          <w:lang w:eastAsia="es-ES"/>
        </w:rPr>
        <w:lastRenderedPageBreak/>
        <w:drawing>
          <wp:inline distT="0" distB="0" distL="0" distR="0" wp14:anchorId="523F3D26" wp14:editId="5F19C1E8">
            <wp:extent cx="5727700" cy="5549900"/>
            <wp:effectExtent l="0" t="0" r="635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5553592"/>
                    </a:xfrm>
                    <a:prstGeom prst="rect">
                      <a:avLst/>
                    </a:prstGeom>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C63712">
        <w:rPr>
          <w:rFonts w:ascii="Times New Roman" w:hAnsi="Times New Roman" w:cs="Times New Roman"/>
          <w:sz w:val="24"/>
          <w:szCs w:val="24"/>
        </w:rPr>
        <w:t>Figura 5: Exportaciones e importaciones de la UE de productos agrícolas por categoría de producto, 2020</w:t>
      </w:r>
    </w:p>
    <w:p w:rsidR="007E482E" w:rsidRPr="00C63712" w:rsidRDefault="007E482E" w:rsidP="007E482E">
      <w:pPr>
        <w:shd w:val="clear" w:color="auto" w:fill="FFFFFF"/>
        <w:spacing w:line="240" w:lineRule="auto"/>
        <w:jc w:val="both"/>
        <w:rPr>
          <w:rFonts w:ascii="Times New Roman" w:hAnsi="Times New Roman" w:cs="Times New Roman"/>
          <w:sz w:val="24"/>
          <w:szCs w:val="24"/>
          <w:u w:val="single"/>
        </w:rPr>
      </w:pPr>
      <w:r w:rsidRPr="00C63712">
        <w:rPr>
          <w:rFonts w:ascii="Times New Roman" w:hAnsi="Times New Roman" w:cs="Times New Roman"/>
          <w:sz w:val="24"/>
          <w:szCs w:val="24"/>
          <w:u w:val="single"/>
        </w:rPr>
        <w:t>Productos agrícolas: evolución entre 2002 y 2020</w:t>
      </w:r>
    </w:p>
    <w:p w:rsidR="007E482E" w:rsidRDefault="007E482E" w:rsidP="007E482E">
      <w:pPr>
        <w:shd w:val="clear" w:color="auto" w:fill="FFFFFF"/>
        <w:spacing w:line="240" w:lineRule="auto"/>
        <w:jc w:val="both"/>
        <w:rPr>
          <w:rFonts w:ascii="Times New Roman" w:hAnsi="Times New Roman" w:cs="Times New Roman"/>
          <w:sz w:val="24"/>
          <w:szCs w:val="24"/>
        </w:rPr>
      </w:pPr>
      <w:r w:rsidRPr="00C63712">
        <w:rPr>
          <w:rFonts w:ascii="Times New Roman" w:hAnsi="Times New Roman" w:cs="Times New Roman"/>
          <w:sz w:val="24"/>
          <w:szCs w:val="24"/>
        </w:rPr>
        <w:t>En 2020, el valor del comercio total (importaciones más exportaciones) de productos animales entre la UE y el res</w:t>
      </w:r>
      <w:r>
        <w:rPr>
          <w:rFonts w:ascii="Times New Roman" w:hAnsi="Times New Roman" w:cs="Times New Roman"/>
          <w:sz w:val="24"/>
          <w:szCs w:val="24"/>
        </w:rPr>
        <w:t>to del mundo fue de 71.</w:t>
      </w:r>
      <w:r w:rsidRPr="00C63712">
        <w:rPr>
          <w:rFonts w:ascii="Times New Roman" w:hAnsi="Times New Roman" w:cs="Times New Roman"/>
          <w:sz w:val="24"/>
          <w:szCs w:val="24"/>
        </w:rPr>
        <w:t>000 millones EUR (véase la figura 6).</w:t>
      </w:r>
      <w:r>
        <w:rPr>
          <w:rFonts w:ascii="Times New Roman" w:hAnsi="Times New Roman" w:cs="Times New Roman"/>
          <w:sz w:val="24"/>
          <w:szCs w:val="24"/>
        </w:rPr>
        <w:t xml:space="preserve"> Dado que las exportaciones (43.</w:t>
      </w:r>
      <w:r w:rsidRPr="00C63712">
        <w:rPr>
          <w:rFonts w:ascii="Times New Roman" w:hAnsi="Times New Roman" w:cs="Times New Roman"/>
          <w:sz w:val="24"/>
          <w:szCs w:val="24"/>
        </w:rPr>
        <w:t>000 millones EUR) fueron superiores a las importaciones (28 000 millones EUR), hu</w:t>
      </w:r>
      <w:r>
        <w:rPr>
          <w:rFonts w:ascii="Times New Roman" w:hAnsi="Times New Roman" w:cs="Times New Roman"/>
          <w:sz w:val="24"/>
          <w:szCs w:val="24"/>
        </w:rPr>
        <w:t>bo un superávit comercial de 15.</w:t>
      </w:r>
      <w:r w:rsidRPr="00C63712">
        <w:rPr>
          <w:rFonts w:ascii="Times New Roman" w:hAnsi="Times New Roman" w:cs="Times New Roman"/>
          <w:sz w:val="24"/>
          <w:szCs w:val="24"/>
        </w:rPr>
        <w:t>000 millones EUR. Entre 2002 y 2020, el comercio de la UE de productos animales se duplicó con creces, lo que equivale a un crecimiento medio anual del 4,5 %. En este período, las exportaciones (5,6 %) crecieron más que las importaciones (3,2 %).</w:t>
      </w:r>
    </w:p>
    <w:p w:rsidR="007E482E" w:rsidRDefault="007E482E" w:rsidP="007E482E">
      <w:pPr>
        <w:shd w:val="clear" w:color="auto" w:fill="FFFFFF"/>
        <w:spacing w:line="240" w:lineRule="auto"/>
        <w:jc w:val="both"/>
        <w:rPr>
          <w:rFonts w:ascii="Times New Roman" w:hAnsi="Times New Roman" w:cs="Times New Roman"/>
          <w:sz w:val="24"/>
          <w:szCs w:val="24"/>
        </w:rPr>
      </w:pPr>
    </w:p>
    <w:p w:rsidR="007E482E"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noProof/>
          <w:lang w:eastAsia="es-ES"/>
        </w:rPr>
        <w:drawing>
          <wp:inline distT="0" distB="0" distL="0" distR="0" wp14:anchorId="0F97E497" wp14:editId="51292855">
            <wp:extent cx="4762500" cy="3200400"/>
            <wp:effectExtent l="0" t="0" r="0" b="0"/>
            <wp:docPr id="136" name="Imagen 136" descr="https://ec.europa.eu/eurostat/statistics-explained/images/thumb/7/7b/EU_trade_in_animal_products%2C_2002-2020_update.png/500px-EU_trade_in_animal_products%2C_2002-2020_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c.europa.eu/eurostat/statistics-explained/images/thumb/7/7b/EU_trade_in_animal_products%2C_2002-2020_update.png/500px-EU_trade_in_animal_products%2C_2002-2020_update.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C63712">
        <w:rPr>
          <w:rFonts w:ascii="Times New Roman" w:hAnsi="Times New Roman" w:cs="Times New Roman"/>
          <w:sz w:val="24"/>
          <w:szCs w:val="24"/>
        </w:rPr>
        <w:t>Figura 6: Comercio de productos animales en la UE, 2002-2020 (miles de millones de euros)</w:t>
      </w:r>
    </w:p>
    <w:p w:rsidR="007E482E" w:rsidRDefault="007E482E" w:rsidP="007E482E">
      <w:pPr>
        <w:shd w:val="clear" w:color="auto" w:fill="FFFFFF"/>
        <w:spacing w:line="240" w:lineRule="auto"/>
        <w:jc w:val="both"/>
        <w:rPr>
          <w:rFonts w:ascii="Times New Roman" w:hAnsi="Times New Roman" w:cs="Times New Roman"/>
          <w:sz w:val="24"/>
          <w:szCs w:val="24"/>
        </w:rPr>
      </w:pPr>
    </w:p>
    <w:p w:rsidR="007E482E" w:rsidRDefault="007E482E" w:rsidP="007E482E">
      <w:pPr>
        <w:shd w:val="clear" w:color="auto" w:fill="FFFFFF"/>
        <w:spacing w:line="240" w:lineRule="auto"/>
        <w:jc w:val="both"/>
        <w:rPr>
          <w:rFonts w:ascii="Times New Roman" w:hAnsi="Times New Roman" w:cs="Times New Roman"/>
          <w:sz w:val="24"/>
          <w:szCs w:val="24"/>
        </w:rPr>
      </w:pPr>
      <w:r w:rsidRPr="00C63712">
        <w:rPr>
          <w:rFonts w:ascii="Times New Roman" w:hAnsi="Times New Roman" w:cs="Times New Roman"/>
          <w:sz w:val="24"/>
          <w:szCs w:val="24"/>
        </w:rPr>
        <w:t xml:space="preserve">En 2020, el valor del comercio total (importaciones más exportaciones) de productos vegetales entre la UE </w:t>
      </w:r>
      <w:r>
        <w:rPr>
          <w:rFonts w:ascii="Times New Roman" w:hAnsi="Times New Roman" w:cs="Times New Roman"/>
          <w:sz w:val="24"/>
          <w:szCs w:val="24"/>
        </w:rPr>
        <w:t>y el resto del mundo fue de 111.</w:t>
      </w:r>
      <w:r w:rsidRPr="00C63712">
        <w:rPr>
          <w:rFonts w:ascii="Times New Roman" w:hAnsi="Times New Roman" w:cs="Times New Roman"/>
          <w:sz w:val="24"/>
          <w:szCs w:val="24"/>
        </w:rPr>
        <w:t>000 millones EUR (véase la figura 7). Dado que las exportacio</w:t>
      </w:r>
      <w:r w:rsidR="00606F63">
        <w:rPr>
          <w:rFonts w:ascii="Times New Roman" w:hAnsi="Times New Roman" w:cs="Times New Roman"/>
          <w:sz w:val="24"/>
          <w:szCs w:val="24"/>
        </w:rPr>
        <w:t>nes (44.</w:t>
      </w:r>
      <w:r w:rsidRPr="00C63712">
        <w:rPr>
          <w:rFonts w:ascii="Times New Roman" w:hAnsi="Times New Roman" w:cs="Times New Roman"/>
          <w:sz w:val="24"/>
          <w:szCs w:val="24"/>
        </w:rPr>
        <w:t>000 millones EUR) fueron inf</w:t>
      </w:r>
      <w:r>
        <w:rPr>
          <w:rFonts w:ascii="Times New Roman" w:hAnsi="Times New Roman" w:cs="Times New Roman"/>
          <w:sz w:val="24"/>
          <w:szCs w:val="24"/>
        </w:rPr>
        <w:t>eriores a las importaciones (66.</w:t>
      </w:r>
      <w:r w:rsidRPr="00C63712">
        <w:rPr>
          <w:rFonts w:ascii="Times New Roman" w:hAnsi="Times New Roman" w:cs="Times New Roman"/>
          <w:sz w:val="24"/>
          <w:szCs w:val="24"/>
        </w:rPr>
        <w:t>000 millones EUR), hubo un déficit com</w:t>
      </w:r>
      <w:r>
        <w:rPr>
          <w:rFonts w:ascii="Times New Roman" w:hAnsi="Times New Roman" w:cs="Times New Roman"/>
          <w:sz w:val="24"/>
          <w:szCs w:val="24"/>
        </w:rPr>
        <w:t>ercial de 22.</w:t>
      </w:r>
      <w:r w:rsidRPr="00C63712">
        <w:rPr>
          <w:rFonts w:ascii="Times New Roman" w:hAnsi="Times New Roman" w:cs="Times New Roman"/>
          <w:sz w:val="24"/>
          <w:szCs w:val="24"/>
        </w:rPr>
        <w:t>000 millones EUR. Entre 2002 y 2020, el comercio de productos vegetales de la UE se duplicó con creces, lo que equivale a un crecimiento medio anual del 5,1 %. En este período, las importaciones (5,2 %) crecieron más que las exportaciones (4,9 %).</w:t>
      </w:r>
    </w:p>
    <w:p w:rsidR="007E482E"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38DAB7B2" wp14:editId="39C6088C">
            <wp:extent cx="4762500" cy="2857500"/>
            <wp:effectExtent l="0" t="0" r="0" b="0"/>
            <wp:docPr id="137" name="Imagen 137" descr="https://ec.europa.eu/eurostat/statistics-explained/images/thumb/b/b8/EU_trade_in_vegetable_products%2C_2002-2020_update.png/500px-EU_trade_in_vegetable_products%2C_2002-2020_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c.europa.eu/eurostat/statistics-explained/images/thumb/b/b8/EU_trade_in_vegetable_products%2C_2002-2020_update.png/500px-EU_trade_in_vegetable_products%2C_2002-2020_update.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762500" cy="2857500"/>
                    </a:xfrm>
                    <a:prstGeom prst="rect">
                      <a:avLst/>
                    </a:prstGeom>
                    <a:noFill/>
                    <a:ln>
                      <a:noFill/>
                    </a:ln>
                  </pic:spPr>
                </pic:pic>
              </a:graphicData>
            </a:graphic>
          </wp:inline>
        </w:drawing>
      </w:r>
      <w:r w:rsidRPr="00C63712">
        <w:rPr>
          <w:rFonts w:ascii="Times New Roman" w:hAnsi="Times New Roman" w:cs="Times New Roman"/>
          <w:sz w:val="24"/>
          <w:szCs w:val="24"/>
        </w:rPr>
        <w:t>Figura 7: Comercio de productos vegetales en la UE, 2002-2020 (miles de millones de euros)</w:t>
      </w:r>
    </w:p>
    <w:p w:rsidR="007E482E" w:rsidRDefault="007E482E" w:rsidP="007E482E">
      <w:pPr>
        <w:shd w:val="clear" w:color="auto" w:fill="FFFFFF"/>
        <w:spacing w:line="240" w:lineRule="auto"/>
        <w:jc w:val="both"/>
        <w:rPr>
          <w:rFonts w:ascii="Times New Roman" w:hAnsi="Times New Roman" w:cs="Times New Roman"/>
          <w:sz w:val="24"/>
          <w:szCs w:val="24"/>
          <w:shd w:val="clear" w:color="auto" w:fill="FFFFFF"/>
        </w:rPr>
      </w:pPr>
      <w:r w:rsidRPr="00C63712">
        <w:rPr>
          <w:rFonts w:ascii="Times New Roman" w:hAnsi="Times New Roman" w:cs="Times New Roman"/>
          <w:sz w:val="24"/>
          <w:szCs w:val="24"/>
          <w:shd w:val="clear" w:color="auto" w:fill="FFFFFF"/>
        </w:rPr>
        <w:t xml:space="preserve">En 2020, el valor del comercio total (importaciones más exportaciones) de productos alimenticios entre la UE </w:t>
      </w:r>
      <w:r>
        <w:rPr>
          <w:rFonts w:ascii="Times New Roman" w:hAnsi="Times New Roman" w:cs="Times New Roman"/>
          <w:sz w:val="24"/>
          <w:szCs w:val="24"/>
          <w:shd w:val="clear" w:color="auto" w:fill="FFFFFF"/>
        </w:rPr>
        <w:t>y el resto del mundo fue de 145.</w:t>
      </w:r>
      <w:r w:rsidRPr="00C63712">
        <w:rPr>
          <w:rFonts w:ascii="Times New Roman" w:hAnsi="Times New Roman" w:cs="Times New Roman"/>
          <w:sz w:val="24"/>
          <w:szCs w:val="24"/>
          <w:shd w:val="clear" w:color="auto" w:fill="FFFFFF"/>
        </w:rPr>
        <w:t xml:space="preserve">000 millones de euros (véase la </w:t>
      </w:r>
      <w:r w:rsidRPr="00C63712">
        <w:rPr>
          <w:rFonts w:ascii="Times New Roman" w:hAnsi="Times New Roman" w:cs="Times New Roman"/>
          <w:sz w:val="24"/>
          <w:szCs w:val="24"/>
          <w:shd w:val="clear" w:color="auto" w:fill="FFFFFF"/>
        </w:rPr>
        <w:lastRenderedPageBreak/>
        <w:t>figura 8). </w:t>
      </w:r>
      <w:r>
        <w:rPr>
          <w:rFonts w:ascii="Times New Roman" w:hAnsi="Times New Roman" w:cs="Times New Roman"/>
          <w:sz w:val="24"/>
          <w:szCs w:val="24"/>
          <w:shd w:val="clear" w:color="auto" w:fill="FFFFFF"/>
        </w:rPr>
        <w:t>Dado que las exportaciones (97.</w:t>
      </w:r>
      <w:r w:rsidRPr="00C63712">
        <w:rPr>
          <w:rFonts w:ascii="Times New Roman" w:hAnsi="Times New Roman" w:cs="Times New Roman"/>
          <w:sz w:val="24"/>
          <w:szCs w:val="24"/>
          <w:shd w:val="clear" w:color="auto" w:fill="FFFFFF"/>
        </w:rPr>
        <w:t>000 millones EUR) fueron sup</w:t>
      </w:r>
      <w:r>
        <w:rPr>
          <w:rFonts w:ascii="Times New Roman" w:hAnsi="Times New Roman" w:cs="Times New Roman"/>
          <w:sz w:val="24"/>
          <w:szCs w:val="24"/>
          <w:shd w:val="clear" w:color="auto" w:fill="FFFFFF"/>
        </w:rPr>
        <w:t>eriores a las importaciones (47.</w:t>
      </w:r>
      <w:r w:rsidRPr="00C63712">
        <w:rPr>
          <w:rFonts w:ascii="Times New Roman" w:hAnsi="Times New Roman" w:cs="Times New Roman"/>
          <w:sz w:val="24"/>
          <w:szCs w:val="24"/>
          <w:shd w:val="clear" w:color="auto" w:fill="FFFFFF"/>
        </w:rPr>
        <w:t>000 millones EUR), hu</w:t>
      </w:r>
      <w:r>
        <w:rPr>
          <w:rFonts w:ascii="Times New Roman" w:hAnsi="Times New Roman" w:cs="Times New Roman"/>
          <w:sz w:val="24"/>
          <w:szCs w:val="24"/>
          <w:shd w:val="clear" w:color="auto" w:fill="FFFFFF"/>
        </w:rPr>
        <w:t>bo un superávit comercial de 50.</w:t>
      </w:r>
      <w:r w:rsidRPr="00C63712">
        <w:rPr>
          <w:rFonts w:ascii="Times New Roman" w:hAnsi="Times New Roman" w:cs="Times New Roman"/>
          <w:sz w:val="24"/>
          <w:szCs w:val="24"/>
          <w:shd w:val="clear" w:color="auto" w:fill="FFFFFF"/>
        </w:rPr>
        <w:t>000 millones EUR. Entre 2002 y 2020, el comercio de productos alimenticios de la UE se duplicó con creces, lo que equivale a un crecimiento medio anual del 4,6 %. En este período, las exportaciones (5,4 %) crecieron más que las importaciones (3,3 %).</w:t>
      </w:r>
    </w:p>
    <w:p w:rsidR="007E482E"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27907E42" wp14:editId="6D486491">
            <wp:extent cx="4762500" cy="3225800"/>
            <wp:effectExtent l="0" t="0" r="0" b="0"/>
            <wp:docPr id="138" name="Imagen 138" descr="https://ec.europa.eu/eurostat/statistics-explained/images/thumb/1/1d/EU_trade_in_foodstuffs%2C_2002-2020_update.png/500px-EU_trade_in_foodstuffs%2C_2002-2020_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ec.europa.eu/eurostat/statistics-explained/images/thumb/1/1d/EU_trade_in_foodstuffs%2C_2002-2020_update.png/500px-EU_trade_in_foodstuffs%2C_2002-2020_update.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62500" cy="3225800"/>
                    </a:xfrm>
                    <a:prstGeom prst="rect">
                      <a:avLst/>
                    </a:prstGeom>
                    <a:noFill/>
                    <a:ln>
                      <a:noFill/>
                    </a:ln>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454279">
        <w:rPr>
          <w:rFonts w:ascii="Times New Roman" w:hAnsi="Times New Roman" w:cs="Times New Roman"/>
          <w:sz w:val="24"/>
          <w:szCs w:val="24"/>
        </w:rPr>
        <w:t>Figura 8: Comercio de productos alimenticios de la UE, 2002-2020 (miles de millones de euros)</w:t>
      </w:r>
    </w:p>
    <w:p w:rsidR="007E482E" w:rsidRPr="00F71162" w:rsidRDefault="007E482E" w:rsidP="007E482E">
      <w:pPr>
        <w:shd w:val="clear" w:color="auto" w:fill="FFFFFF"/>
        <w:spacing w:line="240" w:lineRule="auto"/>
        <w:jc w:val="both"/>
        <w:rPr>
          <w:rFonts w:ascii="Times New Roman" w:hAnsi="Times New Roman" w:cs="Times New Roman"/>
          <w:sz w:val="24"/>
          <w:szCs w:val="24"/>
          <w:u w:val="single"/>
        </w:rPr>
      </w:pPr>
      <w:r w:rsidRPr="00F71162">
        <w:rPr>
          <w:rFonts w:ascii="Times New Roman" w:hAnsi="Times New Roman" w:cs="Times New Roman"/>
          <w:sz w:val="24"/>
          <w:szCs w:val="24"/>
          <w:u w:val="single"/>
        </w:rPr>
        <w:t>Principales socios comerciales de productos agrícolas</w:t>
      </w:r>
    </w:p>
    <w:p w:rsidR="007E482E" w:rsidRDefault="007E482E" w:rsidP="007E482E">
      <w:pPr>
        <w:shd w:val="clear" w:color="auto" w:fill="FFFFFF"/>
        <w:spacing w:line="240" w:lineRule="auto"/>
        <w:jc w:val="both"/>
        <w:rPr>
          <w:rFonts w:ascii="Times New Roman" w:hAnsi="Times New Roman" w:cs="Times New Roman"/>
          <w:sz w:val="24"/>
          <w:szCs w:val="24"/>
        </w:rPr>
      </w:pPr>
      <w:r w:rsidRPr="00454279">
        <w:rPr>
          <w:rFonts w:ascii="Times New Roman" w:hAnsi="Times New Roman" w:cs="Times New Roman"/>
          <w:sz w:val="24"/>
          <w:szCs w:val="24"/>
        </w:rPr>
        <w:t>En 2020, el Reino Unido (consulte la sección de metodología a continuación) fue el principal dest</w:t>
      </w:r>
      <w:r>
        <w:rPr>
          <w:rFonts w:ascii="Times New Roman" w:hAnsi="Times New Roman" w:cs="Times New Roman"/>
          <w:sz w:val="24"/>
          <w:szCs w:val="24"/>
        </w:rPr>
        <w:t>ino de exportación de la UE (43.</w:t>
      </w:r>
      <w:r w:rsidRPr="00454279">
        <w:rPr>
          <w:rFonts w:ascii="Times New Roman" w:hAnsi="Times New Roman" w:cs="Times New Roman"/>
          <w:sz w:val="24"/>
          <w:szCs w:val="24"/>
        </w:rPr>
        <w:t>000 millones EUR, 23 %) y el principal origen de</w:t>
      </w:r>
      <w:r>
        <w:rPr>
          <w:rFonts w:ascii="Times New Roman" w:hAnsi="Times New Roman" w:cs="Times New Roman"/>
          <w:sz w:val="24"/>
          <w:szCs w:val="24"/>
        </w:rPr>
        <w:t xml:space="preserve"> las importaciones de la UE (17.</w:t>
      </w:r>
      <w:r w:rsidRPr="00454279">
        <w:rPr>
          <w:rFonts w:ascii="Times New Roman" w:hAnsi="Times New Roman" w:cs="Times New Roman"/>
          <w:sz w:val="24"/>
          <w:szCs w:val="24"/>
        </w:rPr>
        <w:t>000 millones EUR, 12 %) de productos agr</w:t>
      </w:r>
      <w:r>
        <w:rPr>
          <w:rFonts w:ascii="Times New Roman" w:hAnsi="Times New Roman" w:cs="Times New Roman"/>
          <w:sz w:val="24"/>
          <w:szCs w:val="24"/>
        </w:rPr>
        <w:t xml:space="preserve">ícolas (consulte la Figura 9). </w:t>
      </w:r>
    </w:p>
    <w:p w:rsidR="007E482E" w:rsidRDefault="007E482E" w:rsidP="007E482E">
      <w:pPr>
        <w:shd w:val="clear" w:color="auto" w:fill="FFFFFF"/>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rPr>
        <w:t xml:space="preserve">                    </w:t>
      </w:r>
      <w:r>
        <w:rPr>
          <w:noProof/>
          <w:lang w:eastAsia="es-ES"/>
        </w:rPr>
        <w:drawing>
          <wp:inline distT="0" distB="0" distL="0" distR="0" wp14:anchorId="0812CDB7" wp14:editId="546A8E9D">
            <wp:extent cx="4762500" cy="2432050"/>
            <wp:effectExtent l="0" t="0" r="0" b="6350"/>
            <wp:docPr id="139" name="Imagen 139" descr="https://ec.europa.eu/eurostat/statistics-explained/images/thumb/8/8c/EU_exports_and_imports_of_agricultural_products_by_main_partner%2C_2020_update.png/500px-EU_exports_and_imports_of_agricultural_products_by_main_partner%2C_2020_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ec.europa.eu/eurostat/statistics-explained/images/thumb/8/8c/EU_exports_and_imports_of_agricultural_products_by_main_partner%2C_2020_update.png/500px-EU_exports_and_imports_of_agricultural_products_by_main_partner%2C_2020_update.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762500" cy="2432050"/>
                    </a:xfrm>
                    <a:prstGeom prst="rect">
                      <a:avLst/>
                    </a:prstGeom>
                    <a:noFill/>
                    <a:ln>
                      <a:noFill/>
                    </a:ln>
                  </pic:spPr>
                </pic:pic>
              </a:graphicData>
            </a:graphic>
          </wp:inline>
        </w:drawing>
      </w:r>
      <w:r w:rsidRPr="00454279">
        <w:rPr>
          <w:rFonts w:ascii="Times New Roman" w:hAnsi="Times New Roman" w:cs="Times New Roman"/>
          <w:sz w:val="24"/>
          <w:szCs w:val="24"/>
          <w:shd w:val="clear" w:color="auto" w:fill="FFFFFF"/>
        </w:rPr>
        <w:t>Figura 9: Exportaciones e importaciones de la UE de productos agrícolas por socio principal, 2020</w:t>
      </w:r>
    </w:p>
    <w:p w:rsidR="007E482E"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2020, China (10.</w:t>
      </w:r>
      <w:r w:rsidRPr="00454279">
        <w:rPr>
          <w:rFonts w:ascii="Times New Roman" w:hAnsi="Times New Roman" w:cs="Times New Roman"/>
          <w:sz w:val="24"/>
          <w:szCs w:val="24"/>
        </w:rPr>
        <w:t>000 millones de euros, 23 %) fue el principal destino de exportación de productos animales de</w:t>
      </w:r>
      <w:r>
        <w:rPr>
          <w:rFonts w:ascii="Times New Roman" w:hAnsi="Times New Roman" w:cs="Times New Roman"/>
          <w:sz w:val="24"/>
          <w:szCs w:val="24"/>
        </w:rPr>
        <w:t xml:space="preserve"> la UE, mientras que Noruega (6.</w:t>
      </w:r>
      <w:r w:rsidRPr="00454279">
        <w:rPr>
          <w:rFonts w:ascii="Times New Roman" w:hAnsi="Times New Roman" w:cs="Times New Roman"/>
          <w:sz w:val="24"/>
          <w:szCs w:val="24"/>
        </w:rPr>
        <w:t>000 millones de euros, 22 %) fue el principal origen de las importaciones de la UE, principalmente debido a las importaciones de productos pesqueros (véase la Figura 10).</w:t>
      </w:r>
    </w:p>
    <w:p w:rsidR="007E482E"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0A8D6468" wp14:editId="6D51A8CB">
            <wp:extent cx="4762500" cy="2990850"/>
            <wp:effectExtent l="0" t="0" r="0" b="0"/>
            <wp:docPr id="140" name="Imagen 140" descr="https://ec.europa.eu/eurostat/statistics-explained/images/thumb/2/2f/EU_exports_and_imports_of_animal_products_by_main_partner%2C_2020_update.png/500px-EU_exports_and_imports_of_animal_products_by_main_partner%2C_2020_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c.europa.eu/eurostat/statistics-explained/images/thumb/2/2f/EU_exports_and_imports_of_animal_products_by_main_partner%2C_2020_update.png/500px-EU_exports_and_imports_of_animal_products_by_main_partner%2C_2020_update.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762500" cy="2990850"/>
                    </a:xfrm>
                    <a:prstGeom prst="rect">
                      <a:avLst/>
                    </a:prstGeom>
                    <a:noFill/>
                    <a:ln>
                      <a:noFill/>
                    </a:ln>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454279">
        <w:rPr>
          <w:rFonts w:ascii="Times New Roman" w:hAnsi="Times New Roman" w:cs="Times New Roman"/>
          <w:sz w:val="24"/>
          <w:szCs w:val="24"/>
        </w:rPr>
        <w:t>Figura 10: Exportaciones e importaciones de la UE de productos animales por socio principal, 2020</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En 2020, el Reino Unido (10.</w:t>
      </w:r>
      <w:r w:rsidRPr="00454279">
        <w:rPr>
          <w:rFonts w:ascii="Times New Roman" w:hAnsi="Times New Roman" w:cs="Times New Roman"/>
          <w:sz w:val="24"/>
          <w:szCs w:val="24"/>
        </w:rPr>
        <w:t>000 millones de euros, 23 %) fue el principal destino de exportación de productos vegetales de la UE, mientras que Brasil y Estados Unidos (ambos 6 000 millones de euros, 9 %) fueron los principales orígenes de las importaciones d</w:t>
      </w:r>
      <w:r>
        <w:rPr>
          <w:rFonts w:ascii="Times New Roman" w:hAnsi="Times New Roman" w:cs="Times New Roman"/>
          <w:sz w:val="24"/>
          <w:szCs w:val="24"/>
        </w:rPr>
        <w:t xml:space="preserve">e la UE (véase la figura 11). </w:t>
      </w:r>
    </w:p>
    <w:p w:rsidR="007E482E" w:rsidRPr="00454279"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2C3FAE47" wp14:editId="220DACBE">
            <wp:extent cx="4762500" cy="3003550"/>
            <wp:effectExtent l="0" t="0" r="0" b="6350"/>
            <wp:docPr id="142" name="Imagen 142" descr="https://ec.europa.eu/eurostat/statistics-explained/images/thumb/2/29/EU_exports_and_imports_of_vegetable_products_by_main_partner%2C_2020_update.png/500px-EU_exports_and_imports_of_vegetable_products_by_main_partner%2C_2020_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ec.europa.eu/eurostat/statistics-explained/images/thumb/2/29/EU_exports_and_imports_of_vegetable_products_by_main_partner%2C_2020_update.png/500px-EU_exports_and_imports_of_vegetable_products_by_main_partner%2C_2020_update.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762500" cy="3003550"/>
                    </a:xfrm>
                    <a:prstGeom prst="rect">
                      <a:avLst/>
                    </a:prstGeom>
                    <a:noFill/>
                    <a:ln>
                      <a:noFill/>
                    </a:ln>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454279">
        <w:rPr>
          <w:rFonts w:ascii="Times New Roman" w:hAnsi="Times New Roman" w:cs="Times New Roman"/>
          <w:sz w:val="24"/>
          <w:szCs w:val="24"/>
        </w:rPr>
        <w:t>Figura 11: Exportaciones e importaciones de la UE de productos vegetales por socio principal, 2020</w:t>
      </w:r>
    </w:p>
    <w:p w:rsidR="007E482E" w:rsidRDefault="007E482E" w:rsidP="007E482E">
      <w:pPr>
        <w:spacing w:line="240" w:lineRule="auto"/>
        <w:jc w:val="both"/>
        <w:rPr>
          <w:rFonts w:ascii="Times New Roman" w:hAnsi="Times New Roman" w:cs="Times New Roman"/>
          <w:sz w:val="24"/>
          <w:szCs w:val="24"/>
        </w:rPr>
      </w:pPr>
      <w:r w:rsidRPr="00454279">
        <w:rPr>
          <w:rFonts w:ascii="Times New Roman" w:hAnsi="Times New Roman" w:cs="Times New Roman"/>
          <w:sz w:val="24"/>
          <w:szCs w:val="24"/>
        </w:rPr>
        <w:lastRenderedPageBreak/>
        <w:t>En 2020, el Reino Unido fue tanto el principal destino de las exportac</w:t>
      </w:r>
      <w:r>
        <w:rPr>
          <w:rFonts w:ascii="Times New Roman" w:hAnsi="Times New Roman" w:cs="Times New Roman"/>
          <w:sz w:val="24"/>
          <w:szCs w:val="24"/>
        </w:rPr>
        <w:t>iones de la UE (24.</w:t>
      </w:r>
      <w:r w:rsidRPr="00454279">
        <w:rPr>
          <w:rFonts w:ascii="Times New Roman" w:hAnsi="Times New Roman" w:cs="Times New Roman"/>
          <w:sz w:val="24"/>
          <w:szCs w:val="24"/>
        </w:rPr>
        <w:t>000 millones EUR, el 24 %) como el principal</w:t>
      </w:r>
      <w:r>
        <w:rPr>
          <w:rFonts w:ascii="Times New Roman" w:hAnsi="Times New Roman" w:cs="Times New Roman"/>
          <w:sz w:val="24"/>
          <w:szCs w:val="24"/>
        </w:rPr>
        <w:t xml:space="preserve"> origen de las importaciones (6.</w:t>
      </w:r>
      <w:r w:rsidRPr="00454279">
        <w:rPr>
          <w:rFonts w:ascii="Times New Roman" w:hAnsi="Times New Roman" w:cs="Times New Roman"/>
          <w:sz w:val="24"/>
          <w:szCs w:val="24"/>
        </w:rPr>
        <w:t>000 millones EUR, el 13 %) de productos alimenticios (véase la figura 12).</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ab/>
        <w:t xml:space="preserve">    </w:t>
      </w:r>
      <w:r>
        <w:rPr>
          <w:noProof/>
          <w:lang w:eastAsia="es-ES"/>
        </w:rPr>
        <w:drawing>
          <wp:inline distT="0" distB="0" distL="0" distR="0" wp14:anchorId="043CC97A" wp14:editId="2B09FACE">
            <wp:extent cx="4762500" cy="3003550"/>
            <wp:effectExtent l="0" t="0" r="0" b="6350"/>
            <wp:docPr id="143" name="Imagen 143" descr="https://ec.europa.eu/eurostat/statistics-explained/images/thumb/8/85/EU_exports_and_imports_of_foodstuffs_by_main_partner%2C_2020_update.png/500px-EU_exports_and_imports_of_foodstuffs_by_main_partner%2C_2020_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ec.europa.eu/eurostat/statistics-explained/images/thumb/8/85/EU_exports_and_imports_of_foodstuffs_by_main_partner%2C_2020_update.png/500px-EU_exports_and_imports_of_foodstuffs_by_main_partner%2C_2020_update.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762500" cy="300355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sidRPr="007E46FC">
        <w:rPr>
          <w:rFonts w:ascii="Times New Roman" w:hAnsi="Times New Roman" w:cs="Times New Roman"/>
          <w:sz w:val="24"/>
          <w:szCs w:val="24"/>
        </w:rPr>
        <w:t>Figura 12: Exportaciones e importaciones de productos alimenticios de la UE por socio principal, 2020</w:t>
      </w:r>
    </w:p>
    <w:p w:rsidR="00B4374C" w:rsidRDefault="00B4374C" w:rsidP="007E482E">
      <w:pPr>
        <w:spacing w:line="240" w:lineRule="auto"/>
        <w:jc w:val="both"/>
        <w:rPr>
          <w:rFonts w:ascii="Times New Roman" w:hAnsi="Times New Roman" w:cs="Times New Roman"/>
          <w:sz w:val="24"/>
          <w:szCs w:val="24"/>
        </w:rPr>
      </w:pPr>
    </w:p>
    <w:p w:rsidR="007E482E" w:rsidRPr="00B4374C" w:rsidRDefault="007E482E" w:rsidP="007E482E">
      <w:pPr>
        <w:spacing w:line="240" w:lineRule="auto"/>
        <w:jc w:val="both"/>
        <w:rPr>
          <w:rFonts w:ascii="Times New Roman" w:hAnsi="Times New Roman" w:cs="Times New Roman"/>
          <w:b/>
          <w:sz w:val="24"/>
          <w:szCs w:val="24"/>
          <w:lang w:val="en-US"/>
        </w:rPr>
      </w:pPr>
      <w:r w:rsidRPr="00B4374C">
        <w:rPr>
          <w:rFonts w:ascii="Times New Roman" w:hAnsi="Times New Roman" w:cs="Times New Roman"/>
          <w:b/>
          <w:sz w:val="24"/>
          <w:szCs w:val="24"/>
          <w:lang w:val="en-US"/>
        </w:rPr>
        <w:t>Información complementaria</w:t>
      </w:r>
    </w:p>
    <w:p w:rsidR="007E482E" w:rsidRPr="00F71162" w:rsidRDefault="007E482E" w:rsidP="007E482E">
      <w:pPr>
        <w:spacing w:line="240" w:lineRule="auto"/>
        <w:jc w:val="both"/>
        <w:rPr>
          <w:rFonts w:ascii="Times New Roman" w:hAnsi="Times New Roman" w:cs="Times New Roman"/>
          <w:sz w:val="24"/>
          <w:szCs w:val="24"/>
          <w:u w:val="single"/>
          <w:lang w:val="en-US"/>
        </w:rPr>
      </w:pPr>
      <w:r>
        <w:rPr>
          <w:noProof/>
          <w:lang w:eastAsia="es-ES"/>
        </w:rPr>
        <w:drawing>
          <wp:inline distT="0" distB="0" distL="0" distR="0" wp14:anchorId="570DBBB9" wp14:editId="44E79959">
            <wp:extent cx="5728588" cy="3086100"/>
            <wp:effectExtent l="0" t="0" r="5715" b="0"/>
            <wp:docPr id="160" name="Imagen 160" descr="Archivo:Exportaciones de la UE por grupo de productos, 2010 y 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rchivo:Exportaciones de la UE por grupo de productos, 2010 y 2020.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31510" cy="3087674"/>
                    </a:xfrm>
                    <a:prstGeom prst="rect">
                      <a:avLst/>
                    </a:prstGeom>
                    <a:noFill/>
                    <a:ln>
                      <a:noFill/>
                    </a:ln>
                  </pic:spPr>
                </pic:pic>
              </a:graphicData>
            </a:graphic>
          </wp:inline>
        </w:drawing>
      </w:r>
    </w:p>
    <w:p w:rsidR="007E482E" w:rsidRPr="008A1503" w:rsidRDefault="007E482E" w:rsidP="007E482E">
      <w:pPr>
        <w:spacing w:line="240" w:lineRule="auto"/>
        <w:jc w:val="both"/>
        <w:rPr>
          <w:rFonts w:ascii="Times New Roman" w:hAnsi="Times New Roman" w:cs="Times New Roman"/>
          <w:sz w:val="24"/>
          <w:szCs w:val="24"/>
          <w:u w:val="single"/>
          <w:lang w:val="en-US"/>
        </w:rPr>
      </w:pPr>
      <w:r>
        <w:rPr>
          <w:noProof/>
          <w:lang w:eastAsia="es-ES"/>
        </w:rPr>
        <w:lastRenderedPageBreak/>
        <w:drawing>
          <wp:inline distT="0" distB="0" distL="0" distR="0" wp14:anchorId="151B284B" wp14:editId="4DE594E5">
            <wp:extent cx="5727700" cy="3003550"/>
            <wp:effectExtent l="0" t="0" r="6350" b="6350"/>
            <wp:docPr id="161" name="Imagen 161" descr="File:EU imports by products group, 2010 and 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le:EU imports by products group, 2010 and 2020.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31510" cy="3005548"/>
                    </a:xfrm>
                    <a:prstGeom prst="rect">
                      <a:avLst/>
                    </a:prstGeom>
                    <a:noFill/>
                    <a:ln>
                      <a:noFill/>
                    </a:ln>
                  </pic:spPr>
                </pic:pic>
              </a:graphicData>
            </a:graphic>
          </wp:inline>
        </w:drawing>
      </w:r>
    </w:p>
    <w:p w:rsidR="007E482E" w:rsidRPr="00617B10" w:rsidRDefault="007E482E" w:rsidP="007E482E">
      <w:pPr>
        <w:shd w:val="clear" w:color="auto" w:fill="FFFFFF"/>
        <w:spacing w:line="240" w:lineRule="auto"/>
        <w:jc w:val="both"/>
        <w:rPr>
          <w:rFonts w:ascii="Times New Roman" w:hAnsi="Times New Roman" w:cs="Times New Roman"/>
          <w:sz w:val="24"/>
          <w:szCs w:val="24"/>
          <w:u w:val="single"/>
        </w:rPr>
      </w:pPr>
      <w:r w:rsidRPr="00617B10">
        <w:rPr>
          <w:rFonts w:ascii="Times New Roman" w:hAnsi="Times New Roman" w:cs="Times New Roman"/>
          <w:sz w:val="24"/>
          <w:szCs w:val="24"/>
          <w:u w:val="single"/>
        </w:rPr>
        <w:t>Comercio de la UE por principales grupos de productos</w:t>
      </w:r>
    </w:p>
    <w:p w:rsidR="007E482E" w:rsidRPr="00617B10" w:rsidRDefault="007E482E" w:rsidP="007E482E">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Las dos figuras anteriores</w:t>
      </w:r>
      <w:r w:rsidRPr="00617B10">
        <w:rPr>
          <w:rFonts w:ascii="Times New Roman" w:hAnsi="Times New Roman" w:cs="Times New Roman"/>
          <w:sz w:val="24"/>
          <w:szCs w:val="24"/>
        </w:rPr>
        <w:t xml:space="preserve"> muestran las exportaciones e importaciones por grupo de productos. Los productos primarios (alimentos y bebidas, materias primas y energía) se muestran en color rojo, mientras que los productos manufacturados (productos químicos, maquinaria y vehículos y otros bienes manufactura</w:t>
      </w:r>
      <w:r>
        <w:rPr>
          <w:rFonts w:ascii="Times New Roman" w:hAnsi="Times New Roman" w:cs="Times New Roman"/>
          <w:sz w:val="24"/>
          <w:szCs w:val="24"/>
        </w:rPr>
        <w:t>dos) se muestran en color azul.</w:t>
      </w:r>
    </w:p>
    <w:p w:rsidR="007E482E" w:rsidRDefault="007E482E" w:rsidP="007E482E">
      <w:pPr>
        <w:shd w:val="clear" w:color="auto" w:fill="FFFFFF"/>
        <w:spacing w:line="240" w:lineRule="auto"/>
        <w:jc w:val="both"/>
        <w:rPr>
          <w:rFonts w:ascii="Times New Roman" w:hAnsi="Times New Roman" w:cs="Times New Roman"/>
          <w:sz w:val="24"/>
          <w:szCs w:val="24"/>
        </w:rPr>
      </w:pPr>
      <w:r w:rsidRPr="00617B10">
        <w:rPr>
          <w:rFonts w:ascii="Times New Roman" w:hAnsi="Times New Roman" w:cs="Times New Roman"/>
          <w:sz w:val="24"/>
          <w:szCs w:val="24"/>
        </w:rPr>
        <w:t>La UE exporta principalmente productos manufacturados: tanto en 2010 como en 2020, su participación superó el 80 % de las exportaciones totales de la UE (véase la figura 6). Dentro de este grupo, la maquinaria y los vehículos representaron el 42 % de las exportaciones totales en 2010, cayendo levemente al 39 % en 2020. En 2020, otros productos manufacturados representaron el 22 % y los productos químicos el 21 %. Los productos primarios representaron el 15 % de las exportaciones totales. Esta categoría está compuesta por alimentos y bebidas (9 %), productos energéticos y materias primas (ambos 3 %).</w:t>
      </w:r>
    </w:p>
    <w:p w:rsidR="007E482E" w:rsidRDefault="007E482E" w:rsidP="007E482E">
      <w:pPr>
        <w:shd w:val="clear" w:color="auto" w:fill="FFFFFF"/>
        <w:spacing w:line="240" w:lineRule="auto"/>
        <w:jc w:val="both"/>
        <w:rPr>
          <w:rFonts w:ascii="Times New Roman" w:hAnsi="Times New Roman" w:cs="Times New Roman"/>
          <w:sz w:val="24"/>
          <w:szCs w:val="24"/>
        </w:rPr>
      </w:pPr>
      <w:r w:rsidRPr="00617B10">
        <w:rPr>
          <w:rFonts w:ascii="Times New Roman" w:hAnsi="Times New Roman" w:cs="Times New Roman"/>
          <w:sz w:val="24"/>
          <w:szCs w:val="24"/>
        </w:rPr>
        <w:t>La mayoría de las importaciones de la UE también son product</w:t>
      </w:r>
      <w:r>
        <w:rPr>
          <w:rFonts w:ascii="Times New Roman" w:hAnsi="Times New Roman" w:cs="Times New Roman"/>
          <w:sz w:val="24"/>
          <w:szCs w:val="24"/>
        </w:rPr>
        <w:t>os manufacturados</w:t>
      </w:r>
      <w:r w:rsidRPr="00617B10">
        <w:rPr>
          <w:rFonts w:ascii="Times New Roman" w:hAnsi="Times New Roman" w:cs="Times New Roman"/>
          <w:sz w:val="24"/>
          <w:szCs w:val="24"/>
        </w:rPr>
        <w:t>. Su participación en las importaciones totales de la UE aumentó del 63 % en 2010 al 74 % en 2020. El desglose difiere de las exportaciones: maquinaria y vehículos (34 %) y productos químicos (14 %) tienen una participación menor, mientras que la participación de otros productos manufacturados (26 %) es ligeramente superior al de las exportaciones. La participación de la energía en las importaciones ha disminuido significativamente en los últimos años. En 2010 representó el 25 % de las importaciones, mientras que en 2020 la participación se redujo al 13 %. Esta disminución está estrechamente relacionada con la caída del precio del petróleo en este período.</w:t>
      </w:r>
    </w:p>
    <w:p w:rsidR="00F93456" w:rsidRDefault="00F93456" w:rsidP="007E482E">
      <w:pPr>
        <w:shd w:val="clear" w:color="auto" w:fill="FFFFFF"/>
        <w:spacing w:line="240" w:lineRule="auto"/>
        <w:jc w:val="both"/>
        <w:rPr>
          <w:rFonts w:ascii="Times New Roman" w:hAnsi="Times New Roman" w:cs="Times New Roman"/>
          <w:sz w:val="24"/>
          <w:szCs w:val="24"/>
        </w:rPr>
      </w:pPr>
    </w:p>
    <w:p w:rsidR="00F93456" w:rsidRDefault="00F93456" w:rsidP="007E482E">
      <w:pPr>
        <w:shd w:val="clear" w:color="auto" w:fill="FFFFFF"/>
        <w:spacing w:line="240" w:lineRule="auto"/>
        <w:jc w:val="both"/>
        <w:rPr>
          <w:rFonts w:ascii="Times New Roman" w:hAnsi="Times New Roman" w:cs="Times New Roman"/>
          <w:sz w:val="24"/>
          <w:szCs w:val="24"/>
        </w:rPr>
      </w:pPr>
    </w:p>
    <w:p w:rsidR="00F93456" w:rsidRDefault="00F93456" w:rsidP="007E482E">
      <w:pPr>
        <w:shd w:val="clear" w:color="auto" w:fill="FFFFFF"/>
        <w:spacing w:line="240" w:lineRule="auto"/>
        <w:jc w:val="both"/>
        <w:rPr>
          <w:rFonts w:ascii="Times New Roman" w:hAnsi="Times New Roman" w:cs="Times New Roman"/>
          <w:sz w:val="24"/>
          <w:szCs w:val="24"/>
        </w:rPr>
      </w:pPr>
    </w:p>
    <w:p w:rsidR="00F93456" w:rsidRDefault="00F93456" w:rsidP="007E482E">
      <w:pPr>
        <w:shd w:val="clear" w:color="auto" w:fill="FFFFFF"/>
        <w:spacing w:line="240" w:lineRule="auto"/>
        <w:jc w:val="both"/>
        <w:rPr>
          <w:rFonts w:ascii="Times New Roman" w:hAnsi="Times New Roman" w:cs="Times New Roman"/>
          <w:sz w:val="24"/>
          <w:szCs w:val="24"/>
        </w:rPr>
      </w:pPr>
    </w:p>
    <w:p w:rsidR="00F93456" w:rsidRDefault="00F93456" w:rsidP="007E482E">
      <w:pPr>
        <w:shd w:val="clear" w:color="auto" w:fill="FFFFFF"/>
        <w:spacing w:line="240" w:lineRule="auto"/>
        <w:jc w:val="both"/>
        <w:rPr>
          <w:rFonts w:ascii="Times New Roman" w:hAnsi="Times New Roman" w:cs="Times New Roman"/>
          <w:sz w:val="24"/>
          <w:szCs w:val="24"/>
        </w:rPr>
      </w:pPr>
    </w:p>
    <w:p w:rsidR="00F93456" w:rsidRDefault="00F93456" w:rsidP="007E482E">
      <w:pPr>
        <w:shd w:val="clear" w:color="auto" w:fill="FFFFFF"/>
        <w:spacing w:line="240" w:lineRule="auto"/>
        <w:jc w:val="both"/>
        <w:rPr>
          <w:rFonts w:ascii="Times New Roman" w:hAnsi="Times New Roman" w:cs="Times New Roman"/>
          <w:sz w:val="24"/>
          <w:szCs w:val="24"/>
        </w:rPr>
      </w:pPr>
    </w:p>
    <w:p w:rsidR="00F93456" w:rsidRDefault="00F93456" w:rsidP="007E482E">
      <w:pPr>
        <w:shd w:val="clear" w:color="auto" w:fill="FFFFFF"/>
        <w:spacing w:line="240" w:lineRule="auto"/>
        <w:jc w:val="both"/>
        <w:rPr>
          <w:rFonts w:ascii="Times New Roman" w:hAnsi="Times New Roman" w:cs="Times New Roman"/>
          <w:sz w:val="24"/>
          <w:szCs w:val="24"/>
        </w:rPr>
      </w:pPr>
    </w:p>
    <w:p w:rsidR="007E482E" w:rsidRDefault="007E482E" w:rsidP="007E482E">
      <w:pPr>
        <w:shd w:val="clear" w:color="auto" w:fill="FFFFFF"/>
        <w:spacing w:line="240" w:lineRule="auto"/>
        <w:jc w:val="both"/>
        <w:rPr>
          <w:rFonts w:ascii="Times New Roman" w:hAnsi="Times New Roman" w:cs="Times New Roman"/>
          <w:sz w:val="24"/>
          <w:szCs w:val="24"/>
        </w:rPr>
      </w:pPr>
      <w:r w:rsidRPr="00617B10">
        <w:rPr>
          <w:rFonts w:ascii="Times New Roman" w:hAnsi="Times New Roman" w:cs="Times New Roman"/>
          <w:noProof/>
          <w:sz w:val="24"/>
          <w:szCs w:val="24"/>
          <w:lang w:eastAsia="es-ES"/>
        </w:rPr>
        <w:drawing>
          <wp:inline distT="0" distB="0" distL="0" distR="0" wp14:anchorId="2735AC98" wp14:editId="512AFE09">
            <wp:extent cx="5733915" cy="3321050"/>
            <wp:effectExtent l="0" t="0" r="635"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3319657"/>
                    </a:xfrm>
                    <a:prstGeom prst="rect">
                      <a:avLst/>
                    </a:prstGeom>
                  </pic:spPr>
                </pic:pic>
              </a:graphicData>
            </a:graphic>
          </wp:inline>
        </w:drawing>
      </w:r>
    </w:p>
    <w:p w:rsidR="00F93456" w:rsidRDefault="00F93456" w:rsidP="007E482E">
      <w:pPr>
        <w:shd w:val="clear" w:color="auto" w:fill="FFFFFF"/>
        <w:spacing w:line="240" w:lineRule="auto"/>
        <w:jc w:val="both"/>
        <w:rPr>
          <w:rFonts w:ascii="Times New Roman" w:hAnsi="Times New Roman" w:cs="Times New Roman"/>
          <w:sz w:val="24"/>
          <w:szCs w:val="24"/>
        </w:rPr>
      </w:pPr>
    </w:p>
    <w:p w:rsidR="00F93456" w:rsidRDefault="00F93456" w:rsidP="007E482E">
      <w:pPr>
        <w:shd w:val="clear" w:color="auto" w:fill="FFFFFF"/>
        <w:spacing w:line="240" w:lineRule="auto"/>
        <w:jc w:val="both"/>
        <w:rPr>
          <w:rFonts w:ascii="Times New Roman" w:hAnsi="Times New Roman" w:cs="Times New Roman"/>
          <w:sz w:val="24"/>
          <w:szCs w:val="24"/>
        </w:rPr>
      </w:pPr>
    </w:p>
    <w:p w:rsidR="007E482E" w:rsidRDefault="007E482E" w:rsidP="007E482E">
      <w:pPr>
        <w:shd w:val="clear" w:color="auto" w:fill="FFFFFF"/>
        <w:spacing w:line="240" w:lineRule="auto"/>
        <w:jc w:val="both"/>
        <w:rPr>
          <w:rFonts w:ascii="Times New Roman" w:hAnsi="Times New Roman" w:cs="Times New Roman"/>
          <w:sz w:val="24"/>
          <w:szCs w:val="24"/>
        </w:rPr>
      </w:pPr>
      <w:r w:rsidRPr="00617B10">
        <w:rPr>
          <w:rFonts w:ascii="Times New Roman" w:hAnsi="Times New Roman" w:cs="Times New Roman"/>
          <w:noProof/>
          <w:sz w:val="24"/>
          <w:szCs w:val="24"/>
          <w:lang w:eastAsia="es-ES"/>
        </w:rPr>
        <w:drawing>
          <wp:inline distT="0" distB="0" distL="0" distR="0" wp14:anchorId="087431EC" wp14:editId="6CABD105">
            <wp:extent cx="5727700" cy="2921000"/>
            <wp:effectExtent l="0" t="0" r="635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2922943"/>
                    </a:xfrm>
                    <a:prstGeom prst="rect">
                      <a:avLst/>
                    </a:prstGeom>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p>
    <w:p w:rsidR="007E482E" w:rsidRDefault="007E482E" w:rsidP="007E482E">
      <w:pPr>
        <w:shd w:val="clear" w:color="auto" w:fill="FFFFFF"/>
        <w:spacing w:line="240" w:lineRule="auto"/>
        <w:jc w:val="both"/>
        <w:rPr>
          <w:rFonts w:ascii="Times New Roman" w:hAnsi="Times New Roman" w:cs="Times New Roman"/>
          <w:sz w:val="24"/>
          <w:szCs w:val="24"/>
        </w:rPr>
      </w:pPr>
      <w:r w:rsidRPr="00617B10">
        <w:rPr>
          <w:rFonts w:ascii="Times New Roman" w:hAnsi="Times New Roman" w:cs="Times New Roman"/>
          <w:noProof/>
          <w:sz w:val="24"/>
          <w:szCs w:val="24"/>
          <w:lang w:eastAsia="es-ES"/>
        </w:rPr>
        <w:lastRenderedPageBreak/>
        <w:drawing>
          <wp:inline distT="0" distB="0" distL="0" distR="0" wp14:anchorId="25335EB6" wp14:editId="3EC5359F">
            <wp:extent cx="5733913" cy="2965450"/>
            <wp:effectExtent l="0" t="0" r="635" b="635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3913" cy="2965450"/>
                    </a:xfrm>
                    <a:prstGeom prst="rect">
                      <a:avLst/>
                    </a:prstGeom>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942912">
        <w:rPr>
          <w:rFonts w:ascii="Times New Roman" w:hAnsi="Times New Roman" w:cs="Times New Roman"/>
          <w:noProof/>
          <w:sz w:val="24"/>
          <w:szCs w:val="24"/>
          <w:lang w:eastAsia="es-ES"/>
        </w:rPr>
        <w:drawing>
          <wp:inline distT="0" distB="0" distL="0" distR="0" wp14:anchorId="56332F12" wp14:editId="04A1B530">
            <wp:extent cx="5734050" cy="2622550"/>
            <wp:effectExtent l="0" t="0" r="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2621388"/>
                    </a:xfrm>
                    <a:prstGeom prst="rect">
                      <a:avLst/>
                    </a:prstGeom>
                  </pic:spPr>
                </pic:pic>
              </a:graphicData>
            </a:graphic>
          </wp:inline>
        </w:drawing>
      </w:r>
    </w:p>
    <w:p w:rsidR="007E482E" w:rsidRDefault="007E482E" w:rsidP="007E482E">
      <w:pPr>
        <w:shd w:val="clear" w:color="auto" w:fill="FFFFFF"/>
        <w:spacing w:line="240" w:lineRule="auto"/>
        <w:jc w:val="both"/>
        <w:rPr>
          <w:rFonts w:ascii="Times New Roman" w:hAnsi="Times New Roman" w:cs="Times New Roman"/>
          <w:sz w:val="24"/>
          <w:szCs w:val="24"/>
        </w:rPr>
      </w:pPr>
      <w:r w:rsidRPr="00942912">
        <w:rPr>
          <w:rFonts w:ascii="Times New Roman" w:hAnsi="Times New Roman" w:cs="Times New Roman"/>
          <w:noProof/>
          <w:sz w:val="24"/>
          <w:szCs w:val="24"/>
          <w:lang w:eastAsia="es-ES"/>
        </w:rPr>
        <w:drawing>
          <wp:inline distT="0" distB="0" distL="0" distR="0" wp14:anchorId="73CEAB37" wp14:editId="5A8B4B80">
            <wp:extent cx="5727286" cy="2870200"/>
            <wp:effectExtent l="0" t="0" r="6985" b="635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2872317"/>
                    </a:xfrm>
                    <a:prstGeom prst="rect">
                      <a:avLst/>
                    </a:prstGeom>
                  </pic:spPr>
                </pic:pic>
              </a:graphicData>
            </a:graphic>
          </wp:inline>
        </w:drawing>
      </w:r>
    </w:p>
    <w:p w:rsidR="007E482E" w:rsidRPr="00516AF7" w:rsidRDefault="007E482E" w:rsidP="007E482E">
      <w:pPr>
        <w:spacing w:line="240" w:lineRule="auto"/>
        <w:jc w:val="both"/>
        <w:rPr>
          <w:rFonts w:ascii="Times New Roman" w:hAnsi="Times New Roman" w:cs="Times New Roman"/>
          <w:b/>
          <w:sz w:val="24"/>
          <w:szCs w:val="24"/>
        </w:rPr>
      </w:pPr>
      <w:r w:rsidRPr="00516AF7">
        <w:rPr>
          <w:rFonts w:ascii="Times New Roman" w:hAnsi="Times New Roman" w:cs="Times New Roman"/>
          <w:b/>
          <w:sz w:val="24"/>
          <w:szCs w:val="24"/>
        </w:rPr>
        <w:lastRenderedPageBreak/>
        <w:t>- “Fracaso total” de la planificación “</w:t>
      </w:r>
      <w:r>
        <w:rPr>
          <w:rFonts w:ascii="Times New Roman" w:hAnsi="Times New Roman" w:cs="Times New Roman"/>
          <w:b/>
          <w:sz w:val="24"/>
          <w:szCs w:val="24"/>
        </w:rPr>
        <w:t>políticamente correcta”</w:t>
      </w:r>
      <w:r w:rsidRPr="00516AF7">
        <w:rPr>
          <w:rFonts w:ascii="Times New Roman" w:hAnsi="Times New Roman" w:cs="Times New Roman"/>
          <w:b/>
          <w:sz w:val="24"/>
          <w:szCs w:val="24"/>
        </w:rPr>
        <w:t xml:space="preserve"> europea: política agraria común, pacto verde, greening, del campo a la mesa,</w:t>
      </w:r>
      <w:r>
        <w:rPr>
          <w:rFonts w:ascii="Times New Roman" w:hAnsi="Times New Roman" w:cs="Times New Roman"/>
          <w:b/>
          <w:sz w:val="24"/>
          <w:szCs w:val="24"/>
        </w:rPr>
        <w:t xml:space="preserve"> neutralidad en carbono,</w:t>
      </w:r>
      <w:r w:rsidRPr="00516AF7">
        <w:rPr>
          <w:rFonts w:ascii="Times New Roman" w:hAnsi="Times New Roman" w:cs="Times New Roman"/>
          <w:b/>
          <w:sz w:val="24"/>
          <w:szCs w:val="24"/>
        </w:rPr>
        <w:t xml:space="preserve"> energías renovables</w:t>
      </w:r>
      <w:r>
        <w:rPr>
          <w:rFonts w:ascii="Times New Roman" w:hAnsi="Times New Roman" w:cs="Times New Roman"/>
          <w:b/>
          <w:sz w:val="24"/>
          <w:szCs w:val="24"/>
        </w:rPr>
        <w:t xml:space="preserve">, taxonomía, agenda 2030, y otras sandeces, </w:t>
      </w:r>
      <w:r w:rsidRPr="00FD4F23">
        <w:rPr>
          <w:rFonts w:ascii="Times New Roman" w:hAnsi="Times New Roman" w:cs="Times New Roman"/>
          <w:b/>
          <w:sz w:val="24"/>
          <w:szCs w:val="24"/>
        </w:rPr>
        <w:t>necedad</w:t>
      </w:r>
      <w:r>
        <w:rPr>
          <w:rFonts w:ascii="Times New Roman" w:hAnsi="Times New Roman" w:cs="Times New Roman"/>
          <w:b/>
          <w:sz w:val="24"/>
          <w:szCs w:val="24"/>
        </w:rPr>
        <w:t xml:space="preserve">es, y </w:t>
      </w:r>
      <w:r w:rsidRPr="00FD4F23">
        <w:rPr>
          <w:rFonts w:ascii="Times New Roman" w:hAnsi="Times New Roman" w:cs="Times New Roman"/>
          <w:b/>
          <w:sz w:val="24"/>
          <w:szCs w:val="24"/>
        </w:rPr>
        <w:t>desatino</w:t>
      </w:r>
      <w:r>
        <w:rPr>
          <w:rFonts w:ascii="Times New Roman" w:hAnsi="Times New Roman" w:cs="Times New Roman"/>
          <w:b/>
          <w:sz w:val="24"/>
          <w:szCs w:val="24"/>
        </w:rPr>
        <w:t xml:space="preserve">s, similares </w:t>
      </w:r>
    </w:p>
    <w:p w:rsidR="007E482E" w:rsidRDefault="007E482E" w:rsidP="007E482E">
      <w:pPr>
        <w:spacing w:line="240" w:lineRule="auto"/>
        <w:jc w:val="both"/>
        <w:rPr>
          <w:rFonts w:ascii="Times New Roman" w:hAnsi="Times New Roman" w:cs="Times New Roman"/>
          <w:sz w:val="24"/>
          <w:szCs w:val="24"/>
        </w:rPr>
      </w:pPr>
      <w:r>
        <w:rPr>
          <w:noProof/>
          <w:lang w:eastAsia="es-ES"/>
        </w:rPr>
        <w:drawing>
          <wp:inline distT="0" distB="0" distL="0" distR="0" wp14:anchorId="2AFF1031" wp14:editId="161CE6F8">
            <wp:extent cx="5715000" cy="3009900"/>
            <wp:effectExtent l="0" t="0" r="0" b="0"/>
            <wp:docPr id="171" name="Imagen 171" descr="Seguidores de Vox piden la dimisión del Gobierno en distintas ciudades  españolas | Política | Agencia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guidores de Vox piden la dimisión del Gobierno en distintas ciudades  españolas | Política | Agencia EFE"/>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15000" cy="3009900"/>
                    </a:xfrm>
                    <a:prstGeom prst="rect">
                      <a:avLst/>
                    </a:prstGeom>
                    <a:noFill/>
                    <a:ln>
                      <a:noFill/>
                    </a:ln>
                  </pic:spPr>
                </pic:pic>
              </a:graphicData>
            </a:graphic>
          </wp:inline>
        </w:drawing>
      </w:r>
    </w:p>
    <w:p w:rsidR="007E482E" w:rsidRDefault="007E482E" w:rsidP="007E482E">
      <w:pPr>
        <w:spacing w:line="240" w:lineRule="auto"/>
        <w:jc w:val="both"/>
        <w:rPr>
          <w:rFonts w:ascii="Times New Roman" w:hAnsi="Times New Roman" w:cs="Times New Roman"/>
          <w:sz w:val="24"/>
          <w:szCs w:val="24"/>
        </w:rPr>
      </w:pPr>
      <w:r>
        <w:rPr>
          <w:noProof/>
          <w:lang w:eastAsia="es-ES"/>
        </w:rPr>
        <w:drawing>
          <wp:inline distT="0" distB="0" distL="0" distR="0" wp14:anchorId="3041A991" wp14:editId="6212DBB1">
            <wp:extent cx="5734049" cy="3143250"/>
            <wp:effectExtent l="0" t="0" r="635" b="0"/>
            <wp:docPr id="172" name="Imagen 172" descr="Manifestacion 20M medio r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nifestacion 20M medio rural"/>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731510" cy="3141858"/>
                    </a:xfrm>
                    <a:prstGeom prst="rect">
                      <a:avLst/>
                    </a:prstGeom>
                    <a:noFill/>
                    <a:ln>
                      <a:noFill/>
                    </a:ln>
                  </pic:spPr>
                </pic:pic>
              </a:graphicData>
            </a:graphic>
          </wp:inline>
        </w:drawing>
      </w:r>
      <w:r w:rsidRPr="0063080F">
        <w:rPr>
          <w:rFonts w:ascii="Times New Roman" w:hAnsi="Times New Roman" w:cs="Times New Roman"/>
          <w:sz w:val="24"/>
          <w:szCs w:val="24"/>
        </w:rPr>
        <w:t>Agricultores, ganadores, y cazadores de toda España protestan en defensa de un futuro para la actividad agraria y ayudas urgentes al sector para asegurar su viabilidad</w:t>
      </w:r>
      <w:r>
        <w:rPr>
          <w:rFonts w:ascii="Times New Roman" w:hAnsi="Times New Roman" w:cs="Times New Roman"/>
          <w:sz w:val="24"/>
          <w:szCs w:val="24"/>
        </w:rPr>
        <w:t xml:space="preserve"> (Madrid - </w:t>
      </w:r>
      <w:r w:rsidRPr="00516AF7">
        <w:rPr>
          <w:rFonts w:ascii="Times New Roman" w:hAnsi="Times New Roman" w:cs="Times New Roman"/>
          <w:b/>
          <w:sz w:val="24"/>
          <w:szCs w:val="24"/>
        </w:rPr>
        <w:t>20/3/22</w:t>
      </w:r>
      <w:r>
        <w:rPr>
          <w:rFonts w:ascii="Times New Roman" w:hAnsi="Times New Roman" w:cs="Times New Roman"/>
          <w:sz w:val="24"/>
          <w:szCs w:val="24"/>
        </w:rPr>
        <w:t>)</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Más de 400.000 personas (entre</w:t>
      </w:r>
      <w:r w:rsidRPr="0063080F">
        <w:rPr>
          <w:rFonts w:ascii="Times New Roman" w:hAnsi="Times New Roman" w:cs="Times New Roman"/>
          <w:sz w:val="24"/>
          <w:szCs w:val="24"/>
        </w:rPr>
        <w:t xml:space="preserve"> agricultores, ganaderos</w:t>
      </w:r>
      <w:r>
        <w:rPr>
          <w:rFonts w:ascii="Times New Roman" w:hAnsi="Times New Roman" w:cs="Times New Roman"/>
          <w:sz w:val="24"/>
          <w:szCs w:val="24"/>
        </w:rPr>
        <w:t>,</w:t>
      </w:r>
      <w:r w:rsidRPr="0063080F">
        <w:rPr>
          <w:rFonts w:ascii="Times New Roman" w:hAnsi="Times New Roman" w:cs="Times New Roman"/>
          <w:sz w:val="24"/>
          <w:szCs w:val="24"/>
        </w:rPr>
        <w:t xml:space="preserve"> y cazadores</w:t>
      </w:r>
      <w:r>
        <w:rPr>
          <w:rFonts w:ascii="Times New Roman" w:hAnsi="Times New Roman" w:cs="Times New Roman"/>
          <w:sz w:val="24"/>
          <w:szCs w:val="24"/>
        </w:rPr>
        <w:t>,</w:t>
      </w:r>
      <w:r w:rsidRPr="0063080F">
        <w:rPr>
          <w:rFonts w:ascii="Times New Roman" w:hAnsi="Times New Roman" w:cs="Times New Roman"/>
          <w:sz w:val="24"/>
          <w:szCs w:val="24"/>
        </w:rPr>
        <w:t xml:space="preserve"> procedentes de toda España</w:t>
      </w:r>
      <w:r>
        <w:rPr>
          <w:rFonts w:ascii="Times New Roman" w:hAnsi="Times New Roman" w:cs="Times New Roman"/>
          <w:sz w:val="24"/>
          <w:szCs w:val="24"/>
        </w:rPr>
        <w:t>)</w:t>
      </w:r>
      <w:r w:rsidRPr="0063080F">
        <w:rPr>
          <w:rFonts w:ascii="Times New Roman" w:hAnsi="Times New Roman" w:cs="Times New Roman"/>
          <w:sz w:val="24"/>
          <w:szCs w:val="24"/>
        </w:rPr>
        <w:t xml:space="preserve"> se han manifestado en Madrid para reivindicar un futuro </w:t>
      </w:r>
      <w:r>
        <w:rPr>
          <w:rFonts w:ascii="Times New Roman" w:hAnsi="Times New Roman" w:cs="Times New Roman"/>
          <w:sz w:val="24"/>
          <w:szCs w:val="24"/>
        </w:rPr>
        <w:t>para el mundo rural y criticar “</w:t>
      </w:r>
      <w:r w:rsidRPr="0063080F">
        <w:rPr>
          <w:rFonts w:ascii="Times New Roman" w:hAnsi="Times New Roman" w:cs="Times New Roman"/>
          <w:sz w:val="24"/>
          <w:szCs w:val="24"/>
        </w:rPr>
        <w:t>las políticas que están asfixiando al campo y las activi</w:t>
      </w:r>
      <w:r>
        <w:rPr>
          <w:rFonts w:ascii="Times New Roman" w:hAnsi="Times New Roman" w:cs="Times New Roman"/>
          <w:sz w:val="24"/>
          <w:szCs w:val="24"/>
        </w:rPr>
        <w:t>dades y costumbres ligadas a él”. Bajo el lema “</w:t>
      </w:r>
      <w:r w:rsidRPr="0063080F">
        <w:rPr>
          <w:rFonts w:ascii="Times New Roman" w:hAnsi="Times New Roman" w:cs="Times New Roman"/>
          <w:sz w:val="24"/>
          <w:szCs w:val="24"/>
        </w:rPr>
        <w:t>El mun</w:t>
      </w:r>
      <w:r>
        <w:rPr>
          <w:rFonts w:ascii="Times New Roman" w:hAnsi="Times New Roman" w:cs="Times New Roman"/>
          <w:sz w:val="24"/>
          <w:szCs w:val="24"/>
        </w:rPr>
        <w:t>do rural despierta”, dieron muestra del hartazgo del mundo rural.</w:t>
      </w:r>
    </w:p>
    <w:p w:rsidR="007E482E" w:rsidRDefault="007E482E" w:rsidP="007E482E">
      <w:pPr>
        <w:spacing w:line="240" w:lineRule="auto"/>
        <w:jc w:val="both"/>
        <w:rPr>
          <w:rFonts w:ascii="Times New Roman" w:hAnsi="Times New Roman" w:cs="Times New Roman"/>
          <w:sz w:val="24"/>
          <w:szCs w:val="24"/>
        </w:rPr>
      </w:pPr>
      <w:r w:rsidRPr="00107A4D">
        <w:rPr>
          <w:rFonts w:ascii="Times New Roman" w:hAnsi="Times New Roman" w:cs="Times New Roman"/>
          <w:sz w:val="24"/>
          <w:szCs w:val="24"/>
        </w:rPr>
        <w:t xml:space="preserve">El concepto de soberanía alimentaria supone una crítica al actual sistema neoliberal y una alternativa para el cambio de las políticas agrarias y alimentarias a nivel local, regional e internacional. Fue lanzado por la organización internacional Via Campesina en 1996 durante </w:t>
      </w:r>
      <w:r w:rsidRPr="00107A4D">
        <w:rPr>
          <w:rFonts w:ascii="Times New Roman" w:hAnsi="Times New Roman" w:cs="Times New Roman"/>
          <w:sz w:val="24"/>
          <w:szCs w:val="24"/>
        </w:rPr>
        <w:lastRenderedPageBreak/>
        <w:t>la Cumbre Mundial de la Alimentación de la FAO. La soberanía alimentaria pone a las personas que producen y consumen alimentos en el centro de las políticas agrarias, y apoya el derecho de los pueblos a producir sus propios alimentos de formas culturalmente adecuadas, con independencia de las condiciones de los mercados internacionales, reforzando el control local sobre el sistema alimentario.</w:t>
      </w:r>
    </w:p>
    <w:p w:rsidR="007E482E" w:rsidRPr="00107A4D" w:rsidRDefault="007E482E" w:rsidP="007E482E">
      <w:pPr>
        <w:spacing w:line="240" w:lineRule="auto"/>
        <w:jc w:val="both"/>
        <w:rPr>
          <w:rFonts w:ascii="Times New Roman" w:hAnsi="Times New Roman" w:cs="Times New Roman"/>
          <w:sz w:val="24"/>
          <w:szCs w:val="24"/>
        </w:rPr>
      </w:pPr>
      <w:r w:rsidRPr="00107A4D">
        <w:rPr>
          <w:rFonts w:ascii="Times New Roman" w:hAnsi="Times New Roman" w:cs="Times New Roman"/>
          <w:sz w:val="24"/>
          <w:szCs w:val="24"/>
        </w:rPr>
        <w:t xml:space="preserve">El concepto de sistema alimentario engloba en sí todos los actores -y las relaciones que se establecen entre ellos-, todos los recursos, todos los procesos y todas las actividades relacionados con la producción, la elaboración, la distribución, la preparación y el consumo de alimentos, así como los impactos sociales, económicos y ambientales de esos procesos y actividades. </w:t>
      </w:r>
    </w:p>
    <w:p w:rsidR="007E482E" w:rsidRPr="00107A4D" w:rsidRDefault="007E482E" w:rsidP="007E482E">
      <w:pPr>
        <w:spacing w:line="240" w:lineRule="auto"/>
        <w:jc w:val="both"/>
        <w:rPr>
          <w:rFonts w:ascii="Times New Roman" w:hAnsi="Times New Roman" w:cs="Times New Roman"/>
          <w:sz w:val="24"/>
          <w:szCs w:val="24"/>
        </w:rPr>
      </w:pPr>
      <w:r w:rsidRPr="00107A4D">
        <w:rPr>
          <w:rFonts w:ascii="Times New Roman" w:hAnsi="Times New Roman" w:cs="Times New Roman"/>
          <w:sz w:val="24"/>
          <w:szCs w:val="24"/>
        </w:rPr>
        <w:t xml:space="preserve">Para que un sistema alimentario sea considerado sostenible y justo tiene que garantizar el derecho a la alimentación, como un derecho fundamental de toda persona, y la seguridad alimentaria y nutricional para todas las personas en el momento presente de tal forma que no se pongan en riesgo las bases económicas, sociales y ambientales que permitan proporcionar seguridad alimentaria y nutrición a las generaciones futuras, y además hacerlo de forma que se garanticen unas condiciones justas para el campesinado teniendo en cuenta los principios de soberanía alimentaria y agroecología. </w:t>
      </w:r>
    </w:p>
    <w:p w:rsidR="007E482E" w:rsidRDefault="007E482E" w:rsidP="007E482E">
      <w:pPr>
        <w:spacing w:line="240" w:lineRule="auto"/>
        <w:jc w:val="both"/>
        <w:rPr>
          <w:rFonts w:ascii="Times New Roman" w:hAnsi="Times New Roman" w:cs="Times New Roman"/>
          <w:sz w:val="24"/>
          <w:szCs w:val="24"/>
        </w:rPr>
      </w:pPr>
      <w:r w:rsidRPr="00107A4D">
        <w:rPr>
          <w:rFonts w:ascii="Times New Roman" w:hAnsi="Times New Roman" w:cs="Times New Roman"/>
          <w:sz w:val="24"/>
          <w:szCs w:val="24"/>
        </w:rPr>
        <w:t>Sin embargo, los sistemas alimentarios imperantes en la actualidad no están diseñados para garantizar el derecho a la alimentación adecuada y sostenible. Al contrario, parecen estar diseñados para proveer la mayor cantidad posible de calorías, con el mejor sabor posible, al menor precio posible, pero sin preocuparse por los efectos sobre la vida, la nutrición y la salud de las personas, y el respeto y conservación del medioambiente en el actual estado de emergencia climática en el que vivimos actualmente.</w:t>
      </w:r>
    </w:p>
    <w:p w:rsidR="007E482E" w:rsidRPr="00BC4C67" w:rsidRDefault="007E482E" w:rsidP="007E482E">
      <w:pPr>
        <w:spacing w:line="240" w:lineRule="auto"/>
        <w:jc w:val="both"/>
        <w:rPr>
          <w:rFonts w:ascii="Times New Roman" w:hAnsi="Times New Roman" w:cs="Times New Roman"/>
          <w:sz w:val="24"/>
          <w:szCs w:val="24"/>
        </w:rPr>
      </w:pPr>
      <w:r w:rsidRPr="00BC4C67">
        <w:rPr>
          <w:rFonts w:ascii="Times New Roman" w:hAnsi="Times New Roman" w:cs="Times New Roman"/>
          <w:sz w:val="24"/>
          <w:szCs w:val="24"/>
        </w:rPr>
        <w:t xml:space="preserve">Frente a las declaraciones de la Organización Mundial de Comercio (OMC) de que las estrategias nacionales de seguridad alimentaria deberían basarse en el comercio internacional de alimentos debido a que éste hace posible la disponibilidad de alimentos a precios competitivos, activa incentivos económicos y da señales claras para que cada país produzca aquello en que tenga ventajas y mayor eficiencia, el ex relator de Naciones Unidas sobre el derecho humano a la alimentación, Olivier De Schutter, señaló que los Estados deberían evitar una confianza excesiva en el comercio internacional a la hora de buscar su seguridad alimentaria; en lugar de ello, deberían fortalecer su sector agrario, con especial atención en los pequeños agricultores. </w:t>
      </w:r>
    </w:p>
    <w:p w:rsidR="007E482E" w:rsidRDefault="007E482E" w:rsidP="007E482E">
      <w:pPr>
        <w:spacing w:line="240" w:lineRule="auto"/>
        <w:jc w:val="both"/>
        <w:rPr>
          <w:rFonts w:ascii="Times New Roman" w:hAnsi="Times New Roman" w:cs="Times New Roman"/>
          <w:sz w:val="24"/>
          <w:szCs w:val="24"/>
        </w:rPr>
      </w:pPr>
      <w:r w:rsidRPr="00BC4C67">
        <w:rPr>
          <w:rFonts w:ascii="Times New Roman" w:hAnsi="Times New Roman" w:cs="Times New Roman"/>
          <w:sz w:val="24"/>
          <w:szCs w:val="24"/>
        </w:rPr>
        <w:t>El comercio internacional y la globalización de los sistemas alimentarios permiten que determinados consumidores puedan tener disponible gran variedad de alimentos en cualquier época del año, aunque esto tenga un impacto negativo en los sistemas alimentarios locales y se haga a costa de aumentar la huella ecológica. Y también ha llevado a muchos consumidores a consumir más cereales, carne y productos lácteos, aceite vegetal, sal y azúcar, y menos alimentos ricos en fibra.</w:t>
      </w:r>
    </w:p>
    <w:p w:rsidR="007E482E" w:rsidRDefault="007E482E" w:rsidP="007E482E">
      <w:pPr>
        <w:spacing w:line="240" w:lineRule="auto"/>
        <w:jc w:val="both"/>
        <w:rPr>
          <w:rFonts w:ascii="Times New Roman" w:hAnsi="Times New Roman" w:cs="Times New Roman"/>
          <w:sz w:val="24"/>
          <w:szCs w:val="24"/>
        </w:rPr>
      </w:pPr>
      <w:r w:rsidRPr="00BC4C67">
        <w:rPr>
          <w:rFonts w:ascii="Times New Roman" w:hAnsi="Times New Roman" w:cs="Times New Roman"/>
          <w:sz w:val="24"/>
          <w:szCs w:val="24"/>
        </w:rPr>
        <w:t>El planteamiento que debería orientar las políticas de SAN en el futuro, por tanto, no es eliminar el comercio internacional de alimentos sino reducir la dependencia respecto al mismo, buscando unos mínimos de disponibilidad de alimentos básicos a través de producción propia de cada país para garantizar el derecho a la alimentación adecuada de todas las personas y dotar de condiciones dignas a los pequeños productores y productoras. Esto implica también desarrollar políticas que equilibren los incentivos entre producción para el mercado local y producción para el mercado global.</w:t>
      </w:r>
    </w:p>
    <w:p w:rsidR="007E482E" w:rsidRPr="00D778EC" w:rsidRDefault="007E482E" w:rsidP="007E482E">
      <w:pPr>
        <w:spacing w:line="240" w:lineRule="auto"/>
        <w:jc w:val="both"/>
        <w:rPr>
          <w:rFonts w:ascii="Times New Roman" w:hAnsi="Times New Roman" w:cs="Times New Roman"/>
          <w:sz w:val="24"/>
          <w:szCs w:val="24"/>
        </w:rPr>
      </w:pPr>
      <w:r w:rsidRPr="00D778EC">
        <w:rPr>
          <w:rFonts w:ascii="Times New Roman" w:hAnsi="Times New Roman" w:cs="Times New Roman"/>
          <w:sz w:val="24"/>
          <w:szCs w:val="24"/>
        </w:rPr>
        <w:lastRenderedPageBreak/>
        <w:t>Para La Cumbre sobre Sistemas Alimentarios convocada por Naciones Unidas (2021), el Observatorio del Derecho a la Alimentación de España, presento las siguientes reflexiones:</w:t>
      </w:r>
    </w:p>
    <w:p w:rsidR="007E482E" w:rsidRPr="00D778EC" w:rsidRDefault="007E482E" w:rsidP="007E482E">
      <w:pPr>
        <w:spacing w:line="240" w:lineRule="auto"/>
        <w:jc w:val="both"/>
        <w:rPr>
          <w:rFonts w:ascii="Times New Roman" w:hAnsi="Times New Roman" w:cs="Times New Roman"/>
          <w:sz w:val="24"/>
          <w:szCs w:val="24"/>
        </w:rPr>
      </w:pPr>
      <w:r w:rsidRPr="00D778EC">
        <w:rPr>
          <w:rFonts w:ascii="Times New Roman" w:hAnsi="Times New Roman" w:cs="Times New Roman"/>
          <w:sz w:val="24"/>
          <w:szCs w:val="24"/>
        </w:rPr>
        <w:t xml:space="preserve">Los sistemas alimentarios deben cumplir con los objetivos de la Agenda 2030, garantizar el derecho a la alimentación adecuada de todas las personas y el acceso a dietas sostenibles, entendidas éstas como dietas que contribuyen a la seguridad alimentaria y a la vida sana de las generaciones presentes y futuras, con bajo impacto ambiental, que ayudan a la protección y respeto de la biodiversidad y los ecosistemas, son culturalmente aceptables, económicamente justas, accesibles, asequibles, nutricionalmente adecuadas, inocuas y saludables, respetando la utilización justa de los recursos naturales y humanos, así como revalorizando el trabajo del sector campesino como principal proveedor de alimentos del mundo (el 70% según la FAO). Sin embargo, no lo hacen; no son los ODS, ni el derecho a la alimentación ni los criterios nutricionales y de salud o de impacto en el cambio climático los que priman a la hora de tomar las decisiones sobre la configuración de los sistemas alimentarios. </w:t>
      </w:r>
    </w:p>
    <w:p w:rsidR="007E482E" w:rsidRPr="00D778EC" w:rsidRDefault="007E482E" w:rsidP="007E482E">
      <w:pPr>
        <w:spacing w:line="240" w:lineRule="auto"/>
        <w:jc w:val="both"/>
        <w:rPr>
          <w:rFonts w:ascii="Times New Roman" w:hAnsi="Times New Roman" w:cs="Times New Roman"/>
          <w:sz w:val="24"/>
          <w:szCs w:val="24"/>
        </w:rPr>
      </w:pPr>
      <w:r w:rsidRPr="00D778EC">
        <w:rPr>
          <w:rFonts w:ascii="Times New Roman" w:hAnsi="Times New Roman" w:cs="Times New Roman"/>
          <w:sz w:val="24"/>
          <w:szCs w:val="24"/>
        </w:rPr>
        <w:t xml:space="preserve">El Panel Internacional de Expertos en sistemas alimentarios sostenibles (IPES-FOOD) aborda en uno de sus informes la compleja cuestión de la reforma de los sistemas alimentarios, que, en su opinión, requiere integrar cuestiones tan diversas como los impactos en salud y nutrición, la degradación ambiental, la situación y medios de vida de los pequeños agricultores y otros muchos factores que forman parte de problemas sistémicos más amplios. </w:t>
      </w:r>
    </w:p>
    <w:p w:rsidR="007E482E" w:rsidRPr="00D778EC" w:rsidRDefault="007E482E" w:rsidP="007E482E">
      <w:pPr>
        <w:spacing w:line="240" w:lineRule="auto"/>
        <w:jc w:val="both"/>
        <w:rPr>
          <w:rFonts w:ascii="Times New Roman" w:hAnsi="Times New Roman" w:cs="Times New Roman"/>
          <w:sz w:val="24"/>
          <w:szCs w:val="24"/>
        </w:rPr>
      </w:pPr>
      <w:r w:rsidRPr="00D778EC">
        <w:rPr>
          <w:rFonts w:ascii="Times New Roman" w:hAnsi="Times New Roman" w:cs="Times New Roman"/>
          <w:sz w:val="24"/>
          <w:szCs w:val="24"/>
        </w:rPr>
        <w:t xml:space="preserve">En el marco de los actuales sistemas alimentarios, el impulso de una alimentación saludable y sostenible requeriría una estrategia global con muy diversos componentes: </w:t>
      </w:r>
    </w:p>
    <w:p w:rsidR="007E482E" w:rsidRPr="00D778EC" w:rsidRDefault="00B4374C"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E482E" w:rsidRPr="00D778EC">
        <w:rPr>
          <w:rFonts w:ascii="Times New Roman" w:hAnsi="Times New Roman" w:cs="Times New Roman"/>
          <w:sz w:val="24"/>
          <w:szCs w:val="24"/>
        </w:rPr>
        <w:t xml:space="preserve"> Formación, a través del impulso de la educación nutricional, empezando desde las escuelas, incorporando temas de higiene y buenas prácticas de cocina. </w:t>
      </w:r>
    </w:p>
    <w:p w:rsidR="007E482E" w:rsidRPr="00D778EC" w:rsidRDefault="00B4374C"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E482E" w:rsidRPr="00D778EC">
        <w:rPr>
          <w:rFonts w:ascii="Times New Roman" w:hAnsi="Times New Roman" w:cs="Times New Roman"/>
          <w:sz w:val="24"/>
          <w:szCs w:val="24"/>
        </w:rPr>
        <w:t xml:space="preserve"> Información nutricional clara y fiable, que permita a los consumidores tomar decisiones sobre una alimentación adecuada. </w:t>
      </w:r>
    </w:p>
    <w:p w:rsidR="007E482E" w:rsidRPr="00D778EC" w:rsidRDefault="00B4374C"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E482E" w:rsidRPr="00D778EC">
        <w:rPr>
          <w:rFonts w:ascii="Times New Roman" w:hAnsi="Times New Roman" w:cs="Times New Roman"/>
          <w:sz w:val="24"/>
          <w:szCs w:val="24"/>
        </w:rPr>
        <w:t xml:space="preserve"> Regulación de las campañas publicitarias y de marketing, para evitar que incluyan mensajes falsos, distorsionados o equívocos sobre los nutrientes que componen los alimentos y sobre sus propiedades. </w:t>
      </w:r>
    </w:p>
    <w:p w:rsidR="007E482E" w:rsidRPr="00D778EC" w:rsidRDefault="00B4374C"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E482E" w:rsidRPr="00D778EC">
        <w:rPr>
          <w:rFonts w:ascii="Times New Roman" w:hAnsi="Times New Roman" w:cs="Times New Roman"/>
          <w:sz w:val="24"/>
          <w:szCs w:val="24"/>
        </w:rPr>
        <w:t xml:space="preserve"> Revisión del sistema de precios, en la medida que el vigente implica que la alimentación más sana es hasta cinco veces más cara.  </w:t>
      </w:r>
    </w:p>
    <w:p w:rsidR="007E482E" w:rsidRPr="00D778EC" w:rsidRDefault="00B4374C"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E482E" w:rsidRPr="00D778EC">
        <w:rPr>
          <w:rFonts w:ascii="Times New Roman" w:hAnsi="Times New Roman" w:cs="Times New Roman"/>
          <w:sz w:val="24"/>
          <w:szCs w:val="24"/>
        </w:rPr>
        <w:t xml:space="preserve"> Revisión de los sistemas de incentivos, específicamente a través de los impuestos y ayudas, de forma que se impongan gravámenes1 a los alimentos menos sanos para desincentivar su producción y consumo y se utilicen esos ingresos para subsidiar la producción y el consumo de alimentos más saludables. </w:t>
      </w:r>
    </w:p>
    <w:p w:rsidR="007E482E" w:rsidRPr="00D778EC" w:rsidRDefault="00B4374C"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E482E" w:rsidRPr="00D778EC">
        <w:rPr>
          <w:rFonts w:ascii="Times New Roman" w:hAnsi="Times New Roman" w:cs="Times New Roman"/>
          <w:sz w:val="24"/>
          <w:szCs w:val="24"/>
        </w:rPr>
        <w:t xml:space="preserve"> Incorporación de los criterios de buena nutrición en las políticas de compras públicas, especialmente en los programas de alimentación escolar y en otros centros públicos. − Establecimiento de límites a la utilización de grasas saturadas, sal y azúcar en los alimentos procesados. </w:t>
      </w:r>
    </w:p>
    <w:p w:rsidR="007E482E" w:rsidRPr="00D778EC" w:rsidRDefault="00B4374C"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E482E" w:rsidRPr="00D778EC">
        <w:rPr>
          <w:rFonts w:ascii="Times New Roman" w:hAnsi="Times New Roman" w:cs="Times New Roman"/>
          <w:sz w:val="24"/>
          <w:szCs w:val="24"/>
        </w:rPr>
        <w:t xml:space="preserve"> Reestructuración de la distribución, optando por cadenas más cortas. </w:t>
      </w:r>
    </w:p>
    <w:p w:rsidR="007E482E" w:rsidRDefault="00B4374C"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E482E" w:rsidRPr="00D778EC">
        <w:rPr>
          <w:rFonts w:ascii="Times New Roman" w:hAnsi="Times New Roman" w:cs="Times New Roman"/>
          <w:sz w:val="24"/>
          <w:szCs w:val="24"/>
        </w:rPr>
        <w:t xml:space="preserve"> Defensa y protección de los sistemas de producción campesina y de pequeños productores. </w:t>
      </w:r>
    </w:p>
    <w:p w:rsidR="003436AF" w:rsidRDefault="003436AF" w:rsidP="007E482E">
      <w:pPr>
        <w:spacing w:line="240" w:lineRule="auto"/>
        <w:jc w:val="both"/>
        <w:rPr>
          <w:rFonts w:ascii="Times New Roman" w:hAnsi="Times New Roman" w:cs="Times New Roman"/>
          <w:sz w:val="24"/>
          <w:szCs w:val="24"/>
        </w:rPr>
      </w:pPr>
    </w:p>
    <w:p w:rsidR="007E482E" w:rsidRPr="005D20D7" w:rsidRDefault="007E482E" w:rsidP="007E482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La PAC de la UE</w:t>
      </w:r>
      <w:r w:rsidRPr="005D20D7">
        <w:rPr>
          <w:rFonts w:ascii="Times New Roman" w:hAnsi="Times New Roman" w:cs="Times New Roman"/>
          <w:sz w:val="24"/>
          <w:szCs w:val="24"/>
          <w:u w:val="single"/>
        </w:rPr>
        <w:t xml:space="preserve"> es enemiga de la soberanía alimentaria</w:t>
      </w:r>
      <w:r>
        <w:rPr>
          <w:rFonts w:ascii="Times New Roman" w:hAnsi="Times New Roman" w:cs="Times New Roman"/>
          <w:sz w:val="24"/>
          <w:szCs w:val="24"/>
          <w:u w:val="single"/>
        </w:rPr>
        <w:t xml:space="preserve"> (hipocresía de escaparate)</w:t>
      </w:r>
    </w:p>
    <w:p w:rsidR="007E482E" w:rsidRPr="005D20D7" w:rsidRDefault="007E482E" w:rsidP="007E482E">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¿Por</w:t>
      </w:r>
      <w:r>
        <w:rPr>
          <w:rFonts w:ascii="Times New Roman" w:hAnsi="Times New Roman" w:cs="Times New Roman"/>
          <w:sz w:val="24"/>
          <w:szCs w:val="24"/>
        </w:rPr>
        <w:t xml:space="preserve"> </w:t>
      </w:r>
      <w:r w:rsidRPr="005D20D7">
        <w:rPr>
          <w:rFonts w:ascii="Times New Roman" w:hAnsi="Times New Roman" w:cs="Times New Roman"/>
          <w:sz w:val="24"/>
          <w:szCs w:val="24"/>
        </w:rPr>
        <w:t xml:space="preserve">qué se antepone el beneficio económico (de unos pocos) por </w:t>
      </w:r>
      <w:r>
        <w:rPr>
          <w:rFonts w:ascii="Times New Roman" w:hAnsi="Times New Roman" w:cs="Times New Roman"/>
          <w:sz w:val="24"/>
          <w:szCs w:val="24"/>
        </w:rPr>
        <w:t>delante de cualquier otra cosa?</w:t>
      </w:r>
    </w:p>
    <w:p w:rsidR="007E482E" w:rsidRPr="005D20D7" w:rsidRDefault="007E482E" w:rsidP="007E482E">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La Política Agraria Común (PAC) tiene como objetivo la industrialización de la agricultura para el aumento de la productividad, anteponiéndola a cualquier razón social, ecológica, territorial, de segurida</w:t>
      </w:r>
      <w:r>
        <w:rPr>
          <w:rFonts w:ascii="Times New Roman" w:hAnsi="Times New Roman" w:cs="Times New Roman"/>
          <w:sz w:val="24"/>
          <w:szCs w:val="24"/>
        </w:rPr>
        <w:t>d alimentaria y de solidaridad.</w:t>
      </w:r>
    </w:p>
    <w:p w:rsidR="007E482E" w:rsidRPr="005D20D7" w:rsidRDefault="007E482E" w:rsidP="007E482E">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En lugar de proteger la producción campesina, los mercados locales y l</w:t>
      </w:r>
      <w:r>
        <w:rPr>
          <w:rFonts w:ascii="Times New Roman" w:hAnsi="Times New Roman" w:cs="Times New Roman"/>
          <w:sz w:val="24"/>
          <w:szCs w:val="24"/>
        </w:rPr>
        <w:t>a seguridad alimentaria para los consumidores, la PAC:</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20D7">
        <w:rPr>
          <w:rFonts w:ascii="Times New Roman" w:hAnsi="Times New Roman" w:cs="Times New Roman"/>
          <w:sz w:val="24"/>
          <w:szCs w:val="24"/>
        </w:rPr>
        <w:t>favorece la producción para la exportación;</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20D7">
        <w:rPr>
          <w:rFonts w:ascii="Times New Roman" w:hAnsi="Times New Roman" w:cs="Times New Roman"/>
          <w:sz w:val="24"/>
          <w:szCs w:val="24"/>
        </w:rPr>
        <w:t>propicia un modelo de agricultura y ganadería industrial y mercantil que, bajo el acicate de la competitividad, obliga a un aumento constante de la productividad y elimina a las explotaciones menos competitivas;</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p</w:t>
      </w:r>
      <w:r w:rsidRPr="005D20D7">
        <w:rPr>
          <w:rFonts w:ascii="Times New Roman" w:hAnsi="Times New Roman" w:cs="Times New Roman"/>
          <w:sz w:val="24"/>
          <w:szCs w:val="24"/>
        </w:rPr>
        <w:t>recariza y proletariza el trabajo en el campo;</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f</w:t>
      </w:r>
      <w:r w:rsidRPr="005D20D7">
        <w:rPr>
          <w:rFonts w:ascii="Times New Roman" w:hAnsi="Times New Roman" w:cs="Times New Roman"/>
          <w:sz w:val="24"/>
          <w:szCs w:val="24"/>
        </w:rPr>
        <w:t>avorece la concentración y verticalización del sector, siendo las multinacionales agroalimentarias las que dictan las normas para la agricultura y la alimentación;</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utiliza a los agricultores y ganadero</w:t>
      </w:r>
      <w:r w:rsidRPr="005D20D7">
        <w:rPr>
          <w:rFonts w:ascii="Times New Roman" w:hAnsi="Times New Roman" w:cs="Times New Roman"/>
          <w:sz w:val="24"/>
          <w:szCs w:val="24"/>
        </w:rPr>
        <w:t>s como meros instrumentos del proceso de producción y distribución global de mercancías alimentarias, espoleando a los consumidores hacia la comida basura.</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La PAC motoriza</w:t>
      </w:r>
      <w:r w:rsidRPr="005D20D7">
        <w:rPr>
          <w:rFonts w:ascii="Times New Roman" w:hAnsi="Times New Roman" w:cs="Times New Roman"/>
          <w:sz w:val="24"/>
          <w:szCs w:val="24"/>
        </w:rPr>
        <w:t xml:space="preserve"> un modelo</w:t>
      </w:r>
      <w:r>
        <w:rPr>
          <w:rFonts w:ascii="Times New Roman" w:hAnsi="Times New Roman" w:cs="Times New Roman"/>
          <w:sz w:val="24"/>
          <w:szCs w:val="24"/>
        </w:rPr>
        <w:t xml:space="preserve"> </w:t>
      </w:r>
      <w:r w:rsidRPr="005D20D7">
        <w:rPr>
          <w:rFonts w:ascii="Times New Roman" w:hAnsi="Times New Roman" w:cs="Times New Roman"/>
          <w:sz w:val="24"/>
          <w:szCs w:val="24"/>
        </w:rPr>
        <w:t>mercantil-industrial globalizado de alimentos</w:t>
      </w:r>
      <w:r>
        <w:rPr>
          <w:rFonts w:ascii="Times New Roman" w:hAnsi="Times New Roman" w:cs="Times New Roman"/>
          <w:sz w:val="24"/>
          <w:szCs w:val="24"/>
        </w:rPr>
        <w:t>,</w:t>
      </w:r>
      <w:r w:rsidRPr="005D20D7">
        <w:rPr>
          <w:rFonts w:ascii="Times New Roman" w:hAnsi="Times New Roman" w:cs="Times New Roman"/>
          <w:sz w:val="24"/>
          <w:szCs w:val="24"/>
        </w:rPr>
        <w:t xml:space="preserve"> y sus formas de distribución y consumo, </w:t>
      </w:r>
      <w:r>
        <w:rPr>
          <w:rFonts w:ascii="Times New Roman" w:hAnsi="Times New Roman" w:cs="Times New Roman"/>
          <w:sz w:val="24"/>
          <w:szCs w:val="24"/>
        </w:rPr>
        <w:t xml:space="preserve"> bajo una óptica agroalimentaria</w:t>
      </w:r>
      <w:r w:rsidRPr="005D20D7">
        <w:rPr>
          <w:rFonts w:ascii="Times New Roman" w:hAnsi="Times New Roman" w:cs="Times New Roman"/>
          <w:sz w:val="24"/>
          <w:szCs w:val="24"/>
        </w:rPr>
        <w:t xml:space="preserve"> internacional</w:t>
      </w:r>
      <w:r>
        <w:rPr>
          <w:rFonts w:ascii="Times New Roman" w:hAnsi="Times New Roman" w:cs="Times New Roman"/>
          <w:sz w:val="24"/>
          <w:szCs w:val="24"/>
        </w:rPr>
        <w:t>.</w:t>
      </w:r>
    </w:p>
    <w:p w:rsidR="007E482E" w:rsidRPr="005D20D7" w:rsidRDefault="007E482E" w:rsidP="007E482E">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Por una vez, la Comisión Europea ha conseguido una rara unanimidad: se ha puesto en contra a todas las organizaciones profesionales agrarias y de coo</w:t>
      </w:r>
      <w:r>
        <w:rPr>
          <w:rFonts w:ascii="Times New Roman" w:hAnsi="Times New Roman" w:cs="Times New Roman"/>
          <w:sz w:val="24"/>
          <w:szCs w:val="24"/>
        </w:rPr>
        <w:t>perativas de los países miembro de la UE. En mayo de 2020 el</w:t>
      </w:r>
      <w:r w:rsidRPr="005D20D7">
        <w:rPr>
          <w:rFonts w:ascii="Times New Roman" w:hAnsi="Times New Roman" w:cs="Times New Roman"/>
          <w:sz w:val="24"/>
          <w:szCs w:val="24"/>
        </w:rPr>
        <w:t xml:space="preserve"> campo</w:t>
      </w:r>
      <w:r>
        <w:rPr>
          <w:rFonts w:ascii="Times New Roman" w:hAnsi="Times New Roman" w:cs="Times New Roman"/>
          <w:sz w:val="24"/>
          <w:szCs w:val="24"/>
        </w:rPr>
        <w:t xml:space="preserve"> </w:t>
      </w:r>
      <w:r w:rsidRPr="005D20D7">
        <w:rPr>
          <w:rFonts w:ascii="Times New Roman" w:hAnsi="Times New Roman" w:cs="Times New Roman"/>
          <w:sz w:val="24"/>
          <w:szCs w:val="24"/>
        </w:rPr>
        <w:t>europ</w:t>
      </w:r>
      <w:r>
        <w:rPr>
          <w:rFonts w:ascii="Times New Roman" w:hAnsi="Times New Roman" w:cs="Times New Roman"/>
          <w:sz w:val="24"/>
          <w:szCs w:val="24"/>
        </w:rPr>
        <w:t>eo rechazó</w:t>
      </w:r>
      <w:r w:rsidRPr="005D20D7">
        <w:rPr>
          <w:rFonts w:ascii="Times New Roman" w:hAnsi="Times New Roman" w:cs="Times New Roman"/>
          <w:sz w:val="24"/>
          <w:szCs w:val="24"/>
        </w:rPr>
        <w:t xml:space="preserve"> de plano la propuesta que acaba de lanzar Bruselas revestida con</w:t>
      </w:r>
      <w:r>
        <w:rPr>
          <w:rFonts w:ascii="Times New Roman" w:hAnsi="Times New Roman" w:cs="Times New Roman"/>
          <w:sz w:val="24"/>
          <w:szCs w:val="24"/>
        </w:rPr>
        <w:t xml:space="preserve"> los pretenciosos conceptos de “Pacto Verde” y la estrategia “De la granja a la Mesa”.</w:t>
      </w:r>
    </w:p>
    <w:p w:rsidR="007E482E" w:rsidRPr="005D20D7" w:rsidRDefault="007E482E" w:rsidP="007E482E">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Bajo tales pri</w:t>
      </w:r>
      <w:r>
        <w:rPr>
          <w:rFonts w:ascii="Times New Roman" w:hAnsi="Times New Roman" w:cs="Times New Roman"/>
          <w:sz w:val="24"/>
          <w:szCs w:val="24"/>
        </w:rPr>
        <w:t>ncipios, tan sugerentes, figuraban</w:t>
      </w:r>
      <w:r w:rsidRPr="005D20D7">
        <w:rPr>
          <w:rFonts w:ascii="Times New Roman" w:hAnsi="Times New Roman" w:cs="Times New Roman"/>
          <w:sz w:val="24"/>
          <w:szCs w:val="24"/>
        </w:rPr>
        <w:t xml:space="preserve"> los anuncios de próximas políticas encaminadas a imponer drásticas reducciones de la capacidad productiva de los agricultores y ganaderos, que lo hará caer aún más su renta</w:t>
      </w:r>
      <w:r>
        <w:rPr>
          <w:rFonts w:ascii="Times New Roman" w:hAnsi="Times New Roman" w:cs="Times New Roman"/>
          <w:sz w:val="24"/>
          <w:szCs w:val="24"/>
        </w:rPr>
        <w:t>bilidad y su viabilidad futura.</w:t>
      </w:r>
    </w:p>
    <w:p w:rsidR="007E482E" w:rsidRPr="005D20D7" w:rsidRDefault="007E482E" w:rsidP="007E482E">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Los g</w:t>
      </w:r>
      <w:r>
        <w:rPr>
          <w:rFonts w:ascii="Times New Roman" w:hAnsi="Times New Roman" w:cs="Times New Roman"/>
          <w:sz w:val="24"/>
          <w:szCs w:val="24"/>
        </w:rPr>
        <w:t>randes postulados anunciados fueron</w:t>
      </w:r>
      <w:r w:rsidRPr="005D20D7">
        <w:rPr>
          <w:rFonts w:ascii="Times New Roman" w:hAnsi="Times New Roman" w:cs="Times New Roman"/>
          <w:sz w:val="24"/>
          <w:szCs w:val="24"/>
        </w:rPr>
        <w:t xml:space="preserve"> estos: severos recortes en el listado de plaguicidas químicos (un 30% menos y restricciones de uso añadidas), reducción del 20% de los fertilizantes utilizados (en especial de nitrógeno y fósforo), obligación de destinar un 10% de la tierra cultivada a fines no </w:t>
      </w:r>
      <w:r>
        <w:rPr>
          <w:rFonts w:ascii="Times New Roman" w:hAnsi="Times New Roman" w:cs="Times New Roman"/>
          <w:sz w:val="24"/>
          <w:szCs w:val="24"/>
        </w:rPr>
        <w:t>productivos y catalogados como “</w:t>
      </w:r>
      <w:r w:rsidRPr="005D20D7">
        <w:rPr>
          <w:rFonts w:ascii="Times New Roman" w:hAnsi="Times New Roman" w:cs="Times New Roman"/>
          <w:sz w:val="24"/>
          <w:szCs w:val="24"/>
        </w:rPr>
        <w:t>elementos del paisaje</w:t>
      </w:r>
      <w:r>
        <w:rPr>
          <w:rFonts w:ascii="Times New Roman" w:hAnsi="Times New Roman" w:cs="Times New Roman"/>
          <w:sz w:val="24"/>
          <w:szCs w:val="24"/>
        </w:rPr>
        <w:t>”…</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La pretensión era</w:t>
      </w:r>
      <w:r w:rsidRPr="005D20D7">
        <w:rPr>
          <w:rFonts w:ascii="Times New Roman" w:hAnsi="Times New Roman" w:cs="Times New Roman"/>
          <w:sz w:val="24"/>
          <w:szCs w:val="24"/>
        </w:rPr>
        <w:t xml:space="preserve"> que este p</w:t>
      </w:r>
      <w:r>
        <w:rPr>
          <w:rFonts w:ascii="Times New Roman" w:hAnsi="Times New Roman" w:cs="Times New Roman"/>
          <w:sz w:val="24"/>
          <w:szCs w:val="24"/>
        </w:rPr>
        <w:t>rimer “impulso” se lograra entre 2020 y</w:t>
      </w:r>
      <w:r w:rsidRPr="005D20D7">
        <w:rPr>
          <w:rFonts w:ascii="Times New Roman" w:hAnsi="Times New Roman" w:cs="Times New Roman"/>
          <w:sz w:val="24"/>
          <w:szCs w:val="24"/>
        </w:rPr>
        <w:t xml:space="preserve"> 2030, diez años, porque para 2050 se quiere que todo sea ecológico, b</w:t>
      </w:r>
      <w:r>
        <w:rPr>
          <w:rFonts w:ascii="Times New Roman" w:hAnsi="Times New Roman" w:cs="Times New Roman"/>
          <w:sz w:val="24"/>
          <w:szCs w:val="24"/>
        </w:rPr>
        <w:t>ajo el paraguas supremo de la “</w:t>
      </w:r>
      <w:r w:rsidRPr="005D20D7">
        <w:rPr>
          <w:rFonts w:ascii="Times New Roman" w:hAnsi="Times New Roman" w:cs="Times New Roman"/>
          <w:sz w:val="24"/>
          <w:szCs w:val="24"/>
        </w:rPr>
        <w:t>descarbo</w:t>
      </w:r>
      <w:r>
        <w:rPr>
          <w:rFonts w:ascii="Times New Roman" w:hAnsi="Times New Roman" w:cs="Times New Roman"/>
          <w:sz w:val="24"/>
          <w:szCs w:val="24"/>
        </w:rPr>
        <w:t xml:space="preserve">nización de la economía europea”. Empezaban </w:t>
      </w:r>
      <w:r w:rsidRPr="005D20D7">
        <w:rPr>
          <w:rFonts w:ascii="Times New Roman" w:hAnsi="Times New Roman" w:cs="Times New Roman"/>
          <w:sz w:val="24"/>
          <w:szCs w:val="24"/>
        </w:rPr>
        <w:t>por el sector agrario, pero sin el concurso del sector agrario, ni siquiera de las autoridades agrarias. Como aqu</w:t>
      </w:r>
      <w:r>
        <w:rPr>
          <w:rFonts w:ascii="Times New Roman" w:hAnsi="Times New Roman" w:cs="Times New Roman"/>
          <w:sz w:val="24"/>
          <w:szCs w:val="24"/>
        </w:rPr>
        <w:t>ello del despotismo ilustrado: “</w:t>
      </w:r>
      <w:r w:rsidRPr="005D20D7">
        <w:rPr>
          <w:rFonts w:ascii="Times New Roman" w:hAnsi="Times New Roman" w:cs="Times New Roman"/>
          <w:sz w:val="24"/>
          <w:szCs w:val="24"/>
        </w:rPr>
        <w:t xml:space="preserve">para el pueblo, </w:t>
      </w:r>
      <w:r>
        <w:rPr>
          <w:rFonts w:ascii="Times New Roman" w:hAnsi="Times New Roman" w:cs="Times New Roman"/>
          <w:sz w:val="24"/>
          <w:szCs w:val="24"/>
        </w:rPr>
        <w:t>pero sin el pueblo”</w:t>
      </w:r>
      <w:r w:rsidRPr="005D20D7">
        <w:rPr>
          <w:rFonts w:ascii="Times New Roman" w:hAnsi="Times New Roman" w:cs="Times New Roman"/>
          <w:sz w:val="24"/>
          <w:szCs w:val="24"/>
        </w:rPr>
        <w:t>.</w:t>
      </w:r>
    </w:p>
    <w:p w:rsidR="007E482E" w:rsidRPr="005D20D7" w:rsidRDefault="007E482E" w:rsidP="007E482E">
      <w:pPr>
        <w:spacing w:line="240" w:lineRule="auto"/>
        <w:jc w:val="both"/>
        <w:rPr>
          <w:rFonts w:ascii="Times New Roman" w:hAnsi="Times New Roman" w:cs="Times New Roman"/>
          <w:sz w:val="24"/>
          <w:szCs w:val="24"/>
        </w:rPr>
      </w:pPr>
    </w:p>
    <w:p w:rsidR="007E482E" w:rsidRPr="005D20D7" w:rsidRDefault="007E482E" w:rsidP="007E482E">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lastRenderedPageBreak/>
        <w:t>En la p</w:t>
      </w:r>
      <w:r>
        <w:rPr>
          <w:rFonts w:ascii="Times New Roman" w:hAnsi="Times New Roman" w:cs="Times New Roman"/>
          <w:sz w:val="24"/>
          <w:szCs w:val="24"/>
        </w:rPr>
        <w:t>resentación de estos objetivos “verdes”</w:t>
      </w:r>
      <w:r w:rsidRPr="005D20D7">
        <w:rPr>
          <w:rFonts w:ascii="Times New Roman" w:hAnsi="Times New Roman" w:cs="Times New Roman"/>
          <w:sz w:val="24"/>
          <w:szCs w:val="24"/>
        </w:rPr>
        <w:t xml:space="preserve"> y ecologistas de la Comisión Europea hubo ausencias que más que notables</w:t>
      </w:r>
      <w:r>
        <w:rPr>
          <w:rFonts w:ascii="Times New Roman" w:hAnsi="Times New Roman" w:cs="Times New Roman"/>
          <w:sz w:val="24"/>
          <w:szCs w:val="24"/>
        </w:rPr>
        <w:t>,</w:t>
      </w:r>
      <w:r w:rsidRPr="005D20D7">
        <w:rPr>
          <w:rFonts w:ascii="Times New Roman" w:hAnsi="Times New Roman" w:cs="Times New Roman"/>
          <w:sz w:val="24"/>
          <w:szCs w:val="24"/>
        </w:rPr>
        <w:t xml:space="preserve"> re</w:t>
      </w:r>
      <w:r>
        <w:rPr>
          <w:rFonts w:ascii="Times New Roman" w:hAnsi="Times New Roman" w:cs="Times New Roman"/>
          <w:sz w:val="24"/>
          <w:szCs w:val="24"/>
        </w:rPr>
        <w:t>sultaron escandalosas. No estuvo</w:t>
      </w:r>
      <w:r w:rsidRPr="005D20D7">
        <w:rPr>
          <w:rFonts w:ascii="Times New Roman" w:hAnsi="Times New Roman" w:cs="Times New Roman"/>
          <w:sz w:val="24"/>
          <w:szCs w:val="24"/>
        </w:rPr>
        <w:t xml:space="preserve"> el comisario de Agricultura, el polaco Janusz Wojciechowski, ni los ministros de Agricultura de los países (no han sido consultados directamente sobre el asunto), ni tampoco miembros de la Comisión de Agricultura del Parlamento Europeo, ni mucho menos representan</w:t>
      </w:r>
      <w:r>
        <w:rPr>
          <w:rFonts w:ascii="Times New Roman" w:hAnsi="Times New Roman" w:cs="Times New Roman"/>
          <w:sz w:val="24"/>
          <w:szCs w:val="24"/>
        </w:rPr>
        <w:t>tes de los propios interesados.</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La indignación fue</w:t>
      </w:r>
      <w:r w:rsidRPr="005D20D7">
        <w:rPr>
          <w:rFonts w:ascii="Times New Roman" w:hAnsi="Times New Roman" w:cs="Times New Roman"/>
          <w:sz w:val="24"/>
          <w:szCs w:val="24"/>
        </w:rPr>
        <w:t xml:space="preserve"> total en los diversos estamentos agrarios del continente; en todos los países, en cada sitio con predo</w:t>
      </w:r>
      <w:r>
        <w:rPr>
          <w:rFonts w:ascii="Times New Roman" w:hAnsi="Times New Roman" w:cs="Times New Roman"/>
          <w:sz w:val="24"/>
          <w:szCs w:val="24"/>
        </w:rPr>
        <w:t>minio de unos aspectos u otros.</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Se hizo</w:t>
      </w:r>
      <w:r w:rsidRPr="005D20D7">
        <w:rPr>
          <w:rFonts w:ascii="Times New Roman" w:hAnsi="Times New Roman" w:cs="Times New Roman"/>
          <w:sz w:val="24"/>
          <w:szCs w:val="24"/>
        </w:rPr>
        <w:t xml:space="preserve"> más que evidente que el aparato burocrático de Bruselas no tomó nota de las </w:t>
      </w:r>
      <w:r>
        <w:rPr>
          <w:rFonts w:ascii="Times New Roman" w:hAnsi="Times New Roman" w:cs="Times New Roman"/>
          <w:sz w:val="24"/>
          <w:szCs w:val="24"/>
        </w:rPr>
        <w:t xml:space="preserve">protestas agrarias de </w:t>
      </w:r>
      <w:r w:rsidRPr="005D20D7">
        <w:rPr>
          <w:rFonts w:ascii="Times New Roman" w:hAnsi="Times New Roman" w:cs="Times New Roman"/>
          <w:sz w:val="24"/>
          <w:szCs w:val="24"/>
        </w:rPr>
        <w:t>meses</w:t>
      </w:r>
      <w:r>
        <w:rPr>
          <w:rFonts w:ascii="Times New Roman" w:hAnsi="Times New Roman" w:cs="Times New Roman"/>
          <w:sz w:val="24"/>
          <w:szCs w:val="24"/>
        </w:rPr>
        <w:t xml:space="preserve"> anteriores</w:t>
      </w:r>
      <w:r w:rsidRPr="005D20D7">
        <w:rPr>
          <w:rFonts w:ascii="Times New Roman" w:hAnsi="Times New Roman" w:cs="Times New Roman"/>
          <w:sz w:val="24"/>
          <w:szCs w:val="24"/>
        </w:rPr>
        <w:t>. Para nada. Ni caso. Porque el detonante que empujó las manifestaciones y tractoradas que empezaron por Holanda, Alemania, Bélgica</w:t>
      </w:r>
      <w:r>
        <w:rPr>
          <w:rFonts w:ascii="Times New Roman" w:hAnsi="Times New Roman" w:cs="Times New Roman"/>
          <w:sz w:val="24"/>
          <w:szCs w:val="24"/>
        </w:rPr>
        <w:t>…</w:t>
      </w:r>
      <w:r w:rsidRPr="005D20D7">
        <w:rPr>
          <w:rFonts w:ascii="Times New Roman" w:hAnsi="Times New Roman" w:cs="Times New Roman"/>
          <w:sz w:val="24"/>
          <w:szCs w:val="24"/>
        </w:rPr>
        <w:t xml:space="preserve"> fue el hartazgo general de agricultores y ganaderos ante las crecientes condiciones y restricciones de tipo ecologista, que suponen aumentos de carga burocrática, pérdidas productivas, nuevos gastos y consiguientemente descensos de rentabilidad y de reconocimiento de la pr</w:t>
      </w:r>
      <w:r>
        <w:rPr>
          <w:rFonts w:ascii="Times New Roman" w:hAnsi="Times New Roman" w:cs="Times New Roman"/>
          <w:sz w:val="24"/>
          <w:szCs w:val="24"/>
        </w:rPr>
        <w:t>ofesión.</w:t>
      </w:r>
    </w:p>
    <w:p w:rsidR="007E482E" w:rsidRPr="005D20D7" w:rsidRDefault="007E482E" w:rsidP="007E482E">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La re</w:t>
      </w:r>
      <w:r>
        <w:rPr>
          <w:rFonts w:ascii="Times New Roman" w:hAnsi="Times New Roman" w:cs="Times New Roman"/>
          <w:sz w:val="24"/>
          <w:szCs w:val="24"/>
        </w:rPr>
        <w:t>spuesta de rechazo general vino</w:t>
      </w:r>
      <w:r w:rsidRPr="005D20D7">
        <w:rPr>
          <w:rFonts w:ascii="Times New Roman" w:hAnsi="Times New Roman" w:cs="Times New Roman"/>
          <w:sz w:val="24"/>
          <w:szCs w:val="24"/>
        </w:rPr>
        <w:t xml:space="preserve"> a indicar que es imposible y hasta utópico lo que quiere conseguir Bruselas, porque no se puede producir lo mismo con mucho menos, y, en todo caso, si no se mejora el aspecto financiero, si no aumentan los precios unitarios, ni mejoran las ayudas públicas (</w:t>
      </w:r>
      <w:r>
        <w:rPr>
          <w:rFonts w:ascii="Times New Roman" w:hAnsi="Times New Roman" w:cs="Times New Roman"/>
          <w:sz w:val="24"/>
          <w:szCs w:val="24"/>
        </w:rPr>
        <w:t xml:space="preserve">que </w:t>
      </w:r>
      <w:r w:rsidRPr="005D20D7">
        <w:rPr>
          <w:rFonts w:ascii="Times New Roman" w:hAnsi="Times New Roman" w:cs="Times New Roman"/>
          <w:sz w:val="24"/>
          <w:szCs w:val="24"/>
        </w:rPr>
        <w:t>al con</w:t>
      </w:r>
      <w:r>
        <w:rPr>
          <w:rFonts w:ascii="Times New Roman" w:hAnsi="Times New Roman" w:cs="Times New Roman"/>
          <w:sz w:val="24"/>
          <w:szCs w:val="24"/>
        </w:rPr>
        <w:t xml:space="preserve">trario, van a bajar), será </w:t>
      </w:r>
      <w:r w:rsidRPr="005D20D7">
        <w:rPr>
          <w:rFonts w:ascii="Times New Roman" w:hAnsi="Times New Roman" w:cs="Times New Roman"/>
          <w:sz w:val="24"/>
          <w:szCs w:val="24"/>
        </w:rPr>
        <w:t>pretender la cuadratura del círc</w:t>
      </w:r>
      <w:r>
        <w:rPr>
          <w:rFonts w:ascii="Times New Roman" w:hAnsi="Times New Roman" w:cs="Times New Roman"/>
          <w:sz w:val="24"/>
          <w:szCs w:val="24"/>
        </w:rPr>
        <w:t>ulo.</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Como no se anunciaron</w:t>
      </w:r>
      <w:r w:rsidRPr="005D20D7">
        <w:rPr>
          <w:rFonts w:ascii="Times New Roman" w:hAnsi="Times New Roman" w:cs="Times New Roman"/>
          <w:sz w:val="24"/>
          <w:szCs w:val="24"/>
        </w:rPr>
        <w:t xml:space="preserve"> pagos por los servicios de reducción pro</w:t>
      </w:r>
      <w:r>
        <w:rPr>
          <w:rFonts w:ascii="Times New Roman" w:hAnsi="Times New Roman" w:cs="Times New Roman"/>
          <w:sz w:val="24"/>
          <w:szCs w:val="24"/>
        </w:rPr>
        <w:t>ductiva que se quieren exigir, l</w:t>
      </w:r>
      <w:r w:rsidRPr="005D20D7">
        <w:rPr>
          <w:rFonts w:ascii="Times New Roman" w:hAnsi="Times New Roman" w:cs="Times New Roman"/>
          <w:sz w:val="24"/>
          <w:szCs w:val="24"/>
        </w:rPr>
        <w:t>a</w:t>
      </w:r>
      <w:r>
        <w:rPr>
          <w:rFonts w:ascii="Times New Roman" w:hAnsi="Times New Roman" w:cs="Times New Roman"/>
          <w:sz w:val="24"/>
          <w:szCs w:val="24"/>
        </w:rPr>
        <w:t>s asociaciones de agricultores tuvieron muy claro cuál era el objetivo: “</w:t>
      </w:r>
      <w:r w:rsidRPr="005D20D7">
        <w:rPr>
          <w:rFonts w:ascii="Times New Roman" w:hAnsi="Times New Roman" w:cs="Times New Roman"/>
          <w:sz w:val="24"/>
          <w:szCs w:val="24"/>
        </w:rPr>
        <w:t>Europa renu</w:t>
      </w:r>
      <w:r>
        <w:rPr>
          <w:rFonts w:ascii="Times New Roman" w:hAnsi="Times New Roman" w:cs="Times New Roman"/>
          <w:sz w:val="24"/>
          <w:szCs w:val="24"/>
        </w:rPr>
        <w:t>ncia a la soberanía alimentaria”</w:t>
      </w:r>
      <w:r w:rsidRPr="005D20D7">
        <w:rPr>
          <w:rFonts w:ascii="Times New Roman" w:hAnsi="Times New Roman" w:cs="Times New Roman"/>
          <w:sz w:val="24"/>
          <w:szCs w:val="24"/>
        </w:rPr>
        <w:t>. Su razonamiento indica</w:t>
      </w:r>
      <w:r>
        <w:rPr>
          <w:rFonts w:ascii="Times New Roman" w:hAnsi="Times New Roman" w:cs="Times New Roman"/>
          <w:sz w:val="24"/>
          <w:szCs w:val="24"/>
        </w:rPr>
        <w:t>ba que “</w:t>
      </w:r>
      <w:r w:rsidRPr="005D20D7">
        <w:rPr>
          <w:rFonts w:ascii="Times New Roman" w:hAnsi="Times New Roman" w:cs="Times New Roman"/>
          <w:sz w:val="24"/>
          <w:szCs w:val="24"/>
        </w:rPr>
        <w:t>se trata de una tapadera para reducir la producción agraria europ</w:t>
      </w:r>
      <w:r>
        <w:rPr>
          <w:rFonts w:ascii="Times New Roman" w:hAnsi="Times New Roman" w:cs="Times New Roman"/>
          <w:sz w:val="24"/>
          <w:szCs w:val="24"/>
        </w:rPr>
        <w:t>ea y sustituirla por la foránea”. ¿Por qué? La respuesta de los agricultores fue: “</w:t>
      </w:r>
      <w:r w:rsidRPr="005D20D7">
        <w:rPr>
          <w:rFonts w:ascii="Times New Roman" w:hAnsi="Times New Roman" w:cs="Times New Roman"/>
          <w:sz w:val="24"/>
          <w:szCs w:val="24"/>
        </w:rPr>
        <w:t>No les importa que perdamos la independencia alimentaria y nos arruinemos los productores porque es eso lo que buscan: traer alimentos de fuera para poder exportar a cambio más coches y más productos industriales a los países que dejarán que sigan siendo agrícolas para aba</w:t>
      </w:r>
      <w:r>
        <w:rPr>
          <w:rFonts w:ascii="Times New Roman" w:hAnsi="Times New Roman" w:cs="Times New Roman"/>
          <w:sz w:val="24"/>
          <w:szCs w:val="24"/>
        </w:rPr>
        <w:t>stecernos, como ya está pasando”</w:t>
      </w:r>
      <w:r w:rsidRPr="005D20D7">
        <w:rPr>
          <w:rFonts w:ascii="Times New Roman" w:hAnsi="Times New Roman" w:cs="Times New Roman"/>
          <w:sz w:val="24"/>
          <w:szCs w:val="24"/>
        </w:rPr>
        <w:t>.</w:t>
      </w:r>
    </w:p>
    <w:p w:rsidR="007E482E" w:rsidRPr="005D20D7"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En apoyo de esta tesis recordaron que “</w:t>
      </w:r>
      <w:r w:rsidRPr="005D20D7">
        <w:rPr>
          <w:rFonts w:ascii="Times New Roman" w:hAnsi="Times New Roman" w:cs="Times New Roman"/>
          <w:sz w:val="24"/>
          <w:szCs w:val="24"/>
        </w:rPr>
        <w:t>los grandes impulsores de estas estrategias son la presidenta de la comisión, Úrsula Von der Leyen, alemana, y el vicepresidente Frans Timmermans, holandés. Alemania, primer motor industrial de exportación; Holanda, primer receptor de las importaciones agroalimentarias de países terceros que lu</w:t>
      </w:r>
      <w:r>
        <w:rPr>
          <w:rFonts w:ascii="Times New Roman" w:hAnsi="Times New Roman" w:cs="Times New Roman"/>
          <w:sz w:val="24"/>
          <w:szCs w:val="24"/>
        </w:rPr>
        <w:t>ego reexporta al resto de la UE”</w:t>
      </w:r>
      <w:r w:rsidRPr="005D20D7">
        <w:rPr>
          <w:rFonts w:ascii="Times New Roman" w:hAnsi="Times New Roman" w:cs="Times New Roman"/>
          <w:sz w:val="24"/>
          <w:szCs w:val="24"/>
        </w:rPr>
        <w:t>.</w:t>
      </w:r>
    </w:p>
    <w:p w:rsidR="007E482E" w:rsidRPr="005D20D7" w:rsidRDefault="007E482E" w:rsidP="007E482E">
      <w:pPr>
        <w:spacing w:line="240" w:lineRule="auto"/>
        <w:jc w:val="both"/>
        <w:rPr>
          <w:rFonts w:ascii="Times New Roman" w:hAnsi="Times New Roman" w:cs="Times New Roman"/>
          <w:sz w:val="24"/>
          <w:szCs w:val="24"/>
        </w:rPr>
      </w:pPr>
      <w:r w:rsidRPr="005D20D7">
        <w:rPr>
          <w:rFonts w:ascii="Times New Roman" w:hAnsi="Times New Roman" w:cs="Times New Roman"/>
          <w:sz w:val="24"/>
          <w:szCs w:val="24"/>
        </w:rPr>
        <w:t xml:space="preserve">La organización de las </w:t>
      </w:r>
      <w:r>
        <w:rPr>
          <w:rFonts w:ascii="Times New Roman" w:hAnsi="Times New Roman" w:cs="Times New Roman"/>
          <w:sz w:val="24"/>
          <w:szCs w:val="24"/>
        </w:rPr>
        <w:t xml:space="preserve">cooperativas agrarias </w:t>
      </w:r>
      <w:r w:rsidRPr="005D20D7">
        <w:rPr>
          <w:rFonts w:ascii="Times New Roman" w:hAnsi="Times New Roman" w:cs="Times New Roman"/>
          <w:sz w:val="24"/>
          <w:szCs w:val="24"/>
        </w:rPr>
        <w:t>reclama</w:t>
      </w:r>
      <w:r>
        <w:rPr>
          <w:rFonts w:ascii="Times New Roman" w:hAnsi="Times New Roman" w:cs="Times New Roman"/>
          <w:sz w:val="24"/>
          <w:szCs w:val="24"/>
        </w:rPr>
        <w:t>ba: “</w:t>
      </w:r>
      <w:r w:rsidRPr="005D20D7">
        <w:rPr>
          <w:rFonts w:ascii="Times New Roman" w:hAnsi="Times New Roman" w:cs="Times New Roman"/>
          <w:sz w:val="24"/>
          <w:szCs w:val="24"/>
        </w:rPr>
        <w:t>objetivos basados en evidencias científicas</w:t>
      </w:r>
      <w:r>
        <w:rPr>
          <w:rFonts w:ascii="Times New Roman" w:hAnsi="Times New Roman" w:cs="Times New Roman"/>
          <w:sz w:val="24"/>
          <w:szCs w:val="24"/>
        </w:rPr>
        <w:t xml:space="preserve"> y no en argumentos ideológicos”</w:t>
      </w:r>
      <w:r w:rsidRPr="005D20D7">
        <w:rPr>
          <w:rFonts w:ascii="Times New Roman" w:hAnsi="Times New Roman" w:cs="Times New Roman"/>
          <w:sz w:val="24"/>
          <w:szCs w:val="24"/>
        </w:rPr>
        <w:t>, mi</w:t>
      </w:r>
      <w:r>
        <w:rPr>
          <w:rFonts w:ascii="Times New Roman" w:hAnsi="Times New Roman" w:cs="Times New Roman"/>
          <w:sz w:val="24"/>
          <w:szCs w:val="24"/>
        </w:rPr>
        <w:t>entras que otras entidades gremiales</w:t>
      </w:r>
      <w:r w:rsidRPr="005D20D7">
        <w:rPr>
          <w:rFonts w:ascii="Times New Roman" w:hAnsi="Times New Roman" w:cs="Times New Roman"/>
          <w:sz w:val="24"/>
          <w:szCs w:val="24"/>
        </w:rPr>
        <w:t xml:space="preserve"> rechaza</w:t>
      </w:r>
      <w:r>
        <w:rPr>
          <w:rFonts w:ascii="Times New Roman" w:hAnsi="Times New Roman" w:cs="Times New Roman"/>
          <w:sz w:val="24"/>
          <w:szCs w:val="24"/>
        </w:rPr>
        <w:t>n “</w:t>
      </w:r>
      <w:r w:rsidRPr="005D20D7">
        <w:rPr>
          <w:rFonts w:ascii="Times New Roman" w:hAnsi="Times New Roman" w:cs="Times New Roman"/>
          <w:sz w:val="24"/>
          <w:szCs w:val="24"/>
        </w:rPr>
        <w:t>la hipocresía de las políticas de escaparate de la UE, porque su estrategia exige más compromisos a los agricultores, con el incremento de costes de producción, sin re</w:t>
      </w:r>
      <w:r>
        <w:rPr>
          <w:rFonts w:ascii="Times New Roman" w:hAnsi="Times New Roman" w:cs="Times New Roman"/>
          <w:sz w:val="24"/>
          <w:szCs w:val="24"/>
        </w:rPr>
        <w:t>forzar el presupuesto de la PAC”</w:t>
      </w:r>
      <w:r w:rsidRPr="005D20D7">
        <w:rPr>
          <w:rFonts w:ascii="Times New Roman" w:hAnsi="Times New Roman" w:cs="Times New Roman"/>
          <w:sz w:val="24"/>
          <w:szCs w:val="24"/>
        </w:rPr>
        <w:t>.</w:t>
      </w:r>
    </w:p>
    <w:p w:rsidR="003436AF" w:rsidRDefault="007E482E" w:rsidP="003436AF">
      <w:pPr>
        <w:spacing w:line="240" w:lineRule="auto"/>
        <w:jc w:val="both"/>
        <w:rPr>
          <w:rFonts w:ascii="Times New Roman" w:hAnsi="Times New Roman" w:cs="Times New Roman"/>
          <w:sz w:val="24"/>
          <w:szCs w:val="24"/>
        </w:rPr>
      </w:pPr>
      <w:r w:rsidRPr="00A72803">
        <w:rPr>
          <w:rFonts w:ascii="Times New Roman" w:hAnsi="Times New Roman" w:cs="Times New Roman"/>
          <w:sz w:val="24"/>
          <w:szCs w:val="24"/>
        </w:rPr>
        <w:t xml:space="preserve">- </w:t>
      </w:r>
      <w:r w:rsidRPr="00F71162">
        <w:rPr>
          <w:rFonts w:ascii="Times New Roman" w:hAnsi="Times New Roman" w:cs="Times New Roman"/>
          <w:sz w:val="24"/>
          <w:szCs w:val="24"/>
          <w:u w:val="single"/>
        </w:rPr>
        <w:t>El fracaso de la PAC</w:t>
      </w:r>
      <w:r>
        <w:rPr>
          <w:rFonts w:ascii="Times New Roman" w:hAnsi="Times New Roman" w:cs="Times New Roman"/>
          <w:sz w:val="24"/>
          <w:szCs w:val="24"/>
        </w:rPr>
        <w:t xml:space="preserve"> (El Día - </w:t>
      </w:r>
      <w:r w:rsidRPr="00B54E12">
        <w:rPr>
          <w:rFonts w:ascii="Times New Roman" w:hAnsi="Times New Roman" w:cs="Times New Roman"/>
          <w:b/>
          <w:sz w:val="24"/>
          <w:szCs w:val="24"/>
        </w:rPr>
        <w:t>4/2/09</w:t>
      </w:r>
      <w:r>
        <w:rPr>
          <w:rFonts w:ascii="Times New Roman" w:hAnsi="Times New Roman" w:cs="Times New Roman"/>
          <w:sz w:val="24"/>
          <w:szCs w:val="24"/>
        </w:rPr>
        <w:t>)</w:t>
      </w:r>
      <w:r w:rsidR="003436AF">
        <w:rPr>
          <w:rFonts w:ascii="Times New Roman" w:hAnsi="Times New Roman" w:cs="Times New Roman"/>
          <w:sz w:val="24"/>
          <w:szCs w:val="24"/>
        </w:rPr>
        <w:t xml:space="preserve"> (Por Mario Escuela Henríquez - </w:t>
      </w:r>
      <w:r w:rsidR="003436AF" w:rsidRPr="00B54E12">
        <w:rPr>
          <w:rFonts w:ascii="Times New Roman" w:hAnsi="Times New Roman" w:cs="Times New Roman"/>
          <w:sz w:val="24"/>
          <w:szCs w:val="24"/>
        </w:rPr>
        <w:t>Secretario de Organización de UPA Canarias</w:t>
      </w:r>
      <w:r w:rsidR="003436AF">
        <w:rPr>
          <w:rFonts w:ascii="Times New Roman" w:hAnsi="Times New Roman" w:cs="Times New Roman"/>
          <w:sz w:val="24"/>
          <w:szCs w:val="24"/>
        </w:rPr>
        <w:t>)</w:t>
      </w:r>
    </w:p>
    <w:p w:rsidR="007E482E" w:rsidRPr="00B54E12"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Ninguno</w:t>
      </w:r>
      <w:r w:rsidRPr="00B54E12">
        <w:rPr>
          <w:rFonts w:ascii="Times New Roman" w:hAnsi="Times New Roman" w:cs="Times New Roman"/>
          <w:sz w:val="24"/>
          <w:szCs w:val="24"/>
        </w:rPr>
        <w:t xml:space="preserve"> de los objetivos que la Política Agraria Común se propuso en un principio se está cumpliendo, seguramente por un desconocimiento total de la realidad de l</w:t>
      </w:r>
      <w:r>
        <w:rPr>
          <w:rFonts w:ascii="Times New Roman" w:hAnsi="Times New Roman" w:cs="Times New Roman"/>
          <w:sz w:val="24"/>
          <w:szCs w:val="24"/>
        </w:rPr>
        <w:t>o que pasa en el campo.</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 xml:space="preserve">1. La garantía de alimentos sanos y saludables para la población europea. Sólo la mitad de lo que se intenta se ha conseguido, esto es, que a los productores europeos, al menos los españoles, en una marabunta de normas de calidad, seguridad alimentaria y animal, nos han </w:t>
      </w:r>
      <w:r w:rsidRPr="00B54E12">
        <w:rPr>
          <w:rFonts w:ascii="Times New Roman" w:hAnsi="Times New Roman" w:cs="Times New Roman"/>
          <w:sz w:val="24"/>
          <w:szCs w:val="24"/>
        </w:rPr>
        <w:lastRenderedPageBreak/>
        <w:t>llevado a realizar inversiones millonarias para adaptar las producciones a todos estos protocolos y normas impuestas desde Bruselas y los ministerios (nosotros sí hemos cumplido la primera parte), pero después nos encontramos con que con los intercambios con que pactan los países a través de la OMC nos llevan a competir en un escenario de deslealtad comercial con países en los que no se cumplen los distintos tratados medioambientales (Kioto), de sanidad alimentaria e incluso no se respetan los derechos humanos, ni por asomo los de los trabajadores. Y en este escenario cualquier bandolero puede importar productos que no cumplen con las garantías sanitarias que sí cumplimos los españoles y que ponen en riesgo la salud de nuestras familias. El resultado: hambre y miseria para los menos favorecidos en esos países, sobresaltos cada dos por tres en la cesta de la compra, preocupados todos por la salud de nuestros hijos, pérdidas millonarias que nadie compensa a los productores españoles y destrucción de empleo y abandono de los pueblos, pero con la contrapartida de</w:t>
      </w:r>
      <w:r>
        <w:rPr>
          <w:rFonts w:ascii="Times New Roman" w:hAnsi="Times New Roman" w:cs="Times New Roman"/>
          <w:sz w:val="24"/>
          <w:szCs w:val="24"/>
        </w:rPr>
        <w:t xml:space="preserve"> bandoleros cada vez más ricos.</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2. Garantizar el nivel de vida en el medio rural. Nada más lejos de la realidad. En cada reforma se trasvasan fondos de las ayudas PAC al pilar de desarrollo rural, pero esas ayudas pocas veces llegan al agricultor (planes de mejora, modernización, incorporación), y si lo hacen es tras años de espera y con compromisos que en muchas ocasiones sólo los que más tienen y no viven en los pueblos pueden asumir; los parques, jardines, auditorios, centros de salud, etc., están muy bien, siempre y cuando en los pueblos haya personas que los puedan disfrutar; año tras año vemos cómo va descendiendo la población en los pueblos; el resultado: obras en algunos casos faraónicas de las que en un corto período de tiempo nadie disfrutará y ayuntamientos endeudados cada vez más, con cada vez menos vecinos para hacerles frente, pero con la contrapartida que los bandoleros podrán volver a veranear al pueblo al que abandonaron con m</w:t>
      </w:r>
      <w:r>
        <w:rPr>
          <w:rFonts w:ascii="Times New Roman" w:hAnsi="Times New Roman" w:cs="Times New Roman"/>
          <w:sz w:val="24"/>
          <w:szCs w:val="24"/>
        </w:rPr>
        <w:t>ás infraestructuras de calidad.</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3. Garantizar el nivel de renta de los habitantes del medio rural. Para eso, desde el principio, para percibir las ayudas se debería haber exigido habitar en los pueblos de forma permanente, han sid</w:t>
      </w:r>
      <w:r>
        <w:rPr>
          <w:rFonts w:ascii="Times New Roman" w:hAnsi="Times New Roman" w:cs="Times New Roman"/>
          <w:sz w:val="24"/>
          <w:szCs w:val="24"/>
        </w:rPr>
        <w:t>o los “cazaprimas”</w:t>
      </w:r>
      <w:r w:rsidRPr="00B54E12">
        <w:rPr>
          <w:rFonts w:ascii="Times New Roman" w:hAnsi="Times New Roman" w:cs="Times New Roman"/>
          <w:sz w:val="24"/>
          <w:szCs w:val="24"/>
        </w:rPr>
        <w:t xml:space="preserve"> los que se han llevado el 80% del presupuesto, cobrado y gastado en la costa o las grandes ciudades, grandes inversiones de dinero de la construcción que, de alguna manera, había que bloquear. Consecuencia: los agricultores de verdad no pueden competir en el mercado de la tierra y por tanto no se ha podido ampliar las explotaciones para adaptarlas a las nuevas formas de cultivo, además de tener que soportar el intrusismo, sobre todo en productos hortofrutícolas que vendían a cualquier precio, arruinando a miles de agricultores de verdad y destruyendo millones de jornales tan necesarios en el medio rural carente de otra industria que no sea la agroalimentaria, con la contrapartida de que en el campo se solucionaron muchos problemas de exces</w:t>
      </w:r>
      <w:r>
        <w:rPr>
          <w:rFonts w:ascii="Times New Roman" w:hAnsi="Times New Roman" w:cs="Times New Roman"/>
          <w:sz w:val="24"/>
          <w:szCs w:val="24"/>
        </w:rPr>
        <w:t>o de dinero de los bandoleros.</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Y en este escenario asistimos, día tras día, a la subida de los combustibles, el doble que hace un año; de los fertilizantes, el triple que hace un año; de las semillas, el doble que hace un año; de los fitosanitarios, el triple que hace un año; mientras lo que producimos los agricultores españoles mantiene su precio de cara al consumidor.</w:t>
      </w:r>
    </w:p>
    <w:p w:rsidR="007E482E"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 xml:space="preserve">Los agricultores estamos siendo atracados en dos ocasiones, una al vender nuestros productos y otra cuando vamos al supermercado; así es imposible continuar con la actividad, cualquier empresario necesita una rentabilidad mínima en su empresa y nosotros no somos menos. En esta situación, o los gobiernos europeos y español toman medidas serias, como la puesta en marcha de la ley de márgenes comerciales, contratos territoriales, ayudas directas, investigaciones serias del Tribunal de la Competencia, control en las aduanas y exigencias sanitarias y de etiquetado a los productos importados, que nos permitan seguir trabajando en lo que nos gusta y viviendo donde queremos, además de salvarles el expediente a su </w:t>
      </w:r>
      <w:r w:rsidRPr="00B54E12">
        <w:rPr>
          <w:rFonts w:ascii="Times New Roman" w:hAnsi="Times New Roman" w:cs="Times New Roman"/>
          <w:sz w:val="24"/>
          <w:szCs w:val="24"/>
        </w:rPr>
        <w:lastRenderedPageBreak/>
        <w:t>fracasada PAC, o en pocos años estaremos en manos de importadores que nos darán de comer lo que quieran y como quieran, y nos lo comeremos en las capitales porque los pueblos estarán totalmente abandonados, pero, eso sí, con unas infraestructuras de todo tipo maravillosas, para que en la UE presuman de desarrollo rural.</w:t>
      </w:r>
    </w:p>
    <w:p w:rsidR="007E482E" w:rsidRPr="00B54E12"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54E12">
        <w:rPr>
          <w:rFonts w:ascii="Times New Roman" w:hAnsi="Times New Roman" w:cs="Times New Roman"/>
          <w:sz w:val="24"/>
          <w:szCs w:val="24"/>
          <w:u w:val="single"/>
        </w:rPr>
        <w:t>La PAC “verde”: del fracaso del greening a la incertidumbre de los ecoesquemas</w:t>
      </w:r>
      <w:r>
        <w:rPr>
          <w:rFonts w:ascii="Times New Roman" w:hAnsi="Times New Roman" w:cs="Times New Roman"/>
          <w:sz w:val="24"/>
          <w:szCs w:val="24"/>
          <w:u w:val="single"/>
        </w:rPr>
        <w:t xml:space="preserve"> </w:t>
      </w:r>
      <w:r>
        <w:rPr>
          <w:rFonts w:ascii="Times New Roman" w:hAnsi="Times New Roman" w:cs="Times New Roman"/>
          <w:sz w:val="24"/>
          <w:szCs w:val="24"/>
        </w:rPr>
        <w:t>(Contrainformacion.es -</w:t>
      </w:r>
      <w:r w:rsidRPr="00BA7BDF">
        <w:rPr>
          <w:rFonts w:ascii="Times New Roman" w:hAnsi="Times New Roman" w:cs="Times New Roman"/>
          <w:b/>
          <w:sz w:val="24"/>
          <w:szCs w:val="24"/>
        </w:rPr>
        <w:t>22/10/20</w:t>
      </w:r>
      <w:r>
        <w:rPr>
          <w:rFonts w:ascii="Times New Roman" w:hAnsi="Times New Roman" w:cs="Times New Roman"/>
          <w:sz w:val="24"/>
          <w:szCs w:val="24"/>
        </w:rPr>
        <w:t>)</w:t>
      </w:r>
      <w:r w:rsidR="003436AF">
        <w:rPr>
          <w:rFonts w:ascii="Times New Roman" w:hAnsi="Times New Roman" w:cs="Times New Roman"/>
          <w:sz w:val="24"/>
          <w:szCs w:val="24"/>
        </w:rPr>
        <w:t xml:space="preserve"> (Por </w:t>
      </w:r>
      <w:r w:rsidR="00606F63">
        <w:rPr>
          <w:rFonts w:ascii="Times New Roman" w:hAnsi="Times New Roman" w:cs="Times New Roman"/>
          <w:sz w:val="24"/>
          <w:szCs w:val="24"/>
        </w:rPr>
        <w:t xml:space="preserve">Raquel Clemente Pereiro - </w:t>
      </w:r>
      <w:r w:rsidR="003436AF" w:rsidRPr="00B54E12">
        <w:rPr>
          <w:rFonts w:ascii="Times New Roman" w:hAnsi="Times New Roman" w:cs="Times New Roman"/>
          <w:sz w:val="24"/>
          <w:szCs w:val="24"/>
        </w:rPr>
        <w:t>Cooperativa Germ</w:t>
      </w:r>
      <w:r w:rsidR="00606F63">
        <w:rPr>
          <w:rFonts w:ascii="Times New Roman" w:hAnsi="Times New Roman" w:cs="Times New Roman"/>
          <w:sz w:val="24"/>
          <w:szCs w:val="24"/>
        </w:rPr>
        <w:t>inando y Coalición Por Otra PAC</w:t>
      </w:r>
      <w:r w:rsidR="003436AF">
        <w:rPr>
          <w:rFonts w:ascii="Times New Roman" w:hAnsi="Times New Roman" w:cs="Times New Roman"/>
          <w:sz w:val="24"/>
          <w:szCs w:val="24"/>
        </w:rPr>
        <w:t>)</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A pesar de las sucesivas reformas de la PAC, ésta se sigue mostrando ineficaz para abordarlos muchas de las problemáticas del mundo rural y el sector agrario.</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 xml:space="preserve">La Política Agraria Común -PAC- fue uno de los ejes fundamentales sobre los que se constituyó la Comunidad Económica Europea, tratándose de una de las primeras políticas comunes y, hasta el día de hoy, de las más </w:t>
      </w:r>
      <w:r>
        <w:rPr>
          <w:rFonts w:ascii="Times New Roman" w:hAnsi="Times New Roman" w:cs="Times New Roman"/>
          <w:sz w:val="24"/>
          <w:szCs w:val="24"/>
        </w:rPr>
        <w:t>importante de la Unión Europea -</w:t>
      </w:r>
      <w:r w:rsidRPr="00B54E12">
        <w:rPr>
          <w:rFonts w:ascii="Times New Roman" w:hAnsi="Times New Roman" w:cs="Times New Roman"/>
          <w:sz w:val="24"/>
          <w:szCs w:val="24"/>
        </w:rPr>
        <w:t>en 2018 la Política Agraria Común, con 58.820 millones de euros, ha supuesto el 37% del presupuesto de la Unión Europea-.</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Desde sus inicios la PAC ha tenido numerosas modificaciones y, es a partir del 2000 cuando se establece el denominado “Segundo Pilar” centrado en el desarrollo rural y por el que se establecen las bases para la intervención estructural en los problemas socioeconómicos del sector agrario en la Unión Europea.</w:t>
      </w:r>
    </w:p>
    <w:p w:rsidR="007E482E" w:rsidRPr="00B54E12"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B54E12">
        <w:rPr>
          <w:rFonts w:ascii="Times New Roman" w:hAnsi="Times New Roman" w:cs="Times New Roman"/>
          <w:sz w:val="24"/>
          <w:szCs w:val="24"/>
        </w:rPr>
        <w:t>l Pilar I dispone los fondos para los pagos directos a productores/as mientras el Pilar II dispone los recursos para el Desarrollo Rural implementado mediante los Planes de Desarrollo Rural nacio</w:t>
      </w:r>
      <w:r>
        <w:rPr>
          <w:rFonts w:ascii="Times New Roman" w:hAnsi="Times New Roman" w:cs="Times New Roman"/>
          <w:sz w:val="24"/>
          <w:szCs w:val="24"/>
        </w:rPr>
        <w:t>nales o regionales. E</w:t>
      </w:r>
      <w:r w:rsidRPr="00B54E12">
        <w:rPr>
          <w:rFonts w:ascii="Times New Roman" w:hAnsi="Times New Roman" w:cs="Times New Roman"/>
          <w:sz w:val="24"/>
          <w:szCs w:val="24"/>
        </w:rPr>
        <w:t>l</w:t>
      </w:r>
      <w:r>
        <w:rPr>
          <w:rFonts w:ascii="Times New Roman" w:hAnsi="Times New Roman" w:cs="Times New Roman"/>
          <w:sz w:val="24"/>
          <w:szCs w:val="24"/>
        </w:rPr>
        <w:t xml:space="preserve"> pago directo a productores/as -</w:t>
      </w:r>
      <w:r w:rsidRPr="00B54E12">
        <w:rPr>
          <w:rFonts w:ascii="Times New Roman" w:hAnsi="Times New Roman" w:cs="Times New Roman"/>
          <w:sz w:val="24"/>
          <w:szCs w:val="24"/>
        </w:rPr>
        <w:t>incluida en el Pilar I- es la medida más importante a nivel presupuestario, suponiendo a nivel comunitario el 73% del presupuesto total y el 97%</w:t>
      </w:r>
      <w:r>
        <w:rPr>
          <w:rFonts w:ascii="Times New Roman" w:hAnsi="Times New Roman" w:cs="Times New Roman"/>
          <w:sz w:val="24"/>
          <w:szCs w:val="24"/>
        </w:rPr>
        <w:t xml:space="preserve"> del Pilar I,</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 xml:space="preserve">La reforma de la PAC del 2003, con elementos actualmente vigentes, pretendía dar respuesta a una serie de retos actuales con los que </w:t>
      </w:r>
      <w:r>
        <w:rPr>
          <w:rFonts w:ascii="Times New Roman" w:hAnsi="Times New Roman" w:cs="Times New Roman"/>
          <w:sz w:val="24"/>
          <w:szCs w:val="24"/>
        </w:rPr>
        <w:t>se enfrenta el sector agrario -</w:t>
      </w:r>
      <w:r w:rsidRPr="00B54E12">
        <w:rPr>
          <w:rFonts w:ascii="Times New Roman" w:hAnsi="Times New Roman" w:cs="Times New Roman"/>
          <w:sz w:val="24"/>
          <w:szCs w:val="24"/>
        </w:rPr>
        <w:t>económicos, me</w:t>
      </w:r>
      <w:r>
        <w:rPr>
          <w:rFonts w:ascii="Times New Roman" w:hAnsi="Times New Roman" w:cs="Times New Roman"/>
          <w:sz w:val="24"/>
          <w:szCs w:val="24"/>
        </w:rPr>
        <w:t>dioambientales y territoriales-</w:t>
      </w:r>
      <w:r w:rsidRPr="00B54E12">
        <w:rPr>
          <w:rFonts w:ascii="Times New Roman" w:hAnsi="Times New Roman" w:cs="Times New Roman"/>
          <w:sz w:val="24"/>
          <w:szCs w:val="24"/>
        </w:rPr>
        <w:t>. Esto se hacía tras una pérdida de legitimidad de dicha política por el histórico favorecimiento, a través de los pagos directos del Pilar I, del productivismo y la gran tenencia frente a organizaciones productivas basadas en una mayor calidad y sostenibilidad ambiental; todo ello en un contexto de pérdida de población activa y despoblamiento del mundo rural.</w:t>
      </w:r>
    </w:p>
    <w:p w:rsidR="007E482E"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En efecto, se da la paradoja de los fondos del Pilar I continúan fomentando lo que se consideran, también desde la Comisión y Unión Europea, problemas socioeconómicos y estructurales del sector agrario; aquellos para los que se desarrolló el Pilar II.</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El fracaso de la arquitectura verde</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Desde la Coalición Por Otra PAC elaboramos, en 2019, el Atlas de la PAC, un documento en el que se analizan los impactos de la PAC en 19 ámbitos, entre ellos la biodiversidad, el agua, el empleo, la alimentación, el desarrollo rural o la propiedad de la tierra. En cada uno de estos se muestra, con datos contrastados, cómo la PAC no está cumpliendo con sus propios objetivos y los retos socioambientales a los que</w:t>
      </w:r>
      <w:r>
        <w:rPr>
          <w:rFonts w:ascii="Times New Roman" w:hAnsi="Times New Roman" w:cs="Times New Roman"/>
          <w:sz w:val="24"/>
          <w:szCs w:val="24"/>
        </w:rPr>
        <w:t xml:space="preserve"> nos enfrentamos como sociedad.</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 xml:space="preserve">En relación los compromisos ambientales varios informes del tribunal de cuentas europeo muestran que, a pesar del desarrollo de la denominada arquitectura verde de la PAC, basada en incluir una serie de pagos directos ambientales -condicionalidad y greening o </w:t>
      </w:r>
      <w:r w:rsidRPr="00B54E12">
        <w:rPr>
          <w:rFonts w:ascii="Times New Roman" w:hAnsi="Times New Roman" w:cs="Times New Roman"/>
          <w:sz w:val="24"/>
          <w:szCs w:val="24"/>
        </w:rPr>
        <w:lastRenderedPageBreak/>
        <w:t>ecologización-, ésta no ha sido eficaz o altamente insuficiente para con</w:t>
      </w:r>
      <w:r>
        <w:rPr>
          <w:rFonts w:ascii="Times New Roman" w:hAnsi="Times New Roman" w:cs="Times New Roman"/>
          <w:sz w:val="24"/>
          <w:szCs w:val="24"/>
        </w:rPr>
        <w:t>seguir los objetivos esperados.</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Son especialmente releva</w:t>
      </w:r>
      <w:r>
        <w:rPr>
          <w:rFonts w:ascii="Times New Roman" w:hAnsi="Times New Roman" w:cs="Times New Roman"/>
          <w:sz w:val="24"/>
          <w:szCs w:val="24"/>
        </w:rPr>
        <w:t>ntes los siguientes documentos:</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El Informe Especial 21/2017 Ecologización (Greening), que concluye que los pagos directos de greening no han logrado mejorar el comportamiento medioambiental y climático de la PAC con arreglo al conjunto de objetivos establecidos en la legislación de la UE y que éstos siguen siendo, en esencia, un régimen de ayuda a la renta.</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El Informe Especial 13/2020. Biodiversidad agrícola, que muestra como la PAC no ha frenado el declive de la biodiversidad agrícola y la continuación de la pérdida de diversidad de cultivos y los animales en las explotaciones en la UE. Relativo a los pagos directos de la PAC, que representan alrededor del 70% del gasto agrícola de la UE,  el informe determina que el impacto en la biodiversidad de los requisitos asociados a los pagos directos (incluidas greening y la condicionalidad) es negativo, limitado o desconocido.</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PAC post 2020: una apuesta laxa por los ecoesquemas</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 xml:space="preserve">La nueva PAC ha propuesto los ecoesquemas como “el siguiente paso” del actual greening. Son pagos directos -del Pilar I- a agricultoras/es y ganaderas/os que desarrollen prácticas agrícolas que sean beneficiosas para el clima y el medio ambiente y que han de responder a los tres objetivos específicos medioambientales: el cambio climático y la energía sostenible; el desarrollo sostenible y la gestión eficiente de los recursos naturales; y la protección de la biodiversidad, los servicios ecosistémicos, la conservación </w:t>
      </w:r>
      <w:r>
        <w:rPr>
          <w:rFonts w:ascii="Times New Roman" w:hAnsi="Times New Roman" w:cs="Times New Roman"/>
          <w:sz w:val="24"/>
          <w:szCs w:val="24"/>
        </w:rPr>
        <w:t>de los hábitats y los paisajes.</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Los ecoesquemas deberán impulsar exigencias ambientales superiores a las de la condicionalidad reforzada y ser diferentes a las medidas agroambientales que se desarrollen a través de los Planes de Desarrollo Rural -Pilar II-. Los Estados Miembros estarán obligados ponerlas en marcha y el desarrollo de estas medias será voluntario para el sector agrario.</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El 21 de octubre conocimos que el Consejo Europeo proponía que sólo el 20% de los pagos directos fueran a ser destinados a los ecoesquemas,  una cifra insuficiente y poco responsable con los retos ambientales que debemos afrontar, la salud de la población europea y la situación de las per</w:t>
      </w:r>
      <w:r>
        <w:rPr>
          <w:rFonts w:ascii="Times New Roman" w:hAnsi="Times New Roman" w:cs="Times New Roman"/>
          <w:sz w:val="24"/>
          <w:szCs w:val="24"/>
        </w:rPr>
        <w:t>sonas que trabajan en el campo -</w:t>
      </w:r>
      <w:r w:rsidRPr="00B54E12">
        <w:rPr>
          <w:rFonts w:ascii="Times New Roman" w:hAnsi="Times New Roman" w:cs="Times New Roman"/>
          <w:sz w:val="24"/>
          <w:szCs w:val="24"/>
        </w:rPr>
        <w:t xml:space="preserve"> recordamos que el 80% de los fondos va a parar al 20% de los mayores propietarios de tierras mientras 1 de cada 4 explotaciones agrarias ha desaparecido en la última década.</w:t>
      </w:r>
    </w:p>
    <w:p w:rsidR="007E482E" w:rsidRPr="00B54E12"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Si bien aún queda mucho por recorrer en la configuración de la nueva PAC, ésta se va alejando del “cambio drástico necesario que tendría que realizar para reducir la desigualdad y proteger el medio ambiente” que indicaban en este artículo investigadoras e investigadores de las universidades de Lund y Utrecht. Como se indica en el título del mismo, billones de euros malgastados en subvenciones agrícolas en la UE podrían apoyar los objetivos y metas de desarrollo sostenible -ODS-, especialmente si tenemos en cuenta el papel crucial que tiene la transformación del sector ag</w:t>
      </w:r>
      <w:r>
        <w:rPr>
          <w:rFonts w:ascii="Times New Roman" w:hAnsi="Times New Roman" w:cs="Times New Roman"/>
          <w:sz w:val="24"/>
          <w:szCs w:val="24"/>
        </w:rPr>
        <w:t>roalimentario alcanzar los ODS.</w:t>
      </w:r>
    </w:p>
    <w:p w:rsidR="007E482E" w:rsidRDefault="007E482E" w:rsidP="007E482E">
      <w:pPr>
        <w:spacing w:line="240" w:lineRule="auto"/>
        <w:jc w:val="both"/>
        <w:rPr>
          <w:rFonts w:ascii="Times New Roman" w:hAnsi="Times New Roman" w:cs="Times New Roman"/>
          <w:sz w:val="24"/>
          <w:szCs w:val="24"/>
        </w:rPr>
      </w:pPr>
      <w:r w:rsidRPr="00B54E12">
        <w:rPr>
          <w:rFonts w:ascii="Times New Roman" w:hAnsi="Times New Roman" w:cs="Times New Roman"/>
          <w:sz w:val="24"/>
          <w:szCs w:val="24"/>
        </w:rPr>
        <w:t>La situación pues es de impaciencia por conocer la posición definitiva sobre la PAC del Parlamento Europeo y de las reuniones de los Trílogos para conocer el acuerdo definitivo de la Reforma de la PAC tras 3 años de debate y, sobre todo, y de preocupación ante la falta de una apuesta decidida y responsable para que los fondos públicos apoyen la transición hacia un sistema agroalimentario justo, sano y sostenible.</w:t>
      </w:r>
    </w:p>
    <w:p w:rsidR="003436AF" w:rsidRDefault="003436AF" w:rsidP="007E482E">
      <w:pPr>
        <w:spacing w:line="240" w:lineRule="auto"/>
        <w:jc w:val="both"/>
        <w:rPr>
          <w:rFonts w:ascii="Times New Roman" w:hAnsi="Times New Roman" w:cs="Times New Roman"/>
          <w:sz w:val="24"/>
          <w:szCs w:val="24"/>
        </w:rPr>
      </w:pPr>
    </w:p>
    <w:p w:rsidR="007E482E" w:rsidRDefault="007E482E" w:rsidP="007E482E">
      <w:pPr>
        <w:spacing w:line="240" w:lineRule="auto"/>
        <w:jc w:val="both"/>
        <w:rPr>
          <w:rFonts w:ascii="Times New Roman" w:hAnsi="Times New Roman" w:cs="Times New Roman"/>
          <w:b/>
          <w:sz w:val="24"/>
          <w:szCs w:val="24"/>
        </w:rPr>
      </w:pPr>
      <w:r w:rsidRPr="00CC712D">
        <w:rPr>
          <w:rFonts w:ascii="Times New Roman" w:hAnsi="Times New Roman" w:cs="Times New Roman"/>
          <w:b/>
          <w:sz w:val="24"/>
          <w:szCs w:val="24"/>
        </w:rPr>
        <w:lastRenderedPageBreak/>
        <w:t>- Soberanía alimentaria en Europa</w:t>
      </w:r>
      <w:r w:rsidR="00025A50">
        <w:rPr>
          <w:rFonts w:ascii="Times New Roman" w:hAnsi="Times New Roman" w:cs="Times New Roman"/>
          <w:b/>
          <w:sz w:val="24"/>
          <w:szCs w:val="24"/>
        </w:rPr>
        <w:t xml:space="preserve"> (con esperanza</w:t>
      </w:r>
      <w:r w:rsidR="00606F63">
        <w:rPr>
          <w:rFonts w:ascii="Times New Roman" w:hAnsi="Times New Roman" w:cs="Times New Roman"/>
          <w:b/>
          <w:sz w:val="24"/>
          <w:szCs w:val="24"/>
        </w:rPr>
        <w:t>.</w:t>
      </w:r>
      <w:r w:rsidR="00025A50">
        <w:rPr>
          <w:rFonts w:ascii="Times New Roman" w:hAnsi="Times New Roman" w:cs="Times New Roman"/>
          <w:b/>
          <w:sz w:val="24"/>
          <w:szCs w:val="24"/>
        </w:rPr>
        <w:t xml:space="preserve"> y sin miedo)</w:t>
      </w:r>
    </w:p>
    <w:p w:rsidR="003436AF" w:rsidRDefault="003436AF" w:rsidP="007E482E">
      <w:pPr>
        <w:spacing w:line="240" w:lineRule="auto"/>
        <w:jc w:val="both"/>
        <w:rPr>
          <w:rFonts w:ascii="Times New Roman" w:hAnsi="Times New Roman" w:cs="Times New Roman"/>
          <w:b/>
          <w:sz w:val="24"/>
          <w:szCs w:val="24"/>
        </w:rPr>
      </w:pPr>
      <w:r w:rsidRPr="00DB7E7F">
        <w:rPr>
          <w:rFonts w:ascii="Times New Roman" w:hAnsi="Times New Roman" w:cs="Times New Roman"/>
          <w:noProof/>
          <w:sz w:val="24"/>
          <w:szCs w:val="24"/>
          <w:lang w:eastAsia="es-ES"/>
        </w:rPr>
        <w:drawing>
          <wp:inline distT="0" distB="0" distL="0" distR="0" wp14:anchorId="1689ED3A" wp14:editId="445E8C88">
            <wp:extent cx="5731510" cy="2877820"/>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2877820"/>
                    </a:xfrm>
                    <a:prstGeom prst="rect">
                      <a:avLst/>
                    </a:prstGeom>
                  </pic:spPr>
                </pic:pic>
              </a:graphicData>
            </a:graphic>
          </wp:inline>
        </w:drawing>
      </w:r>
    </w:p>
    <w:p w:rsidR="007E482E" w:rsidRPr="00173631" w:rsidRDefault="007E482E" w:rsidP="007E482E">
      <w:pPr>
        <w:spacing w:line="240" w:lineRule="auto"/>
        <w:jc w:val="both"/>
        <w:rPr>
          <w:rFonts w:ascii="Times New Roman" w:hAnsi="Times New Roman" w:cs="Times New Roman"/>
          <w:sz w:val="24"/>
          <w:szCs w:val="24"/>
          <w:u w:val="single"/>
        </w:rPr>
      </w:pPr>
      <w:r w:rsidRPr="00173631">
        <w:rPr>
          <w:rFonts w:ascii="Times New Roman" w:hAnsi="Times New Roman" w:cs="Times New Roman"/>
          <w:sz w:val="24"/>
          <w:szCs w:val="24"/>
        </w:rPr>
        <w:t xml:space="preserve">(24/3/22) </w:t>
      </w:r>
      <w:r w:rsidRPr="00173631">
        <w:rPr>
          <w:rFonts w:ascii="Times New Roman" w:hAnsi="Times New Roman" w:cs="Times New Roman"/>
          <w:sz w:val="24"/>
          <w:szCs w:val="24"/>
          <w:u w:val="single"/>
        </w:rPr>
        <w:t>Estado de situa</w:t>
      </w:r>
      <w:r w:rsidR="000142C0">
        <w:rPr>
          <w:rFonts w:ascii="Times New Roman" w:hAnsi="Times New Roman" w:cs="Times New Roman"/>
          <w:sz w:val="24"/>
          <w:szCs w:val="24"/>
          <w:u w:val="single"/>
        </w:rPr>
        <w:t xml:space="preserve">ción al redactar este Apartado: </w:t>
      </w:r>
      <w:r>
        <w:rPr>
          <w:rFonts w:ascii="Times New Roman" w:hAnsi="Times New Roman" w:cs="Times New Roman"/>
          <w:sz w:val="24"/>
          <w:szCs w:val="24"/>
          <w:u w:val="single"/>
        </w:rPr>
        <w:t xml:space="preserve">el </w:t>
      </w:r>
      <w:r w:rsidR="000142C0">
        <w:rPr>
          <w:rFonts w:ascii="Times New Roman" w:hAnsi="Times New Roman" w:cs="Times New Roman"/>
          <w:sz w:val="24"/>
          <w:szCs w:val="24"/>
          <w:u w:val="single"/>
        </w:rPr>
        <w:t>pasmo europeo ante la guerra</w:t>
      </w:r>
    </w:p>
    <w:p w:rsidR="007E482E" w:rsidRPr="000142C0" w:rsidRDefault="007E482E" w:rsidP="007E482E">
      <w:pPr>
        <w:spacing w:line="240" w:lineRule="auto"/>
        <w:jc w:val="both"/>
        <w:rPr>
          <w:rFonts w:ascii="Times New Roman" w:eastAsia="Times New Roman" w:hAnsi="Times New Roman" w:cs="Times New Roman"/>
          <w:sz w:val="24"/>
          <w:szCs w:val="24"/>
          <w:lang w:eastAsia="es-ES"/>
        </w:rPr>
      </w:pPr>
      <w:r w:rsidRPr="000142C0">
        <w:rPr>
          <w:rFonts w:ascii="Times New Roman" w:eastAsia="Times New Roman" w:hAnsi="Times New Roman" w:cs="Times New Roman"/>
          <w:sz w:val="24"/>
          <w:szCs w:val="24"/>
          <w:lang w:eastAsia="es-ES"/>
        </w:rPr>
        <w:t>Ucrania se sitúa junto a Rusia entre los cinco mayores productores de cereales del mundo, según la FAO. Es el cuarto exportador mundial de maíz y el cuarto de trigo. El 40% de las ventas internacionales de aceite de girasol procede de empresas ucranias. El miedo global al desabastecimiento y encarecimiento de estos productos responde no solo a la inevitable reducción de las cosechas de este año, sino también a la prohibición del Gobierno de Zelenski de exportar estos alimentos, salvo muy contadas excepciones. Sí, pueden exportarse cantidades limitadas de maíz y de aceite de girasol. En este último caso, según la dirección regional de la empresa líder en Ucrania, Vioil, el mayor inconveniente es que los barcos que transportan el aceite desde el puerto de Odesa -a 350 kilómetros de distancia- a los mercados internacionales no pueden zarpar por el bloqueo de la flota rusa en el mar Negro.</w:t>
      </w:r>
    </w:p>
    <w:p w:rsidR="007E482E" w:rsidRPr="000142C0" w:rsidRDefault="007E482E" w:rsidP="007E482E">
      <w:pPr>
        <w:spacing w:line="240" w:lineRule="auto"/>
        <w:jc w:val="both"/>
        <w:rPr>
          <w:rFonts w:ascii="Times New Roman" w:eastAsia="Times New Roman" w:hAnsi="Times New Roman" w:cs="Times New Roman"/>
          <w:sz w:val="24"/>
          <w:szCs w:val="24"/>
          <w:lang w:eastAsia="es-ES"/>
        </w:rPr>
      </w:pPr>
      <w:r w:rsidRPr="000142C0">
        <w:rPr>
          <w:rFonts w:ascii="Times New Roman" w:eastAsia="Times New Roman" w:hAnsi="Times New Roman" w:cs="Times New Roman"/>
          <w:sz w:val="24"/>
          <w:szCs w:val="24"/>
          <w:lang w:eastAsia="es-ES"/>
        </w:rPr>
        <w:t>La FAO avisa de que el aumento global de los precios de los alimentos puede ser de entre un 8% y un 22%, y que la población mundial malnutrida puede crecer entre 8 y 13 millones de personas. El secretario general de la ONU, Antonio Guterres (14/3/22), que la situación es particularmente grave para el suministro de trigo en 18 países de África.</w:t>
      </w:r>
    </w:p>
    <w:p w:rsidR="007E482E" w:rsidRPr="000142C0" w:rsidRDefault="007E482E" w:rsidP="007E482E">
      <w:pPr>
        <w:spacing w:line="240" w:lineRule="auto"/>
        <w:jc w:val="both"/>
        <w:rPr>
          <w:rFonts w:ascii="Times New Roman" w:eastAsia="Times New Roman" w:hAnsi="Times New Roman" w:cs="Times New Roman"/>
          <w:sz w:val="24"/>
          <w:szCs w:val="24"/>
          <w:lang w:eastAsia="es-ES"/>
        </w:rPr>
      </w:pPr>
      <w:r w:rsidRPr="000142C0">
        <w:rPr>
          <w:rFonts w:ascii="Times New Roman" w:eastAsia="Times New Roman" w:hAnsi="Times New Roman" w:cs="Times New Roman"/>
          <w:sz w:val="24"/>
          <w:szCs w:val="24"/>
          <w:lang w:eastAsia="es-ES"/>
        </w:rPr>
        <w:t>El temor no procede únicamente de la situación en Ucrania: Rusia es el mayor productor de fertilizantes en el mercado internacional. El multimillonario ruso Andrei Melnichenko, fundador del gigante del sector Eurochem, pidió en una entrevista a Reuters (14/3/22) el fin de la guerra, porque ocasionará una grave hambruna. “Los fertilizantes cada vez son menos asequibles para el sector agrícola por culpa de la guerra”, afirmó Melnichenko. “Ahora veremos una inflación en los precios de alimentos en Europa y una probable carestía en los países más pobres”. Melnichenko, también importante empresario del sector del carbón, es uno de los oligarcas más afectados por las sanciones de la comunidad internacional sobre los activos rusos.</w:t>
      </w:r>
    </w:p>
    <w:p w:rsidR="007E482E" w:rsidRPr="00173631" w:rsidRDefault="007E482E" w:rsidP="007E482E">
      <w:pPr>
        <w:spacing w:line="24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u w:val="single"/>
          <w:lang w:eastAsia="es-ES"/>
        </w:rPr>
        <w:t>L</w:t>
      </w:r>
      <w:r w:rsidRPr="00B261A1">
        <w:rPr>
          <w:rFonts w:ascii="Times New Roman" w:eastAsia="Times New Roman" w:hAnsi="Times New Roman" w:cs="Times New Roman"/>
          <w:color w:val="000000"/>
          <w:sz w:val="24"/>
          <w:szCs w:val="24"/>
          <w:u w:val="single"/>
          <w:lang w:eastAsia="es-ES"/>
        </w:rPr>
        <w:t>a otra batalla en la guerra de Ucrania</w:t>
      </w:r>
      <w:r w:rsidR="000142C0">
        <w:rPr>
          <w:rFonts w:ascii="Times New Roman" w:eastAsia="Times New Roman" w:hAnsi="Times New Roman" w:cs="Times New Roman"/>
          <w:color w:val="000000"/>
          <w:sz w:val="24"/>
          <w:szCs w:val="24"/>
          <w:u w:val="single"/>
          <w:lang w:eastAsia="es-ES"/>
        </w:rPr>
        <w:t xml:space="preserve">: </w:t>
      </w:r>
      <w:r>
        <w:rPr>
          <w:rFonts w:ascii="Times New Roman" w:eastAsia="Times New Roman" w:hAnsi="Times New Roman" w:cs="Times New Roman"/>
          <w:color w:val="000000"/>
          <w:sz w:val="24"/>
          <w:szCs w:val="24"/>
          <w:u w:val="single"/>
          <w:lang w:eastAsia="es-ES"/>
        </w:rPr>
        <w:t>a la Unión Europea “</w:t>
      </w:r>
      <w:r w:rsidRPr="00173631">
        <w:rPr>
          <w:rFonts w:ascii="Times New Roman" w:eastAsia="Times New Roman" w:hAnsi="Times New Roman" w:cs="Times New Roman"/>
          <w:color w:val="000000"/>
          <w:sz w:val="24"/>
          <w:szCs w:val="24"/>
          <w:u w:val="single"/>
          <w:lang w:eastAsia="es-ES"/>
        </w:rPr>
        <w:t>no le llega la camisa al cuerpo</w:t>
      </w:r>
      <w:r w:rsidR="000142C0">
        <w:rPr>
          <w:rFonts w:ascii="Times New Roman" w:eastAsia="Times New Roman" w:hAnsi="Times New Roman" w:cs="Times New Roman"/>
          <w:color w:val="000000"/>
          <w:sz w:val="24"/>
          <w:szCs w:val="24"/>
          <w:u w:val="single"/>
          <w:lang w:eastAsia="es-ES"/>
        </w:rPr>
        <w:t>”</w:t>
      </w:r>
    </w:p>
    <w:p w:rsidR="007E482E" w:rsidRPr="0047668E" w:rsidRDefault="007E482E" w:rsidP="007E482E">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47668E">
        <w:rPr>
          <w:rFonts w:ascii="Times New Roman" w:hAnsi="Times New Roman" w:cs="Times New Roman"/>
          <w:i/>
          <w:sz w:val="24"/>
          <w:szCs w:val="24"/>
        </w:rPr>
        <w:t xml:space="preserve">La soberanía alimentaria es el derecho de los pueblos, comunidades y países a definir sus propias políticas agrícolas, pastoriles, laborales, de pesca, alimentarias y agrarias que sean ecológica, social, económica y culturalmente apropiadas a sus circunstancias exclusivas. </w:t>
      </w:r>
      <w:r w:rsidRPr="0047668E">
        <w:rPr>
          <w:rFonts w:ascii="Times New Roman" w:hAnsi="Times New Roman" w:cs="Times New Roman"/>
          <w:i/>
          <w:sz w:val="24"/>
          <w:szCs w:val="24"/>
        </w:rPr>
        <w:lastRenderedPageBreak/>
        <w:t>Esto incluye el derecho real a la alimentación y a la producción de alimentos, lo que significa que todos los pueblos tienen el derecho de tener alimentos y recursos para la producción de alimentos seguros, nutritivos y culturalmente apropiados, así como la capacidad de mantenerse a sí mismos y a sus sociedades</w:t>
      </w:r>
      <w:r>
        <w:rPr>
          <w:rFonts w:ascii="Times New Roman" w:hAnsi="Times New Roman" w:cs="Times New Roman"/>
          <w:i/>
          <w:sz w:val="24"/>
          <w:szCs w:val="24"/>
        </w:rPr>
        <w:t>”</w:t>
      </w:r>
      <w:r w:rsidRPr="0047668E">
        <w:rPr>
          <w:rFonts w:ascii="Times New Roman" w:hAnsi="Times New Roman" w:cs="Times New Roman"/>
          <w:i/>
          <w:sz w:val="24"/>
          <w:szCs w:val="24"/>
        </w:rPr>
        <w:t xml:space="preserve">. </w:t>
      </w:r>
      <w:r w:rsidRPr="0047668E">
        <w:rPr>
          <w:rFonts w:ascii="Times New Roman" w:hAnsi="Times New Roman" w:cs="Times New Roman"/>
          <w:sz w:val="24"/>
          <w:szCs w:val="24"/>
        </w:rPr>
        <w:t>(Declaración política del Foro de ong/osc para la Soberanía Alimentaria. Roma, junio de 2002.)</w:t>
      </w:r>
    </w:p>
    <w:p w:rsidR="007E482E" w:rsidRDefault="007E482E" w:rsidP="007E482E">
      <w:pPr>
        <w:spacing w:line="240" w:lineRule="auto"/>
        <w:jc w:val="both"/>
        <w:rPr>
          <w:rFonts w:ascii="Times New Roman" w:hAnsi="Times New Roman" w:cs="Times New Roman"/>
          <w:sz w:val="24"/>
          <w:szCs w:val="24"/>
        </w:rPr>
      </w:pPr>
      <w:r w:rsidRPr="00CC712D">
        <w:rPr>
          <w:rFonts w:ascii="Times New Roman" w:hAnsi="Times New Roman" w:cs="Times New Roman"/>
          <w:sz w:val="24"/>
          <w:szCs w:val="24"/>
        </w:rPr>
        <w:t>Uno de los principios fundacionales de la UE es conseguir una aceptable soberanía alimentaria, esto es, no depender de terceros países en un sector primario estratégico. Sin embargo, ¿sigue vigente dicho principio? Es evidente que Europa está virando a un modelo diferente, un modelo en el que prima la producción tecnológica sobre la producción de alimentos o de componentes básicos, un modelo en el que las fábricas están fuera de Europa porque solo se piensa en los costes unitarios y en el consabido “que</w:t>
      </w:r>
      <w:r>
        <w:rPr>
          <w:rFonts w:ascii="Times New Roman" w:hAnsi="Times New Roman" w:cs="Times New Roman"/>
          <w:sz w:val="24"/>
          <w:szCs w:val="24"/>
        </w:rPr>
        <w:t xml:space="preserve"> contaminen otros”, mientras que se invierte</w:t>
      </w:r>
      <w:r w:rsidRPr="00CC712D">
        <w:rPr>
          <w:rFonts w:ascii="Times New Roman" w:hAnsi="Times New Roman" w:cs="Times New Roman"/>
          <w:sz w:val="24"/>
          <w:szCs w:val="24"/>
        </w:rPr>
        <w:t xml:space="preserve"> para tener y conservar el jardín europeo listo para uso y disfrute como si fuese un parque temático.</w:t>
      </w:r>
    </w:p>
    <w:p w:rsidR="007E482E" w:rsidRPr="00CC712D" w:rsidRDefault="007E482E" w:rsidP="007E482E">
      <w:pPr>
        <w:spacing w:line="240" w:lineRule="auto"/>
        <w:jc w:val="both"/>
        <w:rPr>
          <w:rFonts w:ascii="Times New Roman" w:hAnsi="Times New Roman" w:cs="Times New Roman"/>
          <w:sz w:val="24"/>
          <w:szCs w:val="24"/>
        </w:rPr>
      </w:pPr>
      <w:r w:rsidRPr="00CC712D">
        <w:rPr>
          <w:rFonts w:ascii="Times New Roman" w:hAnsi="Times New Roman" w:cs="Times New Roman"/>
          <w:sz w:val="24"/>
          <w:szCs w:val="24"/>
        </w:rPr>
        <w:t>Lo que diferencia a la agricultura de aquellos sectores ya externalizados radica en que el bien matriz de la producción, que es la tierra cultivable, no se puede llevar fuera, lo que conlleva el ab</w:t>
      </w:r>
      <w:r>
        <w:rPr>
          <w:rFonts w:ascii="Times New Roman" w:hAnsi="Times New Roman" w:cs="Times New Roman"/>
          <w:sz w:val="24"/>
          <w:szCs w:val="24"/>
        </w:rPr>
        <w:t>andono de tierras</w:t>
      </w:r>
      <w:r w:rsidRPr="00CC712D">
        <w:rPr>
          <w:rFonts w:ascii="Times New Roman" w:hAnsi="Times New Roman" w:cs="Times New Roman"/>
          <w:sz w:val="24"/>
          <w:szCs w:val="24"/>
        </w:rPr>
        <w:t>. Este hecho tiene importantes repercusiones sociales negativas, ya que desaparece el nexo entre los habitantes y el medio físico, un medio que fija población, crea riqueza y mantiene el equilibrio del ecosistema, logrando así una sociedad más sostenible tanto econ</w:t>
      </w:r>
      <w:r>
        <w:rPr>
          <w:rFonts w:ascii="Times New Roman" w:hAnsi="Times New Roman" w:cs="Times New Roman"/>
          <w:sz w:val="24"/>
          <w:szCs w:val="24"/>
        </w:rPr>
        <w:t>ómica como medioambientalmente.</w:t>
      </w:r>
    </w:p>
    <w:p w:rsidR="007E482E" w:rsidRPr="00CC712D"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se reciben señales desde los</w:t>
      </w:r>
      <w:r w:rsidRPr="00CC712D">
        <w:rPr>
          <w:rFonts w:ascii="Times New Roman" w:hAnsi="Times New Roman" w:cs="Times New Roman"/>
          <w:sz w:val="24"/>
          <w:szCs w:val="24"/>
        </w:rPr>
        <w:t xml:space="preserve"> socios europeos con mayor potencial económico, como Alemania, para que los pagos a agricultores </w:t>
      </w:r>
      <w:r>
        <w:rPr>
          <w:rFonts w:ascii="Times New Roman" w:hAnsi="Times New Roman" w:cs="Times New Roman"/>
          <w:sz w:val="24"/>
          <w:szCs w:val="24"/>
        </w:rPr>
        <w:t>sobre la parte llamada</w:t>
      </w:r>
      <w:r w:rsidRPr="00CC712D">
        <w:rPr>
          <w:rFonts w:ascii="Times New Roman" w:hAnsi="Times New Roman" w:cs="Times New Roman"/>
          <w:sz w:val="24"/>
          <w:szCs w:val="24"/>
        </w:rPr>
        <w:t xml:space="preserve"> Ecoesquema</w:t>
      </w:r>
      <w:r>
        <w:rPr>
          <w:rFonts w:ascii="Times New Roman" w:hAnsi="Times New Roman" w:cs="Times New Roman"/>
          <w:sz w:val="24"/>
          <w:szCs w:val="24"/>
        </w:rPr>
        <w:t>s de la PAC</w:t>
      </w:r>
      <w:r w:rsidRPr="00CC712D">
        <w:rPr>
          <w:rFonts w:ascii="Times New Roman" w:hAnsi="Times New Roman" w:cs="Times New Roman"/>
          <w:sz w:val="24"/>
          <w:szCs w:val="24"/>
        </w:rPr>
        <w:t>, sean del 100% para el agricultor que más y mejor defensa haga del medio ambiente y de la gestión de los espacios verdes, recomendación muy loable, pero que olvida el principal fin de la agricultura: producir alimentos. Además, desdeña el conocimiento científico, ya que todas las tierras no pueden con</w:t>
      </w:r>
      <w:r>
        <w:rPr>
          <w:rFonts w:ascii="Times New Roman" w:hAnsi="Times New Roman" w:cs="Times New Roman"/>
          <w:sz w:val="24"/>
          <w:szCs w:val="24"/>
        </w:rPr>
        <w:t>vertirse en vergeles y bosques.</w:t>
      </w:r>
    </w:p>
    <w:p w:rsidR="007E482E" w:rsidRPr="00CC712D" w:rsidRDefault="007E482E" w:rsidP="007E482E">
      <w:pPr>
        <w:spacing w:line="240" w:lineRule="auto"/>
        <w:jc w:val="both"/>
        <w:rPr>
          <w:rFonts w:ascii="Times New Roman" w:hAnsi="Times New Roman" w:cs="Times New Roman"/>
          <w:sz w:val="24"/>
          <w:szCs w:val="24"/>
        </w:rPr>
      </w:pPr>
      <w:r w:rsidRPr="00CC712D">
        <w:rPr>
          <w:rFonts w:ascii="Times New Roman" w:hAnsi="Times New Roman" w:cs="Times New Roman"/>
          <w:sz w:val="24"/>
          <w:szCs w:val="24"/>
        </w:rPr>
        <w:t>En otro orden de cosas, el problema de su</w:t>
      </w:r>
      <w:r>
        <w:rPr>
          <w:rFonts w:ascii="Times New Roman" w:hAnsi="Times New Roman" w:cs="Times New Roman"/>
          <w:sz w:val="24"/>
          <w:szCs w:val="24"/>
        </w:rPr>
        <w:t xml:space="preserve">ministros que se está </w:t>
      </w:r>
      <w:r w:rsidRPr="00CC712D">
        <w:rPr>
          <w:rFonts w:ascii="Times New Roman" w:hAnsi="Times New Roman" w:cs="Times New Roman"/>
          <w:sz w:val="24"/>
          <w:szCs w:val="24"/>
        </w:rPr>
        <w:t>padeciendo y que afecta a componentes electrónicos, material de embalaje, plásticos, etc., unido al alza de precios en combustibles, transportes y materias primas, ha obligado a muchas empresas europeas en los últimos meses a parar cadenas de montaje o fabricación, y a no poder asegurar en algunos casos ni el coste final ni el tiempo en el que podremos surtir a nuestros clientes de producto acabado.</w:t>
      </w:r>
    </w:p>
    <w:p w:rsidR="007E482E" w:rsidRPr="00CC712D"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Hay que tener en cuenta</w:t>
      </w:r>
      <w:r w:rsidRPr="00CC712D">
        <w:rPr>
          <w:rFonts w:ascii="Times New Roman" w:hAnsi="Times New Roman" w:cs="Times New Roman"/>
          <w:sz w:val="24"/>
          <w:szCs w:val="24"/>
        </w:rPr>
        <w:t xml:space="preserve"> otro dato interesante: la población de la UE es solo el 6,5%  de la població</w:t>
      </w:r>
      <w:r>
        <w:rPr>
          <w:rFonts w:ascii="Times New Roman" w:hAnsi="Times New Roman" w:cs="Times New Roman"/>
          <w:sz w:val="24"/>
          <w:szCs w:val="24"/>
        </w:rPr>
        <w:t>n mundial. Como cliente puede dejar de ser tan atractivo</w:t>
      </w:r>
      <w:r w:rsidRPr="00CC712D">
        <w:rPr>
          <w:rFonts w:ascii="Times New Roman" w:hAnsi="Times New Roman" w:cs="Times New Roman"/>
          <w:sz w:val="24"/>
          <w:szCs w:val="24"/>
        </w:rPr>
        <w:t xml:space="preserve"> como puedan serlo otros mercados emergentes, que si bien hoy pueden tener menos poder adquisitivo, son “valores de futuro”, expresión de moda en los mercados financieros que dominan el orbe. ¿Qué pasará a la hora de comprar al</w:t>
      </w:r>
      <w:r>
        <w:rPr>
          <w:rFonts w:ascii="Times New Roman" w:hAnsi="Times New Roman" w:cs="Times New Roman"/>
          <w:sz w:val="24"/>
          <w:szCs w:val="24"/>
        </w:rPr>
        <w:t>imentos en el futuro? ¿Tendrá la UE que pujar como se hizo</w:t>
      </w:r>
      <w:r w:rsidRPr="00CC712D">
        <w:rPr>
          <w:rFonts w:ascii="Times New Roman" w:hAnsi="Times New Roman" w:cs="Times New Roman"/>
          <w:sz w:val="24"/>
          <w:szCs w:val="24"/>
        </w:rPr>
        <w:t xml:space="preserve"> por las mascarillas o por los respiradores al i</w:t>
      </w:r>
      <w:r>
        <w:rPr>
          <w:rFonts w:ascii="Times New Roman" w:hAnsi="Times New Roman" w:cs="Times New Roman"/>
          <w:sz w:val="24"/>
          <w:szCs w:val="24"/>
        </w:rPr>
        <w:t>nicio de la pandemia? ¿Estará</w:t>
      </w:r>
      <w:r w:rsidRPr="00CC712D">
        <w:rPr>
          <w:rFonts w:ascii="Times New Roman" w:hAnsi="Times New Roman" w:cs="Times New Roman"/>
          <w:sz w:val="24"/>
          <w:szCs w:val="24"/>
        </w:rPr>
        <w:t xml:space="preserve"> s</w:t>
      </w:r>
      <w:r>
        <w:rPr>
          <w:rFonts w:ascii="Times New Roman" w:hAnsi="Times New Roman" w:cs="Times New Roman"/>
          <w:sz w:val="24"/>
          <w:szCs w:val="24"/>
        </w:rPr>
        <w:t>ujeta</w:t>
      </w:r>
      <w:r w:rsidRPr="00CC712D">
        <w:rPr>
          <w:rFonts w:ascii="Times New Roman" w:hAnsi="Times New Roman" w:cs="Times New Roman"/>
          <w:sz w:val="24"/>
          <w:szCs w:val="24"/>
        </w:rPr>
        <w:t xml:space="preserve"> a movimientos especuladores par</w:t>
      </w:r>
      <w:r>
        <w:rPr>
          <w:rFonts w:ascii="Times New Roman" w:hAnsi="Times New Roman" w:cs="Times New Roman"/>
          <w:sz w:val="24"/>
          <w:szCs w:val="24"/>
        </w:rPr>
        <w:t>a tener acceso a los alimentos?</w:t>
      </w:r>
    </w:p>
    <w:p w:rsidR="007E482E" w:rsidRDefault="007E482E" w:rsidP="007E482E">
      <w:pPr>
        <w:spacing w:line="240" w:lineRule="auto"/>
        <w:jc w:val="both"/>
        <w:rPr>
          <w:rFonts w:ascii="Times New Roman" w:hAnsi="Times New Roman" w:cs="Times New Roman"/>
          <w:sz w:val="24"/>
          <w:szCs w:val="24"/>
        </w:rPr>
      </w:pPr>
      <w:r w:rsidRPr="00CC712D">
        <w:rPr>
          <w:rFonts w:ascii="Times New Roman" w:hAnsi="Times New Roman" w:cs="Times New Roman"/>
          <w:sz w:val="24"/>
          <w:szCs w:val="24"/>
        </w:rPr>
        <w:t>La estrategia europea “De la Granja a la Mesa” vuelve a hablar de esa soberanía alimentaria como uno de sus pilares, pero de momento sin planes ni fondos destinados a conseguirla. La dependencia en dem</w:t>
      </w:r>
      <w:r>
        <w:rPr>
          <w:rFonts w:ascii="Times New Roman" w:hAnsi="Times New Roman" w:cs="Times New Roman"/>
          <w:sz w:val="24"/>
          <w:szCs w:val="24"/>
        </w:rPr>
        <w:t xml:space="preserve">asía de mercados exteriores </w:t>
      </w:r>
      <w:r w:rsidRPr="00CC712D">
        <w:rPr>
          <w:rFonts w:ascii="Times New Roman" w:hAnsi="Times New Roman" w:cs="Times New Roman"/>
          <w:sz w:val="24"/>
          <w:szCs w:val="24"/>
        </w:rPr>
        <w:t xml:space="preserve">quitará soberanía, y no solo alimentaria. Al abrir la nevera, </w:t>
      </w:r>
      <w:r>
        <w:rPr>
          <w:rFonts w:ascii="Times New Roman" w:hAnsi="Times New Roman" w:cs="Times New Roman"/>
          <w:sz w:val="24"/>
          <w:szCs w:val="24"/>
        </w:rPr>
        <w:t>se debe ser consciente</w:t>
      </w:r>
      <w:r w:rsidRPr="00CC712D">
        <w:rPr>
          <w:rFonts w:ascii="Times New Roman" w:hAnsi="Times New Roman" w:cs="Times New Roman"/>
          <w:sz w:val="24"/>
          <w:szCs w:val="24"/>
        </w:rPr>
        <w:t xml:space="preserve"> de que detrás de cada fruta, de cada pieza de pan o trozo carne hay una estructura de economía circular que fija población en entornos rurales, que crea empleo autónomo, que impulsa el crecimiento de pymes, que aporta nuevas soluciones tecnológicas, y que necesita de infraestructuras y estímulos públicos para que la colaboración con el sector privado ayude a crear sociedades más equilibradas y para que los </w:t>
      </w:r>
      <w:r w:rsidRPr="00CC712D">
        <w:rPr>
          <w:rFonts w:ascii="Times New Roman" w:hAnsi="Times New Roman" w:cs="Times New Roman"/>
          <w:sz w:val="24"/>
          <w:szCs w:val="24"/>
        </w:rPr>
        <w:lastRenderedPageBreak/>
        <w:t>alimentos de proximidad y de temporada vuelvan a ser un hecho y, por tanto, todo lo anterior sea una realidad.</w:t>
      </w:r>
    </w:p>
    <w:p w:rsidR="007E482E" w:rsidRDefault="007E482E" w:rsidP="007E482E">
      <w:pPr>
        <w:spacing w:line="240" w:lineRule="auto"/>
        <w:jc w:val="both"/>
        <w:rPr>
          <w:rFonts w:ascii="Times New Roman" w:hAnsi="Times New Roman" w:cs="Times New Roman"/>
          <w:sz w:val="24"/>
          <w:szCs w:val="24"/>
        </w:rPr>
      </w:pPr>
      <w:r w:rsidRPr="00B90F1D">
        <w:rPr>
          <w:rFonts w:ascii="Times New Roman" w:hAnsi="Times New Roman" w:cs="Times New Roman"/>
          <w:sz w:val="24"/>
          <w:szCs w:val="24"/>
        </w:rPr>
        <w:t>Medio ambiente y agricultura son compatibles y complementari</w:t>
      </w:r>
      <w:r>
        <w:rPr>
          <w:rFonts w:ascii="Times New Roman" w:hAnsi="Times New Roman" w:cs="Times New Roman"/>
          <w:sz w:val="24"/>
          <w:szCs w:val="24"/>
        </w:rPr>
        <w:t>os, pero eso es algo que parece</w:t>
      </w:r>
      <w:r w:rsidRPr="00B90F1D">
        <w:rPr>
          <w:rFonts w:ascii="Times New Roman" w:hAnsi="Times New Roman" w:cs="Times New Roman"/>
          <w:sz w:val="24"/>
          <w:szCs w:val="24"/>
        </w:rPr>
        <w:t xml:space="preserve"> no tener</w:t>
      </w:r>
      <w:r>
        <w:rPr>
          <w:rFonts w:ascii="Times New Roman" w:hAnsi="Times New Roman" w:cs="Times New Roman"/>
          <w:sz w:val="24"/>
          <w:szCs w:val="24"/>
        </w:rPr>
        <w:t>se</w:t>
      </w:r>
      <w:r w:rsidRPr="00B90F1D">
        <w:rPr>
          <w:rFonts w:ascii="Times New Roman" w:hAnsi="Times New Roman" w:cs="Times New Roman"/>
          <w:sz w:val="24"/>
          <w:szCs w:val="24"/>
        </w:rPr>
        <w:t xml:space="preserve"> claro en los sillones donde se toman las decisiones en Bruselas. El ecologismo bien entendido tiene un fin, que no es otro que el de estructurar los ecosistemas y mantenerlos (protegerlos), y en ellos la agricultura hace de eje vertebrador del paisaje y del territorio, es decir, lo que llamamos el agroecosistema, que hace que este en su conjunto sea sostenible.</w:t>
      </w:r>
    </w:p>
    <w:p w:rsidR="007E482E" w:rsidRPr="00B90F1D" w:rsidRDefault="007E482E" w:rsidP="007E482E">
      <w:pPr>
        <w:spacing w:line="240" w:lineRule="auto"/>
        <w:jc w:val="both"/>
        <w:rPr>
          <w:rFonts w:ascii="Times New Roman" w:hAnsi="Times New Roman" w:cs="Times New Roman"/>
          <w:sz w:val="24"/>
          <w:szCs w:val="24"/>
        </w:rPr>
      </w:pPr>
      <w:r w:rsidRPr="00B90F1D">
        <w:rPr>
          <w:rFonts w:ascii="Times New Roman" w:hAnsi="Times New Roman" w:cs="Times New Roman"/>
          <w:sz w:val="24"/>
          <w:szCs w:val="24"/>
        </w:rPr>
        <w:t>La soberanía alimentaria de la Unión Europea ha sido dejada de lado en favor de tratados internacionales que perjudican a los precios en origen, a pesar de las exigencias ambientales, sociales y laborales que se deben cumplir desde el se</w:t>
      </w:r>
      <w:r>
        <w:rPr>
          <w:rFonts w:ascii="Times New Roman" w:hAnsi="Times New Roman" w:cs="Times New Roman"/>
          <w:sz w:val="24"/>
          <w:szCs w:val="24"/>
        </w:rPr>
        <w:t>ctor agrario en nuestra región.</w:t>
      </w:r>
    </w:p>
    <w:p w:rsidR="007E482E" w:rsidRDefault="007E482E" w:rsidP="007E482E">
      <w:pPr>
        <w:spacing w:line="240" w:lineRule="auto"/>
        <w:jc w:val="both"/>
        <w:rPr>
          <w:rFonts w:ascii="Times New Roman" w:hAnsi="Times New Roman" w:cs="Times New Roman"/>
          <w:sz w:val="24"/>
          <w:szCs w:val="24"/>
        </w:rPr>
      </w:pPr>
      <w:r w:rsidRPr="00B90F1D">
        <w:rPr>
          <w:rFonts w:ascii="Times New Roman" w:hAnsi="Times New Roman" w:cs="Times New Roman"/>
          <w:sz w:val="24"/>
          <w:szCs w:val="24"/>
        </w:rPr>
        <w:t>Tras la destrucción paulatina del propio tejido primario, ahora ante el desabastecimiento se recurre a productos de terceros que no cumplen con las exigencias ambientales de la Unión Europea.</w:t>
      </w:r>
    </w:p>
    <w:p w:rsidR="007E482E" w:rsidRPr="00C10CA6"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Después</w:t>
      </w:r>
      <w:r w:rsidRPr="00C10CA6">
        <w:rPr>
          <w:rFonts w:ascii="Times New Roman" w:hAnsi="Times New Roman" w:cs="Times New Roman"/>
          <w:sz w:val="24"/>
          <w:szCs w:val="24"/>
        </w:rPr>
        <w:t xml:space="preserve"> de</w:t>
      </w:r>
      <w:r>
        <w:rPr>
          <w:rFonts w:ascii="Times New Roman" w:hAnsi="Times New Roman" w:cs="Times New Roman"/>
          <w:sz w:val="24"/>
          <w:szCs w:val="24"/>
        </w:rPr>
        <w:t>l</w:t>
      </w:r>
      <w:r w:rsidRPr="00C10CA6">
        <w:rPr>
          <w:rFonts w:ascii="Times New Roman" w:hAnsi="Times New Roman" w:cs="Times New Roman"/>
          <w:sz w:val="24"/>
          <w:szCs w:val="24"/>
        </w:rPr>
        <w:t xml:space="preserve"> </w:t>
      </w:r>
      <w:r>
        <w:rPr>
          <w:rFonts w:ascii="Times New Roman" w:hAnsi="Times New Roman" w:cs="Times New Roman"/>
          <w:sz w:val="24"/>
          <w:szCs w:val="24"/>
        </w:rPr>
        <w:t>la</w:t>
      </w:r>
      <w:r w:rsidRPr="00C10CA6">
        <w:rPr>
          <w:rFonts w:ascii="Times New Roman" w:hAnsi="Times New Roman" w:cs="Times New Roman"/>
          <w:sz w:val="24"/>
          <w:szCs w:val="24"/>
        </w:rPr>
        <w:t>minado del tejido productivo agr</w:t>
      </w:r>
      <w:r>
        <w:rPr>
          <w:rFonts w:ascii="Times New Roman" w:hAnsi="Times New Roman" w:cs="Times New Roman"/>
          <w:sz w:val="24"/>
          <w:szCs w:val="24"/>
        </w:rPr>
        <w:t xml:space="preserve">opecuario por parte de las </w:t>
      </w:r>
      <w:r w:rsidRPr="00C10CA6">
        <w:rPr>
          <w:rFonts w:ascii="Times New Roman" w:hAnsi="Times New Roman" w:cs="Times New Roman"/>
          <w:sz w:val="24"/>
          <w:szCs w:val="24"/>
        </w:rPr>
        <w:t>instituciones</w:t>
      </w:r>
      <w:r>
        <w:rPr>
          <w:rFonts w:ascii="Times New Roman" w:hAnsi="Times New Roman" w:cs="Times New Roman"/>
          <w:sz w:val="24"/>
          <w:szCs w:val="24"/>
        </w:rPr>
        <w:t xml:space="preserve"> europeas</w:t>
      </w:r>
      <w:r w:rsidRPr="00C10CA6">
        <w:rPr>
          <w:rFonts w:ascii="Times New Roman" w:hAnsi="Times New Roman" w:cs="Times New Roman"/>
          <w:sz w:val="24"/>
          <w:szCs w:val="24"/>
        </w:rPr>
        <w:t>, se ha pasado de una situación de excedentes aliment</w:t>
      </w:r>
      <w:r>
        <w:rPr>
          <w:rFonts w:ascii="Times New Roman" w:hAnsi="Times New Roman" w:cs="Times New Roman"/>
          <w:sz w:val="24"/>
          <w:szCs w:val="24"/>
        </w:rPr>
        <w:t>arios a otra de escasez, que</w:t>
      </w:r>
      <w:r w:rsidRPr="00C10CA6">
        <w:rPr>
          <w:rFonts w:ascii="Times New Roman" w:hAnsi="Times New Roman" w:cs="Times New Roman"/>
          <w:sz w:val="24"/>
          <w:szCs w:val="24"/>
        </w:rPr>
        <w:t xml:space="preserve"> ha hecho</w:t>
      </w:r>
      <w:r>
        <w:rPr>
          <w:rFonts w:ascii="Times New Roman" w:hAnsi="Times New Roman" w:cs="Times New Roman"/>
          <w:sz w:val="24"/>
          <w:szCs w:val="24"/>
        </w:rPr>
        <w:t xml:space="preserve"> a la UE totalmente dependiente</w:t>
      </w:r>
      <w:r w:rsidRPr="00C10CA6">
        <w:rPr>
          <w:rFonts w:ascii="Times New Roman" w:hAnsi="Times New Roman" w:cs="Times New Roman"/>
          <w:sz w:val="24"/>
          <w:szCs w:val="24"/>
        </w:rPr>
        <w:t xml:space="preserve"> de la importación de países terceros. Hoy debido a la situación internacional se produce desabastecimient</w:t>
      </w:r>
      <w:r>
        <w:rPr>
          <w:rFonts w:ascii="Times New Roman" w:hAnsi="Times New Roman" w:cs="Times New Roman"/>
          <w:sz w:val="24"/>
          <w:szCs w:val="24"/>
        </w:rPr>
        <w:t>o de los mercados comunitarios.</w:t>
      </w:r>
    </w:p>
    <w:p w:rsidR="007E482E" w:rsidRDefault="007E482E" w:rsidP="007E482E">
      <w:pPr>
        <w:spacing w:line="240" w:lineRule="auto"/>
        <w:jc w:val="both"/>
        <w:rPr>
          <w:rFonts w:ascii="Times New Roman" w:hAnsi="Times New Roman" w:cs="Times New Roman"/>
          <w:sz w:val="24"/>
          <w:szCs w:val="24"/>
        </w:rPr>
      </w:pPr>
      <w:r w:rsidRPr="00C10CA6">
        <w:rPr>
          <w:rFonts w:ascii="Times New Roman" w:hAnsi="Times New Roman" w:cs="Times New Roman"/>
          <w:sz w:val="24"/>
          <w:szCs w:val="24"/>
        </w:rPr>
        <w:t>La solución dada por la U</w:t>
      </w:r>
      <w:r>
        <w:rPr>
          <w:rFonts w:ascii="Times New Roman" w:hAnsi="Times New Roman" w:cs="Times New Roman"/>
          <w:sz w:val="24"/>
          <w:szCs w:val="24"/>
        </w:rPr>
        <w:t xml:space="preserve">nión Europea, </w:t>
      </w:r>
      <w:r w:rsidRPr="00C10CA6">
        <w:rPr>
          <w:rFonts w:ascii="Times New Roman" w:hAnsi="Times New Roman" w:cs="Times New Roman"/>
          <w:sz w:val="24"/>
          <w:szCs w:val="24"/>
        </w:rPr>
        <w:t>es la de importar productos tratados con sust</w:t>
      </w:r>
      <w:r>
        <w:rPr>
          <w:rFonts w:ascii="Times New Roman" w:hAnsi="Times New Roman" w:cs="Times New Roman"/>
          <w:sz w:val="24"/>
          <w:szCs w:val="24"/>
        </w:rPr>
        <w:t>ancias prohibidas en la Unión. E</w:t>
      </w:r>
      <w:r w:rsidRPr="00C10CA6">
        <w:rPr>
          <w:rFonts w:ascii="Times New Roman" w:hAnsi="Times New Roman" w:cs="Times New Roman"/>
          <w:sz w:val="24"/>
          <w:szCs w:val="24"/>
        </w:rPr>
        <w:t>stas sustancias se prohibieron hace años por su carácter mutagénico, carcinógeno o por afectar gravemente a fauna y flora.</w:t>
      </w:r>
    </w:p>
    <w:p w:rsidR="007E482E" w:rsidRPr="00C10CA6"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El mercado europeo cuenta con</w:t>
      </w:r>
      <w:r w:rsidRPr="00C10CA6">
        <w:rPr>
          <w:rFonts w:ascii="Times New Roman" w:hAnsi="Times New Roman" w:cs="Times New Roman"/>
          <w:sz w:val="24"/>
          <w:szCs w:val="24"/>
        </w:rPr>
        <w:t xml:space="preserve"> autorización de importar productos</w:t>
      </w:r>
      <w:r>
        <w:rPr>
          <w:rFonts w:ascii="Times New Roman" w:hAnsi="Times New Roman" w:cs="Times New Roman"/>
          <w:sz w:val="24"/>
          <w:szCs w:val="24"/>
        </w:rPr>
        <w:t xml:space="preserve"> transgénicos</w:t>
      </w:r>
      <w:r w:rsidRPr="00C10CA6">
        <w:rPr>
          <w:rFonts w:ascii="Times New Roman" w:hAnsi="Times New Roman" w:cs="Times New Roman"/>
          <w:sz w:val="24"/>
          <w:szCs w:val="24"/>
        </w:rPr>
        <w:t xml:space="preserve"> </w:t>
      </w:r>
      <w:r>
        <w:rPr>
          <w:rFonts w:ascii="Times New Roman" w:hAnsi="Times New Roman" w:cs="Times New Roman"/>
          <w:sz w:val="24"/>
          <w:szCs w:val="24"/>
        </w:rPr>
        <w:t>(de EEUU, Brasil, o Argentina), hasta ahora</w:t>
      </w:r>
      <w:r w:rsidRPr="00C10CA6">
        <w:rPr>
          <w:rFonts w:ascii="Times New Roman" w:hAnsi="Times New Roman" w:cs="Times New Roman"/>
          <w:sz w:val="24"/>
          <w:szCs w:val="24"/>
        </w:rPr>
        <w:t xml:space="preserve"> prohibido</w:t>
      </w:r>
      <w:r>
        <w:rPr>
          <w:rFonts w:ascii="Times New Roman" w:hAnsi="Times New Roman" w:cs="Times New Roman"/>
          <w:sz w:val="24"/>
          <w:szCs w:val="24"/>
        </w:rPr>
        <w:t>s</w:t>
      </w:r>
      <w:r w:rsidRPr="00C10CA6">
        <w:rPr>
          <w:rFonts w:ascii="Times New Roman" w:hAnsi="Times New Roman" w:cs="Times New Roman"/>
          <w:sz w:val="24"/>
          <w:szCs w:val="24"/>
        </w:rPr>
        <w:t xml:space="preserve"> en la Unión Europea porque se desconoce las consecuencias que pueda tener sobre la salud humana y ambiental por la introducción de genes de animales o bacterias en las plantas. En estos países terceros siguen autorizadas y en uso sustancias como el clorpirifos, prohibido hace </w:t>
      </w:r>
      <w:r>
        <w:rPr>
          <w:rFonts w:ascii="Times New Roman" w:hAnsi="Times New Roman" w:cs="Times New Roman"/>
          <w:sz w:val="24"/>
          <w:szCs w:val="24"/>
        </w:rPr>
        <w:t>una década en la Unión Europea.</w:t>
      </w:r>
    </w:p>
    <w:p w:rsidR="007E482E" w:rsidRDefault="007E482E" w:rsidP="007E482E">
      <w:pPr>
        <w:spacing w:line="240" w:lineRule="auto"/>
        <w:jc w:val="both"/>
        <w:rPr>
          <w:rFonts w:ascii="Times New Roman" w:hAnsi="Times New Roman" w:cs="Times New Roman"/>
          <w:sz w:val="24"/>
          <w:szCs w:val="24"/>
        </w:rPr>
      </w:pPr>
      <w:r w:rsidRPr="00C10CA6">
        <w:rPr>
          <w:rFonts w:ascii="Times New Roman" w:hAnsi="Times New Roman" w:cs="Times New Roman"/>
          <w:sz w:val="24"/>
          <w:szCs w:val="24"/>
        </w:rPr>
        <w:t>Por lo que ahora nos dan a dar a elegir entre desabastecimiento y hambre, o veneno. En lugar de potenciar el tejido productivo agropecuario de la Unión Eur</w:t>
      </w:r>
      <w:r>
        <w:rPr>
          <w:rFonts w:ascii="Times New Roman" w:hAnsi="Times New Roman" w:cs="Times New Roman"/>
          <w:sz w:val="24"/>
          <w:szCs w:val="24"/>
        </w:rPr>
        <w:t xml:space="preserve">opea, </w:t>
      </w:r>
      <w:r w:rsidRPr="00C10CA6">
        <w:rPr>
          <w:rFonts w:ascii="Times New Roman" w:hAnsi="Times New Roman" w:cs="Times New Roman"/>
          <w:sz w:val="24"/>
          <w:szCs w:val="24"/>
        </w:rPr>
        <w:t xml:space="preserve">deciden importar sustancias nocivas de países terceros debilitando aún más la estructura agropecuaria comunitaria al verse ésta </w:t>
      </w:r>
      <w:r>
        <w:rPr>
          <w:rFonts w:ascii="Times New Roman" w:hAnsi="Times New Roman" w:cs="Times New Roman"/>
          <w:sz w:val="24"/>
          <w:szCs w:val="24"/>
        </w:rPr>
        <w:t>forzada a competir con esos</w:t>
      </w:r>
      <w:r w:rsidRPr="00C10CA6">
        <w:rPr>
          <w:rFonts w:ascii="Times New Roman" w:hAnsi="Times New Roman" w:cs="Times New Roman"/>
          <w:sz w:val="24"/>
          <w:szCs w:val="24"/>
        </w:rPr>
        <w:t xml:space="preserve"> productos. Esta situación provocara aún más desabastecimiento al destruir mayor número de explotaciones, lo que a su vez provocara una mayor dependencia de productos nocivos de países extraños a la Unión Europea.</w:t>
      </w:r>
    </w:p>
    <w:p w:rsidR="007E482E" w:rsidRDefault="007E482E" w:rsidP="007E482E">
      <w:pPr>
        <w:spacing w:line="240" w:lineRule="auto"/>
        <w:jc w:val="both"/>
        <w:rPr>
          <w:rFonts w:ascii="Times New Roman" w:hAnsi="Times New Roman" w:cs="Times New Roman"/>
          <w:sz w:val="24"/>
          <w:szCs w:val="24"/>
        </w:rPr>
      </w:pPr>
      <w:r w:rsidRPr="00C10CA6">
        <w:rPr>
          <w:rFonts w:ascii="Times New Roman" w:hAnsi="Times New Roman" w:cs="Times New Roman"/>
          <w:sz w:val="24"/>
          <w:szCs w:val="24"/>
        </w:rPr>
        <w:t>Todo esto ocurre porque se ha perdido de vista el objetivo por el que se creó la PAC, que no era otro que garantizar el suministro de alimentos a la población. En lugar de ello se empeñaron en convertir al agricultor en paisajista. Se empezó a poner un sinfín de normas que dificultaban la producción. Se perdió también de vista el carácter estratégico del sector primario imprescindible en tiempos de tribulaciones en los que guerras o pandemias dificultan o impiden el Comercio internacional. Se utilizó la agricultura como herramienta de intercambio con terceros países para mejores acuerdos, permitiendo la libre entrada de alimentos (naranjas, aceite y vino de terceros países).</w:t>
      </w:r>
    </w:p>
    <w:p w:rsidR="007E482E" w:rsidRPr="00AD78F2" w:rsidRDefault="007E482E" w:rsidP="007E482E">
      <w:pPr>
        <w:spacing w:line="240" w:lineRule="auto"/>
        <w:jc w:val="both"/>
        <w:rPr>
          <w:rFonts w:ascii="Times New Roman" w:hAnsi="Times New Roman" w:cs="Times New Roman"/>
          <w:sz w:val="24"/>
          <w:szCs w:val="24"/>
          <w:u w:val="single"/>
        </w:rPr>
      </w:pPr>
      <w:r w:rsidRPr="00AD78F2">
        <w:rPr>
          <w:rFonts w:ascii="Times New Roman" w:hAnsi="Times New Roman" w:cs="Times New Roman"/>
          <w:sz w:val="24"/>
          <w:szCs w:val="24"/>
          <w:u w:val="single"/>
        </w:rPr>
        <w:t>El modelo de seguridad alimentaria de la UE: la Política Agrícola Común (PAC)</w:t>
      </w:r>
    </w:p>
    <w:p w:rsidR="007E482E" w:rsidRPr="0047668E" w:rsidRDefault="007E482E" w:rsidP="007E482E">
      <w:pPr>
        <w:spacing w:line="240" w:lineRule="auto"/>
        <w:jc w:val="both"/>
        <w:rPr>
          <w:rFonts w:ascii="Times New Roman" w:hAnsi="Times New Roman" w:cs="Times New Roman"/>
          <w:sz w:val="24"/>
          <w:szCs w:val="24"/>
        </w:rPr>
      </w:pPr>
      <w:r w:rsidRPr="0047668E">
        <w:rPr>
          <w:rFonts w:ascii="Times New Roman" w:hAnsi="Times New Roman" w:cs="Times New Roman"/>
          <w:sz w:val="24"/>
          <w:szCs w:val="24"/>
        </w:rPr>
        <w:t>La PAC en la actualidad, según la Comisión Europea, busca</w:t>
      </w:r>
      <w:r>
        <w:rPr>
          <w:rFonts w:ascii="Times New Roman" w:hAnsi="Times New Roman" w:cs="Times New Roman"/>
          <w:sz w:val="24"/>
          <w:szCs w:val="24"/>
        </w:rPr>
        <w:t xml:space="preserve"> responder a la demanda pública </w:t>
      </w:r>
      <w:r w:rsidRPr="0047668E">
        <w:rPr>
          <w:rFonts w:ascii="Times New Roman" w:hAnsi="Times New Roman" w:cs="Times New Roman"/>
          <w:sz w:val="24"/>
          <w:szCs w:val="24"/>
        </w:rPr>
        <w:t>de un sector agrícola sostenible en Europa a través de reforz</w:t>
      </w:r>
      <w:r>
        <w:rPr>
          <w:rFonts w:ascii="Times New Roman" w:hAnsi="Times New Roman" w:cs="Times New Roman"/>
          <w:sz w:val="24"/>
          <w:szCs w:val="24"/>
        </w:rPr>
        <w:t xml:space="preserve">ar la competitividad del sector </w:t>
      </w:r>
      <w:r w:rsidRPr="0047668E">
        <w:rPr>
          <w:rFonts w:ascii="Times New Roman" w:hAnsi="Times New Roman" w:cs="Times New Roman"/>
          <w:sz w:val="24"/>
          <w:szCs w:val="24"/>
        </w:rPr>
        <w:lastRenderedPageBreak/>
        <w:t>agrícola, asegurar una oferta de alimentos suficientes y segur</w:t>
      </w:r>
      <w:r>
        <w:rPr>
          <w:rFonts w:ascii="Times New Roman" w:hAnsi="Times New Roman" w:cs="Times New Roman"/>
          <w:sz w:val="24"/>
          <w:szCs w:val="24"/>
        </w:rPr>
        <w:t xml:space="preserve">os, preservar el medio ambiente </w:t>
      </w:r>
      <w:r w:rsidRPr="0047668E">
        <w:rPr>
          <w:rFonts w:ascii="Times New Roman" w:hAnsi="Times New Roman" w:cs="Times New Roman"/>
          <w:sz w:val="24"/>
          <w:szCs w:val="24"/>
        </w:rPr>
        <w:t>y el entorno rural así como proveer de un nivel de vida justo a la co</w:t>
      </w:r>
      <w:r>
        <w:rPr>
          <w:rFonts w:ascii="Times New Roman" w:hAnsi="Times New Roman" w:cs="Times New Roman"/>
          <w:sz w:val="24"/>
          <w:szCs w:val="24"/>
        </w:rPr>
        <w:t>munidad agrícola.</w:t>
      </w:r>
    </w:p>
    <w:p w:rsidR="007E482E" w:rsidRPr="0047668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Puede </w:t>
      </w:r>
      <w:r w:rsidRPr="0047668E">
        <w:rPr>
          <w:rFonts w:ascii="Times New Roman" w:hAnsi="Times New Roman" w:cs="Times New Roman"/>
          <w:sz w:val="24"/>
          <w:szCs w:val="24"/>
        </w:rPr>
        <w:t>verse así como este modelo responde a las característica</w:t>
      </w:r>
      <w:r>
        <w:rPr>
          <w:rFonts w:ascii="Times New Roman" w:hAnsi="Times New Roman" w:cs="Times New Roman"/>
          <w:sz w:val="24"/>
          <w:szCs w:val="24"/>
        </w:rPr>
        <w:t xml:space="preserve">s del multifuncionalismo, en la </w:t>
      </w:r>
      <w:r w:rsidRPr="0047668E">
        <w:rPr>
          <w:rFonts w:ascii="Times New Roman" w:hAnsi="Times New Roman" w:cs="Times New Roman"/>
          <w:sz w:val="24"/>
          <w:szCs w:val="24"/>
        </w:rPr>
        <w:t>medida en que se pretende de la PAC que garantice una va</w:t>
      </w:r>
      <w:r>
        <w:rPr>
          <w:rFonts w:ascii="Times New Roman" w:hAnsi="Times New Roman" w:cs="Times New Roman"/>
          <w:sz w:val="24"/>
          <w:szCs w:val="24"/>
        </w:rPr>
        <w:t>riedad de objetivos de carácter político, económico y social</w:t>
      </w:r>
      <w:r w:rsidRPr="0047668E">
        <w:rPr>
          <w:rFonts w:ascii="Times New Roman" w:hAnsi="Times New Roman" w:cs="Times New Roman"/>
          <w:sz w:val="24"/>
          <w:szCs w:val="24"/>
        </w:rPr>
        <w:t>.</w:t>
      </w:r>
    </w:p>
    <w:p w:rsidR="007E482E" w:rsidRPr="0047668E" w:rsidRDefault="007E482E" w:rsidP="007E482E">
      <w:pPr>
        <w:spacing w:line="240" w:lineRule="auto"/>
        <w:jc w:val="both"/>
        <w:rPr>
          <w:rFonts w:ascii="Times New Roman" w:hAnsi="Times New Roman" w:cs="Times New Roman"/>
          <w:sz w:val="24"/>
          <w:szCs w:val="24"/>
        </w:rPr>
      </w:pPr>
      <w:r w:rsidRPr="0047668E">
        <w:rPr>
          <w:rFonts w:ascii="Times New Roman" w:hAnsi="Times New Roman" w:cs="Times New Roman"/>
          <w:sz w:val="24"/>
          <w:szCs w:val="24"/>
        </w:rPr>
        <w:t>El modelo de seguridad alimentaria de los Estados</w:t>
      </w:r>
      <w:r>
        <w:rPr>
          <w:rFonts w:ascii="Times New Roman" w:hAnsi="Times New Roman" w:cs="Times New Roman"/>
          <w:sz w:val="24"/>
          <w:szCs w:val="24"/>
        </w:rPr>
        <w:t xml:space="preserve"> de la UE se define en el nivel </w:t>
      </w:r>
      <w:r w:rsidRPr="0047668E">
        <w:rPr>
          <w:rFonts w:ascii="Times New Roman" w:hAnsi="Times New Roman" w:cs="Times New Roman"/>
          <w:sz w:val="24"/>
          <w:szCs w:val="24"/>
        </w:rPr>
        <w:t>comunitario, sin que los niveles de los Gobiernos nacional</w:t>
      </w:r>
      <w:r>
        <w:rPr>
          <w:rFonts w:ascii="Times New Roman" w:hAnsi="Times New Roman" w:cs="Times New Roman"/>
          <w:sz w:val="24"/>
          <w:szCs w:val="24"/>
        </w:rPr>
        <w:t xml:space="preserve">es tengan poder de decisión. La </w:t>
      </w:r>
      <w:r w:rsidRPr="0047668E">
        <w:rPr>
          <w:rFonts w:ascii="Times New Roman" w:hAnsi="Times New Roman" w:cs="Times New Roman"/>
          <w:sz w:val="24"/>
          <w:szCs w:val="24"/>
        </w:rPr>
        <w:t>política de seguridad alimentaria de la UE se define en base a</w:t>
      </w:r>
      <w:r>
        <w:rPr>
          <w:rFonts w:ascii="Times New Roman" w:hAnsi="Times New Roman" w:cs="Times New Roman"/>
          <w:sz w:val="24"/>
          <w:szCs w:val="24"/>
        </w:rPr>
        <w:t xml:space="preserve"> las necesidades, prioridades y </w:t>
      </w:r>
      <w:r w:rsidRPr="0047668E">
        <w:rPr>
          <w:rFonts w:ascii="Times New Roman" w:hAnsi="Times New Roman" w:cs="Times New Roman"/>
          <w:sz w:val="24"/>
          <w:szCs w:val="24"/>
        </w:rPr>
        <w:t>objetivos del conjunto, pero no responde a los intereses de ca</w:t>
      </w:r>
      <w:r>
        <w:rPr>
          <w:rFonts w:ascii="Times New Roman" w:hAnsi="Times New Roman" w:cs="Times New Roman"/>
          <w:sz w:val="24"/>
          <w:szCs w:val="24"/>
        </w:rPr>
        <w:t xml:space="preserve">da uno de los Estados, que sólo </w:t>
      </w:r>
      <w:r w:rsidRPr="0047668E">
        <w:rPr>
          <w:rFonts w:ascii="Times New Roman" w:hAnsi="Times New Roman" w:cs="Times New Roman"/>
          <w:sz w:val="24"/>
          <w:szCs w:val="24"/>
        </w:rPr>
        <w:t>pueden intentar defender sus preferencias a través de las distintas instituciones comunitarias.</w:t>
      </w:r>
    </w:p>
    <w:p w:rsidR="007E482E" w:rsidRPr="0047668E" w:rsidRDefault="007E482E" w:rsidP="007E482E">
      <w:pPr>
        <w:spacing w:line="240" w:lineRule="auto"/>
        <w:jc w:val="both"/>
        <w:rPr>
          <w:rFonts w:ascii="Times New Roman" w:hAnsi="Times New Roman" w:cs="Times New Roman"/>
          <w:sz w:val="24"/>
          <w:szCs w:val="24"/>
        </w:rPr>
      </w:pPr>
      <w:r w:rsidRPr="0047668E">
        <w:rPr>
          <w:rFonts w:ascii="Times New Roman" w:hAnsi="Times New Roman" w:cs="Times New Roman"/>
          <w:sz w:val="24"/>
          <w:szCs w:val="24"/>
        </w:rPr>
        <w:t>Trata de responder a una visión de conjunto sin que las especifici</w:t>
      </w:r>
      <w:r>
        <w:rPr>
          <w:rFonts w:ascii="Times New Roman" w:hAnsi="Times New Roman" w:cs="Times New Roman"/>
          <w:sz w:val="24"/>
          <w:szCs w:val="24"/>
        </w:rPr>
        <w:t xml:space="preserve">dades nacionales reciban una </w:t>
      </w:r>
      <w:r w:rsidRPr="0047668E">
        <w:rPr>
          <w:rFonts w:ascii="Times New Roman" w:hAnsi="Times New Roman" w:cs="Times New Roman"/>
          <w:sz w:val="24"/>
          <w:szCs w:val="24"/>
        </w:rPr>
        <w:t>respuesta individualizada, aun existiendo contextos muy dife</w:t>
      </w:r>
      <w:r>
        <w:rPr>
          <w:rFonts w:ascii="Times New Roman" w:hAnsi="Times New Roman" w:cs="Times New Roman"/>
          <w:sz w:val="24"/>
          <w:szCs w:val="24"/>
        </w:rPr>
        <w:t xml:space="preserve">rentes de unos Estados miembros </w:t>
      </w:r>
      <w:r w:rsidRPr="0047668E">
        <w:rPr>
          <w:rFonts w:ascii="Times New Roman" w:hAnsi="Times New Roman" w:cs="Times New Roman"/>
          <w:sz w:val="24"/>
          <w:szCs w:val="24"/>
        </w:rPr>
        <w:t>a ot</w:t>
      </w:r>
      <w:r>
        <w:rPr>
          <w:rFonts w:ascii="Times New Roman" w:hAnsi="Times New Roman" w:cs="Times New Roman"/>
          <w:sz w:val="24"/>
          <w:szCs w:val="24"/>
        </w:rPr>
        <w:t>ros, ya sea climatológicamente, orográficamente</w:t>
      </w:r>
      <w:r w:rsidRPr="0047668E">
        <w:rPr>
          <w:rFonts w:ascii="Times New Roman" w:hAnsi="Times New Roman" w:cs="Times New Roman"/>
          <w:sz w:val="24"/>
          <w:szCs w:val="24"/>
        </w:rPr>
        <w:t>, dem</w:t>
      </w:r>
      <w:r>
        <w:rPr>
          <w:rFonts w:ascii="Times New Roman" w:hAnsi="Times New Roman" w:cs="Times New Roman"/>
          <w:sz w:val="24"/>
          <w:szCs w:val="24"/>
        </w:rPr>
        <w:t xml:space="preserve">ográficamente, económicamente o </w:t>
      </w:r>
      <w:r w:rsidRPr="0047668E">
        <w:rPr>
          <w:rFonts w:ascii="Times New Roman" w:hAnsi="Times New Roman" w:cs="Times New Roman"/>
          <w:sz w:val="24"/>
          <w:szCs w:val="24"/>
        </w:rPr>
        <w:t>socialmente.</w:t>
      </w:r>
    </w:p>
    <w:p w:rsidR="007E482E" w:rsidRPr="00AD78F2" w:rsidRDefault="007E482E" w:rsidP="007E482E">
      <w:pPr>
        <w:spacing w:line="240" w:lineRule="auto"/>
        <w:jc w:val="both"/>
        <w:rPr>
          <w:rFonts w:ascii="Times New Roman" w:hAnsi="Times New Roman" w:cs="Times New Roman"/>
          <w:sz w:val="24"/>
          <w:szCs w:val="24"/>
        </w:rPr>
      </w:pPr>
      <w:r w:rsidRPr="0047668E">
        <w:rPr>
          <w:rFonts w:ascii="Times New Roman" w:hAnsi="Times New Roman" w:cs="Times New Roman"/>
          <w:sz w:val="24"/>
          <w:szCs w:val="24"/>
        </w:rPr>
        <w:t>El sector de la producción y comercialización de los pro</w:t>
      </w:r>
      <w:r>
        <w:rPr>
          <w:rFonts w:ascii="Times New Roman" w:hAnsi="Times New Roman" w:cs="Times New Roman"/>
          <w:sz w:val="24"/>
          <w:szCs w:val="24"/>
        </w:rPr>
        <w:t xml:space="preserve">ductos alimenticios es el único </w:t>
      </w:r>
      <w:r w:rsidRPr="0047668E">
        <w:rPr>
          <w:rFonts w:ascii="Times New Roman" w:hAnsi="Times New Roman" w:cs="Times New Roman"/>
          <w:sz w:val="24"/>
          <w:szCs w:val="24"/>
        </w:rPr>
        <w:t>mercado realmente común de la UE, cuya política se de</w:t>
      </w:r>
      <w:r>
        <w:rPr>
          <w:rFonts w:ascii="Times New Roman" w:hAnsi="Times New Roman" w:cs="Times New Roman"/>
          <w:sz w:val="24"/>
          <w:szCs w:val="24"/>
        </w:rPr>
        <w:t xml:space="preserve">fine se definen las prioridades </w:t>
      </w:r>
      <w:r w:rsidRPr="0047668E">
        <w:rPr>
          <w:rFonts w:ascii="Times New Roman" w:hAnsi="Times New Roman" w:cs="Times New Roman"/>
          <w:sz w:val="24"/>
          <w:szCs w:val="24"/>
        </w:rPr>
        <w:t>políticas y se legisla en el seno de las instituciones europe</w:t>
      </w:r>
      <w:r>
        <w:rPr>
          <w:rFonts w:ascii="Times New Roman" w:hAnsi="Times New Roman" w:cs="Times New Roman"/>
          <w:sz w:val="24"/>
          <w:szCs w:val="24"/>
        </w:rPr>
        <w:t xml:space="preserve">as, y los Estados miembros sólo </w:t>
      </w:r>
      <w:r w:rsidRPr="0047668E">
        <w:rPr>
          <w:rFonts w:ascii="Times New Roman" w:hAnsi="Times New Roman" w:cs="Times New Roman"/>
          <w:sz w:val="24"/>
          <w:szCs w:val="24"/>
        </w:rPr>
        <w:t>aplican y ejecutan esa política</w:t>
      </w:r>
      <w:r>
        <w:rPr>
          <w:rFonts w:ascii="Times New Roman" w:hAnsi="Times New Roman" w:cs="Times New Roman"/>
          <w:sz w:val="24"/>
          <w:szCs w:val="24"/>
        </w:rPr>
        <w:t>, que puede considerarse única</w:t>
      </w:r>
      <w:r w:rsidRPr="0047668E">
        <w:rPr>
          <w:rFonts w:ascii="Times New Roman" w:hAnsi="Times New Roman" w:cs="Times New Roman"/>
          <w:sz w:val="24"/>
          <w:szCs w:val="24"/>
        </w:rPr>
        <w:t xml:space="preserve">. </w:t>
      </w:r>
      <w:r>
        <w:rPr>
          <w:rFonts w:ascii="Times New Roman" w:hAnsi="Times New Roman" w:cs="Times New Roman"/>
          <w:sz w:val="24"/>
          <w:szCs w:val="24"/>
        </w:rPr>
        <w:t xml:space="preserve">Es una política que afecta a un </w:t>
      </w:r>
      <w:r w:rsidRPr="0047668E">
        <w:rPr>
          <w:rFonts w:ascii="Times New Roman" w:hAnsi="Times New Roman" w:cs="Times New Roman"/>
          <w:sz w:val="24"/>
          <w:szCs w:val="24"/>
        </w:rPr>
        <w:t>mercado compuesto por 27 Estados miembros y que engl</w:t>
      </w:r>
      <w:r>
        <w:rPr>
          <w:rFonts w:ascii="Times New Roman" w:hAnsi="Times New Roman" w:cs="Times New Roman"/>
          <w:sz w:val="24"/>
          <w:szCs w:val="24"/>
        </w:rPr>
        <w:t xml:space="preserve">oba a 495 millones de personas, </w:t>
      </w:r>
      <w:r w:rsidRPr="0047668E">
        <w:rPr>
          <w:rFonts w:ascii="Times New Roman" w:hAnsi="Times New Roman" w:cs="Times New Roman"/>
          <w:sz w:val="24"/>
          <w:szCs w:val="24"/>
        </w:rPr>
        <w:t>tercer mercado del planeta, sólo después de China y la In</w:t>
      </w:r>
      <w:r>
        <w:rPr>
          <w:rFonts w:ascii="Times New Roman" w:hAnsi="Times New Roman" w:cs="Times New Roman"/>
          <w:sz w:val="24"/>
          <w:szCs w:val="24"/>
        </w:rPr>
        <w:t xml:space="preserve">dia. La PAC implica, por tanto, </w:t>
      </w:r>
      <w:r w:rsidRPr="0047668E">
        <w:rPr>
          <w:rFonts w:ascii="Times New Roman" w:hAnsi="Times New Roman" w:cs="Times New Roman"/>
          <w:sz w:val="24"/>
          <w:szCs w:val="24"/>
        </w:rPr>
        <w:t>la existencia de reglas únicas de producción, comercializac</w:t>
      </w:r>
      <w:r>
        <w:rPr>
          <w:rFonts w:ascii="Times New Roman" w:hAnsi="Times New Roman" w:cs="Times New Roman"/>
          <w:sz w:val="24"/>
          <w:szCs w:val="24"/>
        </w:rPr>
        <w:t xml:space="preserve">ión y distribución de productos </w:t>
      </w:r>
      <w:r w:rsidRPr="0047668E">
        <w:rPr>
          <w:rFonts w:ascii="Times New Roman" w:hAnsi="Times New Roman" w:cs="Times New Roman"/>
          <w:sz w:val="24"/>
          <w:szCs w:val="24"/>
        </w:rPr>
        <w:t xml:space="preserve">alimenticios y de protección de la salud y seguridad de los </w:t>
      </w:r>
      <w:r>
        <w:rPr>
          <w:rFonts w:ascii="Times New Roman" w:hAnsi="Times New Roman" w:cs="Times New Roman"/>
          <w:sz w:val="24"/>
          <w:szCs w:val="24"/>
        </w:rPr>
        <w:t xml:space="preserve">consumidores y del bienestar de </w:t>
      </w:r>
      <w:r w:rsidRPr="0047668E">
        <w:rPr>
          <w:rFonts w:ascii="Times New Roman" w:hAnsi="Times New Roman" w:cs="Times New Roman"/>
          <w:sz w:val="24"/>
          <w:szCs w:val="24"/>
        </w:rPr>
        <w:t xml:space="preserve">los animales aplicables a ese mercado. Igualmente supone una financiación común de </w:t>
      </w:r>
      <w:r>
        <w:rPr>
          <w:rFonts w:ascii="Times New Roman" w:hAnsi="Times New Roman" w:cs="Times New Roman"/>
          <w:sz w:val="24"/>
          <w:szCs w:val="24"/>
        </w:rPr>
        <w:t xml:space="preserve">esa </w:t>
      </w:r>
      <w:r w:rsidRPr="0047668E">
        <w:rPr>
          <w:rFonts w:ascii="Times New Roman" w:hAnsi="Times New Roman" w:cs="Times New Roman"/>
          <w:sz w:val="24"/>
          <w:szCs w:val="24"/>
        </w:rPr>
        <w:t>política con cargo al presupuesto comunitario, constituyendo t</w:t>
      </w:r>
      <w:r>
        <w:rPr>
          <w:rFonts w:ascii="Times New Roman" w:hAnsi="Times New Roman" w:cs="Times New Roman"/>
          <w:sz w:val="24"/>
          <w:szCs w:val="24"/>
        </w:rPr>
        <w:t>odavía al día de hoy una de las principales partidas de gasto</w:t>
      </w:r>
      <w:r w:rsidRPr="00AD78F2">
        <w:rPr>
          <w:rFonts w:ascii="Times New Roman" w:hAnsi="Times New Roman" w:cs="Times New Roman"/>
          <w:sz w:val="24"/>
          <w:szCs w:val="24"/>
        </w:rPr>
        <w:t>.</w:t>
      </w:r>
    </w:p>
    <w:p w:rsidR="007E482E" w:rsidRPr="0047668E" w:rsidRDefault="007E482E" w:rsidP="007E482E">
      <w:pPr>
        <w:spacing w:line="240" w:lineRule="auto"/>
        <w:jc w:val="both"/>
        <w:rPr>
          <w:rFonts w:ascii="Times New Roman" w:hAnsi="Times New Roman" w:cs="Times New Roman"/>
          <w:sz w:val="24"/>
          <w:szCs w:val="24"/>
        </w:rPr>
      </w:pPr>
      <w:r w:rsidRPr="0047668E">
        <w:rPr>
          <w:rFonts w:ascii="Times New Roman" w:hAnsi="Times New Roman" w:cs="Times New Roman"/>
          <w:sz w:val="24"/>
          <w:szCs w:val="24"/>
        </w:rPr>
        <w:t xml:space="preserve">La formulación de la PAC y sus distintas reformas </w:t>
      </w:r>
      <w:r>
        <w:rPr>
          <w:rFonts w:ascii="Times New Roman" w:hAnsi="Times New Roman" w:cs="Times New Roman"/>
          <w:sz w:val="24"/>
          <w:szCs w:val="24"/>
        </w:rPr>
        <w:t xml:space="preserve">se han mostrado como una de las </w:t>
      </w:r>
      <w:r w:rsidRPr="0047668E">
        <w:rPr>
          <w:rFonts w:ascii="Times New Roman" w:hAnsi="Times New Roman" w:cs="Times New Roman"/>
          <w:sz w:val="24"/>
          <w:szCs w:val="24"/>
        </w:rPr>
        <w:t xml:space="preserve">áreas políticas de mayor complejidad en la Unión Europea, </w:t>
      </w:r>
      <w:r>
        <w:rPr>
          <w:rFonts w:ascii="Times New Roman" w:hAnsi="Times New Roman" w:cs="Times New Roman"/>
          <w:sz w:val="24"/>
          <w:szCs w:val="24"/>
        </w:rPr>
        <w:t xml:space="preserve">donde se produce la colusión de </w:t>
      </w:r>
      <w:r w:rsidRPr="0047668E">
        <w:rPr>
          <w:rFonts w:ascii="Times New Roman" w:hAnsi="Times New Roman" w:cs="Times New Roman"/>
          <w:sz w:val="24"/>
          <w:szCs w:val="24"/>
        </w:rPr>
        <w:t>intereses muy diversos: nacionales, económicos e instituc</w:t>
      </w:r>
      <w:r>
        <w:rPr>
          <w:rFonts w:ascii="Times New Roman" w:hAnsi="Times New Roman" w:cs="Times New Roman"/>
          <w:sz w:val="24"/>
          <w:szCs w:val="24"/>
        </w:rPr>
        <w:t xml:space="preserve">ionales. Es, incluso, es una de las </w:t>
      </w:r>
      <w:r w:rsidRPr="0047668E">
        <w:rPr>
          <w:rFonts w:ascii="Times New Roman" w:hAnsi="Times New Roman" w:cs="Times New Roman"/>
          <w:sz w:val="24"/>
          <w:szCs w:val="24"/>
        </w:rPr>
        <w:t>áreas más fértiles para la acción de los lobbies, represe</w:t>
      </w:r>
      <w:r>
        <w:rPr>
          <w:rFonts w:ascii="Times New Roman" w:hAnsi="Times New Roman" w:cs="Times New Roman"/>
          <w:sz w:val="24"/>
          <w:szCs w:val="24"/>
        </w:rPr>
        <w:t xml:space="preserve">ntantes de los intereses de los </w:t>
      </w:r>
      <w:r w:rsidRPr="0047668E">
        <w:rPr>
          <w:rFonts w:ascii="Times New Roman" w:hAnsi="Times New Roman" w:cs="Times New Roman"/>
          <w:sz w:val="24"/>
          <w:szCs w:val="24"/>
        </w:rPr>
        <w:t xml:space="preserve">agricultores y de la industria agroalimentaria, que tratan de </w:t>
      </w:r>
      <w:r>
        <w:rPr>
          <w:rFonts w:ascii="Times New Roman" w:hAnsi="Times New Roman" w:cs="Times New Roman"/>
          <w:sz w:val="24"/>
          <w:szCs w:val="24"/>
        </w:rPr>
        <w:t xml:space="preserve">hacer llegar sus demandas a las </w:t>
      </w:r>
      <w:r w:rsidRPr="0047668E">
        <w:rPr>
          <w:rFonts w:ascii="Times New Roman" w:hAnsi="Times New Roman" w:cs="Times New Roman"/>
          <w:sz w:val="24"/>
          <w:szCs w:val="24"/>
        </w:rPr>
        <w:t>instituciones comunes. Dado que el sostenimiento financie</w:t>
      </w:r>
      <w:r>
        <w:rPr>
          <w:rFonts w:ascii="Times New Roman" w:hAnsi="Times New Roman" w:cs="Times New Roman"/>
          <w:sz w:val="24"/>
          <w:szCs w:val="24"/>
        </w:rPr>
        <w:t xml:space="preserve">ro del modelo es exclusivamente </w:t>
      </w:r>
      <w:r w:rsidRPr="0047668E">
        <w:rPr>
          <w:rFonts w:ascii="Times New Roman" w:hAnsi="Times New Roman" w:cs="Times New Roman"/>
          <w:sz w:val="24"/>
          <w:szCs w:val="24"/>
        </w:rPr>
        <w:t>comunitario es, además, un área política que entra en c</w:t>
      </w:r>
      <w:r>
        <w:rPr>
          <w:rFonts w:ascii="Times New Roman" w:hAnsi="Times New Roman" w:cs="Times New Roman"/>
          <w:sz w:val="24"/>
          <w:szCs w:val="24"/>
        </w:rPr>
        <w:t xml:space="preserve">onflicto con otras discusiones, </w:t>
      </w:r>
      <w:r w:rsidRPr="0047668E">
        <w:rPr>
          <w:rFonts w:ascii="Times New Roman" w:hAnsi="Times New Roman" w:cs="Times New Roman"/>
          <w:sz w:val="24"/>
          <w:szCs w:val="24"/>
        </w:rPr>
        <w:t>especialmente aquella relativa a las Perspectivas Fin</w:t>
      </w:r>
      <w:r>
        <w:rPr>
          <w:rFonts w:ascii="Times New Roman" w:hAnsi="Times New Roman" w:cs="Times New Roman"/>
          <w:sz w:val="24"/>
          <w:szCs w:val="24"/>
        </w:rPr>
        <w:t xml:space="preserve">ancieras, donde se discuten los </w:t>
      </w:r>
      <w:r w:rsidRPr="0047668E">
        <w:rPr>
          <w:rFonts w:ascii="Times New Roman" w:hAnsi="Times New Roman" w:cs="Times New Roman"/>
          <w:sz w:val="24"/>
          <w:szCs w:val="24"/>
        </w:rPr>
        <w:t>presupuestos. Entran así en conflicto las posiciones de Estado</w:t>
      </w:r>
      <w:r>
        <w:rPr>
          <w:rFonts w:ascii="Times New Roman" w:hAnsi="Times New Roman" w:cs="Times New Roman"/>
          <w:sz w:val="24"/>
          <w:szCs w:val="24"/>
        </w:rPr>
        <w:t xml:space="preserve">s con un fuerte sector agrícola </w:t>
      </w:r>
      <w:r w:rsidRPr="0047668E">
        <w:rPr>
          <w:rFonts w:ascii="Times New Roman" w:hAnsi="Times New Roman" w:cs="Times New Roman"/>
          <w:sz w:val="24"/>
          <w:szCs w:val="24"/>
        </w:rPr>
        <w:t xml:space="preserve">que defenderán presupuestos amplios para la UE, como es el </w:t>
      </w:r>
      <w:r>
        <w:rPr>
          <w:rFonts w:ascii="Times New Roman" w:hAnsi="Times New Roman" w:cs="Times New Roman"/>
          <w:sz w:val="24"/>
          <w:szCs w:val="24"/>
        </w:rPr>
        <w:t xml:space="preserve">caso de Francia, con los que no </w:t>
      </w:r>
      <w:r w:rsidRPr="0047668E">
        <w:rPr>
          <w:rFonts w:ascii="Times New Roman" w:hAnsi="Times New Roman" w:cs="Times New Roman"/>
          <w:sz w:val="24"/>
          <w:szCs w:val="24"/>
        </w:rPr>
        <w:t xml:space="preserve">obtienen tanto beneficio de las asignaciones de la PAC, que pugnan por </w:t>
      </w:r>
      <w:r>
        <w:rPr>
          <w:rFonts w:ascii="Times New Roman" w:hAnsi="Times New Roman" w:cs="Times New Roman"/>
          <w:sz w:val="24"/>
          <w:szCs w:val="24"/>
        </w:rPr>
        <w:t xml:space="preserve">recortes del </w:t>
      </w:r>
      <w:r w:rsidRPr="0047668E">
        <w:rPr>
          <w:rFonts w:ascii="Times New Roman" w:hAnsi="Times New Roman" w:cs="Times New Roman"/>
          <w:sz w:val="24"/>
          <w:szCs w:val="24"/>
        </w:rPr>
        <w:t>presupuesto y de la PAC10. Igualmente los Estados tienden</w:t>
      </w:r>
      <w:r>
        <w:rPr>
          <w:rFonts w:ascii="Times New Roman" w:hAnsi="Times New Roman" w:cs="Times New Roman"/>
          <w:sz w:val="24"/>
          <w:szCs w:val="24"/>
        </w:rPr>
        <w:t xml:space="preserve"> a apoyar aquellas reformas que </w:t>
      </w:r>
      <w:r w:rsidRPr="0047668E">
        <w:rPr>
          <w:rFonts w:ascii="Times New Roman" w:hAnsi="Times New Roman" w:cs="Times New Roman"/>
          <w:sz w:val="24"/>
          <w:szCs w:val="24"/>
        </w:rPr>
        <w:t>responden no a necesidades objetivas del conjunto sino a las d</w:t>
      </w:r>
      <w:r>
        <w:rPr>
          <w:rFonts w:ascii="Times New Roman" w:hAnsi="Times New Roman" w:cs="Times New Roman"/>
          <w:sz w:val="24"/>
          <w:szCs w:val="24"/>
        </w:rPr>
        <w:t xml:space="preserve">e sus agriculturas e industrias </w:t>
      </w:r>
      <w:r w:rsidRPr="0047668E">
        <w:rPr>
          <w:rFonts w:ascii="Times New Roman" w:hAnsi="Times New Roman" w:cs="Times New Roman"/>
          <w:sz w:val="24"/>
          <w:szCs w:val="24"/>
        </w:rPr>
        <w:t>concretas y, lógicamente los Estados grandes, como Francia en este caso, tienen un mayor</w:t>
      </w:r>
      <w:r>
        <w:rPr>
          <w:rFonts w:ascii="Times New Roman" w:hAnsi="Times New Roman" w:cs="Times New Roman"/>
          <w:sz w:val="24"/>
          <w:szCs w:val="24"/>
        </w:rPr>
        <w:t xml:space="preserve"> peso</w:t>
      </w:r>
      <w:r w:rsidRPr="0047668E">
        <w:rPr>
          <w:rFonts w:ascii="Times New Roman" w:hAnsi="Times New Roman" w:cs="Times New Roman"/>
          <w:sz w:val="24"/>
          <w:szCs w:val="24"/>
        </w:rPr>
        <w:t>. Todos estos condicionantes, por tanto, afectan a la definición del modelo de seguridad</w:t>
      </w:r>
      <w:r>
        <w:rPr>
          <w:rFonts w:ascii="Times New Roman" w:hAnsi="Times New Roman" w:cs="Times New Roman"/>
          <w:sz w:val="24"/>
          <w:szCs w:val="24"/>
        </w:rPr>
        <w:t xml:space="preserve"> </w:t>
      </w:r>
      <w:r w:rsidRPr="0047668E">
        <w:rPr>
          <w:rFonts w:ascii="Times New Roman" w:hAnsi="Times New Roman" w:cs="Times New Roman"/>
          <w:sz w:val="24"/>
          <w:szCs w:val="24"/>
        </w:rPr>
        <w:t>alimentaria europea en cada momento que no depende exclusiv</w:t>
      </w:r>
      <w:r>
        <w:rPr>
          <w:rFonts w:ascii="Times New Roman" w:hAnsi="Times New Roman" w:cs="Times New Roman"/>
          <w:sz w:val="24"/>
          <w:szCs w:val="24"/>
        </w:rPr>
        <w:t xml:space="preserve">amente de un análisis técnico y </w:t>
      </w:r>
      <w:r w:rsidRPr="0047668E">
        <w:rPr>
          <w:rFonts w:ascii="Times New Roman" w:hAnsi="Times New Roman" w:cs="Times New Roman"/>
          <w:sz w:val="24"/>
          <w:szCs w:val="24"/>
        </w:rPr>
        <w:t>político centrado en las necesidades alimentarias europeas.</w:t>
      </w:r>
    </w:p>
    <w:p w:rsidR="007E482E" w:rsidRPr="0047668E" w:rsidRDefault="007E482E" w:rsidP="007E482E">
      <w:pPr>
        <w:spacing w:line="240" w:lineRule="auto"/>
        <w:jc w:val="both"/>
        <w:rPr>
          <w:rFonts w:ascii="Times New Roman" w:hAnsi="Times New Roman" w:cs="Times New Roman"/>
          <w:sz w:val="24"/>
          <w:szCs w:val="24"/>
        </w:rPr>
      </w:pPr>
      <w:r w:rsidRPr="0047668E">
        <w:rPr>
          <w:rFonts w:ascii="Times New Roman" w:hAnsi="Times New Roman" w:cs="Times New Roman"/>
          <w:sz w:val="24"/>
          <w:szCs w:val="24"/>
        </w:rPr>
        <w:t>La PAC, como cualquier atribución política a la U</w:t>
      </w:r>
      <w:r>
        <w:rPr>
          <w:rFonts w:ascii="Times New Roman" w:hAnsi="Times New Roman" w:cs="Times New Roman"/>
          <w:sz w:val="24"/>
          <w:szCs w:val="24"/>
        </w:rPr>
        <w:t xml:space="preserve">E, se encuentra regulada por el </w:t>
      </w:r>
      <w:r w:rsidRPr="0047668E">
        <w:rPr>
          <w:rFonts w:ascii="Times New Roman" w:hAnsi="Times New Roman" w:cs="Times New Roman"/>
          <w:sz w:val="24"/>
          <w:szCs w:val="24"/>
        </w:rPr>
        <w:t>Tratado de Funcionamiento de la Unión (TFUE). Como</w:t>
      </w:r>
      <w:r>
        <w:rPr>
          <w:rFonts w:ascii="Times New Roman" w:hAnsi="Times New Roman" w:cs="Times New Roman"/>
          <w:sz w:val="24"/>
          <w:szCs w:val="24"/>
        </w:rPr>
        <w:t xml:space="preserve"> consecuencia de la reforma del </w:t>
      </w:r>
      <w:r w:rsidRPr="0047668E">
        <w:rPr>
          <w:rFonts w:ascii="Times New Roman" w:hAnsi="Times New Roman" w:cs="Times New Roman"/>
          <w:sz w:val="24"/>
          <w:szCs w:val="24"/>
        </w:rPr>
        <w:t>Tratado de Lisboa, la agricultura en su artículo 4 es categorizada como un</w:t>
      </w:r>
      <w:r>
        <w:rPr>
          <w:rFonts w:ascii="Times New Roman" w:hAnsi="Times New Roman" w:cs="Times New Roman"/>
          <w:sz w:val="24"/>
          <w:szCs w:val="24"/>
        </w:rPr>
        <w:t xml:space="preserve">a competencia </w:t>
      </w:r>
      <w:r w:rsidRPr="0047668E">
        <w:rPr>
          <w:rFonts w:ascii="Times New Roman" w:hAnsi="Times New Roman" w:cs="Times New Roman"/>
          <w:sz w:val="24"/>
          <w:szCs w:val="24"/>
        </w:rPr>
        <w:t>compartida entre la UE y sus Estados miembros, cuyo e</w:t>
      </w:r>
      <w:r>
        <w:rPr>
          <w:rFonts w:ascii="Times New Roman" w:hAnsi="Times New Roman" w:cs="Times New Roman"/>
          <w:sz w:val="24"/>
          <w:szCs w:val="24"/>
        </w:rPr>
        <w:t xml:space="preserve">jercicio queda afectado por los </w:t>
      </w:r>
      <w:r w:rsidRPr="0047668E">
        <w:rPr>
          <w:rFonts w:ascii="Times New Roman" w:hAnsi="Times New Roman" w:cs="Times New Roman"/>
          <w:sz w:val="24"/>
          <w:szCs w:val="24"/>
        </w:rPr>
        <w:t xml:space="preserve">principios de </w:t>
      </w:r>
      <w:r w:rsidRPr="0047668E">
        <w:rPr>
          <w:rFonts w:ascii="Times New Roman" w:hAnsi="Times New Roman" w:cs="Times New Roman"/>
          <w:sz w:val="24"/>
          <w:szCs w:val="24"/>
        </w:rPr>
        <w:lastRenderedPageBreak/>
        <w:t>proporcionalidad y subsidiariedad. El hecho de q</w:t>
      </w:r>
      <w:r>
        <w:rPr>
          <w:rFonts w:ascii="Times New Roman" w:hAnsi="Times New Roman" w:cs="Times New Roman"/>
          <w:sz w:val="24"/>
          <w:szCs w:val="24"/>
        </w:rPr>
        <w:t xml:space="preserve">ue sea una política común no es </w:t>
      </w:r>
      <w:r w:rsidRPr="0047668E">
        <w:rPr>
          <w:rFonts w:ascii="Times New Roman" w:hAnsi="Times New Roman" w:cs="Times New Roman"/>
          <w:sz w:val="24"/>
          <w:szCs w:val="24"/>
        </w:rPr>
        <w:t>contradictorio con la competencia complementaria. El amplio eje</w:t>
      </w:r>
      <w:r>
        <w:rPr>
          <w:rFonts w:ascii="Times New Roman" w:hAnsi="Times New Roman" w:cs="Times New Roman"/>
          <w:sz w:val="24"/>
          <w:szCs w:val="24"/>
        </w:rPr>
        <w:t xml:space="preserve">rcicio de la competencia por </w:t>
      </w:r>
      <w:r w:rsidRPr="0047668E">
        <w:rPr>
          <w:rFonts w:ascii="Times New Roman" w:hAnsi="Times New Roman" w:cs="Times New Roman"/>
          <w:sz w:val="24"/>
          <w:szCs w:val="24"/>
        </w:rPr>
        <w:t>parte de la UE, en la práctica, ha limitado el papel de los Est</w:t>
      </w:r>
      <w:r>
        <w:rPr>
          <w:rFonts w:ascii="Times New Roman" w:hAnsi="Times New Roman" w:cs="Times New Roman"/>
          <w:sz w:val="24"/>
          <w:szCs w:val="24"/>
        </w:rPr>
        <w:t xml:space="preserve">ados miembros a la ejecución de </w:t>
      </w:r>
      <w:r w:rsidRPr="0047668E">
        <w:rPr>
          <w:rFonts w:ascii="Times New Roman" w:hAnsi="Times New Roman" w:cs="Times New Roman"/>
          <w:sz w:val="24"/>
          <w:szCs w:val="24"/>
        </w:rPr>
        <w:t>escasa normativa y a la mera aplicació</w:t>
      </w:r>
      <w:r>
        <w:rPr>
          <w:rFonts w:ascii="Times New Roman" w:hAnsi="Times New Roman" w:cs="Times New Roman"/>
          <w:sz w:val="24"/>
          <w:szCs w:val="24"/>
        </w:rPr>
        <w:t>n de lo dispuesto en Bruselas</w:t>
      </w:r>
      <w:r w:rsidRPr="0047668E">
        <w:rPr>
          <w:rFonts w:ascii="Times New Roman" w:hAnsi="Times New Roman" w:cs="Times New Roman"/>
          <w:sz w:val="24"/>
          <w:szCs w:val="24"/>
        </w:rPr>
        <w:t>.</w:t>
      </w:r>
    </w:p>
    <w:p w:rsidR="007E482E" w:rsidRPr="0047668E" w:rsidRDefault="007E482E" w:rsidP="007E482E">
      <w:pPr>
        <w:spacing w:line="240" w:lineRule="auto"/>
        <w:jc w:val="both"/>
        <w:rPr>
          <w:rFonts w:ascii="Times New Roman" w:hAnsi="Times New Roman" w:cs="Times New Roman"/>
          <w:sz w:val="24"/>
          <w:szCs w:val="24"/>
        </w:rPr>
      </w:pPr>
      <w:r w:rsidRPr="0047668E">
        <w:rPr>
          <w:rFonts w:ascii="Times New Roman" w:hAnsi="Times New Roman" w:cs="Times New Roman"/>
          <w:sz w:val="24"/>
          <w:szCs w:val="24"/>
        </w:rPr>
        <w:t>Los objetivos que debe cumplir taxativamente la PAC se encue</w:t>
      </w:r>
      <w:r>
        <w:rPr>
          <w:rFonts w:ascii="Times New Roman" w:hAnsi="Times New Roman" w:cs="Times New Roman"/>
          <w:sz w:val="24"/>
          <w:szCs w:val="24"/>
        </w:rPr>
        <w:t xml:space="preserve">ntran recogidos en el </w:t>
      </w:r>
      <w:r w:rsidRPr="0047668E">
        <w:rPr>
          <w:rFonts w:ascii="Times New Roman" w:hAnsi="Times New Roman" w:cs="Times New Roman"/>
          <w:sz w:val="24"/>
          <w:szCs w:val="24"/>
        </w:rPr>
        <w:t>artículo 39 del TFUE, que, a efectos prácticos, constituyen el ma</w:t>
      </w:r>
      <w:r>
        <w:rPr>
          <w:rFonts w:ascii="Times New Roman" w:hAnsi="Times New Roman" w:cs="Times New Roman"/>
          <w:sz w:val="24"/>
          <w:szCs w:val="24"/>
        </w:rPr>
        <w:t xml:space="preserve">rco político y jurídico para el </w:t>
      </w:r>
      <w:r w:rsidRPr="0047668E">
        <w:rPr>
          <w:rFonts w:ascii="Times New Roman" w:hAnsi="Times New Roman" w:cs="Times New Roman"/>
          <w:sz w:val="24"/>
          <w:szCs w:val="24"/>
        </w:rPr>
        <w:t>desarrollo de la competencia y, por tanto, para la def</w:t>
      </w:r>
      <w:r>
        <w:rPr>
          <w:rFonts w:ascii="Times New Roman" w:hAnsi="Times New Roman" w:cs="Times New Roman"/>
          <w:sz w:val="24"/>
          <w:szCs w:val="24"/>
        </w:rPr>
        <w:t xml:space="preserve">inición del modelo de seguridad </w:t>
      </w:r>
      <w:r w:rsidRPr="0047668E">
        <w:rPr>
          <w:rFonts w:ascii="Times New Roman" w:hAnsi="Times New Roman" w:cs="Times New Roman"/>
          <w:sz w:val="24"/>
          <w:szCs w:val="24"/>
        </w:rPr>
        <w:t xml:space="preserve">alimentaria europeo. Estos son: incrementar la productividad </w:t>
      </w:r>
      <w:r>
        <w:rPr>
          <w:rFonts w:ascii="Times New Roman" w:hAnsi="Times New Roman" w:cs="Times New Roman"/>
          <w:sz w:val="24"/>
          <w:szCs w:val="24"/>
        </w:rPr>
        <w:t xml:space="preserve">agrícola fomentando el progreso </w:t>
      </w:r>
      <w:r w:rsidRPr="0047668E">
        <w:rPr>
          <w:rFonts w:ascii="Times New Roman" w:hAnsi="Times New Roman" w:cs="Times New Roman"/>
          <w:sz w:val="24"/>
          <w:szCs w:val="24"/>
        </w:rPr>
        <w:t>técnico, asegurando el desarrollo racional de la produ</w:t>
      </w:r>
      <w:r>
        <w:rPr>
          <w:rFonts w:ascii="Times New Roman" w:hAnsi="Times New Roman" w:cs="Times New Roman"/>
          <w:sz w:val="24"/>
          <w:szCs w:val="24"/>
        </w:rPr>
        <w:t xml:space="preserve">cción y el empleo óptimo de los </w:t>
      </w:r>
      <w:r w:rsidRPr="0047668E">
        <w:rPr>
          <w:rFonts w:ascii="Times New Roman" w:hAnsi="Times New Roman" w:cs="Times New Roman"/>
          <w:sz w:val="24"/>
          <w:szCs w:val="24"/>
        </w:rPr>
        <w:t>factores; garantizar un nivel de vida equitativo a la pobl</w:t>
      </w:r>
      <w:r>
        <w:rPr>
          <w:rFonts w:ascii="Times New Roman" w:hAnsi="Times New Roman" w:cs="Times New Roman"/>
          <w:sz w:val="24"/>
          <w:szCs w:val="24"/>
        </w:rPr>
        <w:t xml:space="preserve">ación agrícola; estabilizar los </w:t>
      </w:r>
      <w:r w:rsidRPr="0047668E">
        <w:rPr>
          <w:rFonts w:ascii="Times New Roman" w:hAnsi="Times New Roman" w:cs="Times New Roman"/>
          <w:sz w:val="24"/>
          <w:szCs w:val="24"/>
        </w:rPr>
        <w:t>mercados; garantizar la seguridad de los abastecimientos; y</w:t>
      </w:r>
      <w:r>
        <w:rPr>
          <w:rFonts w:ascii="Times New Roman" w:hAnsi="Times New Roman" w:cs="Times New Roman"/>
          <w:sz w:val="24"/>
          <w:szCs w:val="24"/>
        </w:rPr>
        <w:t xml:space="preserve"> asegurar al consumidor precios </w:t>
      </w:r>
      <w:r w:rsidRPr="0047668E">
        <w:rPr>
          <w:rFonts w:ascii="Times New Roman" w:hAnsi="Times New Roman" w:cs="Times New Roman"/>
          <w:sz w:val="24"/>
          <w:szCs w:val="24"/>
        </w:rPr>
        <w:t>razonables. Además, esta política, como el resto de las comu</w:t>
      </w:r>
      <w:r>
        <w:rPr>
          <w:rFonts w:ascii="Times New Roman" w:hAnsi="Times New Roman" w:cs="Times New Roman"/>
          <w:sz w:val="24"/>
          <w:szCs w:val="24"/>
        </w:rPr>
        <w:t xml:space="preserve">nitarias se ve afectada por una </w:t>
      </w:r>
      <w:r w:rsidRPr="0047668E">
        <w:rPr>
          <w:rFonts w:ascii="Times New Roman" w:hAnsi="Times New Roman" w:cs="Times New Roman"/>
          <w:sz w:val="24"/>
          <w:szCs w:val="24"/>
        </w:rPr>
        <w:t>serie de objetivos transversales que deben respetarse al mism</w:t>
      </w:r>
      <w:r>
        <w:rPr>
          <w:rFonts w:ascii="Times New Roman" w:hAnsi="Times New Roman" w:cs="Times New Roman"/>
          <w:sz w:val="24"/>
          <w:szCs w:val="24"/>
        </w:rPr>
        <w:t xml:space="preserve">o nivel que los específicos: el </w:t>
      </w:r>
      <w:r w:rsidRPr="0047668E">
        <w:rPr>
          <w:rFonts w:ascii="Times New Roman" w:hAnsi="Times New Roman" w:cs="Times New Roman"/>
          <w:sz w:val="24"/>
          <w:szCs w:val="24"/>
        </w:rPr>
        <w:t>respeto y protección del medio ambiente (art. 11), la garantía</w:t>
      </w:r>
      <w:r>
        <w:rPr>
          <w:rFonts w:ascii="Times New Roman" w:hAnsi="Times New Roman" w:cs="Times New Roman"/>
          <w:sz w:val="24"/>
          <w:szCs w:val="24"/>
        </w:rPr>
        <w:t xml:space="preserve"> de la salud y seguridad de los </w:t>
      </w:r>
      <w:r w:rsidRPr="0047668E">
        <w:rPr>
          <w:rFonts w:ascii="Times New Roman" w:hAnsi="Times New Roman" w:cs="Times New Roman"/>
          <w:sz w:val="24"/>
          <w:szCs w:val="24"/>
        </w:rPr>
        <w:t>consumidores (art. 12), el bienestar de los animales (art. 13) y o</w:t>
      </w:r>
      <w:r>
        <w:rPr>
          <w:rFonts w:ascii="Times New Roman" w:hAnsi="Times New Roman" w:cs="Times New Roman"/>
          <w:sz w:val="24"/>
          <w:szCs w:val="24"/>
        </w:rPr>
        <w:t xml:space="preserve">tras cláusulas sociales como el </w:t>
      </w:r>
      <w:r w:rsidRPr="0047668E">
        <w:rPr>
          <w:rFonts w:ascii="Times New Roman" w:hAnsi="Times New Roman" w:cs="Times New Roman"/>
          <w:sz w:val="24"/>
          <w:szCs w:val="24"/>
        </w:rPr>
        <w:t>pleno empleo, protección social y formación cualificada o l</w:t>
      </w:r>
      <w:r>
        <w:rPr>
          <w:rFonts w:ascii="Times New Roman" w:hAnsi="Times New Roman" w:cs="Times New Roman"/>
          <w:sz w:val="24"/>
          <w:szCs w:val="24"/>
        </w:rPr>
        <w:t xml:space="preserve">a igualdad entre mujer y hombre </w:t>
      </w:r>
      <w:r w:rsidRPr="0047668E">
        <w:rPr>
          <w:rFonts w:ascii="Times New Roman" w:hAnsi="Times New Roman" w:cs="Times New Roman"/>
          <w:sz w:val="24"/>
          <w:szCs w:val="24"/>
        </w:rPr>
        <w:t>(arts. 7 y 8).</w:t>
      </w:r>
    </w:p>
    <w:p w:rsidR="007E482E" w:rsidRDefault="007E482E" w:rsidP="007E482E">
      <w:pPr>
        <w:spacing w:line="240" w:lineRule="auto"/>
        <w:jc w:val="both"/>
        <w:rPr>
          <w:rFonts w:ascii="Times New Roman" w:hAnsi="Times New Roman" w:cs="Times New Roman"/>
          <w:sz w:val="24"/>
          <w:szCs w:val="24"/>
        </w:rPr>
      </w:pPr>
      <w:r w:rsidRPr="0047668E">
        <w:rPr>
          <w:rFonts w:ascii="Times New Roman" w:hAnsi="Times New Roman" w:cs="Times New Roman"/>
          <w:sz w:val="24"/>
          <w:szCs w:val="24"/>
        </w:rPr>
        <w:t>En la definición y aplicación del modelo de segu</w:t>
      </w:r>
      <w:r>
        <w:rPr>
          <w:rFonts w:ascii="Times New Roman" w:hAnsi="Times New Roman" w:cs="Times New Roman"/>
          <w:sz w:val="24"/>
          <w:szCs w:val="24"/>
        </w:rPr>
        <w:t xml:space="preserve">ridad alimentaria europeo </w:t>
      </w:r>
      <w:r w:rsidRPr="0047668E">
        <w:rPr>
          <w:rFonts w:ascii="Times New Roman" w:hAnsi="Times New Roman" w:cs="Times New Roman"/>
          <w:sz w:val="24"/>
          <w:szCs w:val="24"/>
        </w:rPr>
        <w:t>el protagonismo lo tienen las tres institucione</w:t>
      </w:r>
      <w:r>
        <w:rPr>
          <w:rFonts w:ascii="Times New Roman" w:hAnsi="Times New Roman" w:cs="Times New Roman"/>
          <w:sz w:val="24"/>
          <w:szCs w:val="24"/>
        </w:rPr>
        <w:t xml:space="preserve">s comunitarias que conforman el </w:t>
      </w:r>
      <w:r w:rsidRPr="0047668E">
        <w:rPr>
          <w:rFonts w:ascii="Times New Roman" w:hAnsi="Times New Roman" w:cs="Times New Roman"/>
          <w:sz w:val="24"/>
          <w:szCs w:val="24"/>
        </w:rPr>
        <w:t>conocido triángulo en la decisión comunitaria. La Comisión tien</w:t>
      </w:r>
      <w:r>
        <w:rPr>
          <w:rFonts w:ascii="Times New Roman" w:hAnsi="Times New Roman" w:cs="Times New Roman"/>
          <w:sz w:val="24"/>
          <w:szCs w:val="24"/>
        </w:rPr>
        <w:t xml:space="preserve">e la iniciativa legislativa con </w:t>
      </w:r>
      <w:r w:rsidRPr="0047668E">
        <w:rPr>
          <w:rFonts w:ascii="Times New Roman" w:hAnsi="Times New Roman" w:cs="Times New Roman"/>
          <w:sz w:val="24"/>
          <w:szCs w:val="24"/>
        </w:rPr>
        <w:t>carácter exclusivo y la normativa será fruto de la aprobación tanto del Consejo por mayo</w:t>
      </w:r>
      <w:r>
        <w:rPr>
          <w:rFonts w:ascii="Times New Roman" w:hAnsi="Times New Roman" w:cs="Times New Roman"/>
          <w:sz w:val="24"/>
          <w:szCs w:val="24"/>
        </w:rPr>
        <w:t xml:space="preserve">ría </w:t>
      </w:r>
      <w:r w:rsidRPr="0047668E">
        <w:rPr>
          <w:rFonts w:ascii="Times New Roman" w:hAnsi="Times New Roman" w:cs="Times New Roman"/>
          <w:sz w:val="24"/>
          <w:szCs w:val="24"/>
        </w:rPr>
        <w:t>cualificado, como del Parlamento. Hoy ha quedado despla</w:t>
      </w:r>
      <w:r>
        <w:rPr>
          <w:rFonts w:ascii="Times New Roman" w:hAnsi="Times New Roman" w:cs="Times New Roman"/>
          <w:sz w:val="24"/>
          <w:szCs w:val="24"/>
        </w:rPr>
        <w:t>zado el tradicional peso de los Estados miembro</w:t>
      </w:r>
      <w:r w:rsidRPr="0047668E">
        <w:rPr>
          <w:rFonts w:ascii="Times New Roman" w:hAnsi="Times New Roman" w:cs="Times New Roman"/>
          <w:sz w:val="24"/>
          <w:szCs w:val="24"/>
        </w:rPr>
        <w:t xml:space="preserve">, ya que antes el Parlamento no intervenía y </w:t>
      </w:r>
      <w:r>
        <w:rPr>
          <w:rFonts w:ascii="Times New Roman" w:hAnsi="Times New Roman" w:cs="Times New Roman"/>
          <w:sz w:val="24"/>
          <w:szCs w:val="24"/>
        </w:rPr>
        <w:t xml:space="preserve">la mayoría de las decisiones se </w:t>
      </w:r>
      <w:r w:rsidRPr="0047668E">
        <w:rPr>
          <w:rFonts w:ascii="Times New Roman" w:hAnsi="Times New Roman" w:cs="Times New Roman"/>
          <w:sz w:val="24"/>
          <w:szCs w:val="24"/>
        </w:rPr>
        <w:t>alcanzaban por consenso, en aplicación del tradicional Compromiso de Lux</w:t>
      </w:r>
      <w:r>
        <w:rPr>
          <w:rFonts w:ascii="Times New Roman" w:hAnsi="Times New Roman" w:cs="Times New Roman"/>
          <w:sz w:val="24"/>
          <w:szCs w:val="24"/>
        </w:rPr>
        <w:t xml:space="preserve">emburgo. El </w:t>
      </w:r>
      <w:r w:rsidRPr="0047668E">
        <w:rPr>
          <w:rFonts w:ascii="Times New Roman" w:hAnsi="Times New Roman" w:cs="Times New Roman"/>
          <w:sz w:val="24"/>
          <w:szCs w:val="24"/>
        </w:rPr>
        <w:t>fuerte protagonismo de las instituciones comunes y los pro</w:t>
      </w:r>
      <w:r>
        <w:rPr>
          <w:rFonts w:ascii="Times New Roman" w:hAnsi="Times New Roman" w:cs="Times New Roman"/>
          <w:sz w:val="24"/>
          <w:szCs w:val="24"/>
        </w:rPr>
        <w:t xml:space="preserve">cedimientos institucionalizados </w:t>
      </w:r>
      <w:r w:rsidRPr="0047668E">
        <w:rPr>
          <w:rFonts w:ascii="Times New Roman" w:hAnsi="Times New Roman" w:cs="Times New Roman"/>
          <w:sz w:val="24"/>
          <w:szCs w:val="24"/>
        </w:rPr>
        <w:t>europeos hace que la política se caracterice por ser mayoritar</w:t>
      </w:r>
      <w:r>
        <w:rPr>
          <w:rFonts w:ascii="Times New Roman" w:hAnsi="Times New Roman" w:cs="Times New Roman"/>
          <w:sz w:val="24"/>
          <w:szCs w:val="24"/>
        </w:rPr>
        <w:t xml:space="preserve">iamente estable, cuyas reformas </w:t>
      </w:r>
      <w:r w:rsidRPr="0047668E">
        <w:rPr>
          <w:rFonts w:ascii="Times New Roman" w:hAnsi="Times New Roman" w:cs="Times New Roman"/>
          <w:sz w:val="24"/>
          <w:szCs w:val="24"/>
        </w:rPr>
        <w:t>presentan resultados parci</w:t>
      </w:r>
      <w:r>
        <w:rPr>
          <w:rFonts w:ascii="Times New Roman" w:hAnsi="Times New Roman" w:cs="Times New Roman"/>
          <w:sz w:val="24"/>
          <w:szCs w:val="24"/>
        </w:rPr>
        <w:t>ales, limitados e incrementales</w:t>
      </w:r>
      <w:r w:rsidRPr="0047668E">
        <w:rPr>
          <w:rFonts w:ascii="Times New Roman" w:hAnsi="Times New Roman" w:cs="Times New Roman"/>
          <w:sz w:val="24"/>
          <w:szCs w:val="24"/>
        </w:rPr>
        <w:t>.</w:t>
      </w:r>
    </w:p>
    <w:p w:rsidR="007E482E" w:rsidRDefault="007E482E" w:rsidP="007E482E">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“papanatismo” alimentario: c</w:t>
      </w:r>
      <w:r w:rsidRPr="00BA7BDF">
        <w:rPr>
          <w:rFonts w:ascii="Times New Roman" w:hAnsi="Times New Roman" w:cs="Times New Roman"/>
          <w:b/>
          <w:sz w:val="24"/>
          <w:szCs w:val="24"/>
        </w:rPr>
        <w:t>uando las barbas de tu vecino</w:t>
      </w:r>
      <w:r w:rsidR="00463E11">
        <w:rPr>
          <w:rFonts w:ascii="Times New Roman" w:hAnsi="Times New Roman" w:cs="Times New Roman"/>
          <w:b/>
          <w:sz w:val="24"/>
          <w:szCs w:val="24"/>
        </w:rPr>
        <w:t xml:space="preserve"> veas</w:t>
      </w:r>
      <w:r>
        <w:rPr>
          <w:rFonts w:ascii="Times New Roman" w:hAnsi="Times New Roman" w:cs="Times New Roman"/>
          <w:b/>
          <w:sz w:val="24"/>
          <w:szCs w:val="24"/>
        </w:rPr>
        <w:t xml:space="preserve"> afeitar</w:t>
      </w:r>
      <w:r w:rsidR="00463E11">
        <w:rPr>
          <w:rFonts w:ascii="Times New Roman" w:hAnsi="Times New Roman" w:cs="Times New Roman"/>
          <w:b/>
          <w:sz w:val="24"/>
          <w:szCs w:val="24"/>
        </w:rPr>
        <w:t xml:space="preserve"> </w:t>
      </w:r>
      <w:r>
        <w:rPr>
          <w:rFonts w:ascii="Times New Roman" w:hAnsi="Times New Roman" w:cs="Times New Roman"/>
          <w:b/>
          <w:sz w:val="24"/>
          <w:szCs w:val="24"/>
        </w:rPr>
        <w:t xml:space="preserve">(ya es tarde) </w:t>
      </w:r>
    </w:p>
    <w:p w:rsidR="007E482E" w:rsidRDefault="007E482E" w:rsidP="007E482E">
      <w:pPr>
        <w:spacing w:after="0" w:line="240" w:lineRule="auto"/>
        <w:jc w:val="both"/>
        <w:outlineLvl w:val="0"/>
        <w:rPr>
          <w:rFonts w:ascii="Times New Roman" w:eastAsia="Times New Roman" w:hAnsi="Times New Roman" w:cs="Times New Roman"/>
          <w:b/>
          <w:bCs/>
          <w:kern w:val="36"/>
          <w:sz w:val="24"/>
          <w:szCs w:val="24"/>
          <w:lang w:eastAsia="es-ES"/>
        </w:rPr>
      </w:pPr>
      <w:r>
        <w:rPr>
          <w:rFonts w:ascii="Times New Roman" w:eastAsia="Times New Roman" w:hAnsi="Times New Roman" w:cs="Times New Roman"/>
          <w:b/>
          <w:bCs/>
          <w:kern w:val="36"/>
          <w:sz w:val="24"/>
          <w:szCs w:val="24"/>
          <w:lang w:eastAsia="es-ES"/>
        </w:rPr>
        <w:t xml:space="preserve">A modo de ejemplo: </w:t>
      </w:r>
      <w:r w:rsidRPr="00187C8E">
        <w:rPr>
          <w:rFonts w:ascii="Times New Roman" w:eastAsia="Times New Roman" w:hAnsi="Times New Roman" w:cs="Times New Roman"/>
          <w:b/>
          <w:bCs/>
          <w:kern w:val="36"/>
          <w:sz w:val="24"/>
          <w:szCs w:val="24"/>
          <w:lang w:eastAsia="es-ES"/>
        </w:rPr>
        <w:t>España</w:t>
      </w:r>
      <w:r>
        <w:rPr>
          <w:rFonts w:ascii="Times New Roman" w:eastAsia="Times New Roman" w:hAnsi="Times New Roman" w:cs="Times New Roman"/>
          <w:b/>
          <w:bCs/>
          <w:kern w:val="36"/>
          <w:sz w:val="24"/>
          <w:szCs w:val="24"/>
          <w:lang w:eastAsia="es-ES"/>
        </w:rPr>
        <w:t xml:space="preserve"> y los </w:t>
      </w:r>
      <w:r w:rsidR="00463E11">
        <w:rPr>
          <w:rFonts w:ascii="Times New Roman" w:eastAsia="Times New Roman" w:hAnsi="Times New Roman" w:cs="Times New Roman"/>
          <w:b/>
          <w:bCs/>
          <w:kern w:val="36"/>
          <w:sz w:val="24"/>
          <w:szCs w:val="24"/>
          <w:lang w:eastAsia="es-ES"/>
        </w:rPr>
        <w:t>“</w:t>
      </w:r>
      <w:r>
        <w:rPr>
          <w:rFonts w:ascii="Times New Roman" w:eastAsia="Times New Roman" w:hAnsi="Times New Roman" w:cs="Times New Roman"/>
          <w:b/>
          <w:bCs/>
          <w:kern w:val="36"/>
          <w:sz w:val="24"/>
          <w:szCs w:val="24"/>
          <w:lang w:eastAsia="es-ES"/>
        </w:rPr>
        <w:t>girasoles de Ucrania</w:t>
      </w:r>
      <w:r w:rsidR="00463E11">
        <w:rPr>
          <w:rFonts w:ascii="Times New Roman" w:eastAsia="Times New Roman" w:hAnsi="Times New Roman" w:cs="Times New Roman"/>
          <w:b/>
          <w:bCs/>
          <w:kern w:val="36"/>
          <w:sz w:val="24"/>
          <w:szCs w:val="24"/>
          <w:lang w:eastAsia="es-ES"/>
        </w:rPr>
        <w:t>”</w:t>
      </w:r>
    </w:p>
    <w:p w:rsidR="007E482E" w:rsidRPr="00C44C18" w:rsidRDefault="007E482E" w:rsidP="007E482E">
      <w:pPr>
        <w:spacing w:after="0" w:line="240" w:lineRule="auto"/>
        <w:jc w:val="both"/>
        <w:outlineLvl w:val="0"/>
        <w:rPr>
          <w:rFonts w:ascii="Times New Roman" w:eastAsia="Times New Roman" w:hAnsi="Times New Roman" w:cs="Times New Roman"/>
          <w:b/>
          <w:bCs/>
          <w:kern w:val="36"/>
          <w:sz w:val="24"/>
          <w:szCs w:val="24"/>
          <w:lang w:eastAsia="es-ES"/>
        </w:rPr>
      </w:pPr>
      <w:r>
        <w:rPr>
          <w:rFonts w:ascii="Times New Roman" w:eastAsia="Times New Roman" w:hAnsi="Times New Roman" w:cs="Times New Roman"/>
          <w:b/>
          <w:bCs/>
          <w:kern w:val="36"/>
          <w:sz w:val="24"/>
          <w:szCs w:val="24"/>
          <w:lang w:eastAsia="es-ES"/>
        </w:rPr>
        <w:t xml:space="preserve"> </w:t>
      </w:r>
    </w:p>
    <w:p w:rsidR="007E482E" w:rsidRDefault="007E482E" w:rsidP="007E482E">
      <w:pPr>
        <w:spacing w:line="240" w:lineRule="auto"/>
        <w:jc w:val="both"/>
        <w:rPr>
          <w:rFonts w:ascii="Times New Roman" w:hAnsi="Times New Roman" w:cs="Times New Roman"/>
          <w:sz w:val="24"/>
          <w:szCs w:val="24"/>
        </w:rPr>
      </w:pPr>
      <w:r w:rsidRPr="00BA7BDF">
        <w:rPr>
          <w:rFonts w:ascii="Times New Roman" w:hAnsi="Times New Roman" w:cs="Times New Roman"/>
          <w:sz w:val="24"/>
          <w:szCs w:val="24"/>
        </w:rPr>
        <w:t>España depende en una buena parte del cereal que llega de Ucrania y la guerra amenaza con falta de maíz, trigo y, sobre todo, girasol, tanto en forma de aceite como de pipas, las importaciones de cereales de este país suponen más del 50%.</w:t>
      </w:r>
      <w:r>
        <w:rPr>
          <w:rFonts w:ascii="Times New Roman" w:hAnsi="Times New Roman" w:cs="Times New Roman"/>
          <w:sz w:val="24"/>
          <w:szCs w:val="24"/>
        </w:rPr>
        <w:t xml:space="preserve"> </w:t>
      </w:r>
    </w:p>
    <w:p w:rsidR="007E482E"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Los dos principales productos que la economía española importó de Ucrania en 2021 fueron cereales por valor de 545 millones de euros, y grasas y aceites vegetales, por 422,5 millones de euros, según el Instituto de Comercio Exterior (ICEX).</w:t>
      </w:r>
    </w:p>
    <w:p w:rsidR="007E482E"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“En la importación de productos ucranianos en España destacaría un aspecto que es la alimentación, concretamente, los cereales. En el caso del maíz, hay que tener en cuenta que España importa un 30% de Ucrania. En cuanto al girasol, estamos hablando de un 60%. Si nos centramos, por ejemplo en trigo, está alrededor del 17%. Las leguminosas de grano, es decir, las semillas, un 15%”, explica a El HuffPost</w:t>
      </w:r>
      <w:r>
        <w:rPr>
          <w:rFonts w:ascii="Times New Roman" w:hAnsi="Times New Roman" w:cs="Times New Roman"/>
          <w:sz w:val="24"/>
          <w:szCs w:val="24"/>
        </w:rPr>
        <w:t xml:space="preserve"> (</w:t>
      </w:r>
      <w:r w:rsidRPr="00383DF0">
        <w:rPr>
          <w:rFonts w:ascii="Times New Roman" w:hAnsi="Times New Roman" w:cs="Times New Roman"/>
          <w:b/>
          <w:sz w:val="24"/>
          <w:szCs w:val="24"/>
        </w:rPr>
        <w:t>3/3/22</w:t>
      </w:r>
      <w:r>
        <w:rPr>
          <w:rFonts w:ascii="Times New Roman" w:hAnsi="Times New Roman" w:cs="Times New Roman"/>
          <w:sz w:val="24"/>
          <w:szCs w:val="24"/>
        </w:rPr>
        <w:t>)</w:t>
      </w:r>
      <w:r w:rsidRPr="00383DF0">
        <w:rPr>
          <w:rFonts w:ascii="Times New Roman" w:hAnsi="Times New Roman" w:cs="Times New Roman"/>
          <w:sz w:val="24"/>
          <w:szCs w:val="24"/>
        </w:rPr>
        <w:t xml:space="preserve">, Cristian Castillo, profesor de Estudios </w:t>
      </w:r>
      <w:r>
        <w:rPr>
          <w:rFonts w:ascii="Times New Roman" w:hAnsi="Times New Roman" w:cs="Times New Roman"/>
          <w:sz w:val="24"/>
          <w:szCs w:val="24"/>
        </w:rPr>
        <w:t>de Economía y Empresa de la UOC.</w:t>
      </w:r>
    </w:p>
    <w:p w:rsidR="007E482E"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 xml:space="preserve">Según el último informe del Ministerio de agricultura, pesca y alimentación, en la última campaña 2020/21 se importaron 303.542 toneladas de aceite de girasol, 718 toneladas de </w:t>
      </w:r>
      <w:r w:rsidRPr="00383DF0">
        <w:rPr>
          <w:rFonts w:ascii="Times New Roman" w:hAnsi="Times New Roman" w:cs="Times New Roman"/>
          <w:sz w:val="24"/>
          <w:szCs w:val="24"/>
        </w:rPr>
        <w:lastRenderedPageBreak/>
        <w:t>pipas de girasol y 126.000 toneladas de harina de girasol, utilizada principalmente para piensos.</w:t>
      </w:r>
    </w:p>
    <w:p w:rsidR="007E482E" w:rsidRPr="00383DF0"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383DF0">
        <w:rPr>
          <w:rFonts w:ascii="Times New Roman" w:hAnsi="Times New Roman" w:cs="Times New Roman"/>
          <w:sz w:val="24"/>
          <w:szCs w:val="24"/>
        </w:rPr>
        <w:t>a guerra puede provocar desabastecimiento de estos productos si se prolonga durante más tiempo. “Estamos hablando de una afectación importante en cuanto a esas importaciones que llevamos haciendo desde hace muchos años, porque España es def</w:t>
      </w:r>
      <w:r>
        <w:rPr>
          <w:rFonts w:ascii="Times New Roman" w:hAnsi="Times New Roman" w:cs="Times New Roman"/>
          <w:sz w:val="24"/>
          <w:szCs w:val="24"/>
        </w:rPr>
        <w:t>icitaria en cereales”, recuerda Castillo.</w:t>
      </w:r>
    </w:p>
    <w:p w:rsidR="007E482E"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“Aunque existen alternativas como Brasil, Estados Unidos o Francia de los que se podrían importar también esta materia prima, quitar de la ecuación a Ucrania por un lado, incrementará los costes al reducirse la disponibilidad y, por otro, podrá tener plazos</w:t>
      </w:r>
      <w:r w:rsidR="000142C0">
        <w:rPr>
          <w:rFonts w:ascii="Times New Roman" w:hAnsi="Times New Roman" w:cs="Times New Roman"/>
          <w:sz w:val="24"/>
          <w:szCs w:val="24"/>
        </w:rPr>
        <w:t xml:space="preserve"> de entrega más largos”, sostiene</w:t>
      </w:r>
      <w:r w:rsidRPr="00383DF0">
        <w:rPr>
          <w:rFonts w:ascii="Times New Roman" w:hAnsi="Times New Roman" w:cs="Times New Roman"/>
          <w:sz w:val="24"/>
          <w:szCs w:val="24"/>
        </w:rPr>
        <w:t>.</w:t>
      </w:r>
    </w:p>
    <w:p w:rsidR="007E482E" w:rsidRPr="00383DF0"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El especialista señala que para buscar estas alternativas también hay que tener en cuenta las dificultades burocráticas que hay con algunos de ellos. “Por ejemplo, Estados Unidos o incluso Brasil, utilizan métodos de fabricación transgénicos, que a la hora de importar a la Comunidad Europea por las normativas que tenemos aquí, pueden provocar sanciones. Con lo cual existen alternativas a esos volúmenes, pero no son inm</w:t>
      </w:r>
      <w:r>
        <w:rPr>
          <w:rFonts w:ascii="Times New Roman" w:hAnsi="Times New Roman" w:cs="Times New Roman"/>
          <w:sz w:val="24"/>
          <w:szCs w:val="24"/>
        </w:rPr>
        <w:t>ediatas ni fáciles”, sentencia.</w:t>
      </w:r>
    </w:p>
    <w:p w:rsidR="007E482E" w:rsidRPr="00383DF0"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Para ello, habría que regular de nuevo estas directrices europeas y permitir mayor flexibilidad en las normativas debido a la situación de emergencia. Sin embargo, Estados Unidos se puede convertir en una alternativa para la importación de pipas. De hecho, en los últimos años le había comido terreno a la ucraniana con un 14% de la importación de pipas de girasol de países fuera de la UE, con un total de 9.369 tone</w:t>
      </w:r>
      <w:r>
        <w:rPr>
          <w:rFonts w:ascii="Times New Roman" w:hAnsi="Times New Roman" w:cs="Times New Roman"/>
          <w:sz w:val="24"/>
          <w:szCs w:val="24"/>
        </w:rPr>
        <w:t>ladas, según datos de Eurostat.</w:t>
      </w:r>
    </w:p>
    <w:p w:rsidR="007E482E"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Todo esto, dependerá de la evolución de la crisis, al igual que el efecto en el bolsillo del consumidor. “Si la guerra se sigue prolongando, los precios van a subir y el consumidor lo va a notar en el bolsillo”, enfatiza el experto, que apunta a que hay muchos otros países que importan de Ucrania y qu</w:t>
      </w:r>
      <w:r>
        <w:rPr>
          <w:rFonts w:ascii="Times New Roman" w:hAnsi="Times New Roman" w:cs="Times New Roman"/>
          <w:sz w:val="24"/>
          <w:szCs w:val="24"/>
        </w:rPr>
        <w:t>e buscarán estas alternativas. “</w:t>
      </w:r>
      <w:r w:rsidRPr="00383DF0">
        <w:rPr>
          <w:rFonts w:ascii="Times New Roman" w:hAnsi="Times New Roman" w:cs="Times New Roman"/>
          <w:sz w:val="24"/>
          <w:szCs w:val="24"/>
        </w:rPr>
        <w:t>Nos vamos a encontrar con esa saturación y subidas de precios que van a afectar al consumidor”, añade.</w:t>
      </w:r>
    </w:p>
    <w:p w:rsidR="007E482E" w:rsidRPr="00383DF0"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Del mismo modo, España podría ver reducida la importación de otros países como Francia, Bulgaria y Rumanía, que acumulan según Eurostat un porcentaje cercano al 60% en las importaciones de pipas de girasol, al tener est</w:t>
      </w:r>
      <w:r>
        <w:rPr>
          <w:rFonts w:ascii="Times New Roman" w:hAnsi="Times New Roman" w:cs="Times New Roman"/>
          <w:sz w:val="24"/>
          <w:szCs w:val="24"/>
        </w:rPr>
        <w:t>os, más demanda de otros países.</w:t>
      </w:r>
    </w:p>
    <w:p w:rsidR="007E482E" w:rsidRPr="00383DF0"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A pesar de lo que se pudiera pensar por el buen clima y las extensiones del terreno, en España no se ha invertido en los últimos años en la agricultura del cereal, a pesar de la tradición castellana de este cultivo, por lo que una producción p</w:t>
      </w:r>
      <w:r>
        <w:rPr>
          <w:rFonts w:ascii="Times New Roman" w:hAnsi="Times New Roman" w:cs="Times New Roman"/>
          <w:sz w:val="24"/>
          <w:szCs w:val="24"/>
        </w:rPr>
        <w:t>ropia sería por ahora inviable.</w:t>
      </w:r>
    </w:p>
    <w:p w:rsidR="007E482E" w:rsidRPr="00383DF0"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“Es una contradicción. Sorprende que en España, que es un país con buen clima, pase esto. A veces es por todo el tema de los costes internos, por los que desgraciadamente sale casi más a cuenta e importar que fabricar”, apunta.</w:t>
      </w:r>
    </w:p>
    <w:p w:rsidR="007E482E"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“No somos capaces con la fabricación actual interna de poder cumplir con las necesidades reales y nos obligan a tener importar. Pero evidentemente como reflexión, seguramente a largo plazo, haya que invertir para poder tener este tipo de fabricación de producción en territorio. Ya estamos viendo la dependencia que tenemos de algunos productos, que podríamos ser nosotros también exportadores”, señala Castillo.</w:t>
      </w:r>
    </w:p>
    <w:p w:rsidR="007E482E"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Más allá de las pipas, el problema principal en España lo tienen los agricultores debido a la dependencia que tienen del cereal que llega de Ucrania para la fabricación de piensos. Según los datos del ICEX, este supuso el 30% del total importado.</w:t>
      </w:r>
    </w:p>
    <w:p w:rsidR="007E482E" w:rsidRPr="00383DF0"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lastRenderedPageBreak/>
        <w:t>Sin embargo, los fabricantes de piensos para fabricación animal no se han mostrado preocupados por ahora ya que han recalcado que cuentan con existencias hasta abril en puertos y almacenes, pero sí recuerdan en declaraciones a EFE que ahora es cuando se cerraban las compras de este cereal hasta agosto, frente a la compra de junio a diciembre que se lleva a cabo desde Brasil. Sin embargo, la conjunción de la falta de cereal y la sequía puede suponer un aume</w:t>
      </w:r>
      <w:r>
        <w:rPr>
          <w:rFonts w:ascii="Times New Roman" w:hAnsi="Times New Roman" w:cs="Times New Roman"/>
          <w:sz w:val="24"/>
          <w:szCs w:val="24"/>
        </w:rPr>
        <w:t>nto de precios en la ganadería.</w:t>
      </w:r>
    </w:p>
    <w:p w:rsidR="007E482E" w:rsidRDefault="007E482E" w:rsidP="007E482E">
      <w:pPr>
        <w:spacing w:line="240" w:lineRule="auto"/>
        <w:jc w:val="both"/>
        <w:rPr>
          <w:rFonts w:ascii="Times New Roman" w:hAnsi="Times New Roman" w:cs="Times New Roman"/>
          <w:sz w:val="24"/>
          <w:szCs w:val="24"/>
        </w:rPr>
      </w:pPr>
      <w:r w:rsidRPr="00383DF0">
        <w:rPr>
          <w:rFonts w:ascii="Times New Roman" w:hAnsi="Times New Roman" w:cs="Times New Roman"/>
          <w:sz w:val="24"/>
          <w:szCs w:val="24"/>
        </w:rPr>
        <w:t>“El destino de todas estas importaciones es, fundamentalmente, la elaboración de piensos para nuestra ganadería y una falta de suministro derivará en el encarecimiento de estas materias primas, algo que para los ganaderos españoles sería de fatales consecuencias en estos momentos que nos vemos afectados por la sequía que padece España”, señalan desde la Asociación de Jóvenes Agri</w:t>
      </w:r>
      <w:r w:rsidR="000142C0">
        <w:rPr>
          <w:rFonts w:ascii="Times New Roman" w:hAnsi="Times New Roman" w:cs="Times New Roman"/>
          <w:sz w:val="24"/>
          <w:szCs w:val="24"/>
        </w:rPr>
        <w:t>cultores (ASAJA</w:t>
      </w:r>
      <w:r>
        <w:rPr>
          <w:rFonts w:ascii="Times New Roman" w:hAnsi="Times New Roman" w:cs="Times New Roman"/>
          <w:sz w:val="24"/>
          <w:szCs w:val="24"/>
        </w:rPr>
        <w:t>).</w:t>
      </w:r>
    </w:p>
    <w:p w:rsidR="007E482E" w:rsidRDefault="007E482E" w:rsidP="007E482E">
      <w:pPr>
        <w:spacing w:line="240" w:lineRule="auto"/>
        <w:jc w:val="both"/>
        <w:rPr>
          <w:rFonts w:ascii="Times New Roman" w:hAnsi="Times New Roman" w:cs="Times New Roman"/>
          <w:sz w:val="24"/>
          <w:szCs w:val="24"/>
        </w:rPr>
      </w:pPr>
      <w:r w:rsidRPr="00F1367C">
        <w:rPr>
          <w:rFonts w:ascii="Times New Roman" w:hAnsi="Times New Roman" w:cs="Times New Roman"/>
          <w:sz w:val="24"/>
          <w:szCs w:val="24"/>
        </w:rPr>
        <w:t>Al final es una cadena y las conse</w:t>
      </w:r>
      <w:r>
        <w:rPr>
          <w:rFonts w:ascii="Times New Roman" w:hAnsi="Times New Roman" w:cs="Times New Roman"/>
          <w:sz w:val="24"/>
          <w:szCs w:val="24"/>
        </w:rPr>
        <w:t>cuencias de todo este conflicto</w:t>
      </w:r>
      <w:r w:rsidRPr="00F1367C">
        <w:rPr>
          <w:rFonts w:ascii="Times New Roman" w:hAnsi="Times New Roman" w:cs="Times New Roman"/>
          <w:sz w:val="24"/>
          <w:szCs w:val="24"/>
        </w:rPr>
        <w:t xml:space="preserve"> ya no son incluso para estas importaciones sino también a nivel de exportaciones. Evidentemente, a nivel de ganadería e industria tanto en sus compras de materia prima para poder alimentar a los animales, como poder exportar el tema de la alimentación, esta situación repercute al comercio y genera ten</w:t>
      </w:r>
      <w:r>
        <w:rPr>
          <w:rFonts w:ascii="Times New Roman" w:hAnsi="Times New Roman" w:cs="Times New Roman"/>
          <w:sz w:val="24"/>
          <w:szCs w:val="24"/>
        </w:rPr>
        <w:t>sión en las empresas.</w:t>
      </w:r>
    </w:p>
    <w:p w:rsidR="007E482E" w:rsidRPr="00F1367C" w:rsidRDefault="007E482E" w:rsidP="007E482E">
      <w:pPr>
        <w:spacing w:line="240" w:lineRule="auto"/>
        <w:jc w:val="both"/>
        <w:rPr>
          <w:rFonts w:ascii="Times New Roman" w:hAnsi="Times New Roman" w:cs="Times New Roman"/>
          <w:b/>
          <w:sz w:val="24"/>
          <w:szCs w:val="24"/>
        </w:rPr>
      </w:pPr>
      <w:r w:rsidRPr="00F1367C">
        <w:rPr>
          <w:rFonts w:ascii="Times New Roman" w:hAnsi="Times New Roman" w:cs="Times New Roman"/>
          <w:b/>
          <w:sz w:val="24"/>
          <w:szCs w:val="24"/>
        </w:rPr>
        <w:t xml:space="preserve">Viaje a la autosuficiencia: producir en España lo que falta desde Ucrania </w:t>
      </w:r>
    </w:p>
    <w:p w:rsidR="007E482E" w:rsidRDefault="007E482E" w:rsidP="007E482E">
      <w:pPr>
        <w:spacing w:line="240" w:lineRule="auto"/>
        <w:jc w:val="both"/>
        <w:rPr>
          <w:rFonts w:ascii="Times New Roman" w:hAnsi="Times New Roman" w:cs="Times New Roman"/>
          <w:sz w:val="24"/>
          <w:szCs w:val="24"/>
        </w:rPr>
      </w:pPr>
      <w:r w:rsidRPr="00F1367C">
        <w:rPr>
          <w:rFonts w:ascii="Times New Roman" w:hAnsi="Times New Roman" w:cs="Times New Roman"/>
          <w:sz w:val="24"/>
          <w:szCs w:val="24"/>
        </w:rPr>
        <w:t xml:space="preserve">Tiempos de acopio. Tras arrasar con el papel higiénico en la pandemia, los ciudadanos se han lanzado ahora a por </w:t>
      </w:r>
      <w:r w:rsidR="000142C0">
        <w:rPr>
          <w:rFonts w:ascii="Times New Roman" w:hAnsi="Times New Roman" w:cs="Times New Roman"/>
          <w:sz w:val="24"/>
          <w:szCs w:val="24"/>
        </w:rPr>
        <w:t>el aceite de girasol. Tanto el C</w:t>
      </w:r>
      <w:r w:rsidRPr="00F1367C">
        <w:rPr>
          <w:rFonts w:ascii="Times New Roman" w:hAnsi="Times New Roman" w:cs="Times New Roman"/>
          <w:sz w:val="24"/>
          <w:szCs w:val="24"/>
        </w:rPr>
        <w:t>ovid como la guerra de Ucrania han puesto en tela de juicio muchos valores que en Europa dábamos por sentados, entre ellos, el de la autosuficiencia. El ministro de Agricultura alemán, Cem Oezdemir, hizo esta semana un llamamiento a los ministros de los países G7 a abordar el tema de la seguridad alimentaria. Unas declaraciones que también compartió Luis Planas ante el Congreso de los Diputados, cuando destacó</w:t>
      </w:r>
      <w:r>
        <w:rPr>
          <w:rFonts w:ascii="Times New Roman" w:hAnsi="Times New Roman" w:cs="Times New Roman"/>
          <w:sz w:val="24"/>
          <w:szCs w:val="24"/>
        </w:rPr>
        <w:t xml:space="preserve"> la autonomía estratégica como “un tema fundamental”</w:t>
      </w:r>
      <w:r w:rsidRPr="00F1367C">
        <w:rPr>
          <w:rFonts w:ascii="Times New Roman" w:hAnsi="Times New Roman" w:cs="Times New Roman"/>
          <w:sz w:val="24"/>
          <w:szCs w:val="24"/>
        </w:rPr>
        <w:t xml:space="preserve"> para la Unión Europea. La guerra en Ucrania pone en el foco sobre un tema que España lleva años arrastrando: el descontento del sector agrario y el poco interés económico por su desarrollo. La autosuficiencia tiene un precio.</w:t>
      </w:r>
    </w:p>
    <w:p w:rsidR="007E482E" w:rsidRDefault="000142C0"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El presidente de ASAJA</w:t>
      </w:r>
      <w:r w:rsidR="007E482E" w:rsidRPr="00F1367C">
        <w:rPr>
          <w:rFonts w:ascii="Times New Roman" w:hAnsi="Times New Roman" w:cs="Times New Roman"/>
          <w:sz w:val="24"/>
          <w:szCs w:val="24"/>
        </w:rPr>
        <w:t xml:space="preserve"> Extremadura, Ángel García Blanco, cree que la guerra en Ucrania obligará a la Unión Europea a tomar la decisión de que se siembren las tierras en barbecho de proteaginosas, como la soja o el girasol, para evitar el desabastecimiento, debido a que el país invadido por Rusia es el principal exportador de estos productos. </w:t>
      </w:r>
    </w:p>
    <w:p w:rsidR="007E482E" w:rsidRPr="00882658" w:rsidRDefault="007E482E" w:rsidP="007E482E">
      <w:pPr>
        <w:pStyle w:val="titulo"/>
        <w:shd w:val="clear" w:color="auto" w:fill="F7F7F7"/>
        <w:spacing w:before="0" w:beforeAutospacing="0"/>
        <w:jc w:val="both"/>
        <w:rPr>
          <w:color w:val="000000"/>
        </w:rPr>
      </w:pPr>
      <w:r>
        <w:rPr>
          <w:color w:val="000000"/>
        </w:rPr>
        <w:t>Y es que Ucrania “era el granero de Europa”</w:t>
      </w:r>
      <w:r w:rsidRPr="00882658">
        <w:rPr>
          <w:color w:val="000000"/>
        </w:rPr>
        <w:t xml:space="preserve"> y casi el 40% del maíz que se consume en España y más del 50% del aceite de girasol procede de este país, por lo que el líder agrario cree que en la próxima reunión de ministros de Agricultura de la Unión Europea (UE) se va a </w:t>
      </w:r>
      <w:r>
        <w:rPr>
          <w:color w:val="000000"/>
        </w:rPr>
        <w:t>cambiar “radicalmente”</w:t>
      </w:r>
      <w:r w:rsidRPr="00882658">
        <w:rPr>
          <w:color w:val="000000"/>
        </w:rPr>
        <w:t xml:space="preserve"> la Política Agraria Comunitaria (PAC) en determinadas normativas.</w:t>
      </w:r>
      <w:r w:rsidRPr="00882658">
        <w:rPr>
          <w:color w:val="000000"/>
        </w:rPr>
        <w:br/>
      </w:r>
      <w:r w:rsidRPr="00882658">
        <w:rPr>
          <w:color w:val="000000"/>
        </w:rPr>
        <w:br/>
        <w:t>Por ejemplo, en el caso de la obligatoriedad de dejar tierras en bar</w:t>
      </w:r>
      <w:r>
        <w:rPr>
          <w:color w:val="000000"/>
        </w:rPr>
        <w:t>becho porque “</w:t>
      </w:r>
      <w:r w:rsidRPr="00882658">
        <w:rPr>
          <w:color w:val="000000"/>
        </w:rPr>
        <w:t>van a obligar que se siembren de proteaginosas con el fin de garantizar la autonomía alimentari</w:t>
      </w:r>
      <w:r>
        <w:rPr>
          <w:color w:val="000000"/>
        </w:rPr>
        <w:t>a por parte de la Unión Europea”</w:t>
      </w:r>
      <w:r w:rsidRPr="00882658">
        <w:rPr>
          <w:color w:val="000000"/>
        </w:rPr>
        <w:t>, ha explicado este martes en una rueda de prensa a preguntas sobre los efectos que tendrá la guerra en la agricultura. García Blanco ha recordado que la PAC surge en el Tratado de Roma, firmado en marzo de 1957, con la intenci</w:t>
      </w:r>
      <w:r>
        <w:rPr>
          <w:color w:val="000000"/>
        </w:rPr>
        <w:t xml:space="preserve">ón de garantizar la autonomía </w:t>
      </w:r>
      <w:r w:rsidRPr="00882658">
        <w:rPr>
          <w:color w:val="000000"/>
        </w:rPr>
        <w:t>alimentaria de Europa y,</w:t>
      </w:r>
      <w:r>
        <w:rPr>
          <w:color w:val="000000"/>
        </w:rPr>
        <w:t xml:space="preserve"> una vez que se ha conseguido, “</w:t>
      </w:r>
      <w:r w:rsidRPr="00882658">
        <w:rPr>
          <w:color w:val="000000"/>
        </w:rPr>
        <w:t>hemos pasado de una PAC con característica medioambiental sin fijarse en la autonomía pero, desgraciadamente, esta guerra nos pone en que no podemos tener una dependencia exterior y hay que establecer claramente la posibilidad de que Europa se autoabaste</w:t>
      </w:r>
      <w:r>
        <w:rPr>
          <w:color w:val="000000"/>
        </w:rPr>
        <w:t>zca de sus propias producciones”</w:t>
      </w:r>
      <w:r w:rsidRPr="00882658">
        <w:rPr>
          <w:color w:val="000000"/>
        </w:rPr>
        <w:t>.</w:t>
      </w:r>
    </w:p>
    <w:p w:rsidR="007E482E" w:rsidRPr="00882658" w:rsidRDefault="007E482E" w:rsidP="007E482E">
      <w:pPr>
        <w:pStyle w:val="titulo"/>
        <w:shd w:val="clear" w:color="auto" w:fill="F7F7F7"/>
        <w:jc w:val="both"/>
        <w:rPr>
          <w:color w:val="000000"/>
        </w:rPr>
      </w:pPr>
      <w:r w:rsidRPr="00882658">
        <w:rPr>
          <w:color w:val="000000"/>
        </w:rPr>
        <w:lastRenderedPageBreak/>
        <w:t>Las aceiteras prevén escasez de girasol a partir de mayo y piden impulsar el cultivo rápido en España</w:t>
      </w:r>
      <w:r>
        <w:rPr>
          <w:color w:val="000000"/>
        </w:rPr>
        <w:t xml:space="preserve">. </w:t>
      </w:r>
      <w:r w:rsidRPr="00882658">
        <w:rPr>
          <w:color w:val="000000"/>
        </w:rPr>
        <w:t>La industria del dulce, las conserveras y otros productos como las salsas van a ser los principales perjudicados por el encarecimient</w:t>
      </w:r>
      <w:r>
        <w:rPr>
          <w:color w:val="000000"/>
        </w:rPr>
        <w:t>o de este líquido. La industria del dulce está “reformulando”</w:t>
      </w:r>
      <w:r w:rsidRPr="00882658">
        <w:rPr>
          <w:color w:val="000000"/>
        </w:rPr>
        <w:t xml:space="preserve"> sus productos para emplear otros aceites y pide flexibilidad para el etiquetado</w:t>
      </w:r>
      <w:r>
        <w:rPr>
          <w:color w:val="000000"/>
        </w:rPr>
        <w:t xml:space="preserve"> </w:t>
      </w:r>
      <w:r w:rsidRPr="00882658">
        <w:rPr>
          <w:color w:val="000000"/>
        </w:rPr>
        <w:t>para que se puedan emp</w:t>
      </w:r>
      <w:r>
        <w:rPr>
          <w:color w:val="000000"/>
        </w:rPr>
        <w:t xml:space="preserve">lear otras grasas vegetales. </w:t>
      </w:r>
    </w:p>
    <w:p w:rsidR="007E482E" w:rsidRPr="00882658" w:rsidRDefault="007E482E" w:rsidP="007E482E">
      <w:pPr>
        <w:pStyle w:val="titulo"/>
        <w:shd w:val="clear" w:color="auto" w:fill="F7F7F7"/>
        <w:jc w:val="both"/>
        <w:rPr>
          <w:color w:val="000000"/>
        </w:rPr>
      </w:pPr>
      <w:r w:rsidRPr="00882658">
        <w:rPr>
          <w:color w:val="000000"/>
        </w:rPr>
        <w:t>Otra solución es que se impulsen los cultiv</w:t>
      </w:r>
      <w:r>
        <w:rPr>
          <w:color w:val="000000"/>
        </w:rPr>
        <w:t xml:space="preserve">os rápidos o de ciclos cortos. </w:t>
      </w:r>
      <w:r w:rsidRPr="00882658">
        <w:rPr>
          <w:color w:val="000000"/>
        </w:rPr>
        <w:t xml:space="preserve">Justo es en los meses de primavera cuando se empiezan a cultivar en el sur de España las semillas de girasol, que se recogen a partir del mes de octubre. Algunas variedades de ciclos cortos -cultivos que se dan en menos meses y con menor rentabilidad- incluso podrían llegar a cosecharse para verano. </w:t>
      </w:r>
    </w:p>
    <w:p w:rsidR="007E482E" w:rsidRPr="00882658" w:rsidRDefault="007E482E" w:rsidP="007E482E">
      <w:pPr>
        <w:pStyle w:val="titulo"/>
        <w:shd w:val="clear" w:color="auto" w:fill="F7F7F7"/>
        <w:jc w:val="both"/>
        <w:rPr>
          <w:color w:val="000000"/>
        </w:rPr>
      </w:pPr>
      <w:r>
        <w:rPr>
          <w:color w:val="000000"/>
        </w:rPr>
        <w:t>“</w:t>
      </w:r>
      <w:r w:rsidRPr="00882658">
        <w:rPr>
          <w:color w:val="000000"/>
        </w:rPr>
        <w:t xml:space="preserve">Se trata de un cultivo que, a diferencia de los cereales como el trigo o el maíz, sí podría sembrarse en zonas como Castilla y León porque no </w:t>
      </w:r>
      <w:r>
        <w:rPr>
          <w:color w:val="000000"/>
        </w:rPr>
        <w:t xml:space="preserve">tiene un uso intensivo del agua”, explica </w:t>
      </w:r>
      <w:r w:rsidRPr="00882658">
        <w:rPr>
          <w:color w:val="000000"/>
        </w:rPr>
        <w:t>Jorge de Saja, el presidente de la Asociación nacional de empresas para el fomento de las oleaginosas y su extracción (Afoex).</w:t>
      </w:r>
    </w:p>
    <w:p w:rsidR="007E482E" w:rsidRDefault="007E482E" w:rsidP="007E482E">
      <w:pPr>
        <w:pStyle w:val="titulo"/>
        <w:shd w:val="clear" w:color="auto" w:fill="F7F7F7"/>
        <w:jc w:val="both"/>
        <w:rPr>
          <w:color w:val="000000"/>
        </w:rPr>
      </w:pPr>
      <w:r w:rsidRPr="00882658">
        <w:rPr>
          <w:color w:val="000000"/>
        </w:rPr>
        <w:t>Las hectáreas de girasol en España se han venido reduciendo desd</w:t>
      </w:r>
      <w:r>
        <w:rPr>
          <w:color w:val="000000"/>
        </w:rPr>
        <w:t>e hace años por ser un cultivo “poco rentable” y que, además, “no estaba favorecido en la PAC”</w:t>
      </w:r>
      <w:r w:rsidRPr="00882658">
        <w:rPr>
          <w:color w:val="000000"/>
        </w:rPr>
        <w:t xml:space="preserve">. En concreto, España produjo 878.000 toneladas de semilla de girasol e importó 228.000 toneladas en 2020, según datos de la Federación Europea de Aceites y Oleaginosas (Fediol). En cuanto a los litros de este aceite, España produjo 507.000 toneladas e importó 606.000 toneladas. </w:t>
      </w:r>
    </w:p>
    <w:p w:rsidR="007E482E" w:rsidRDefault="007E482E" w:rsidP="007E482E">
      <w:pPr>
        <w:pStyle w:val="titulo"/>
        <w:shd w:val="clear" w:color="auto" w:fill="F7F7F7"/>
        <w:jc w:val="both"/>
        <w:rPr>
          <w:color w:val="000000"/>
          <w:u w:val="single"/>
        </w:rPr>
      </w:pPr>
      <w:r w:rsidRPr="00942247">
        <w:rPr>
          <w:color w:val="000000"/>
          <w:u w:val="single"/>
        </w:rPr>
        <w:t>Pasado y presente del cultivo de girasol</w:t>
      </w:r>
      <w:r>
        <w:rPr>
          <w:color w:val="000000"/>
          <w:u w:val="single"/>
        </w:rPr>
        <w:t xml:space="preserve"> (</w:t>
      </w:r>
      <w:r w:rsidRPr="001E53AE">
        <w:rPr>
          <w:color w:val="000000"/>
          <w:u w:val="single"/>
        </w:rPr>
        <w:t>begin the beguine</w:t>
      </w:r>
      <w:r>
        <w:rPr>
          <w:color w:val="000000"/>
          <w:u w:val="single"/>
        </w:rPr>
        <w:t>)</w:t>
      </w:r>
    </w:p>
    <w:p w:rsidR="007E482E" w:rsidRPr="003D46A9" w:rsidRDefault="007E482E" w:rsidP="007E482E">
      <w:pPr>
        <w:pStyle w:val="titulo"/>
        <w:shd w:val="clear" w:color="auto" w:fill="F7F7F7"/>
        <w:jc w:val="both"/>
        <w:rPr>
          <w:color w:val="000000"/>
        </w:rPr>
      </w:pPr>
      <w:r>
        <w:rPr>
          <w:color w:val="000000"/>
        </w:rPr>
        <w:t xml:space="preserve">(Fuente: profesionalagro.com - </w:t>
      </w:r>
      <w:r w:rsidRPr="001E53AE">
        <w:rPr>
          <w:b/>
          <w:color w:val="000000"/>
        </w:rPr>
        <w:t>2018</w:t>
      </w:r>
      <w:r>
        <w:rPr>
          <w:color w:val="000000"/>
        </w:rPr>
        <w:t>)</w:t>
      </w:r>
    </w:p>
    <w:p w:rsidR="007E482E" w:rsidRDefault="007E482E" w:rsidP="007E482E">
      <w:pPr>
        <w:pStyle w:val="NormalWeb"/>
        <w:shd w:val="clear" w:color="auto" w:fill="F7F7F7"/>
        <w:spacing w:before="0" w:beforeAutospacing="0"/>
        <w:jc w:val="both"/>
        <w:rPr>
          <w:color w:val="000000"/>
        </w:rPr>
      </w:pPr>
      <w:r w:rsidRPr="00942247">
        <w:rPr>
          <w:color w:val="000000"/>
        </w:rPr>
        <w:t>Lo que en su día fue una alternativa rentable y agronómicamente deseable, como es el cultivo del girasol, se ha visto cada vez más reducido por la falta rentabilidad para los agricultores, a pesar de la reconocida calidad de la producción nacional.</w:t>
      </w:r>
    </w:p>
    <w:p w:rsidR="007E482E" w:rsidRDefault="007E482E" w:rsidP="007E482E">
      <w:pPr>
        <w:pStyle w:val="NormalWeb"/>
        <w:shd w:val="clear" w:color="auto" w:fill="F7F7F7"/>
        <w:spacing w:before="0" w:beforeAutospacing="0"/>
        <w:jc w:val="both"/>
        <w:rPr>
          <w:color w:val="000000"/>
        </w:rPr>
      </w:pPr>
      <w:r w:rsidRPr="00942247">
        <w:rPr>
          <w:color w:val="000000"/>
        </w:rPr>
        <w:t>La decisión de miles de agricultores españoles de sembrar sus tierras con plantas oleaginosas como el girasol, la colza y la soja, fue motivada por la animación de unos precios que guardaban relación con los costos de producción. Pero campaña tras campaña se han ido produciendo cambios negativos en alguno de estos cultivos.</w:t>
      </w:r>
    </w:p>
    <w:p w:rsidR="007E482E" w:rsidRDefault="007E482E" w:rsidP="007E482E">
      <w:pPr>
        <w:pStyle w:val="NormalWeb"/>
        <w:shd w:val="clear" w:color="auto" w:fill="F7F7F7"/>
        <w:spacing w:before="0" w:beforeAutospacing="0"/>
        <w:jc w:val="both"/>
        <w:rPr>
          <w:color w:val="000000"/>
        </w:rPr>
      </w:pPr>
      <w:r w:rsidRPr="00942247">
        <w:rPr>
          <w:color w:val="000000"/>
        </w:rPr>
        <w:t>El cultivo del girasol en España se ha centrado en varias comunidades: Andalucía, Castilla La Mancha y Castilla y León. La siembra se ha llevado a cabo sobre todo en fincas de secano, aunque en menor medida también se ha plantado en regadío. En cualquier caso, la profesionalidad de los productores ha permitido obtener pipas de gran contenido en ácido oleico y de alta calidad reconocida.</w:t>
      </w:r>
    </w:p>
    <w:p w:rsidR="007E482E" w:rsidRPr="00942247" w:rsidRDefault="007E482E" w:rsidP="007E482E">
      <w:pPr>
        <w:pStyle w:val="NormalWeb"/>
        <w:shd w:val="clear" w:color="auto" w:fill="F7F7F7"/>
        <w:jc w:val="both"/>
        <w:rPr>
          <w:color w:val="000000"/>
        </w:rPr>
      </w:pPr>
      <w:r>
        <w:rPr>
          <w:color w:val="000000"/>
        </w:rPr>
        <w:t>Como ya se ha dicho</w:t>
      </w:r>
      <w:r w:rsidRPr="00942247">
        <w:rPr>
          <w:color w:val="000000"/>
        </w:rPr>
        <w:t>, el girasol en España principalmente se siembra en fincas de secano, poco exigente en condiciones “Edafoclimáticas”, aunque precisa de suelos bien drenados, siendo un cultivo oleaginoso que mantenía unas líneas de compensación sobre los gastos generales, tales como la adquisición de las semillas, siembra, seguimi</w:t>
      </w:r>
      <w:r>
        <w:rPr>
          <w:color w:val="000000"/>
        </w:rPr>
        <w:t>ento, recolección y almacenaje.</w:t>
      </w:r>
    </w:p>
    <w:p w:rsidR="007E482E" w:rsidRPr="00942247" w:rsidRDefault="007E482E" w:rsidP="007E482E">
      <w:pPr>
        <w:pStyle w:val="NormalWeb"/>
        <w:shd w:val="clear" w:color="auto" w:fill="F7F7F7"/>
        <w:jc w:val="both"/>
        <w:rPr>
          <w:color w:val="000000"/>
        </w:rPr>
      </w:pPr>
      <w:r w:rsidRPr="00942247">
        <w:rPr>
          <w:color w:val="000000"/>
        </w:rPr>
        <w:t xml:space="preserve">Se trata de un cultivo adecuado como tipo de rotación, consigue destruir el ciclo de plagas y otras enfermedades del cereal. Hablamos del tercer cultivo herbáceo de España, por detrás de </w:t>
      </w:r>
      <w:r w:rsidRPr="00942247">
        <w:rPr>
          <w:color w:val="000000"/>
        </w:rPr>
        <w:lastRenderedPageBreak/>
        <w:t>la cebada y el trigo, aunque según comunidades su influencia, lamentablemente</w:t>
      </w:r>
      <w:r>
        <w:rPr>
          <w:color w:val="000000"/>
        </w:rPr>
        <w:t>, va decreciendo.</w:t>
      </w:r>
    </w:p>
    <w:p w:rsidR="007E482E" w:rsidRPr="00942247" w:rsidRDefault="007E482E" w:rsidP="007E482E">
      <w:pPr>
        <w:pStyle w:val="NormalWeb"/>
        <w:shd w:val="clear" w:color="auto" w:fill="F7F7F7"/>
        <w:jc w:val="both"/>
        <w:rPr>
          <w:color w:val="000000"/>
        </w:rPr>
      </w:pPr>
      <w:r w:rsidRPr="00942247">
        <w:rPr>
          <w:color w:val="000000"/>
        </w:rPr>
        <w:t>La producción por hectárea varía según campañas, como es normal, pero la media oscila sobre los 950/1.300 kilogramos, aproximadamente, aunque siempre llegan años malos, regulares, buenos y, los menos, excepcionales; algo que nuestros agricultores han ido asumiendo de forma, totalme</w:t>
      </w:r>
      <w:r>
        <w:rPr>
          <w:color w:val="000000"/>
        </w:rPr>
        <w:t>nte, profesional y responsable.</w:t>
      </w:r>
    </w:p>
    <w:p w:rsidR="007E482E" w:rsidRPr="00942247" w:rsidRDefault="007E482E" w:rsidP="007E482E">
      <w:pPr>
        <w:pStyle w:val="NormalWeb"/>
        <w:shd w:val="clear" w:color="auto" w:fill="F7F7F7"/>
        <w:jc w:val="both"/>
        <w:rPr>
          <w:color w:val="000000"/>
        </w:rPr>
      </w:pPr>
      <w:r>
        <w:rPr>
          <w:color w:val="000000"/>
        </w:rPr>
        <w:t>E</w:t>
      </w:r>
      <w:r w:rsidRPr="00942247">
        <w:rPr>
          <w:color w:val="000000"/>
        </w:rPr>
        <w:t>n los campos españoles, normalmente en regadío, es dónde se producen semillas de variantes hibridas de girasol, manteniendo unas características muy valoradas por distintos países. El avance de distintos tipos de variedades con magníficas calidades de aceite, citando como ejemplo del género Helianthus L., familia Asteraceae, desglosando decenas de especies diferentes, nos ofrece semillas con una alta calidad Oleica, resistentes a posibles enfermedades com</w:t>
      </w:r>
      <w:r>
        <w:rPr>
          <w:color w:val="000000"/>
        </w:rPr>
        <w:t>o “jopo y mildiu”, por ejemplo.</w:t>
      </w:r>
    </w:p>
    <w:p w:rsidR="007E482E" w:rsidRPr="00942247" w:rsidRDefault="007E482E" w:rsidP="007E482E">
      <w:pPr>
        <w:pStyle w:val="NormalWeb"/>
        <w:shd w:val="clear" w:color="auto" w:fill="F7F7F7"/>
        <w:jc w:val="both"/>
        <w:rPr>
          <w:color w:val="000000"/>
        </w:rPr>
      </w:pPr>
      <w:r w:rsidRPr="00942247">
        <w:rPr>
          <w:color w:val="000000"/>
        </w:rPr>
        <w:t>Dependiendo de la variedad y seguimiento en el desarrollo de las plantas, se han conseguido semillas con un 35/45% de contenido en materias grasas, algo muy importante a la hora de ser valorado el producto final. Los agricultores españoles han dedicado décadas a colaborar con distintas empresas de semillas, siempre bajo la finalidad de obtener variedades mejor adaptadas a distintos microclimas, tanto en variedades “Oleicas como Linoleicas”, consiguiendo mejores calidades en las semillas, algo reconocido a nivel mundial.</w:t>
      </w:r>
    </w:p>
    <w:p w:rsidR="007E482E" w:rsidRPr="00942247" w:rsidRDefault="007E482E" w:rsidP="007E482E">
      <w:pPr>
        <w:pStyle w:val="NormalWeb"/>
        <w:shd w:val="clear" w:color="auto" w:fill="F7F7F7"/>
        <w:jc w:val="both"/>
        <w:rPr>
          <w:color w:val="000000"/>
        </w:rPr>
      </w:pPr>
      <w:r w:rsidRPr="00942247">
        <w:rPr>
          <w:color w:val="000000"/>
        </w:rPr>
        <w:t>La relación entre los agricultores y las industrias que obtienen aceite de girasol, siempre han resultado con una concordancia plena, pero esta relación se ha ido diluyendo con la subida de costes para el agricultor y la bajada de precios de venta a las industrias, algo que se va repitiendo en otros productos, lamentablemente.</w:t>
      </w:r>
    </w:p>
    <w:p w:rsidR="007E482E" w:rsidRPr="00942247" w:rsidRDefault="007E482E" w:rsidP="007E482E">
      <w:pPr>
        <w:pStyle w:val="NormalWeb"/>
        <w:shd w:val="clear" w:color="auto" w:fill="F7F7F7"/>
        <w:jc w:val="both"/>
        <w:rPr>
          <w:color w:val="000000"/>
        </w:rPr>
      </w:pPr>
      <w:r w:rsidRPr="00942247">
        <w:rPr>
          <w:color w:val="000000"/>
        </w:rPr>
        <w:t>Actualmente se observa una desvalorización en los precios de compra al agricultor, sobre el girasol producido, mientras el resto de gastos como las semillas, aperos, maquinaria, recambios, combustibles, Ad-Blue, lubricantes, seguros, impuestos, etc., no dejan de subir campaña tras campaña. Las empresas comercializadoras del girasol siguen manteniendo su ascensión económica, pero el agricultor ajusta continuamente sus márgenes, a la baja, s</w:t>
      </w:r>
      <w:r>
        <w:rPr>
          <w:color w:val="000000"/>
        </w:rPr>
        <w:t>obre la producción del girasol.</w:t>
      </w:r>
    </w:p>
    <w:p w:rsidR="007E482E" w:rsidRPr="00942247" w:rsidRDefault="007E482E" w:rsidP="007E482E">
      <w:pPr>
        <w:pStyle w:val="NormalWeb"/>
        <w:shd w:val="clear" w:color="auto" w:fill="F7F7F7"/>
        <w:jc w:val="both"/>
        <w:rPr>
          <w:color w:val="000000"/>
        </w:rPr>
      </w:pPr>
      <w:r w:rsidRPr="00942247">
        <w:rPr>
          <w:color w:val="000000"/>
        </w:rPr>
        <w:t>Cuándo se calcula una línea de costos de producción, comparada con el precio de venta final y la diferencia no repercute en compensar los gastos presentes, tampoco los porcentajes en la amortización sobre la maquinaria, aperos, inversión en tierras, etc., entramos en riesgos de pérdidas, algo que debemos evitar por muchos cantos de sirena que nos quieran vender.</w:t>
      </w:r>
    </w:p>
    <w:p w:rsidR="007E482E" w:rsidRDefault="007E482E" w:rsidP="007E482E">
      <w:pPr>
        <w:pStyle w:val="NormalWeb"/>
        <w:shd w:val="clear" w:color="auto" w:fill="F7F7F7"/>
        <w:spacing w:before="0" w:beforeAutospacing="0"/>
        <w:jc w:val="both"/>
        <w:rPr>
          <w:color w:val="000000"/>
        </w:rPr>
      </w:pPr>
      <w:r w:rsidRPr="00942247">
        <w:rPr>
          <w:color w:val="000000"/>
        </w:rPr>
        <w:t>El agricultor/a y ganadero/a, no debe analizar sus esfuerzos cómo alguien que invierte en bolsa, no puede permitirse ese altísimo riesgo, sus pasos deben ser certeros, buscando productos de salida anticipada y con precios mínimos compensables a sus gastos y reservas.</w:t>
      </w:r>
    </w:p>
    <w:p w:rsidR="007E482E" w:rsidRPr="00942247" w:rsidRDefault="007E482E" w:rsidP="007E482E">
      <w:pPr>
        <w:pStyle w:val="NormalWeb"/>
        <w:shd w:val="clear" w:color="auto" w:fill="F7F7F7"/>
        <w:jc w:val="both"/>
        <w:rPr>
          <w:color w:val="000000"/>
        </w:rPr>
      </w:pPr>
      <w:r>
        <w:rPr>
          <w:color w:val="000000"/>
        </w:rPr>
        <w:t>Según los analistas</w:t>
      </w:r>
      <w:r w:rsidRPr="00942247">
        <w:rPr>
          <w:color w:val="000000"/>
        </w:rPr>
        <w:t xml:space="preserve">, la importación descontrolada de pipas de menor calidad, origen Europa del Este (Ucrania), es uno de los motivos de este descalabro para los agricultores españoles. </w:t>
      </w:r>
      <w:r>
        <w:rPr>
          <w:color w:val="000000"/>
        </w:rPr>
        <w:t>Según los productores</w:t>
      </w:r>
      <w:r w:rsidRPr="00942247">
        <w:rPr>
          <w:color w:val="000000"/>
        </w:rPr>
        <w:t>, se están buscando otras alternativas a este cultivo milenario, incluso se están celebrando reuniones con las empresas del sector para tratar que tanto para las empresas como para los agricultore</w:t>
      </w:r>
      <w:r>
        <w:rPr>
          <w:color w:val="000000"/>
        </w:rPr>
        <w:t>s el cultivo sea rentable. Esto</w:t>
      </w:r>
      <w:r w:rsidRPr="00942247">
        <w:rPr>
          <w:color w:val="000000"/>
        </w:rPr>
        <w:t xml:space="preserve"> ha sido así durante décadas, pero actualmente no se cubren los gastos de producción, según campañas, incluso sumando la ayuda por hectárea por la producción de oleaginosas, algo muy lamentable.</w:t>
      </w:r>
    </w:p>
    <w:p w:rsidR="007E482E" w:rsidRDefault="007E482E" w:rsidP="007E482E">
      <w:pPr>
        <w:pStyle w:val="NormalWeb"/>
        <w:shd w:val="clear" w:color="auto" w:fill="F7F7F7"/>
        <w:spacing w:before="0" w:beforeAutospacing="0"/>
        <w:jc w:val="both"/>
        <w:rPr>
          <w:color w:val="000000"/>
        </w:rPr>
      </w:pPr>
      <w:r w:rsidRPr="00942247">
        <w:rPr>
          <w:color w:val="000000"/>
        </w:rPr>
        <w:lastRenderedPageBreak/>
        <w:t>La Comunidad de Castilla y León, ha alcanzado durante la campaña 2018, el 38,3% de la superficie nacional en la producción de girasol, resultando ser la comunidad española que más girasol ha sembrado, superando a Andalucía y Castilla La Mancha, lo que ya es un indicativo de la apuesta de los agricultore</w:t>
      </w:r>
      <w:r>
        <w:rPr>
          <w:color w:val="000000"/>
        </w:rPr>
        <w:t>s de esta comunidad</w:t>
      </w:r>
      <w:r w:rsidRPr="00942247">
        <w:rPr>
          <w:color w:val="000000"/>
        </w:rPr>
        <w:t>, pero que no repercute, adecuadamente, en sus bolsillos y nadie hace nada positivo, lo que resulta mucho más lamentable.</w:t>
      </w:r>
    </w:p>
    <w:p w:rsidR="007E482E" w:rsidRPr="001E53AE" w:rsidRDefault="007E482E" w:rsidP="007E482E">
      <w:pPr>
        <w:pStyle w:val="NormalWeb"/>
        <w:shd w:val="clear" w:color="auto" w:fill="F7F7F7"/>
        <w:spacing w:before="0" w:beforeAutospacing="0"/>
        <w:jc w:val="both"/>
        <w:rPr>
          <w:color w:val="000000"/>
          <w:u w:val="single"/>
        </w:rPr>
      </w:pPr>
      <w:r w:rsidRPr="001E53AE">
        <w:rPr>
          <w:color w:val="000000"/>
          <w:u w:val="single"/>
        </w:rPr>
        <w:t xml:space="preserve">Nunca llueve </w:t>
      </w:r>
      <w:r w:rsidR="009C20F1" w:rsidRPr="001E53AE">
        <w:rPr>
          <w:color w:val="000000"/>
          <w:u w:val="single"/>
        </w:rPr>
        <w:t>a</w:t>
      </w:r>
      <w:r w:rsidRPr="001E53AE">
        <w:rPr>
          <w:color w:val="000000"/>
          <w:u w:val="single"/>
        </w:rPr>
        <w:t xml:space="preserve"> gusto de todos</w:t>
      </w:r>
    </w:p>
    <w:p w:rsidR="007E482E" w:rsidRDefault="007E482E" w:rsidP="007E482E">
      <w:pPr>
        <w:pStyle w:val="NormalWeb"/>
        <w:shd w:val="clear" w:color="auto" w:fill="F7F7F7"/>
        <w:spacing w:before="0" w:beforeAutospacing="0"/>
        <w:jc w:val="both"/>
        <w:rPr>
          <w:color w:val="000000"/>
        </w:rPr>
      </w:pPr>
      <w:r>
        <w:rPr>
          <w:color w:val="000000"/>
        </w:rPr>
        <w:t xml:space="preserve">(Fuente: informaciongastronomica.com - </w:t>
      </w:r>
      <w:r w:rsidRPr="001E53AE">
        <w:rPr>
          <w:b/>
          <w:color w:val="000000"/>
        </w:rPr>
        <w:t>2020</w:t>
      </w:r>
      <w:r>
        <w:rPr>
          <w:color w:val="000000"/>
        </w:rPr>
        <w:t>)</w:t>
      </w:r>
    </w:p>
    <w:p w:rsidR="007E482E" w:rsidRPr="003D46A9" w:rsidRDefault="007E482E" w:rsidP="007E482E">
      <w:pPr>
        <w:pStyle w:val="NormalWeb"/>
        <w:shd w:val="clear" w:color="auto" w:fill="F7F7F7"/>
        <w:spacing w:before="0" w:beforeAutospacing="0"/>
        <w:jc w:val="both"/>
        <w:rPr>
          <w:color w:val="000000"/>
        </w:rPr>
      </w:pPr>
      <w:r>
        <w:rPr>
          <w:color w:val="000000"/>
        </w:rPr>
        <w:t>La escasez de lluvias ha</w:t>
      </w:r>
      <w:r w:rsidRPr="003D46A9">
        <w:rPr>
          <w:color w:val="000000"/>
        </w:rPr>
        <w:t xml:space="preserve"> ido haciendo mella en el cultivo de girasol en España, más pronunciada en tierras sureñas.</w:t>
      </w:r>
      <w:r>
        <w:rPr>
          <w:color w:val="000000"/>
        </w:rPr>
        <w:t xml:space="preserve"> </w:t>
      </w:r>
      <w:r w:rsidRPr="003D46A9">
        <w:rPr>
          <w:color w:val="000000"/>
        </w:rPr>
        <w:t>Y entre los culpables está la climatología, concretamente la sequía, pues solo el 11 % de la extensión sembrada es de regadío. A ese aspecto negativo se suman otros factores como la alta temperatura (olas de calor frecuentes) o las enfermedades que afectan a la planta. Pero más allá de estas condiciones imposibles de controlar por parte de los agricultores, existen otras vinculadas al mercado y a las autoridades competentes.</w:t>
      </w:r>
    </w:p>
    <w:p w:rsidR="007E482E" w:rsidRDefault="007E482E" w:rsidP="007E482E">
      <w:pPr>
        <w:pStyle w:val="NormalWeb"/>
        <w:shd w:val="clear" w:color="auto" w:fill="F7F7F7"/>
        <w:spacing w:before="0" w:beforeAutospacing="0"/>
        <w:jc w:val="both"/>
        <w:rPr>
          <w:color w:val="000000"/>
        </w:rPr>
      </w:pPr>
      <w:r w:rsidRPr="003D46A9">
        <w:rPr>
          <w:color w:val="000000"/>
        </w:rPr>
        <w:t>El etiquetado poco controlado de la procedencia de los aceites de girasol supone otra traba al que es originario del campo español y podría tener un precio acorde a su calidad. Mientras que el otro producto resultante de esta oleaginosa (la pipa) también sufre las consecuencias de la importación de dicho alimento desde Europa del Este, especialmente de Ucrania. Con pipas llegadas al mercado nacional de países como Rusia o Argentina también, la devaluación de su precio es una losa muy pesada.</w:t>
      </w:r>
    </w:p>
    <w:p w:rsidR="007E482E" w:rsidRPr="00042936" w:rsidRDefault="007E482E" w:rsidP="007E482E">
      <w:pPr>
        <w:pStyle w:val="NormalWeb"/>
        <w:shd w:val="clear" w:color="auto" w:fill="F7F7F7"/>
        <w:jc w:val="both"/>
        <w:rPr>
          <w:color w:val="000000"/>
        </w:rPr>
      </w:pPr>
      <w:r w:rsidRPr="00042936">
        <w:rPr>
          <w:color w:val="000000"/>
        </w:rPr>
        <w:t>La historia se repite, al igual que sucede con otros productos agrícolas: no se cubren costes de producción. Los consumidores no saben con certeza qué aceite de girasol están tomando y compran a precios más bajos las pipas extranjeras. Además, el gobierno español no da ayudas fiscales suficientes a un sector que acumula resultados nefastos frecuentes en los últimos años. En muchos casos, ya han terminado con el abandono del cultivo de girasol en</w:t>
      </w:r>
      <w:r>
        <w:rPr>
          <w:color w:val="000000"/>
        </w:rPr>
        <w:t xml:space="preserve"> España. Sobre todo, en el sur.</w:t>
      </w:r>
    </w:p>
    <w:p w:rsidR="007E482E" w:rsidRPr="00042936" w:rsidRDefault="007E482E" w:rsidP="007E482E">
      <w:pPr>
        <w:pStyle w:val="NormalWeb"/>
        <w:shd w:val="clear" w:color="auto" w:fill="F7F7F7"/>
        <w:jc w:val="both"/>
        <w:rPr>
          <w:color w:val="000000"/>
        </w:rPr>
      </w:pPr>
      <w:r w:rsidRPr="00042936">
        <w:rPr>
          <w:color w:val="000000"/>
        </w:rPr>
        <w:t>En este momento y con esas circunstancias, el futuro pinta más negro que dorado y próspero. Las empresas agrícolas se están esforzando por concentrar la oferta, ahorrar costes e innovar. Para esta última tarea, se buscan nuevas variedades de semillas híbridas que puedan beneficiar a los agricultores. Ofreciendo una planta más resistente y sana, así como permitiendo que las pipas retengan más aceite.</w:t>
      </w:r>
    </w:p>
    <w:p w:rsidR="007E482E" w:rsidRDefault="007E482E" w:rsidP="007E482E">
      <w:pPr>
        <w:pStyle w:val="NormalWeb"/>
        <w:shd w:val="clear" w:color="auto" w:fill="F7F7F7"/>
        <w:jc w:val="both"/>
        <w:rPr>
          <w:color w:val="000000"/>
        </w:rPr>
      </w:pPr>
      <w:r w:rsidRPr="00042936">
        <w:rPr>
          <w:color w:val="000000"/>
        </w:rPr>
        <w:t>En conclusión, el devenir del cultivo de girasol en España pasa por la investigación, mientras la oleaginosa más tradicional se sigue dejando perder en amplias hectáreas. Es la única salida a una amenaza cada vez más presente y que transforma los bellos campos teñidos de amarillo en grises escenarios de esas épocas proliferas del pasado.</w:t>
      </w:r>
    </w:p>
    <w:p w:rsidR="007E482E" w:rsidRPr="001E53AE" w:rsidRDefault="007E482E" w:rsidP="007E482E">
      <w:pPr>
        <w:pStyle w:val="NormalWeb"/>
        <w:shd w:val="clear" w:color="auto" w:fill="F7F7F7"/>
        <w:jc w:val="both"/>
        <w:rPr>
          <w:color w:val="000000"/>
          <w:u w:val="single"/>
        </w:rPr>
      </w:pPr>
      <w:r w:rsidRPr="001E53AE">
        <w:rPr>
          <w:color w:val="000000"/>
          <w:u w:val="single"/>
        </w:rPr>
        <w:t>¿Por qué importamos aceite de girasol si España también lo produce en cantidad?</w:t>
      </w:r>
    </w:p>
    <w:p w:rsidR="007E482E" w:rsidRDefault="007E482E" w:rsidP="007E482E">
      <w:pPr>
        <w:pStyle w:val="NormalWeb"/>
        <w:shd w:val="clear" w:color="auto" w:fill="F7F7F7"/>
        <w:jc w:val="both"/>
        <w:rPr>
          <w:color w:val="000000"/>
        </w:rPr>
      </w:pPr>
      <w:r>
        <w:rPr>
          <w:color w:val="000000"/>
        </w:rPr>
        <w:t xml:space="preserve">(Fuente: lasexta.com - </w:t>
      </w:r>
      <w:r w:rsidRPr="001E53AE">
        <w:rPr>
          <w:b/>
          <w:color w:val="000000"/>
        </w:rPr>
        <w:t>2022</w:t>
      </w:r>
      <w:r>
        <w:rPr>
          <w:color w:val="000000"/>
        </w:rPr>
        <w:t>)</w:t>
      </w:r>
    </w:p>
    <w:p w:rsidR="007E482E" w:rsidRPr="00E044BF" w:rsidRDefault="007E482E" w:rsidP="007E482E">
      <w:pPr>
        <w:pStyle w:val="NormalWeb"/>
        <w:shd w:val="clear" w:color="auto" w:fill="F7F7F7"/>
        <w:jc w:val="both"/>
        <w:rPr>
          <w:color w:val="000000"/>
        </w:rPr>
      </w:pPr>
      <w:r w:rsidRPr="00E044BF">
        <w:rPr>
          <w:color w:val="000000"/>
        </w:rPr>
        <w:t xml:space="preserve">España cultiva girasol, a lo largo y ancho del país, pero su rendimiento no es competitivo... hasta ahora. </w:t>
      </w:r>
    </w:p>
    <w:p w:rsidR="007E482E" w:rsidRPr="00E044BF" w:rsidRDefault="007E482E" w:rsidP="007E482E">
      <w:pPr>
        <w:pStyle w:val="NormalWeb"/>
        <w:shd w:val="clear" w:color="auto" w:fill="F7F7F7"/>
        <w:jc w:val="both"/>
        <w:rPr>
          <w:color w:val="000000"/>
        </w:rPr>
      </w:pPr>
      <w:r w:rsidRPr="00E044BF">
        <w:rPr>
          <w:color w:val="000000"/>
        </w:rPr>
        <w:lastRenderedPageBreak/>
        <w:t>No es habitual, cada día menos, que las gotas de aceite de girasol que se utilizan a diario en nuestro país provengan de una pipa que haya crecido en algún campo ibérico. El líquido, presente en nuestro día a día de manera indirecta en multitud de productos, tiene tal peso en la industria alimentaria que la falta de importaciones de Rusia y Ucrania ha derivado</w:t>
      </w:r>
      <w:r>
        <w:rPr>
          <w:color w:val="000000"/>
        </w:rPr>
        <w:t xml:space="preserve"> en una crisis sin precedentes.</w:t>
      </w:r>
    </w:p>
    <w:p w:rsidR="007E482E" w:rsidRPr="00E044BF" w:rsidRDefault="007E482E" w:rsidP="007E482E">
      <w:pPr>
        <w:pStyle w:val="NormalWeb"/>
        <w:shd w:val="clear" w:color="auto" w:fill="F7F7F7"/>
        <w:jc w:val="both"/>
        <w:rPr>
          <w:color w:val="000000"/>
        </w:rPr>
      </w:pPr>
      <w:r w:rsidRPr="00E044BF">
        <w:rPr>
          <w:color w:val="000000"/>
        </w:rPr>
        <w:t>Lo cierto es que sí, España sí cultiva girasol. Lo hace a lo largo y ancho del país, según los últimos datos disponibles del Ministerio de Agricultura. Pero el rendimiento por hectárea no es competitivo con el de otros países, co</w:t>
      </w:r>
      <w:r>
        <w:rPr>
          <w:color w:val="000000"/>
        </w:rPr>
        <w:t>mo Rumanía, Bulgaria o Hungría.</w:t>
      </w:r>
    </w:p>
    <w:p w:rsidR="007E482E" w:rsidRPr="00E044BF" w:rsidRDefault="007E482E" w:rsidP="007E482E">
      <w:pPr>
        <w:pStyle w:val="NormalWeb"/>
        <w:shd w:val="clear" w:color="auto" w:fill="F7F7F7"/>
        <w:jc w:val="both"/>
        <w:rPr>
          <w:color w:val="000000"/>
        </w:rPr>
      </w:pPr>
      <w:r w:rsidRPr="00E044BF">
        <w:rPr>
          <w:color w:val="000000"/>
        </w:rPr>
        <w:t>Pero, entonces, ahora, en mitad de la guerra, con los suministros que exportaban tanto Rusia como Ucrania en escasez y una demanda no sólo mantenida, sino que va en aumento, ¿van a verse beneficiados los agricultores españoles? ¿Es esta la oportun</w:t>
      </w:r>
      <w:r>
        <w:rPr>
          <w:color w:val="000000"/>
        </w:rPr>
        <w:t>idad de oro para nuestro campo?</w:t>
      </w:r>
    </w:p>
    <w:p w:rsidR="007E482E" w:rsidRPr="00E044BF" w:rsidRDefault="007E482E" w:rsidP="007E482E">
      <w:pPr>
        <w:pStyle w:val="NormalWeb"/>
        <w:shd w:val="clear" w:color="auto" w:fill="F7F7F7"/>
        <w:jc w:val="both"/>
        <w:rPr>
          <w:color w:val="000000"/>
        </w:rPr>
      </w:pPr>
      <w:r w:rsidRPr="00E044BF">
        <w:rPr>
          <w:color w:val="000000"/>
        </w:rPr>
        <w:t>Poco re</w:t>
      </w:r>
      <w:r>
        <w:rPr>
          <w:color w:val="000000"/>
        </w:rPr>
        <w:t>ndimiento del girasol español</w:t>
      </w:r>
    </w:p>
    <w:p w:rsidR="007E482E" w:rsidRPr="00E044BF" w:rsidRDefault="007E482E" w:rsidP="007E482E">
      <w:pPr>
        <w:pStyle w:val="NormalWeb"/>
        <w:shd w:val="clear" w:color="auto" w:fill="F7F7F7"/>
        <w:jc w:val="both"/>
        <w:rPr>
          <w:color w:val="000000"/>
        </w:rPr>
      </w:pPr>
      <w:r>
        <w:rPr>
          <w:color w:val="000000"/>
        </w:rPr>
        <w:t>“</w:t>
      </w:r>
      <w:r w:rsidRPr="00E044BF">
        <w:rPr>
          <w:color w:val="000000"/>
        </w:rPr>
        <w:t>E</w:t>
      </w:r>
      <w:r>
        <w:rPr>
          <w:color w:val="000000"/>
        </w:rPr>
        <w:t>spaña es deficitaria en girasol”</w:t>
      </w:r>
      <w:r w:rsidRPr="00E044BF">
        <w:rPr>
          <w:color w:val="000000"/>
        </w:rPr>
        <w:t>,</w:t>
      </w:r>
      <w:r>
        <w:rPr>
          <w:color w:val="000000"/>
        </w:rPr>
        <w:t xml:space="preserve"> señala</w:t>
      </w:r>
      <w:r w:rsidRPr="00E044BF">
        <w:rPr>
          <w:color w:val="000000"/>
        </w:rPr>
        <w:t>, Pedro Gallardo, el presidente del grupo de Oleaginosas -denominación que incluye al girasol, la colza y la soja- del Comité de Organizaciones Agrícolas-Comité General de la Cooperación Agrícola de la Unión Europea (conocid</w:t>
      </w:r>
      <w:r>
        <w:rPr>
          <w:color w:val="000000"/>
        </w:rPr>
        <w:t>o por sus siglas COPA-COGECA). “</w:t>
      </w:r>
      <w:r w:rsidRPr="00E044BF">
        <w:rPr>
          <w:color w:val="000000"/>
        </w:rPr>
        <w:t>Ahora mismo estamos en la mitad de lo que ll</w:t>
      </w:r>
      <w:r>
        <w:rPr>
          <w:color w:val="000000"/>
        </w:rPr>
        <w:t>egamos a producir en su momento”.</w:t>
      </w:r>
    </w:p>
    <w:p w:rsidR="007E482E" w:rsidRPr="00E044BF" w:rsidRDefault="007E482E" w:rsidP="007E482E">
      <w:pPr>
        <w:pStyle w:val="NormalWeb"/>
        <w:shd w:val="clear" w:color="auto" w:fill="F7F7F7"/>
        <w:jc w:val="both"/>
        <w:rPr>
          <w:color w:val="000000"/>
        </w:rPr>
      </w:pPr>
      <w:r w:rsidRPr="00E044BF">
        <w:rPr>
          <w:color w:val="000000"/>
        </w:rPr>
        <w:t>Lo consumimos, lo usamos, en mayor cantidad de lo que somos capaces de producir</w:t>
      </w:r>
      <w:r>
        <w:rPr>
          <w:color w:val="000000"/>
        </w:rPr>
        <w:t>. “</w:t>
      </w:r>
      <w:r w:rsidRPr="00E044BF">
        <w:rPr>
          <w:color w:val="000000"/>
        </w:rPr>
        <w:t>España es un país que importa grano y aceite de girasol, que lo con</w:t>
      </w:r>
      <w:r>
        <w:rPr>
          <w:color w:val="000000"/>
        </w:rPr>
        <w:t>vierte en pienso para el ganado”, explica Gallardo. “</w:t>
      </w:r>
      <w:r w:rsidRPr="00E044BF">
        <w:rPr>
          <w:color w:val="000000"/>
        </w:rPr>
        <w:t>Transformamos grano en carne, que sale al exterior en muchos casos. El aceite para la formulación de pienso es de girasol. Por eso necesitamos girasol de fuera</w:t>
      </w:r>
      <w:r>
        <w:rPr>
          <w:color w:val="000000"/>
        </w:rPr>
        <w:t>. El principal es el de Ucrania”.</w:t>
      </w:r>
    </w:p>
    <w:p w:rsidR="007E482E" w:rsidRPr="00E044BF" w:rsidRDefault="007E482E" w:rsidP="007E482E">
      <w:pPr>
        <w:pStyle w:val="NormalWeb"/>
        <w:shd w:val="clear" w:color="auto" w:fill="F7F7F7"/>
        <w:jc w:val="both"/>
        <w:rPr>
          <w:color w:val="000000"/>
        </w:rPr>
      </w:pPr>
      <w:r w:rsidRPr="00E044BF">
        <w:rPr>
          <w:color w:val="000000"/>
        </w:rPr>
        <w:t>¿Por qué no tiene mayor rendimiento el campo español? Por la sequía que España sí padece, algo especialmente relevante para este tipo d</w:t>
      </w:r>
      <w:r>
        <w:rPr>
          <w:color w:val="000000"/>
        </w:rPr>
        <w:t>e cultivo dado que se trata de “</w:t>
      </w:r>
      <w:r w:rsidRPr="00E044BF">
        <w:rPr>
          <w:color w:val="000000"/>
        </w:rPr>
        <w:t>un factor limitante al giras</w:t>
      </w:r>
      <w:r>
        <w:rPr>
          <w:color w:val="000000"/>
        </w:rPr>
        <w:t>ol”</w:t>
      </w:r>
      <w:r w:rsidRPr="00E044BF">
        <w:rPr>
          <w:color w:val="000000"/>
        </w:rPr>
        <w:t>.</w:t>
      </w:r>
    </w:p>
    <w:p w:rsidR="007E482E" w:rsidRPr="00E044BF" w:rsidRDefault="007E482E" w:rsidP="007E482E">
      <w:pPr>
        <w:pStyle w:val="NormalWeb"/>
        <w:shd w:val="clear" w:color="auto" w:fill="F7F7F7"/>
        <w:jc w:val="both"/>
        <w:rPr>
          <w:color w:val="000000"/>
        </w:rPr>
      </w:pPr>
      <w:r w:rsidRPr="00E044BF">
        <w:rPr>
          <w:color w:val="000000"/>
        </w:rPr>
        <w:t xml:space="preserve">Tras la invasión de Rusia a Ucrania y el desarrollo de la guerra que, por el momento, no tiene visos de finalizar a pesar de las rondas de negociaciones, el vacío en girasol a nivel mundial es notorio. </w:t>
      </w:r>
      <w:r>
        <w:rPr>
          <w:color w:val="000000"/>
        </w:rPr>
        <w:t>“</w:t>
      </w:r>
      <w:r w:rsidRPr="00E044BF">
        <w:rPr>
          <w:color w:val="000000"/>
        </w:rPr>
        <w:t xml:space="preserve">Ucrania seguramente este año no siembre girasol, aunque el conflicto termine mañana. Porque no hay combustible; la semilla no ha llegado. Y va a ser complicado que Ucrania siembre girasol, que se siembra entre mayo </w:t>
      </w:r>
      <w:r>
        <w:rPr>
          <w:color w:val="000000"/>
        </w:rPr>
        <w:t>y junio”</w:t>
      </w:r>
      <w:r w:rsidRPr="00E044BF">
        <w:rPr>
          <w:color w:val="000000"/>
        </w:rPr>
        <w:t>, ahonda el agricultor y representante de una de las mayores organizaciones agrarias a nivel europeo.</w:t>
      </w:r>
    </w:p>
    <w:p w:rsidR="007E482E" w:rsidRPr="00E044BF" w:rsidRDefault="007E482E" w:rsidP="007E482E">
      <w:pPr>
        <w:pStyle w:val="NormalWeb"/>
        <w:shd w:val="clear" w:color="auto" w:fill="F7F7F7"/>
        <w:jc w:val="both"/>
        <w:rPr>
          <w:color w:val="000000"/>
        </w:rPr>
      </w:pPr>
      <w:r w:rsidRPr="00E044BF">
        <w:rPr>
          <w:color w:val="000000"/>
        </w:rPr>
        <w:t>En España, la temporada de siembra es más amplia, porque el clima lo permite. Eso sí, con diferencia del territorio. Lo habitual es sembrar entre</w:t>
      </w:r>
      <w:r>
        <w:rPr>
          <w:color w:val="000000"/>
        </w:rPr>
        <w:t xml:space="preserve"> febrero y mayo. “</w:t>
      </w:r>
      <w:r w:rsidRPr="00E044BF">
        <w:rPr>
          <w:color w:val="000000"/>
        </w:rPr>
        <w:t xml:space="preserve">Pero hay girasoles en </w:t>
      </w:r>
      <w:r>
        <w:rPr>
          <w:color w:val="000000"/>
        </w:rPr>
        <w:t>Burgos que se siembran en junio”, dice Gallardo. “</w:t>
      </w:r>
      <w:r w:rsidRPr="00E044BF">
        <w:rPr>
          <w:color w:val="000000"/>
        </w:rPr>
        <w:t>En la zona de Sevilla-Córdoba-Cádiz se suele sembrar en marzo y abril. Este añ</w:t>
      </w:r>
      <w:r>
        <w:rPr>
          <w:color w:val="000000"/>
        </w:rPr>
        <w:t>o no vamos tarde para sembrarlo”, sostiene.</w:t>
      </w:r>
    </w:p>
    <w:p w:rsidR="007E482E" w:rsidRPr="00E044BF" w:rsidRDefault="007E482E" w:rsidP="007E482E">
      <w:pPr>
        <w:pStyle w:val="NormalWeb"/>
        <w:shd w:val="clear" w:color="auto" w:fill="F7F7F7"/>
        <w:jc w:val="both"/>
        <w:rPr>
          <w:color w:val="000000"/>
        </w:rPr>
      </w:pPr>
      <w:r w:rsidRPr="00E044BF">
        <w:rPr>
          <w:color w:val="000000"/>
        </w:rPr>
        <w:t>Pero, ¿qué ha pasado? ¿Por qué no se ha hecho aún? La sequía, que hemos sufrido intensamente hasta las lluvias de hace unos días.</w:t>
      </w:r>
    </w:p>
    <w:p w:rsidR="007E482E" w:rsidRPr="00E044BF" w:rsidRDefault="007E482E" w:rsidP="007E482E">
      <w:pPr>
        <w:pStyle w:val="NormalWeb"/>
        <w:shd w:val="clear" w:color="auto" w:fill="F7F7F7"/>
        <w:jc w:val="both"/>
        <w:rPr>
          <w:color w:val="000000"/>
        </w:rPr>
      </w:pPr>
      <w:r>
        <w:rPr>
          <w:color w:val="000000"/>
        </w:rPr>
        <w:t>“El agricultor no se ha atrevido”, ejemplifica Pedro Gallardo. “</w:t>
      </w:r>
      <w:r w:rsidRPr="00E044BF">
        <w:rPr>
          <w:color w:val="000000"/>
        </w:rPr>
        <w:t>Yo, en otros años, me he atrevido a sembrar en enero. En este l</w:t>
      </w:r>
      <w:r>
        <w:rPr>
          <w:color w:val="000000"/>
        </w:rPr>
        <w:t>o he hecho a finales de febrero”</w:t>
      </w:r>
      <w:r w:rsidRPr="00E044BF">
        <w:rPr>
          <w:color w:val="000000"/>
        </w:rPr>
        <w:t>.</w:t>
      </w:r>
    </w:p>
    <w:p w:rsidR="007E482E" w:rsidRPr="00E044BF" w:rsidRDefault="007E482E" w:rsidP="007E482E">
      <w:pPr>
        <w:pStyle w:val="NormalWeb"/>
        <w:shd w:val="clear" w:color="auto" w:fill="F7F7F7"/>
        <w:jc w:val="both"/>
        <w:rPr>
          <w:color w:val="000000"/>
        </w:rPr>
      </w:pPr>
      <w:r w:rsidRPr="00E044BF">
        <w:rPr>
          <w:color w:val="000000"/>
        </w:rPr>
        <w:lastRenderedPageBreak/>
        <w:t xml:space="preserve">Parecía que la temporada estaba perdida para los agricultores españoles. Por la sequía, principalmente, un factor diferencial. Pero también por la normativa europea que </w:t>
      </w:r>
      <w:r>
        <w:rPr>
          <w:color w:val="000000"/>
        </w:rPr>
        <w:t>rige la producción del girasol.</w:t>
      </w:r>
    </w:p>
    <w:p w:rsidR="007E482E" w:rsidRPr="00E044BF" w:rsidRDefault="007E482E" w:rsidP="007E482E">
      <w:pPr>
        <w:pStyle w:val="NormalWeb"/>
        <w:shd w:val="clear" w:color="auto" w:fill="F7F7F7"/>
        <w:jc w:val="both"/>
        <w:rPr>
          <w:color w:val="000000"/>
        </w:rPr>
      </w:pPr>
      <w:r w:rsidRPr="00E044BF">
        <w:rPr>
          <w:color w:val="000000"/>
        </w:rPr>
        <w:t xml:space="preserve">No todos los años se planta girasol, sino que, como otros cereales, se rota y el terreno que un año es para esta planta, el siguiente es para garbanzo u otro similar, como el trigo. Es </w:t>
      </w:r>
      <w:r>
        <w:rPr>
          <w:color w:val="000000"/>
        </w:rPr>
        <w:t>así para toda la Unión Europea.</w:t>
      </w:r>
    </w:p>
    <w:p w:rsidR="007E482E" w:rsidRPr="00E044BF" w:rsidRDefault="007E482E" w:rsidP="007E482E">
      <w:pPr>
        <w:pStyle w:val="NormalWeb"/>
        <w:shd w:val="clear" w:color="auto" w:fill="F7F7F7"/>
        <w:jc w:val="both"/>
        <w:rPr>
          <w:color w:val="000000"/>
        </w:rPr>
      </w:pPr>
      <w:r w:rsidRPr="00E044BF">
        <w:rPr>
          <w:color w:val="000000"/>
        </w:rPr>
        <w:t>Legalmente, se debe dejar libre entre un 5-7% del terreno. Realme</w:t>
      </w:r>
      <w:r>
        <w:rPr>
          <w:color w:val="000000"/>
        </w:rPr>
        <w:t>nte, suele dejarse entre 5-10% “por no ir justos”</w:t>
      </w:r>
      <w:r w:rsidRPr="00E044BF">
        <w:rPr>
          <w:color w:val="000000"/>
        </w:rPr>
        <w:t>, apunta Gallardo. Asociaciones como ASAJA ya han elevado una petición a Agricultura para solicitar una excepcionalidad en el Consejo de Ministros de Agricultura comunitario del 21 de marzo</w:t>
      </w:r>
      <w:r>
        <w:rPr>
          <w:color w:val="000000"/>
        </w:rPr>
        <w:t xml:space="preserve"> (2022).</w:t>
      </w:r>
    </w:p>
    <w:p w:rsidR="007E482E" w:rsidRPr="00E044BF" w:rsidRDefault="007E482E" w:rsidP="007E482E">
      <w:pPr>
        <w:pStyle w:val="NormalWeb"/>
        <w:shd w:val="clear" w:color="auto" w:fill="F7F7F7"/>
        <w:jc w:val="both"/>
        <w:rPr>
          <w:color w:val="000000"/>
        </w:rPr>
      </w:pPr>
      <w:r w:rsidRPr="00E044BF">
        <w:rPr>
          <w:color w:val="000000"/>
        </w:rPr>
        <w:t>Tanto es así que fuentes del Ministerio de Agr</w:t>
      </w:r>
      <w:r>
        <w:rPr>
          <w:color w:val="000000"/>
        </w:rPr>
        <w:t>icultura precisan que “</w:t>
      </w:r>
      <w:r w:rsidRPr="00E044BF">
        <w:rPr>
          <w:color w:val="000000"/>
        </w:rPr>
        <w:t xml:space="preserve">todo lo referente a determinación de superficies de cultivo o rotación son normativas de la UE, que están en </w:t>
      </w:r>
      <w:r>
        <w:rPr>
          <w:color w:val="000000"/>
        </w:rPr>
        <w:t>la Política Agraria Común (PAC)”. “</w:t>
      </w:r>
      <w:r w:rsidRPr="00E044BF">
        <w:rPr>
          <w:color w:val="000000"/>
        </w:rPr>
        <w:t xml:space="preserve">Precisamente lo que España y otros países están pidiendo de cara al Consejo </w:t>
      </w:r>
      <w:r>
        <w:rPr>
          <w:color w:val="000000"/>
        </w:rPr>
        <w:t xml:space="preserve">de Ministros de Agricultura próximo </w:t>
      </w:r>
      <w:r w:rsidRPr="00E044BF">
        <w:rPr>
          <w:color w:val="000000"/>
        </w:rPr>
        <w:t>es que se flexibilicen esas normas para poder aumentar las superficie</w:t>
      </w:r>
      <w:r>
        <w:rPr>
          <w:color w:val="000000"/>
        </w:rPr>
        <w:t>s de producción dentro de la UE”.</w:t>
      </w:r>
    </w:p>
    <w:p w:rsidR="007E482E" w:rsidRPr="00E044BF" w:rsidRDefault="007E482E" w:rsidP="007E482E">
      <w:pPr>
        <w:pStyle w:val="NormalWeb"/>
        <w:shd w:val="clear" w:color="auto" w:fill="F7F7F7"/>
        <w:jc w:val="both"/>
        <w:rPr>
          <w:color w:val="000000"/>
        </w:rPr>
      </w:pPr>
      <w:r w:rsidRPr="00E044BF">
        <w:rPr>
          <w:color w:val="000000"/>
        </w:rPr>
        <w:t>Gabriel Trenzado es el director de Asuntos para la Unión Europea e Internacional de Cooperativas Agroalimentarias de España. Es taxativ</w:t>
      </w:r>
      <w:r>
        <w:rPr>
          <w:color w:val="000000"/>
        </w:rPr>
        <w:t>o: “</w:t>
      </w:r>
      <w:r w:rsidRPr="00E044BF">
        <w:rPr>
          <w:color w:val="000000"/>
        </w:rPr>
        <w:t>La UE es deficitaria de oleaginosas, y España se ha convertido en un gran dependiente del girasol que procede de Ucrania. Es una fuente de abastecimiento para la industria agroalimenta</w:t>
      </w:r>
      <w:r>
        <w:rPr>
          <w:color w:val="000000"/>
        </w:rPr>
        <w:t>ria y la elaboración de piensos”.</w:t>
      </w:r>
    </w:p>
    <w:p w:rsidR="007E482E" w:rsidRPr="00E044BF" w:rsidRDefault="007E482E" w:rsidP="007E482E">
      <w:pPr>
        <w:pStyle w:val="NormalWeb"/>
        <w:shd w:val="clear" w:color="auto" w:fill="F7F7F7"/>
        <w:jc w:val="both"/>
        <w:rPr>
          <w:color w:val="000000"/>
        </w:rPr>
      </w:pPr>
      <w:r w:rsidRPr="00E044BF">
        <w:rPr>
          <w:color w:val="000000"/>
        </w:rPr>
        <w:t>Aun así, las cosas pueden cambiar. El margen es ajustado, pero se está a tiempo.</w:t>
      </w:r>
    </w:p>
    <w:p w:rsidR="007E482E" w:rsidRPr="00E044BF" w:rsidRDefault="007E482E" w:rsidP="007E482E">
      <w:pPr>
        <w:pStyle w:val="NormalWeb"/>
        <w:shd w:val="clear" w:color="auto" w:fill="F7F7F7"/>
        <w:jc w:val="both"/>
        <w:rPr>
          <w:color w:val="000000"/>
        </w:rPr>
      </w:pPr>
      <w:r>
        <w:rPr>
          <w:color w:val="000000"/>
        </w:rPr>
        <w:t>(</w:t>
      </w:r>
      <w:r w:rsidRPr="00463E11">
        <w:rPr>
          <w:b/>
          <w:color w:val="000000"/>
        </w:rPr>
        <w:t>18/3/22</w:t>
      </w:r>
      <w:r>
        <w:rPr>
          <w:color w:val="000000"/>
        </w:rPr>
        <w:t>) “Vamos con retraso”</w:t>
      </w:r>
      <w:r w:rsidRPr="00E044BF">
        <w:rPr>
          <w:color w:val="000000"/>
        </w:rPr>
        <w:t>, reconoce Pedro Gallardo, pero lanza un mensaje de aliento</w:t>
      </w:r>
      <w:r>
        <w:rPr>
          <w:color w:val="000000"/>
        </w:rPr>
        <w:t>. “</w:t>
      </w:r>
      <w:r w:rsidRPr="00E044BF">
        <w:rPr>
          <w:color w:val="000000"/>
        </w:rPr>
        <w:t>Vamos a tener un porcentaje menor de siembra, porque ya tendríamos que tener un 50% del terreno cultivado y llevamos entre un 20 o 30%. Pero, con lo que ha llovido en la última semana y con los precios, está haciendo que al agricultor le apetezca sembra</w:t>
      </w:r>
      <w:r>
        <w:rPr>
          <w:color w:val="000000"/>
        </w:rPr>
        <w:t>r mucho girasol”.</w:t>
      </w:r>
    </w:p>
    <w:p w:rsidR="007E482E" w:rsidRDefault="007E482E" w:rsidP="007E482E">
      <w:pPr>
        <w:pStyle w:val="NormalWeb"/>
        <w:shd w:val="clear" w:color="auto" w:fill="F7F7F7"/>
        <w:jc w:val="both"/>
        <w:rPr>
          <w:color w:val="000000"/>
        </w:rPr>
      </w:pPr>
      <w:r w:rsidRPr="00E044BF">
        <w:rPr>
          <w:color w:val="000000"/>
        </w:rPr>
        <w:t>La situación es jugosa. En la actualidad se están ofreciendo contratos a más de 850</w:t>
      </w:r>
      <w:r>
        <w:rPr>
          <w:color w:val="000000"/>
        </w:rPr>
        <w:t xml:space="preserve"> </w:t>
      </w:r>
      <w:r w:rsidRPr="00E044BF">
        <w:rPr>
          <w:color w:val="000000"/>
        </w:rPr>
        <w:t>€/tonelada. Por comparar, el año pasado la cifra general estaba en 550</w:t>
      </w:r>
      <w:r>
        <w:rPr>
          <w:color w:val="000000"/>
        </w:rPr>
        <w:t xml:space="preserve"> </w:t>
      </w:r>
      <w:r w:rsidRPr="00E044BF">
        <w:rPr>
          <w:color w:val="000000"/>
        </w:rPr>
        <w:t>€/tonelada, y hace dos, 360</w:t>
      </w:r>
      <w:r>
        <w:rPr>
          <w:color w:val="000000"/>
        </w:rPr>
        <w:t xml:space="preserve"> </w:t>
      </w:r>
      <w:r w:rsidRPr="00E044BF">
        <w:rPr>
          <w:color w:val="000000"/>
        </w:rPr>
        <w:t>€/tonelada.</w:t>
      </w:r>
    </w:p>
    <w:p w:rsidR="007E482E" w:rsidRPr="00E044BF" w:rsidRDefault="007E482E" w:rsidP="007E482E">
      <w:pPr>
        <w:pStyle w:val="NormalWeb"/>
        <w:shd w:val="clear" w:color="auto" w:fill="F7F7F7"/>
        <w:jc w:val="both"/>
        <w:rPr>
          <w:color w:val="000000"/>
        </w:rPr>
      </w:pPr>
      <w:r w:rsidRPr="00E044BF">
        <w:rPr>
          <w:color w:val="000000"/>
        </w:rPr>
        <w:t>El sector está en ebullición, y otros cultivos se están viendo también ben</w:t>
      </w:r>
      <w:r>
        <w:rPr>
          <w:color w:val="000000"/>
        </w:rPr>
        <w:t>eficiados. Cuenta Gallardo que “</w:t>
      </w:r>
      <w:r w:rsidRPr="00E044BF">
        <w:rPr>
          <w:color w:val="000000"/>
        </w:rPr>
        <w:t>hay contratos de las cooperativas alemanas de colza, que se recolecta dentro de meses, en agosto, a 840</w:t>
      </w:r>
      <w:r>
        <w:rPr>
          <w:color w:val="000000"/>
        </w:rPr>
        <w:t xml:space="preserve"> </w:t>
      </w:r>
      <w:r w:rsidRPr="00E044BF">
        <w:rPr>
          <w:color w:val="000000"/>
        </w:rPr>
        <w:t>€ la tonelada. Porque ya se sabe que los precios pueden ir por ahí. Esto siempre va con pinzas, porque al final no se sabe. Porque hay mucha volati</w:t>
      </w:r>
      <w:r>
        <w:rPr>
          <w:color w:val="000000"/>
        </w:rPr>
        <w:t>lidad. Pero así está el mercado”.</w:t>
      </w:r>
    </w:p>
    <w:p w:rsidR="007E482E" w:rsidRPr="00E044BF" w:rsidRDefault="007E482E" w:rsidP="007E482E">
      <w:pPr>
        <w:pStyle w:val="NormalWeb"/>
        <w:shd w:val="clear" w:color="auto" w:fill="F7F7F7"/>
        <w:jc w:val="both"/>
        <w:rPr>
          <w:color w:val="000000"/>
        </w:rPr>
      </w:pPr>
      <w:r w:rsidRPr="00E044BF">
        <w:rPr>
          <w:color w:val="000000"/>
        </w:rPr>
        <w:t>Trenzado se</w:t>
      </w:r>
      <w:r>
        <w:rPr>
          <w:color w:val="000000"/>
        </w:rPr>
        <w:t xml:space="preserve"> manifiesta en la misma línea. “</w:t>
      </w:r>
      <w:r w:rsidRPr="00E044BF">
        <w:rPr>
          <w:color w:val="000000"/>
        </w:rPr>
        <w:t xml:space="preserve">Ahora puede convertirse por los precios en una oportunidad. Esto no ocurre de la noche a la mañana. Y en España, con la sequía, es complicado. En regadío siempre se utiliza con otros cereales, pero va a haber escasez por la falta de suministro. En </w:t>
      </w:r>
      <w:r>
        <w:rPr>
          <w:color w:val="000000"/>
        </w:rPr>
        <w:t>maíz también somos dependientes”, subraya.</w:t>
      </w:r>
    </w:p>
    <w:p w:rsidR="007E482E" w:rsidRPr="00E044BF" w:rsidRDefault="007E482E" w:rsidP="007E482E">
      <w:pPr>
        <w:pStyle w:val="NormalWeb"/>
        <w:shd w:val="clear" w:color="auto" w:fill="F7F7F7"/>
        <w:jc w:val="both"/>
        <w:rPr>
          <w:color w:val="000000"/>
        </w:rPr>
      </w:pPr>
      <w:r w:rsidRPr="00E044BF">
        <w:rPr>
          <w:color w:val="000000"/>
        </w:rPr>
        <w:t xml:space="preserve">No es extraña la imagen tradicional de campos de girasol pudriéndose en nuestro país, </w:t>
      </w:r>
      <w:r>
        <w:rPr>
          <w:color w:val="000000"/>
        </w:rPr>
        <w:t>pero es cosa del pasado. “</w:t>
      </w:r>
      <w:r w:rsidRPr="00E044BF">
        <w:rPr>
          <w:color w:val="000000"/>
        </w:rPr>
        <w:t>En España no es que se prohíba el girasol, pero económicamente no es interesante. Hay otros pa</w:t>
      </w:r>
      <w:r>
        <w:rPr>
          <w:color w:val="000000"/>
        </w:rPr>
        <w:t>íses que tienen más rendimiento”</w:t>
      </w:r>
      <w:r w:rsidRPr="00E044BF">
        <w:rPr>
          <w:color w:val="000000"/>
        </w:rPr>
        <w:t>, afirma el dirigente de las Cooperati</w:t>
      </w:r>
      <w:r>
        <w:rPr>
          <w:color w:val="000000"/>
        </w:rPr>
        <w:t>vas Agroalimentarias de España.</w:t>
      </w:r>
    </w:p>
    <w:p w:rsidR="007E482E" w:rsidRPr="00E044BF" w:rsidRDefault="007E482E" w:rsidP="007E482E">
      <w:pPr>
        <w:pStyle w:val="NormalWeb"/>
        <w:shd w:val="clear" w:color="auto" w:fill="F7F7F7"/>
        <w:jc w:val="both"/>
        <w:rPr>
          <w:color w:val="000000"/>
        </w:rPr>
      </w:pPr>
      <w:r>
        <w:rPr>
          <w:color w:val="000000"/>
        </w:rPr>
        <w:lastRenderedPageBreak/>
        <w:t>“</w:t>
      </w:r>
      <w:r w:rsidRPr="00E044BF">
        <w:rPr>
          <w:color w:val="000000"/>
        </w:rPr>
        <w:t>La PAC no desincentiva ni controla el girasol, ni ningún cultivo. Un agricultor recibe una ayuda PAC porque mantiene sus tierras en buenas condiciones agrícolas y medioambientales. La filosofía es orien</w:t>
      </w:r>
      <w:r>
        <w:rPr>
          <w:color w:val="000000"/>
        </w:rPr>
        <w:t>tar las producciones al mercado”</w:t>
      </w:r>
      <w:r w:rsidRPr="00E044BF">
        <w:rPr>
          <w:color w:val="000000"/>
        </w:rPr>
        <w:t>, insiste Gabriel Trenzado.</w:t>
      </w:r>
    </w:p>
    <w:p w:rsidR="007E482E" w:rsidRPr="00E044BF" w:rsidRDefault="007E482E" w:rsidP="007E482E">
      <w:pPr>
        <w:pStyle w:val="NormalWeb"/>
        <w:shd w:val="clear" w:color="auto" w:fill="F7F7F7"/>
        <w:jc w:val="both"/>
        <w:rPr>
          <w:color w:val="000000"/>
        </w:rPr>
      </w:pPr>
      <w:r w:rsidRPr="00E044BF">
        <w:rPr>
          <w:color w:val="000000"/>
        </w:rPr>
        <w:t>Antes de 2004 existía un pago al girasol extraordinario, porque es un cultivo que se utilizar para rotar con cereales. Se pagaba al cultivar y no se recogía. Pero con la implantación de la Agenda 2000 comuni</w:t>
      </w:r>
      <w:r>
        <w:rPr>
          <w:color w:val="000000"/>
        </w:rPr>
        <w:t>taria eso cambió. Ya no existe.</w:t>
      </w:r>
    </w:p>
    <w:p w:rsidR="007E482E" w:rsidRPr="00E044BF" w:rsidRDefault="007E482E" w:rsidP="007E482E">
      <w:pPr>
        <w:pStyle w:val="NormalWeb"/>
        <w:shd w:val="clear" w:color="auto" w:fill="F7F7F7"/>
        <w:jc w:val="both"/>
        <w:rPr>
          <w:color w:val="000000"/>
        </w:rPr>
      </w:pPr>
      <w:r w:rsidRPr="00E044BF">
        <w:rPr>
          <w:color w:val="000000"/>
        </w:rPr>
        <w:t>Y ahora el girasol es más rentable que nunca. Sin los dos mayores productores de aceite de girasol a nivel global, el tablero es otro. Por comparar: Ucrania es el mayor productor de aceite de girasol del mundo con 4.400.324 t</w:t>
      </w:r>
      <w:r>
        <w:rPr>
          <w:color w:val="000000"/>
        </w:rPr>
        <w:t>oneladas de producción por año.</w:t>
      </w:r>
    </w:p>
    <w:p w:rsidR="007E482E" w:rsidRPr="00E044BF" w:rsidRDefault="007E482E" w:rsidP="007E482E">
      <w:pPr>
        <w:pStyle w:val="NormalWeb"/>
        <w:shd w:val="clear" w:color="auto" w:fill="F7F7F7"/>
        <w:jc w:val="both"/>
        <w:rPr>
          <w:color w:val="000000"/>
        </w:rPr>
      </w:pPr>
      <w:r>
        <w:rPr>
          <w:color w:val="000000"/>
        </w:rPr>
        <w:t>España, “según la campaña y año”</w:t>
      </w:r>
      <w:r w:rsidRPr="00E044BF">
        <w:rPr>
          <w:color w:val="000000"/>
        </w:rPr>
        <w:t>, precisa el director general de la Asociación Nacional de Industriales Envasadores y Refinadores de Aceites Comestibles (</w:t>
      </w:r>
      <w:r>
        <w:rPr>
          <w:color w:val="000000"/>
        </w:rPr>
        <w:t>Anierac), Primitivo Fernández, “</w:t>
      </w:r>
      <w:r w:rsidRPr="00E044BF">
        <w:rPr>
          <w:color w:val="000000"/>
        </w:rPr>
        <w:t xml:space="preserve">tenemos 800.000 hectáreas de este cultivo que producen más o menos la misma cantidad de pipa de girasol, en toneladas. El rendimiento de la pipa en aceite es del 40-42%. Esto nos da una cifra en torno a 300.000 toneladas de aceite </w:t>
      </w:r>
      <w:r>
        <w:rPr>
          <w:color w:val="000000"/>
        </w:rPr>
        <w:t>de girasol, algo arriba o abajo”</w:t>
      </w:r>
      <w:r w:rsidRPr="00E044BF">
        <w:rPr>
          <w:color w:val="000000"/>
        </w:rPr>
        <w:t>.</w:t>
      </w:r>
    </w:p>
    <w:p w:rsidR="007E482E" w:rsidRPr="00E044BF" w:rsidRDefault="007E482E" w:rsidP="007E482E">
      <w:pPr>
        <w:pStyle w:val="NormalWeb"/>
        <w:shd w:val="clear" w:color="auto" w:fill="F7F7F7"/>
        <w:jc w:val="both"/>
        <w:rPr>
          <w:color w:val="000000"/>
        </w:rPr>
      </w:pPr>
      <w:r>
        <w:rPr>
          <w:color w:val="000000"/>
        </w:rPr>
        <w:t>“</w:t>
      </w:r>
      <w:r w:rsidRPr="00E044BF">
        <w:rPr>
          <w:color w:val="000000"/>
        </w:rPr>
        <w:t>Este es un año</w:t>
      </w:r>
      <w:r>
        <w:rPr>
          <w:color w:val="000000"/>
        </w:rPr>
        <w:t xml:space="preserve"> para sembrar hasta las macetas”</w:t>
      </w:r>
      <w:r w:rsidRPr="00E044BF">
        <w:rPr>
          <w:color w:val="000000"/>
        </w:rPr>
        <w:t>, senten</w:t>
      </w:r>
      <w:r>
        <w:rPr>
          <w:color w:val="000000"/>
        </w:rPr>
        <w:t>cia Pedro Gallardo. “</w:t>
      </w:r>
      <w:r w:rsidRPr="00E044BF">
        <w:rPr>
          <w:color w:val="000000"/>
        </w:rPr>
        <w:t>Es un año que hay rentabilidad, que puede haber rentabilidad en el cultivo a estos precios. Cierto es que el combustible vale un 270% más que el año pasado, los fertilizantes también, pero aun</w:t>
      </w:r>
      <w:r>
        <w:rPr>
          <w:color w:val="000000"/>
        </w:rPr>
        <w:t xml:space="preserve"> así, compensa”.</w:t>
      </w:r>
    </w:p>
    <w:p w:rsidR="007E482E" w:rsidRPr="00E044BF" w:rsidRDefault="007E482E" w:rsidP="007E482E">
      <w:pPr>
        <w:pStyle w:val="NormalWeb"/>
        <w:shd w:val="clear" w:color="auto" w:fill="F7F7F7"/>
        <w:jc w:val="both"/>
        <w:rPr>
          <w:color w:val="000000"/>
        </w:rPr>
      </w:pPr>
      <w:r w:rsidRPr="00E044BF">
        <w:rPr>
          <w:color w:val="000000"/>
        </w:rPr>
        <w:t>Los principales territorios de produ</w:t>
      </w:r>
      <w:r>
        <w:rPr>
          <w:color w:val="000000"/>
        </w:rPr>
        <w:t>cción de girasol en España</w:t>
      </w:r>
      <w:r w:rsidRPr="00E044BF">
        <w:rPr>
          <w:color w:val="000000"/>
        </w:rPr>
        <w:t xml:space="preserve"> son Sevilla, Cuenca y Burgos. Las tres provincias, en ese orden, son las mayores productoras de girasol de las 773.787 toneladas que se cultivaron en 2019, según los últimos datos disponibles del Ministerio de Agricult</w:t>
      </w:r>
      <w:r>
        <w:rPr>
          <w:color w:val="000000"/>
        </w:rPr>
        <w:t>ura. Le siguen Cádiz y Córdoba.</w:t>
      </w:r>
    </w:p>
    <w:p w:rsidR="007E482E" w:rsidRPr="00E044BF" w:rsidRDefault="007E482E" w:rsidP="007E482E">
      <w:pPr>
        <w:pStyle w:val="NormalWeb"/>
        <w:shd w:val="clear" w:color="auto" w:fill="F7F7F7"/>
        <w:jc w:val="both"/>
        <w:rPr>
          <w:color w:val="000000"/>
        </w:rPr>
      </w:pPr>
      <w:r w:rsidRPr="00E044BF">
        <w:rPr>
          <w:color w:val="000000"/>
        </w:rPr>
        <w:t>Así, la</w:t>
      </w:r>
      <w:r>
        <w:rPr>
          <w:color w:val="000000"/>
        </w:rPr>
        <w:t xml:space="preserve"> campaña no está perdida, sino “todo lo contrario”, sostiene Gallardo. “</w:t>
      </w:r>
      <w:r w:rsidRPr="00E044BF">
        <w:rPr>
          <w:color w:val="000000"/>
        </w:rPr>
        <w:t xml:space="preserve">En Andalucía podemos sembrar hasta final de abril. </w:t>
      </w:r>
      <w:r>
        <w:rPr>
          <w:color w:val="000000"/>
        </w:rPr>
        <w:t>En Cuenca y Burgos queda mucho”</w:t>
      </w:r>
      <w:r w:rsidRPr="00E044BF">
        <w:rPr>
          <w:color w:val="000000"/>
        </w:rPr>
        <w:t>.</w:t>
      </w:r>
    </w:p>
    <w:p w:rsidR="007E482E" w:rsidRPr="00E044BF" w:rsidRDefault="007E482E" w:rsidP="007E482E">
      <w:pPr>
        <w:pStyle w:val="NormalWeb"/>
        <w:shd w:val="clear" w:color="auto" w:fill="F7F7F7"/>
        <w:jc w:val="both"/>
        <w:rPr>
          <w:color w:val="000000"/>
        </w:rPr>
      </w:pPr>
      <w:r>
        <w:rPr>
          <w:color w:val="000000"/>
        </w:rPr>
        <w:t>“</w:t>
      </w:r>
      <w:r w:rsidRPr="00E044BF">
        <w:rPr>
          <w:color w:val="000000"/>
        </w:rPr>
        <w:t>En Andalucía, con lo llovido estos días, con una primavera suave, y nos caen entre 50-100L, el girasol se puede criar muy bien. Hasta 2 toneladas por hectárea. Si la primavera acompaña y nos cae eso, el girasol se puede c</w:t>
      </w:r>
      <w:r>
        <w:rPr>
          <w:color w:val="000000"/>
        </w:rPr>
        <w:t>riar muy bien”.</w:t>
      </w:r>
    </w:p>
    <w:p w:rsidR="007E482E" w:rsidRDefault="007E482E" w:rsidP="007E482E">
      <w:pPr>
        <w:pStyle w:val="NormalWeb"/>
        <w:shd w:val="clear" w:color="auto" w:fill="F7F7F7"/>
        <w:jc w:val="both"/>
        <w:rPr>
          <w:color w:val="000000"/>
        </w:rPr>
      </w:pPr>
      <w:r w:rsidRPr="00E044BF">
        <w:rPr>
          <w:color w:val="000000"/>
        </w:rPr>
        <w:t>El primer girasol se recoge a finales de junio o las dos primeras semanas de julio, siempre y cuando las condiciones sean normales. De momento, todo está con el viento de cara. Está por ver si se consigue aprovechar la oportunidad... o qué pasa con nuestros campos de girasoles.</w:t>
      </w:r>
    </w:p>
    <w:p w:rsidR="007E482E" w:rsidRDefault="007E482E" w:rsidP="007E482E">
      <w:pPr>
        <w:pStyle w:val="NormalWeb"/>
        <w:shd w:val="clear" w:color="auto" w:fill="F7F7F7"/>
        <w:jc w:val="both"/>
        <w:rPr>
          <w:b/>
          <w:color w:val="000000"/>
        </w:rPr>
      </w:pPr>
      <w:r w:rsidRPr="006A79EB">
        <w:rPr>
          <w:b/>
          <w:color w:val="000000"/>
        </w:rPr>
        <w:t>E</w:t>
      </w:r>
      <w:r w:rsidR="00F93456">
        <w:rPr>
          <w:b/>
          <w:color w:val="000000"/>
        </w:rPr>
        <w:t>ntre los gozos y las</w:t>
      </w:r>
      <w:r w:rsidRPr="006A79EB">
        <w:rPr>
          <w:b/>
          <w:color w:val="000000"/>
        </w:rPr>
        <w:t xml:space="preserve"> so</w:t>
      </w:r>
      <w:r>
        <w:rPr>
          <w:b/>
          <w:color w:val="000000"/>
        </w:rPr>
        <w:t>m</w:t>
      </w:r>
      <w:r w:rsidRPr="006A79EB">
        <w:rPr>
          <w:b/>
          <w:color w:val="000000"/>
        </w:rPr>
        <w:t>bras, E</w:t>
      </w:r>
      <w:r>
        <w:rPr>
          <w:b/>
          <w:color w:val="000000"/>
        </w:rPr>
        <w:t xml:space="preserve">spaña </w:t>
      </w:r>
      <w:r w:rsidR="00F93456">
        <w:rPr>
          <w:b/>
          <w:color w:val="000000"/>
        </w:rPr>
        <w:t>sirve como ejemplo</w:t>
      </w:r>
      <w:r>
        <w:rPr>
          <w:b/>
          <w:color w:val="000000"/>
        </w:rPr>
        <w:t xml:space="preserve"> </w:t>
      </w:r>
      <w:r w:rsidR="00F93456">
        <w:rPr>
          <w:b/>
          <w:color w:val="000000"/>
        </w:rPr>
        <w:t>d</w:t>
      </w:r>
      <w:r>
        <w:rPr>
          <w:b/>
          <w:color w:val="000000"/>
        </w:rPr>
        <w:t>el</w:t>
      </w:r>
      <w:r w:rsidRPr="006A79EB">
        <w:rPr>
          <w:b/>
          <w:color w:val="000000"/>
        </w:rPr>
        <w:t xml:space="preserve"> esperpento de la PAC</w:t>
      </w:r>
    </w:p>
    <w:p w:rsidR="007E482E" w:rsidRDefault="007E482E" w:rsidP="007E482E">
      <w:pPr>
        <w:pStyle w:val="NormalWeb"/>
        <w:shd w:val="clear" w:color="auto" w:fill="F7F7F7"/>
        <w:jc w:val="both"/>
        <w:rPr>
          <w:color w:val="000000"/>
        </w:rPr>
      </w:pPr>
      <w:r>
        <w:rPr>
          <w:color w:val="000000"/>
        </w:rPr>
        <w:t>¿Cómo podré explicarle a mis nietos, que han sido “condenados a ser más pobres”, que sus padres, por unos burócratas de Bruselas, que en su “puta vida” han trabajado en el campo, o en una empresa; que nunca han tenido que hacer sacrificios para pagar una nómina, o los seguros sociales, o los impuestos, con los que luego los expolia, la misma entidad que dice defenderlos?</w:t>
      </w:r>
    </w:p>
    <w:p w:rsidR="007E482E" w:rsidRPr="00B333FB" w:rsidRDefault="007E482E" w:rsidP="007E482E">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El daño colateral de la guerra en la cesta de la compra: el precio del trigo y del maíz sube un 43% y un 18%</w:t>
      </w:r>
      <w:r>
        <w:rPr>
          <w:rFonts w:ascii="Times New Roman" w:hAnsi="Times New Roman" w:cs="Times New Roman"/>
          <w:sz w:val="24"/>
          <w:szCs w:val="24"/>
        </w:rPr>
        <w:t>.</w:t>
      </w:r>
    </w:p>
    <w:p w:rsidR="007E482E" w:rsidRDefault="007E482E" w:rsidP="007E482E">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lastRenderedPageBreak/>
        <w:t>España pide a Bruselas usar el 10% de sus tierras de cultivo para plantar el cereal perdido por la guerra en Ucrania</w:t>
      </w:r>
      <w:r>
        <w:rPr>
          <w:rFonts w:ascii="Times New Roman" w:hAnsi="Times New Roman" w:cs="Times New Roman"/>
          <w:sz w:val="24"/>
          <w:szCs w:val="24"/>
        </w:rPr>
        <w:t xml:space="preserve">. </w:t>
      </w:r>
      <w:r w:rsidRPr="00497EDA">
        <w:rPr>
          <w:rFonts w:ascii="Times New Roman" w:hAnsi="Times New Roman" w:cs="Times New Roman"/>
          <w:sz w:val="24"/>
          <w:szCs w:val="24"/>
        </w:rPr>
        <w:t>Reclama que deje de ser obligatorio que haya tierras en barbecho para cobrar la PAC.</w:t>
      </w:r>
    </w:p>
    <w:p w:rsidR="007E482E" w:rsidRPr="00497EDA" w:rsidRDefault="007E482E" w:rsidP="007E482E">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Alerta en la ganadería: los productores de pienso prevén escasez de maíz en un mes por la guerra de Ucrania</w:t>
      </w:r>
      <w:r>
        <w:rPr>
          <w:rFonts w:ascii="Times New Roman" w:hAnsi="Times New Roman" w:cs="Times New Roman"/>
          <w:sz w:val="24"/>
          <w:szCs w:val="24"/>
        </w:rPr>
        <w:t>.</w:t>
      </w:r>
    </w:p>
    <w:p w:rsidR="007E482E" w:rsidRDefault="007E482E" w:rsidP="007E482E">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España podría cultivar en un 10% más de hectáreas si dejara de t</w:t>
      </w:r>
      <w:r>
        <w:rPr>
          <w:rFonts w:ascii="Times New Roman" w:hAnsi="Times New Roman" w:cs="Times New Roman"/>
          <w:sz w:val="24"/>
          <w:szCs w:val="24"/>
        </w:rPr>
        <w:t xml:space="preserve">ener tierras en barbecho. </w:t>
      </w:r>
      <w:r w:rsidRPr="00497EDA">
        <w:rPr>
          <w:rFonts w:ascii="Times New Roman" w:hAnsi="Times New Roman" w:cs="Times New Roman"/>
          <w:sz w:val="24"/>
          <w:szCs w:val="24"/>
        </w:rPr>
        <w:t xml:space="preserve"> </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¿Aceptará </w:t>
      </w:r>
      <w:r w:rsidRPr="00497EDA">
        <w:rPr>
          <w:rFonts w:ascii="Times New Roman" w:hAnsi="Times New Roman" w:cs="Times New Roman"/>
          <w:sz w:val="24"/>
          <w:szCs w:val="24"/>
        </w:rPr>
        <w:t xml:space="preserve">Bruselas que deje de ser obligatorio para los agricultores tener tierras sin cultivar para poder ser beneficiarios de </w:t>
      </w:r>
      <w:r>
        <w:rPr>
          <w:rFonts w:ascii="Times New Roman" w:hAnsi="Times New Roman" w:cs="Times New Roman"/>
          <w:sz w:val="24"/>
          <w:szCs w:val="24"/>
        </w:rPr>
        <w:t>la Política Agraria Común (PAC)?</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¿Cómo podré explicarle a mis nietos que en la moderna, ecológica, sostenible, circular, feminista, global, virtual, resiliente, disruptiva, progresista, democrática, dialogante, consensual, unánime… Unión Europea, los contribuyentes estamos condenados a “pagar</w:t>
      </w:r>
      <w:r w:rsidRPr="00497EDA">
        <w:rPr>
          <w:rFonts w:ascii="Times New Roman" w:hAnsi="Times New Roman" w:cs="Times New Roman"/>
          <w:sz w:val="24"/>
          <w:szCs w:val="24"/>
        </w:rPr>
        <w:t xml:space="preserve"> los plat</w:t>
      </w:r>
      <w:r>
        <w:rPr>
          <w:rFonts w:ascii="Times New Roman" w:hAnsi="Times New Roman" w:cs="Times New Roman"/>
          <w:sz w:val="24"/>
          <w:szCs w:val="24"/>
        </w:rPr>
        <w:t>os rotos sin tener nada que ver”?</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¿Cómo podré explicarle a mis nietos que la Unión Europea renunció, “voluntariamente”, a su “autosuficiencia alimentaria”, a su “soberanía energética” </w:t>
      </w:r>
      <w:r w:rsidRPr="00CB4D0F">
        <w:rPr>
          <w:rFonts w:ascii="Times New Roman" w:hAnsi="Times New Roman" w:cs="Times New Roman"/>
          <w:sz w:val="24"/>
          <w:szCs w:val="24"/>
        </w:rPr>
        <w:t xml:space="preserve"> y </w:t>
      </w:r>
      <w:r>
        <w:rPr>
          <w:rFonts w:ascii="Times New Roman" w:hAnsi="Times New Roman" w:cs="Times New Roman"/>
          <w:sz w:val="24"/>
          <w:szCs w:val="24"/>
        </w:rPr>
        <w:t>su “riqueza industrial”?</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Y luego de haberles “explicado lo inexplicable”, ¿cómo podré convencerles para que sean unos “eurófilos”?</w:t>
      </w:r>
      <w:r w:rsidR="00042ECF">
        <w:rPr>
          <w:rFonts w:ascii="Times New Roman" w:hAnsi="Times New Roman" w:cs="Times New Roman"/>
          <w:sz w:val="24"/>
          <w:szCs w:val="24"/>
        </w:rPr>
        <w:t xml:space="preserve"> ¿ilusionarlos con la “ciudadanía</w:t>
      </w:r>
      <w:r w:rsidR="00F93456">
        <w:rPr>
          <w:rFonts w:ascii="Times New Roman" w:hAnsi="Times New Roman" w:cs="Times New Roman"/>
          <w:sz w:val="24"/>
          <w:szCs w:val="24"/>
        </w:rPr>
        <w:t>” de los Estados Unidos de Europa?</w:t>
      </w:r>
    </w:p>
    <w:p w:rsidR="007E482E" w:rsidRDefault="007E482E" w:rsidP="007E482E">
      <w:pPr>
        <w:spacing w:line="240" w:lineRule="auto"/>
        <w:jc w:val="both"/>
        <w:rPr>
          <w:rFonts w:ascii="Times New Roman" w:hAnsi="Times New Roman" w:cs="Times New Roman"/>
          <w:sz w:val="24"/>
          <w:szCs w:val="24"/>
        </w:rPr>
      </w:pPr>
      <w:r>
        <w:rPr>
          <w:rFonts w:ascii="Times New Roman" w:hAnsi="Times New Roman" w:cs="Times New Roman"/>
          <w:sz w:val="24"/>
          <w:szCs w:val="24"/>
        </w:rPr>
        <w:t>¿Habrá llegado el momento que para ser “eurófilo”, habrá que ser “eurofobo”?</w:t>
      </w:r>
    </w:p>
    <w:p w:rsidR="007E482E" w:rsidRDefault="007E482E" w:rsidP="007E482E">
      <w:pPr>
        <w:pStyle w:val="NormalWeb"/>
        <w:spacing w:after="360"/>
        <w:jc w:val="both"/>
        <w:rPr>
          <w:color w:val="000000"/>
        </w:rPr>
      </w:pPr>
      <w:r>
        <w:rPr>
          <w:rFonts w:eastAsiaTheme="minorHAnsi"/>
          <w:lang w:eastAsia="en-US"/>
        </w:rPr>
        <w:t xml:space="preserve">¿Hasta dónde es socialmente tolerable, </w:t>
      </w:r>
      <w:r>
        <w:rPr>
          <w:color w:val="000000"/>
        </w:rPr>
        <w:t>que t</w:t>
      </w:r>
      <w:r w:rsidRPr="00FA47A6">
        <w:rPr>
          <w:color w:val="000000"/>
        </w:rPr>
        <w:t>rabas burocráticas, reticencias pol</w:t>
      </w:r>
      <w:r>
        <w:rPr>
          <w:color w:val="000000"/>
        </w:rPr>
        <w:t>íticas, y boicots ecologistas, hayan</w:t>
      </w:r>
      <w:r w:rsidRPr="00FA47A6">
        <w:rPr>
          <w:color w:val="000000"/>
        </w:rPr>
        <w:t xml:space="preserve"> hecho prác</w:t>
      </w:r>
      <w:r>
        <w:rPr>
          <w:color w:val="000000"/>
        </w:rPr>
        <w:t>ticamente imposible el progreso económico de la UE?</w:t>
      </w:r>
    </w:p>
    <w:p w:rsidR="007E482E" w:rsidRDefault="007E482E" w:rsidP="007E482E">
      <w:pPr>
        <w:pStyle w:val="NormalWeb"/>
        <w:spacing w:after="360"/>
        <w:jc w:val="both"/>
        <w:rPr>
          <w:color w:val="000000"/>
        </w:rPr>
      </w:pPr>
      <w:r>
        <w:rPr>
          <w:color w:val="000000"/>
        </w:rPr>
        <w:t xml:space="preserve">¿Cuánto tiempo más la sociedad europea tolerará el despropósito de que unos “burócratas” (que nadie ha elegido democráticamente) </w:t>
      </w:r>
      <w:r w:rsidRPr="009937C9">
        <w:rPr>
          <w:color w:val="000000"/>
        </w:rPr>
        <w:t>haya</w:t>
      </w:r>
      <w:r>
        <w:rPr>
          <w:color w:val="000000"/>
        </w:rPr>
        <w:t>n</w:t>
      </w:r>
      <w:r w:rsidRPr="009937C9">
        <w:rPr>
          <w:color w:val="000000"/>
        </w:rPr>
        <w:t xml:space="preserve"> amputado la </w:t>
      </w:r>
      <w:r>
        <w:rPr>
          <w:color w:val="000000"/>
        </w:rPr>
        <w:t>mera posibilidad de que cada ciudadano busque su propio progreso?</w:t>
      </w:r>
    </w:p>
    <w:p w:rsidR="007E482E" w:rsidRDefault="007E482E" w:rsidP="007E482E">
      <w:pPr>
        <w:spacing w:line="240" w:lineRule="auto"/>
        <w:jc w:val="both"/>
        <w:rPr>
          <w:rFonts w:ascii="Times New Roman" w:hAnsi="Times New Roman" w:cs="Times New Roman"/>
          <w:b/>
          <w:sz w:val="24"/>
          <w:szCs w:val="24"/>
        </w:rPr>
      </w:pPr>
      <w:r w:rsidRPr="009844E4">
        <w:rPr>
          <w:rFonts w:ascii="Times New Roman" w:hAnsi="Times New Roman" w:cs="Times New Roman"/>
          <w:b/>
          <w:sz w:val="24"/>
          <w:szCs w:val="24"/>
        </w:rPr>
        <w:t>Una transición</w:t>
      </w:r>
      <w:r>
        <w:rPr>
          <w:rFonts w:ascii="Times New Roman" w:hAnsi="Times New Roman" w:cs="Times New Roman"/>
          <w:b/>
          <w:sz w:val="24"/>
          <w:szCs w:val="24"/>
        </w:rPr>
        <w:t>…</w:t>
      </w:r>
      <w:r w:rsidRPr="009844E4">
        <w:rPr>
          <w:rFonts w:ascii="Times New Roman" w:hAnsi="Times New Roman" w:cs="Times New Roman"/>
          <w:b/>
          <w:sz w:val="24"/>
          <w:szCs w:val="24"/>
        </w:rPr>
        <w:t>“intransitable”</w:t>
      </w:r>
      <w:r>
        <w:rPr>
          <w:rFonts w:ascii="Times New Roman" w:hAnsi="Times New Roman" w:cs="Times New Roman"/>
          <w:b/>
          <w:sz w:val="24"/>
          <w:szCs w:val="24"/>
        </w:rPr>
        <w:t xml:space="preserve"> (la delirante idea de la UE: querer salvar al planeta en solitario, sin la participa</w:t>
      </w:r>
      <w:r w:rsidR="00266C5A">
        <w:rPr>
          <w:rFonts w:ascii="Times New Roman" w:hAnsi="Times New Roman" w:cs="Times New Roman"/>
          <w:b/>
          <w:sz w:val="24"/>
          <w:szCs w:val="24"/>
        </w:rPr>
        <w:t>ción, proporcional y simétrica</w:t>
      </w:r>
      <w:r>
        <w:rPr>
          <w:rFonts w:ascii="Times New Roman" w:hAnsi="Times New Roman" w:cs="Times New Roman"/>
          <w:b/>
          <w:sz w:val="24"/>
          <w:szCs w:val="24"/>
        </w:rPr>
        <w:t xml:space="preserve">, de China y EEUU) </w:t>
      </w:r>
    </w:p>
    <w:p w:rsidR="007E482E" w:rsidRDefault="007E482E" w:rsidP="007E482E">
      <w:pPr>
        <w:spacing w:line="240" w:lineRule="auto"/>
        <w:jc w:val="both"/>
        <w:rPr>
          <w:rFonts w:ascii="Times New Roman" w:hAnsi="Times New Roman" w:cs="Times New Roman"/>
          <w:sz w:val="24"/>
          <w:szCs w:val="24"/>
        </w:rPr>
      </w:pPr>
      <w:r w:rsidRPr="004A105F">
        <w:rPr>
          <w:rFonts w:ascii="Times New Roman" w:hAnsi="Times New Roman" w:cs="Times New Roman"/>
          <w:sz w:val="24"/>
          <w:szCs w:val="24"/>
        </w:rPr>
        <w:t>Mientras caen las bombas</w:t>
      </w:r>
      <w:r>
        <w:rPr>
          <w:rFonts w:ascii="Times New Roman" w:hAnsi="Times New Roman" w:cs="Times New Roman"/>
          <w:sz w:val="24"/>
          <w:szCs w:val="24"/>
        </w:rPr>
        <w:t xml:space="preserve"> rusas</w:t>
      </w:r>
      <w:r w:rsidRPr="004A105F">
        <w:rPr>
          <w:rFonts w:ascii="Times New Roman" w:hAnsi="Times New Roman" w:cs="Times New Roman"/>
          <w:sz w:val="24"/>
          <w:szCs w:val="24"/>
        </w:rPr>
        <w:t xml:space="preserve"> sobre Ucrania, mientras Putin chantajea con el gas a Europa: ¿qué</w:t>
      </w:r>
      <w:r>
        <w:rPr>
          <w:rFonts w:ascii="Times New Roman" w:hAnsi="Times New Roman" w:cs="Times New Roman"/>
          <w:sz w:val="24"/>
          <w:szCs w:val="24"/>
        </w:rPr>
        <w:t xml:space="preserve"> dicen la</w:t>
      </w:r>
      <w:r w:rsidRPr="004A105F">
        <w:rPr>
          <w:rFonts w:ascii="Times New Roman" w:hAnsi="Times New Roman" w:cs="Times New Roman"/>
          <w:sz w:val="24"/>
          <w:szCs w:val="24"/>
        </w:rPr>
        <w:t>s</w:t>
      </w:r>
      <w:r>
        <w:rPr>
          <w:rFonts w:ascii="Times New Roman" w:hAnsi="Times New Roman" w:cs="Times New Roman"/>
          <w:sz w:val="24"/>
          <w:szCs w:val="24"/>
        </w:rPr>
        <w:t xml:space="preserve"> serpientes encantadoras de hombres </w:t>
      </w:r>
      <w:r w:rsidRPr="004A105F">
        <w:rPr>
          <w:rFonts w:ascii="Times New Roman" w:hAnsi="Times New Roman" w:cs="Times New Roman"/>
          <w:sz w:val="24"/>
          <w:szCs w:val="24"/>
        </w:rPr>
        <w:t xml:space="preserve">de Bruselas? Erre que erre con el cumplimiento del </w:t>
      </w:r>
      <w:r>
        <w:rPr>
          <w:rFonts w:ascii="Times New Roman" w:hAnsi="Times New Roman" w:cs="Times New Roman"/>
          <w:sz w:val="24"/>
          <w:szCs w:val="24"/>
        </w:rPr>
        <w:t>“</w:t>
      </w:r>
      <w:r w:rsidR="009C20F1">
        <w:rPr>
          <w:rFonts w:ascii="Times New Roman" w:hAnsi="Times New Roman" w:cs="Times New Roman"/>
          <w:sz w:val="24"/>
          <w:szCs w:val="24"/>
        </w:rPr>
        <w:t>Green Dea</w:t>
      </w:r>
      <w:r w:rsidRPr="004A105F">
        <w:rPr>
          <w:rFonts w:ascii="Times New Roman" w:hAnsi="Times New Roman" w:cs="Times New Roman"/>
          <w:sz w:val="24"/>
          <w:szCs w:val="24"/>
        </w:rPr>
        <w:t>l</w:t>
      </w:r>
      <w:r>
        <w:rPr>
          <w:rFonts w:ascii="Times New Roman" w:hAnsi="Times New Roman" w:cs="Times New Roman"/>
          <w:sz w:val="24"/>
          <w:szCs w:val="24"/>
        </w:rPr>
        <w:t xml:space="preserve">”, y alucinando </w:t>
      </w:r>
      <w:r w:rsidRPr="004A105F">
        <w:rPr>
          <w:rFonts w:ascii="Times New Roman" w:hAnsi="Times New Roman" w:cs="Times New Roman"/>
          <w:sz w:val="24"/>
          <w:szCs w:val="24"/>
        </w:rPr>
        <w:t xml:space="preserve">con los fondos </w:t>
      </w:r>
      <w:r>
        <w:rPr>
          <w:rFonts w:ascii="Times New Roman" w:hAnsi="Times New Roman" w:cs="Times New Roman"/>
          <w:sz w:val="24"/>
          <w:szCs w:val="24"/>
        </w:rPr>
        <w:t>“</w:t>
      </w:r>
      <w:r w:rsidRPr="004A105F">
        <w:rPr>
          <w:rFonts w:ascii="Times New Roman" w:hAnsi="Times New Roman" w:cs="Times New Roman"/>
          <w:sz w:val="24"/>
          <w:szCs w:val="24"/>
        </w:rPr>
        <w:t>Next Generation</w:t>
      </w:r>
      <w:r>
        <w:rPr>
          <w:rFonts w:ascii="Times New Roman" w:hAnsi="Times New Roman" w:cs="Times New Roman"/>
          <w:sz w:val="24"/>
          <w:szCs w:val="24"/>
        </w:rPr>
        <w:t>”</w:t>
      </w:r>
      <w:r w:rsidRPr="004A105F">
        <w:rPr>
          <w:rFonts w:ascii="Times New Roman" w:hAnsi="Times New Roman" w:cs="Times New Roman"/>
          <w:sz w:val="24"/>
          <w:szCs w:val="24"/>
        </w:rPr>
        <w:t xml:space="preserve">. </w:t>
      </w:r>
    </w:p>
    <w:p w:rsidR="00266C5A" w:rsidRPr="00266C5A" w:rsidRDefault="00266C5A" w:rsidP="00266C5A">
      <w:pPr>
        <w:spacing w:line="240" w:lineRule="auto"/>
        <w:jc w:val="both"/>
        <w:rPr>
          <w:rFonts w:ascii="Times New Roman" w:hAnsi="Times New Roman" w:cs="Times New Roman"/>
          <w:sz w:val="24"/>
          <w:szCs w:val="24"/>
          <w:u w:val="single"/>
        </w:rPr>
      </w:pPr>
      <w:r w:rsidRPr="00266C5A">
        <w:rPr>
          <w:rFonts w:ascii="Times New Roman" w:hAnsi="Times New Roman" w:cs="Times New Roman"/>
          <w:sz w:val="24"/>
          <w:szCs w:val="24"/>
          <w:u w:val="single"/>
        </w:rPr>
        <w:t>Parole, parole, parole: el impacto económico en la lucha contra el cambio climático</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UE prevé movilizar cerca de tres billones de euros para cumplir con sus objetivos climáticos en la próxima década, y el 30% de su presupuesto 2021-2028 y de los fondos Next Generation para cumplir con su Green Deal…</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transición energética creará cuatro empleos por cada puesto de trabajo que destruya…</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un entorno político y económico inestable, con continuas perturbaciones macroeconómicas y un conflicto a las puertas de la Unión Europea con la invasión rusa de Ucrania; una crisis energética y una inflación desatada, el desafío para hacer frente al calentamiento de la Tierra es que los objetivos de descarbonización de la economía no se relajen por las circunstancias globales. </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lastRenderedPageBreak/>
        <w:t>Los Acuerdos de París, firmados en 2015, establecen limitar el aumento de la temperatura mundial por debajo de los dos grados centígrados, tomando como referencia los niveles preindustriales, y redoblar esfuerzos para que este incremento no sea superior a 1,5 grados centígrados. Además, la Unión Europea y otros países del resto del mundo se han comprometido a descarbonizar todas sus actividades económicas y ser neutros en emisiones de gases de efecto invernadero (GEI) en 2050. Para conocer los últimos avances en materia de sostenibilidad…</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Para financiar esta transición energética, el Plan Nacional de Adaptación al Cambio Climático (PNACC) 2021-2030 y el Plan Nacional Integrado de Energía y Clima (PNIEC) prevén movilizar 241.000 millones de euros entre 2021 y 2030. De esta cifra, está previsto que el sector privado aporte el 80% de las inversiones totales, mientras que el 20% restante, unos 47.000 millones de euros, serán aportaciones de las distintas administraciones públicas respaldadas, en parte, por los fondos europeos Next Generation.</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promotores destacan “los esfuerzos de la Unión Europea para crear un mercado de capitales integrado y verde”, así como, “la creación del marco para bonos verdes, en un  primer paso para que los tesoros nacionales (de los países miembro) hagan su primera emisión de este tipo de deuda, que pasará a formar parte de uno de los elementos regulares de la política de financiación de la deuda del Estado”.</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Además de la financiación, los promotores señalan las profundas implicaciones y cambios que se producirán en el mercado laboral. La consejera de la Oficina Internacional del Trabajo (OIT) destaca que “en esta transición hacia una economía verde se perderán cerca de seis millones de empleos, pero se crearán unos 24 millones de puestos de trabajo por la reconversión de sectores económicos. El número de empleos asociados a la economía verde crecerá desde los 10 millones que se estima había en 2010 hasta 30 millones de puestos de trabajo en 2030”.</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2030 y en 2050, seremos más digitales y más sostenibles. El mercado europeo está perdiendo el terreno de la transformación digital frente a los gigantes tecnológicos de Estados Unidos y China. La única ventaja competitiva de Europa es la economía verde, con el Green Deal de la UE y el apoyo de los fondos Next Generation, que suponen una gran oportunidad para reindustrializar Europa y promover un nuevo modelo de </w:t>
      </w:r>
      <w:r>
        <w:rPr>
          <w:rFonts w:ascii="Times New Roman" w:hAnsi="Times New Roman" w:cs="Times New Roman"/>
          <w:sz w:val="24"/>
          <w:szCs w:val="24"/>
        </w:rPr>
        <w:t>desarrollo”, dicen los agentes.</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“Nadie nos ha enseñado a vivir en una economía descarbonizada, y nos estamos enfrentando a este desafío ahora. Este salto podría suponer entre un 4-5% del PIB, pero la inacción de no hacer nada se calcula que nos c</w:t>
      </w:r>
      <w:r>
        <w:rPr>
          <w:rFonts w:ascii="Times New Roman" w:hAnsi="Times New Roman" w:cs="Times New Roman"/>
          <w:sz w:val="24"/>
          <w:szCs w:val="24"/>
        </w:rPr>
        <w:t>ostará el 20% del PIB”, añaden.</w:t>
      </w:r>
      <w:r w:rsidRPr="00266C5A">
        <w:rPr>
          <w:rFonts w:ascii="Times New Roman" w:hAnsi="Times New Roman" w:cs="Times New Roman"/>
          <w:sz w:val="24"/>
          <w:szCs w:val="24"/>
        </w:rPr>
        <w:t xml:space="preserve"> </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 En la jerga económica, este coste para reducir las emisiones de gases contaminantes se conoce como “green inflation”, o la presión sobre el índice de los precios derivada de la transición hacia una economía verde. Frente a este término económico, los promotores piden poner el foco de atención en otro mucho menos extendido: “climate inflation”. “Los riesgos asociados a continuar con una economía dependiente de las industrias fósiles son mucho peores de lo que tenemos (incremento de los precios por los desastres naturales, la escasez de agua, las inundaciones, incendios, etcétera)”, explican.</w:t>
      </w:r>
    </w:p>
    <w:p w:rsidR="00266C5A" w:rsidRPr="00266C5A" w:rsidRDefault="00266C5A" w:rsidP="00266C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66C5A">
        <w:rPr>
          <w:rFonts w:ascii="Times New Roman" w:hAnsi="Times New Roman" w:cs="Times New Roman"/>
          <w:sz w:val="24"/>
          <w:szCs w:val="24"/>
        </w:rPr>
        <w:t xml:space="preserve">El impacto que tiene una sequía sobre el precio y el suministro de los alimentos; los cambios en la estacionalidad de la siembra y recogida de las cosechas por el calentamiento de la tierra, o la subida del nivel del mar, que afectará a las zonas más turísticas del litoral, fueron algunos de los ejemplos de “climate inflation” descritos. “Entre los sectores económicos más perjudicados por esta transición energética están la industria, la energía y el transporte, y los </w:t>
      </w:r>
      <w:r w:rsidRPr="00266C5A">
        <w:rPr>
          <w:rFonts w:ascii="Times New Roman" w:hAnsi="Times New Roman" w:cs="Times New Roman"/>
          <w:sz w:val="24"/>
          <w:szCs w:val="24"/>
        </w:rPr>
        <w:lastRenderedPageBreak/>
        <w:t>más beneficiados serán la industria, la energía y el transporte. Son estos sectores los que, principalmente, se tienen que transformar”, añaden.</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movilización de recursos en toda la Unión Europea será de tres billones de euros, explicó la directora de Crecimiento Financiero de la Federación Bancaria Europea. “Para lograr sus objetivos de descarbonización, la UE invertirá cerca del 30% de su presupuesto 2021-2028 y de los Fondos Next Generation en el Green Deal europeo”, dijo.</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Además del Reglamento de Divulgación de Finanzas Sostenibles (SFDR) aprobado en marzo de 2021 por la UE, el sector financiero contará con los criterios establecidos por la taxonomía verde, con la que la Comisión Europea espera hacer más claras y transparentes la inversión y la financiación en determinadas actividades consideradas como sostenibles, como las que ayudan a reducir el cambio climático, su mitigación y adaptación; economía circular; la protección de los recursos marinos e hídricos, y la biodiversidad y el control de la contaminación.</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“La taxonomía establece tres tipos de inversión verde: los activos que contribuyen directamente a reducir los objetivos de emisión -como un parque eólico o solar-; financiar sectores o actividades asociadas a la transición ecológica, como sistemas de almacenamiento de electricidad o de hidrógeno, y tercero, aquellas actividades que no son completamente sostenibles, pero que contribuyen a reducir un nivel de emisiones fijado para el sector, como una cementera con mejoras en sus procesos o las plantas de ciclo combinado de gas o energía nuclear que cumplan con unos requisitos”, explicó la directora de Crecimiento Financiero de la Federación Bancaria Europea. </w:t>
      </w:r>
    </w:p>
    <w:p w:rsidR="00266C5A" w:rsidRPr="00266C5A" w:rsidRDefault="00266C5A" w:rsidP="00266C5A">
      <w:pPr>
        <w:spacing w:line="240" w:lineRule="auto"/>
        <w:jc w:val="both"/>
        <w:rPr>
          <w:rFonts w:ascii="Times New Roman" w:hAnsi="Times New Roman" w:cs="Times New Roman"/>
          <w:b/>
          <w:sz w:val="24"/>
          <w:szCs w:val="24"/>
        </w:rPr>
      </w:pPr>
      <w:r w:rsidRPr="00266C5A">
        <w:rPr>
          <w:rFonts w:ascii="Times New Roman" w:hAnsi="Times New Roman" w:cs="Times New Roman"/>
          <w:b/>
          <w:sz w:val="24"/>
          <w:szCs w:val="24"/>
        </w:rPr>
        <w:t xml:space="preserve">Tarde, mal y nunca: la Comisión Europea resuelve apoyar a los agricultores afectados por la guerra en Ucrania </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(Fuente: El Español - </w:t>
      </w:r>
      <w:r w:rsidRPr="00266C5A">
        <w:rPr>
          <w:rFonts w:ascii="Times New Roman" w:hAnsi="Times New Roman" w:cs="Times New Roman"/>
          <w:b/>
          <w:sz w:val="24"/>
          <w:szCs w:val="24"/>
        </w:rPr>
        <w:t>23/3/22</w:t>
      </w:r>
      <w:r w:rsidRPr="00266C5A">
        <w:rPr>
          <w:rFonts w:ascii="Times New Roman" w:hAnsi="Times New Roman" w:cs="Times New Roman"/>
          <w:sz w:val="24"/>
          <w:szCs w:val="24"/>
        </w:rPr>
        <w:t>)</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La Comisión Europea ha aprobado el 22/3/22 un plan de acción en materia de seguridad alimentaria cuyo objetivo es amortiguar el impacto de la guerra de Rusia contra Ucrania. Los dos países suman el 30% de las exportaciones mundiales de trigo y tienen además una cuota de mercado elevada en cebada, maíz y aceite de girasol, pero las cosechas están en riesgo por el conflicto. </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plan de Bruselas pretende además ayudar a los agricultores más afectados por la guerra a hacer frente al aumento de costes de producción, como la energía o los fertilizantes. También recoge un catálogo de medidas que pueden utilizar los Estados miembro para minimizar el impacto en los consumidores de la subida de los precios de los alimentos.</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En este apartado, la Comisión recuerda que los Gobiernos pueden reducir a cero el IVA para los alimentos. Los Estados miembro pueden además recurrir a programas europeos como el Fondo de Ayuda para los Más Desfavorecidos (FEAD), que apoya a los bancos de alimentos en toda la UE.</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Ejecutivo comunitario sostiene que no existe una amenaza para la seguridad alimentaria en la Unión Europa, ya que la UE es un gran productor y un exportador neto de cereales. El impacto inmediato radica más bien en el aumento de costes en toda la cadena del sector alimentario, la interrupción de los flujos comerciales desde y hacia Ucrania y Rusia y los posibles problemas de suministro en el Norte de África y Oriente Próximo.</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lastRenderedPageBreak/>
        <w:t>La principal medida que plantea la Comisión es activar un fondo anticrisis europeo con una dotación total de 500 millones de euros. Este mecanismo permitirá compensar directamente a los agricultores más golpeados por el aumento de los costes de producción y el cierre de mercados de exportación.</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España es el segundo país de la UE más beneficiado por este fondo anticrisis, ya que recibirá 64,5 millones de euros, según el reparto anunciado por Bruselas. Francia ocupa la primera posición con 89 millones, mientras que Alemania recibirá 60 millones, a Italia le corresponden 48 millones y Polonia tendrá 44 millones.</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Estados miembros podrán complementar esta ayuda europea hasta un 200% con fondos nacionales. Eso significa que la ayuda máxima para los agricultores en el caso de España podría llegar hasta 193,5 millones de euros.</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paralelo, Bruselas ha aprobado un nuevo régimen extraordinario de ayudas públicas para hacer frente al impacto de la guerra en Ucrania. Un plan que autoriza subvenciones nacionales de hasta 35.000 euros para las </w:t>
      </w:r>
      <w:r w:rsidR="006100FA">
        <w:rPr>
          <w:rFonts w:ascii="Times New Roman" w:hAnsi="Times New Roman" w:cs="Times New Roman"/>
          <w:sz w:val="24"/>
          <w:szCs w:val="24"/>
        </w:rPr>
        <w:t xml:space="preserve">empresas agrícolas y pesqueras. </w:t>
      </w:r>
      <w:r w:rsidRPr="00266C5A">
        <w:rPr>
          <w:rFonts w:ascii="Times New Roman" w:hAnsi="Times New Roman" w:cs="Times New Roman"/>
          <w:sz w:val="24"/>
          <w:szCs w:val="24"/>
        </w:rPr>
        <w:t>Además, para afrontar las dificultades de liquidez de agricultores y ganaderos, los Estados miembros podrán adelantar los pagos directos previstos en el marco de la Política Agrícola Común (PAC). La UE subvencionará el almacenamiento privado para la carne de porcino, un sector que también está atravesando una situación difícil en el conjunto de los Estados miembro.</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Tal y como había reclamado España, Bruselas flexibilizará de forma temporal los requisitos para la importación de alimentos para animales, con el fin de contribuir a aliviar la presión sobre el mercado de piensos.</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Finalmente, el plan prevé una excepción exclusiva y temporal, que se activará con efecto inmediato, para permitir la producción de cualquier cultivo para alimentos y piensos en tierras en barbecho. El objetivo de esta medida es ampliar la capacidad de producción de la UE a pesar de la limitada disponibilidad de tierra fértil.</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agricultores que opten por utilizar las tierras en barbecho no verán disminuidos los pagos de la UE por prácticas ecológicas. En el caso de España, Bruselas cree que las lluvias de los últimos días todavía dejan margen para cultivar más girasoles y arroz.</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PAC obliga a dejar un 5% de la tierra en barbecho, si bien en España se declararon el año pasado en barbecho un 10% de las superficies, 2,2 millones de hectáreas, de las 21,5 millones de hectáreas totales declaradas.</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campo español ha acogido de buen agrado la decisión del Consejo de Ministros de la Unión Europea de flexibilizar los requisitos de la Política Agraria Común (PAC) para que se permita el cultivo de cereales y oleaginosas como el girasol en las hectáreas que obligatoriamente debían estar en barbecho.</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Esta medida se adoptará para garantizar el abastecimiento de Europa de cereales y semillas que escasean tras la guerra en el país que hasta ahora se consideraba el granero de Europa. Rusia es el primer productor mundial de trigo y Ucrania el cuarto. En el caso del país invadido, también era uno de los principales exportadores de girasol, harina y aceite de girasol y, en concreto, era el segundo país desde el que España importaba maíz, una de las principales materias primas para la alimentación del ganado. </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La guerra en Ucrania hace temblar el bolsillo del consumidor. La tonelada de girasol cuesta un 25% más (24/3/22) que en esta misma fecha hace un año. El precio medio de salida de </w:t>
      </w:r>
      <w:r w:rsidRPr="00266C5A">
        <w:rPr>
          <w:rFonts w:ascii="Times New Roman" w:hAnsi="Times New Roman" w:cs="Times New Roman"/>
          <w:sz w:val="24"/>
          <w:szCs w:val="24"/>
        </w:rPr>
        <w:lastRenderedPageBreak/>
        <w:t>almacén de una tonelada es de 151 euros más, pasando de una media de 454 euros por tonelada a 605 euros, según la información consultada en el Observatorio de Precios de la Junta de Andalucía (España).</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En el caso del trigo y el maíz, sus futuros cotizan un 43,5% y un 27,6% más caros (24/3/22) que el año pasado en esta fecha, según la tabla de comportamiento de las materias primas. En comparación con el precio que tenía un día antes de la guerra, es decir, justo hace un mes, el maíz se ha encarecido un 8,9% y el trigo lo ha hecho en un 19,4%.</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tendencia en la última semana también es alcista: el coste del trigo se ha encarecido un 3,75%, y el del maíz, un 3,47%. Estas subidas son menores que las registradas en la primera semana de guerra, cuando el precio del trigo se disparó un 43,4% y el maíz hizo lo propio en un 18,3%.</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Otro factor a tener en cuenta es la escasez de agua. Favorecerá que se cambien algunos cultivos como el maíz por el girasol, que precisa de menor dotación de agua para su crecimiento. </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Andalucía, Castilla y León y Castilla-La Mancha son las tres comunidades españolas en las que se cultiva mayor superficie de girasol y, por tanto, en las que más agricultores se sumarán a emplear las hectáreas de barbecho para este cultivo. Por mucha voluntad que haya, no todas las tierras son aptas para sembrar el cultivo.</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En algunos casos puntuales, incluso se cambiarán hortalizas como el pimiento o el tomate por girasol, indican. “También puede que ser reduzca la superficie de hortalizas y se amplíe la parte destinada a girasol”, apunta el encargado de internacional en Asaja, Ignacio López.</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“Muchas hectáreas que no se puedan sembrar de arroz o de algodón por falta de agua se pondrán con girasol. Necesitan siete u ocho veces más agua que el girasol”, aseguran.</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Hace unas semanas, la Confederación Hidrográfica del Guadalquivir (CHG) comunicó que su previsión era que los agricultores contasen con una dotación máxima de 1.000 metros cúbicos por hectárea en el peor de los escenarios. Esta previsión es muy inferior a la dotación máxima de 6.000 metros cúbicos por hectárea a la que se puede optar en años de bonanza hídrica.</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Este cambio de percepción se produce desde que el Consejo de Ministros de la UE dio luz verde el 21/3/22 a que se pudieran emplear estas hectáreas para cultivos de cereales y oleaginosas (girasol, colza y soja, entre otros) para aumentar el abastecimiento.</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PAC hasta ahora ha obligado a los agricultores a dejar un 5% en barbecho para garantizar la fertilidad de la tierra. España cuenta con 2,2 millones de hectáreas sin cultivar, casi un 10% de las declaradas como tierras de cultivo.</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Aún no se ha concretado qué cultivos. Sin embargo, “hay pocos que se puedan poner ya por la fecha en la que nos encontramos. Es tarde para el trigo, las habas, los guisantes o los garbanzos, pero no para el girasol”, precisa Pedro Gallardo, presidente sectorial de Cereales, Oleaginosas y Pro</w:t>
      </w:r>
      <w:r w:rsidR="006100FA">
        <w:rPr>
          <w:rFonts w:ascii="Times New Roman" w:hAnsi="Times New Roman" w:cs="Times New Roman"/>
          <w:sz w:val="24"/>
          <w:szCs w:val="24"/>
        </w:rPr>
        <w:t>teaginosas dentro de COPA-COGECA</w:t>
      </w:r>
      <w:r w:rsidRPr="00266C5A">
        <w:rPr>
          <w:rFonts w:ascii="Times New Roman" w:hAnsi="Times New Roman" w:cs="Times New Roman"/>
          <w:sz w:val="24"/>
          <w:szCs w:val="24"/>
        </w:rPr>
        <w:t>, la plataforma europea que une a las asociaciones agrarias y a las cooperativas.</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Esta posibilidad de cultivar las hectáreas dedicadas al barbecho ha sido una medida “muy demandada por España” y consistirá en que, en la presente campaña, los barbechos puedan ser cultivados, cosechados o destinados a pastoreo, según han explicado desde el Ministerio de Agricultura.</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lastRenderedPageBreak/>
        <w:t>Desde el Ministerio de Agricultura consideran que son varias las circunstancias que invitan a pensar que se sembrará mayor superficie de girasol. En primer lugar, los altos precios en el mercado, seguido del “déficit existente para poder compensar la producción de aceite de girasol que se importaba de Ucrania”.</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También añaden como argumento a favor de su siembra la disponibilidad de semilla y la suficiente capacidad de la industria molturadora (la que muele granos o frutos). No obstante, en el Ministerio precisan que, en cualquier caso, la decisión de qué sembrar corresponde a los agricultores.</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incentivo con el que contarán los agricultores para la siembra serán los precios. “Creemos que mayoritariamente se cultivará, el precio es muy in</w:t>
      </w:r>
      <w:r w:rsidR="009C20F1">
        <w:rPr>
          <w:rFonts w:ascii="Times New Roman" w:hAnsi="Times New Roman" w:cs="Times New Roman"/>
          <w:sz w:val="24"/>
          <w:szCs w:val="24"/>
        </w:rPr>
        <w:t>teresante”, aseguran desde ASAJA</w:t>
      </w:r>
      <w:r w:rsidRPr="00266C5A">
        <w:rPr>
          <w:rFonts w:ascii="Times New Roman" w:hAnsi="Times New Roman" w:cs="Times New Roman"/>
          <w:sz w:val="24"/>
          <w:szCs w:val="24"/>
        </w:rPr>
        <w:t>.</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“Aún el Ministerio tiene que sacar una normativa al respecto”, pero el sector está “esperanzado” con que se pueda cultivar toda la superficie útil: “con las cosas del comer no se juega”. Así se expresa el presidente del grupo de trabajo de cerea</w:t>
      </w:r>
      <w:r w:rsidR="006100FA">
        <w:rPr>
          <w:rFonts w:ascii="Times New Roman" w:hAnsi="Times New Roman" w:cs="Times New Roman"/>
          <w:sz w:val="24"/>
          <w:szCs w:val="24"/>
        </w:rPr>
        <w:t>les y oleaginosas de COPA-COGECA</w:t>
      </w:r>
      <w:r w:rsidRPr="00266C5A">
        <w:rPr>
          <w:rFonts w:ascii="Times New Roman" w:hAnsi="Times New Roman" w:cs="Times New Roman"/>
          <w:sz w:val="24"/>
          <w:szCs w:val="24"/>
        </w:rPr>
        <w:t xml:space="preserve">. </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España importó el año 2021, 606.000 toneladas de litros de aceite de girasol y produjo 507.000 toneladas. En cuanto a las semillas de este producto, produjo 878.000 toneladas de semilla de girasol e importó 228.000 toneladas en 2020, según datos de la Federación Europea de Aceites y Oleaginosas (Fediol). </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Sobre las hectáreas para cultivo en Europa, los últimos datos disponibles, que incluyen a Reino Unido porque aún no habían tenido lugar el Brexit, indican que en la UE se cultivaban 173 millones de hectáreas. Tres cuartas partes de ellas se ubicaban en solo siete países. </w:t>
      </w:r>
    </w:p>
    <w:p w:rsidR="00266C5A" w:rsidRPr="00266C5A" w:rsidRDefault="00266C5A" w:rsidP="00266C5A">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país con mayor superficie dedicada a estos fines en 2016 era Francia, con 27,8 millones de hectáreas agrícolas, seguida por España con 23,2 millones. Más lejos se encontraban Reino Unido y Alemania, con 16,7 millones de hectáreas cada una. Los siguientes países que aportaban más hectáreas eran Polonia (con 14,4 millones); Italia (con 12,6 millones) y Rumanía (con 12,5 millones).</w:t>
      </w:r>
    </w:p>
    <w:p w:rsidR="00474C90" w:rsidRPr="00042ECF" w:rsidRDefault="0096224B" w:rsidP="007E482E">
      <w:pPr>
        <w:spacing w:after="360" w:line="240" w:lineRule="auto"/>
        <w:jc w:val="both"/>
        <w:rPr>
          <w:rFonts w:ascii="Times New Roman" w:eastAsia="Times New Roman" w:hAnsi="Times New Roman" w:cs="Times New Roman"/>
          <w:b/>
          <w:sz w:val="24"/>
          <w:szCs w:val="24"/>
          <w:lang w:eastAsia="es-ES"/>
        </w:rPr>
      </w:pPr>
      <w:r w:rsidRPr="00042ECF">
        <w:rPr>
          <w:rFonts w:ascii="Times New Roman" w:eastAsia="Times New Roman" w:hAnsi="Times New Roman" w:cs="Times New Roman"/>
          <w:b/>
          <w:sz w:val="24"/>
          <w:szCs w:val="24"/>
          <w:lang w:eastAsia="es-ES"/>
        </w:rPr>
        <w:t>Nota (</w:t>
      </w:r>
      <w:r w:rsidR="00474C90" w:rsidRPr="00042ECF">
        <w:rPr>
          <w:rFonts w:ascii="Times New Roman" w:eastAsia="Times New Roman" w:hAnsi="Times New Roman" w:cs="Times New Roman"/>
          <w:b/>
          <w:sz w:val="24"/>
          <w:szCs w:val="24"/>
          <w:lang w:eastAsia="es-ES"/>
        </w:rPr>
        <w:t>un dato</w:t>
      </w:r>
      <w:r w:rsidR="00F93456" w:rsidRPr="00042ECF">
        <w:rPr>
          <w:rFonts w:ascii="Times New Roman" w:eastAsia="Times New Roman" w:hAnsi="Times New Roman" w:cs="Times New Roman"/>
          <w:b/>
          <w:sz w:val="24"/>
          <w:szCs w:val="24"/>
          <w:lang w:eastAsia="es-ES"/>
        </w:rPr>
        <w:t xml:space="preserve"> de “last minute”</w:t>
      </w:r>
      <w:r w:rsidRPr="00042ECF">
        <w:rPr>
          <w:rFonts w:ascii="Times New Roman" w:eastAsia="Times New Roman" w:hAnsi="Times New Roman" w:cs="Times New Roman"/>
          <w:b/>
          <w:sz w:val="24"/>
          <w:szCs w:val="24"/>
          <w:lang w:eastAsia="es-ES"/>
        </w:rPr>
        <w:t xml:space="preserve">): </w:t>
      </w:r>
      <w:r w:rsidR="00474C90" w:rsidRPr="00042ECF">
        <w:rPr>
          <w:rFonts w:ascii="Times New Roman" w:eastAsia="Times New Roman" w:hAnsi="Times New Roman" w:cs="Times New Roman"/>
          <w:b/>
          <w:sz w:val="24"/>
          <w:szCs w:val="24"/>
          <w:lang w:eastAsia="es-ES"/>
        </w:rPr>
        <w:t>Cada sábado, mientras hago “marcha rápida” en la madrugada (hasta hace un año</w:t>
      </w:r>
      <w:r w:rsidRPr="00042ECF">
        <w:rPr>
          <w:rFonts w:ascii="Times New Roman" w:eastAsia="Times New Roman" w:hAnsi="Times New Roman" w:cs="Times New Roman"/>
          <w:b/>
          <w:sz w:val="24"/>
          <w:szCs w:val="24"/>
          <w:lang w:eastAsia="es-ES"/>
        </w:rPr>
        <w:t xml:space="preserve"> todavía</w:t>
      </w:r>
      <w:r w:rsidR="00474C90" w:rsidRPr="00042ECF">
        <w:rPr>
          <w:rFonts w:ascii="Times New Roman" w:eastAsia="Times New Roman" w:hAnsi="Times New Roman" w:cs="Times New Roman"/>
          <w:b/>
          <w:sz w:val="24"/>
          <w:szCs w:val="24"/>
          <w:lang w:eastAsia="es-ES"/>
        </w:rPr>
        <w:t xml:space="preserve"> corría, pero cumplidos los 77 años, ya solo puedo ser un corredor de fondo venido a menos), escucho por esRadio (a las 6</w:t>
      </w:r>
      <w:r w:rsidRPr="00042ECF">
        <w:rPr>
          <w:rFonts w:ascii="Times New Roman" w:eastAsia="Times New Roman" w:hAnsi="Times New Roman" w:cs="Times New Roman"/>
          <w:b/>
          <w:sz w:val="24"/>
          <w:szCs w:val="24"/>
          <w:lang w:eastAsia="es-ES"/>
        </w:rPr>
        <w:t xml:space="preserve"> de la mañana, </w:t>
      </w:r>
      <w:r w:rsidR="00474C90" w:rsidRPr="00042ECF">
        <w:rPr>
          <w:rFonts w:ascii="Times New Roman" w:eastAsia="Times New Roman" w:hAnsi="Times New Roman" w:cs="Times New Roman"/>
          <w:b/>
          <w:sz w:val="24"/>
          <w:szCs w:val="24"/>
          <w:lang w:eastAsia="es-ES"/>
        </w:rPr>
        <w:t>hora de Canarias)</w:t>
      </w:r>
      <w:r w:rsidRPr="00042ECF">
        <w:rPr>
          <w:rFonts w:ascii="Times New Roman" w:eastAsia="Times New Roman" w:hAnsi="Times New Roman" w:cs="Times New Roman"/>
          <w:b/>
          <w:sz w:val="24"/>
          <w:szCs w:val="24"/>
          <w:lang w:eastAsia="es-ES"/>
        </w:rPr>
        <w:t>:</w:t>
      </w:r>
      <w:r w:rsidR="00474C90" w:rsidRPr="00042ECF">
        <w:rPr>
          <w:rFonts w:ascii="Times New Roman" w:eastAsia="Times New Roman" w:hAnsi="Times New Roman" w:cs="Times New Roman"/>
          <w:b/>
          <w:sz w:val="24"/>
          <w:szCs w:val="24"/>
          <w:lang w:eastAsia="es-ES"/>
        </w:rPr>
        <w:t xml:space="preserve"> “En Clave Rural”, un programa, dirigido y presentado por María Santos, que ofrece información y análisis desde todos los puntos de vista y con la voz de todos los agentes implicados en el complejo proceso de producción, transformación, comercialización y distribución de productos agrícolas, ganaderos, pesqueros, alimentarios</w:t>
      </w:r>
      <w:r w:rsidRPr="00042ECF">
        <w:rPr>
          <w:rFonts w:ascii="Times New Roman" w:eastAsia="Times New Roman" w:hAnsi="Times New Roman" w:cs="Times New Roman"/>
          <w:b/>
          <w:sz w:val="24"/>
          <w:szCs w:val="24"/>
          <w:lang w:eastAsia="es-ES"/>
        </w:rPr>
        <w:t xml:space="preserve"> de España</w:t>
      </w:r>
      <w:r w:rsidR="00474C90" w:rsidRPr="00042ECF">
        <w:rPr>
          <w:rFonts w:ascii="Times New Roman" w:eastAsia="Times New Roman" w:hAnsi="Times New Roman" w:cs="Times New Roman"/>
          <w:b/>
          <w:sz w:val="24"/>
          <w:szCs w:val="24"/>
          <w:lang w:eastAsia="es-ES"/>
        </w:rPr>
        <w:t xml:space="preserve">… </w:t>
      </w:r>
    </w:p>
    <w:p w:rsidR="0096224B" w:rsidRPr="00042ECF" w:rsidRDefault="0096224B" w:rsidP="007E482E">
      <w:pPr>
        <w:spacing w:after="360" w:line="240" w:lineRule="auto"/>
        <w:jc w:val="both"/>
        <w:rPr>
          <w:rFonts w:ascii="Times New Roman" w:eastAsia="Times New Roman" w:hAnsi="Times New Roman" w:cs="Times New Roman"/>
          <w:b/>
          <w:sz w:val="24"/>
          <w:szCs w:val="24"/>
          <w:lang w:eastAsia="es-ES"/>
        </w:rPr>
      </w:pPr>
      <w:r w:rsidRPr="00042ECF">
        <w:rPr>
          <w:rFonts w:ascii="Times New Roman" w:eastAsia="Times New Roman" w:hAnsi="Times New Roman" w:cs="Times New Roman"/>
          <w:b/>
          <w:sz w:val="24"/>
          <w:szCs w:val="24"/>
          <w:lang w:eastAsia="es-ES"/>
        </w:rPr>
        <w:t>El día 26/3/22, en un reportaje</w:t>
      </w:r>
      <w:r w:rsidR="00042ECF">
        <w:rPr>
          <w:rFonts w:ascii="Times New Roman" w:eastAsia="Times New Roman" w:hAnsi="Times New Roman" w:cs="Times New Roman"/>
          <w:b/>
          <w:sz w:val="24"/>
          <w:szCs w:val="24"/>
          <w:lang w:eastAsia="es-ES"/>
        </w:rPr>
        <w:t xml:space="preserve"> que le hicieron</w:t>
      </w:r>
      <w:r w:rsidRPr="00042ECF">
        <w:rPr>
          <w:rFonts w:ascii="Times New Roman" w:eastAsia="Times New Roman" w:hAnsi="Times New Roman" w:cs="Times New Roman"/>
          <w:b/>
          <w:sz w:val="24"/>
          <w:szCs w:val="24"/>
          <w:lang w:eastAsia="es-ES"/>
        </w:rPr>
        <w:t xml:space="preserve"> a un representante gremial de los agricultores, me enteré que de la semilla para siembra de girasol producida en España, el 70% se exporta, siendo dos de los principales destinos Ucrania y Rusia. </w:t>
      </w:r>
      <w:r w:rsidR="006100FA" w:rsidRPr="00042ECF">
        <w:rPr>
          <w:rFonts w:ascii="Times New Roman" w:eastAsia="Times New Roman" w:hAnsi="Times New Roman" w:cs="Times New Roman"/>
          <w:b/>
          <w:sz w:val="24"/>
          <w:szCs w:val="24"/>
          <w:lang w:eastAsia="es-ES"/>
        </w:rPr>
        <w:t>Un caso surrealista (disparatado</w:t>
      </w:r>
      <w:r w:rsidRPr="00042ECF">
        <w:rPr>
          <w:rFonts w:ascii="Times New Roman" w:eastAsia="Times New Roman" w:hAnsi="Times New Roman" w:cs="Times New Roman"/>
          <w:b/>
          <w:sz w:val="24"/>
          <w:szCs w:val="24"/>
          <w:lang w:eastAsia="es-ES"/>
        </w:rPr>
        <w:t xml:space="preserve">) de “deslocalización” agrícola. </w:t>
      </w:r>
      <w:r w:rsidR="006100FA" w:rsidRPr="00042ECF">
        <w:rPr>
          <w:rFonts w:ascii="Times New Roman" w:eastAsia="Times New Roman" w:hAnsi="Times New Roman" w:cs="Times New Roman"/>
          <w:b/>
          <w:sz w:val="24"/>
          <w:szCs w:val="24"/>
          <w:lang w:eastAsia="es-ES"/>
        </w:rPr>
        <w:t>¡</w:t>
      </w:r>
      <w:r w:rsidRPr="00042ECF">
        <w:rPr>
          <w:rFonts w:ascii="Times New Roman" w:eastAsia="Times New Roman" w:hAnsi="Times New Roman" w:cs="Times New Roman"/>
          <w:b/>
          <w:sz w:val="24"/>
          <w:szCs w:val="24"/>
          <w:lang w:eastAsia="es-ES"/>
        </w:rPr>
        <w:t>Viva la PAC</w:t>
      </w:r>
      <w:r w:rsidR="006100FA" w:rsidRPr="00042ECF">
        <w:rPr>
          <w:rFonts w:ascii="Times New Roman" w:eastAsia="Times New Roman" w:hAnsi="Times New Roman" w:cs="Times New Roman"/>
          <w:b/>
          <w:sz w:val="24"/>
          <w:szCs w:val="24"/>
          <w:lang w:eastAsia="es-ES"/>
        </w:rPr>
        <w:t>, el Green Deal</w:t>
      </w:r>
      <w:r w:rsidR="00AB107E">
        <w:rPr>
          <w:rFonts w:ascii="Times New Roman" w:eastAsia="Times New Roman" w:hAnsi="Times New Roman" w:cs="Times New Roman"/>
          <w:b/>
          <w:sz w:val="24"/>
          <w:szCs w:val="24"/>
          <w:lang w:eastAsia="es-ES"/>
        </w:rPr>
        <w:t>, el ecologismo radical, la estrategia de la granja a la mesa, el barbecho, el greening, el</w:t>
      </w:r>
      <w:r w:rsidR="009C20F1">
        <w:rPr>
          <w:rFonts w:ascii="Times New Roman" w:eastAsia="Times New Roman" w:hAnsi="Times New Roman" w:cs="Times New Roman"/>
          <w:b/>
          <w:sz w:val="24"/>
          <w:szCs w:val="24"/>
          <w:lang w:eastAsia="es-ES"/>
        </w:rPr>
        <w:t xml:space="preserve"> animalismo, y la madre que parió, a los “pollinos” </w:t>
      </w:r>
      <w:r w:rsidR="00AB107E">
        <w:rPr>
          <w:rFonts w:ascii="Times New Roman" w:eastAsia="Times New Roman" w:hAnsi="Times New Roman" w:cs="Times New Roman"/>
          <w:b/>
          <w:sz w:val="24"/>
          <w:szCs w:val="24"/>
          <w:lang w:eastAsia="es-ES"/>
        </w:rPr>
        <w:t>de</w:t>
      </w:r>
      <w:r w:rsidR="009C20F1">
        <w:rPr>
          <w:rFonts w:ascii="Times New Roman" w:eastAsia="Times New Roman" w:hAnsi="Times New Roman" w:cs="Times New Roman"/>
          <w:b/>
          <w:sz w:val="24"/>
          <w:szCs w:val="24"/>
          <w:lang w:eastAsia="es-ES"/>
        </w:rPr>
        <w:t>l Gólem burocrático de</w:t>
      </w:r>
      <w:r w:rsidR="00AB107E">
        <w:rPr>
          <w:rFonts w:ascii="Times New Roman" w:eastAsia="Times New Roman" w:hAnsi="Times New Roman" w:cs="Times New Roman"/>
          <w:b/>
          <w:sz w:val="24"/>
          <w:szCs w:val="24"/>
          <w:lang w:eastAsia="es-ES"/>
        </w:rPr>
        <w:t xml:space="preserve"> Bruselas!</w:t>
      </w:r>
    </w:p>
    <w:p w:rsidR="00AB107E" w:rsidRDefault="00AB107E" w:rsidP="007E482E">
      <w:pPr>
        <w:spacing w:after="360" w:line="240" w:lineRule="auto"/>
        <w:jc w:val="both"/>
        <w:rPr>
          <w:rFonts w:ascii="Times New Roman" w:eastAsia="Times New Roman" w:hAnsi="Times New Roman" w:cs="Times New Roman"/>
          <w:b/>
          <w:color w:val="FF0000"/>
          <w:sz w:val="24"/>
          <w:szCs w:val="24"/>
          <w:lang w:eastAsia="es-ES"/>
        </w:rPr>
      </w:pPr>
    </w:p>
    <w:p w:rsidR="007E482E" w:rsidRDefault="007E482E" w:rsidP="007E482E">
      <w:pPr>
        <w:spacing w:after="360" w:line="240" w:lineRule="auto"/>
        <w:jc w:val="both"/>
        <w:rPr>
          <w:rFonts w:ascii="Times New Roman" w:eastAsia="Times New Roman" w:hAnsi="Times New Roman" w:cs="Times New Roman"/>
          <w:b/>
          <w:color w:val="000000"/>
          <w:sz w:val="24"/>
          <w:szCs w:val="24"/>
          <w:lang w:eastAsia="es-ES"/>
        </w:rPr>
      </w:pPr>
      <w:r>
        <w:rPr>
          <w:rFonts w:ascii="Times New Roman" w:eastAsia="Times New Roman" w:hAnsi="Times New Roman" w:cs="Times New Roman"/>
          <w:b/>
          <w:color w:val="000000"/>
          <w:sz w:val="24"/>
          <w:szCs w:val="24"/>
          <w:lang w:eastAsia="es-ES"/>
        </w:rPr>
        <w:lastRenderedPageBreak/>
        <w:t xml:space="preserve">- </w:t>
      </w:r>
      <w:r w:rsidRPr="00F60A05">
        <w:rPr>
          <w:rFonts w:ascii="Times New Roman" w:eastAsia="Times New Roman" w:hAnsi="Times New Roman" w:cs="Times New Roman"/>
          <w:b/>
          <w:color w:val="000000"/>
          <w:sz w:val="24"/>
          <w:szCs w:val="24"/>
          <w:lang w:eastAsia="es-ES"/>
        </w:rPr>
        <w:t>Con las cosas de comer no se juega</w:t>
      </w:r>
      <w:r>
        <w:rPr>
          <w:rFonts w:ascii="Times New Roman" w:eastAsia="Times New Roman" w:hAnsi="Times New Roman" w:cs="Times New Roman"/>
          <w:b/>
          <w:color w:val="000000"/>
          <w:sz w:val="24"/>
          <w:szCs w:val="24"/>
          <w:lang w:eastAsia="es-ES"/>
        </w:rPr>
        <w:t xml:space="preserve"> </w:t>
      </w:r>
    </w:p>
    <w:p w:rsidR="007E482E" w:rsidRPr="00F60A05" w:rsidRDefault="007E482E" w:rsidP="007E482E">
      <w:pPr>
        <w:spacing w:after="360" w:line="240" w:lineRule="auto"/>
        <w:jc w:val="both"/>
        <w:rPr>
          <w:rFonts w:ascii="Times New Roman" w:eastAsia="Times New Roman" w:hAnsi="Times New Roman" w:cs="Times New Roman"/>
          <w:b/>
          <w:color w:val="000000"/>
          <w:sz w:val="24"/>
          <w:szCs w:val="24"/>
          <w:lang w:eastAsia="es-ES"/>
        </w:rPr>
      </w:pPr>
      <w:r>
        <w:rPr>
          <w:noProof/>
          <w:lang w:eastAsia="es-ES"/>
        </w:rPr>
        <w:drawing>
          <wp:inline distT="0" distB="0" distL="0" distR="0" wp14:anchorId="42559758" wp14:editId="689BD9B7">
            <wp:extent cx="5731510" cy="2596287"/>
            <wp:effectExtent l="0" t="0" r="2540" b="0"/>
            <wp:docPr id="24" name="Imagen 24" descr="Un tractor en un cul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tractor en un cultivo."/>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2596287"/>
                    </a:xfrm>
                    <a:prstGeom prst="rect">
                      <a:avLst/>
                    </a:prstGeom>
                    <a:noFill/>
                    <a:ln>
                      <a:noFill/>
                    </a:ln>
                  </pic:spPr>
                </pic:pic>
              </a:graphicData>
            </a:graphic>
          </wp:inline>
        </w:drawing>
      </w:r>
    </w:p>
    <w:p w:rsidR="007E482E" w:rsidRDefault="007E482E" w:rsidP="007E482E">
      <w:pPr>
        <w:pStyle w:val="NormalWeb"/>
        <w:spacing w:before="0" w:beforeAutospacing="0" w:after="0" w:afterAutospacing="0"/>
        <w:jc w:val="both"/>
        <w:textAlignment w:val="baseline"/>
      </w:pPr>
      <w:r>
        <w:t>A pesar de las dificultades que presenta escribir en tiempo real (como un corresponsal de g</w:t>
      </w:r>
      <w:r w:rsidR="00463E11">
        <w:t>uerra</w:t>
      </w:r>
      <w:r>
        <w:t>), este Paper intenta ser una pintura realista, sin hacer ningún</w:t>
      </w:r>
      <w:r w:rsidRPr="00BA0A1A">
        <w:t xml:space="preserve"> alarde expresionista</w:t>
      </w:r>
      <w:r>
        <w:t xml:space="preserve">. </w:t>
      </w:r>
      <w:r w:rsidRPr="00566ADC">
        <w:t>No es lo mismo observar la infamia por primera vez que estar acostumbrado a sus consecuencias.</w:t>
      </w:r>
    </w:p>
    <w:p w:rsidR="007E482E" w:rsidRDefault="007E482E" w:rsidP="007E482E">
      <w:pPr>
        <w:pStyle w:val="NormalWeb"/>
        <w:spacing w:before="0" w:beforeAutospacing="0" w:after="0" w:afterAutospacing="0"/>
        <w:jc w:val="both"/>
        <w:textAlignment w:val="baseline"/>
      </w:pPr>
    </w:p>
    <w:p w:rsidR="007E482E" w:rsidRDefault="007E482E" w:rsidP="007E482E">
      <w:pPr>
        <w:pStyle w:val="NormalWeb"/>
        <w:spacing w:before="0" w:beforeAutospacing="0" w:after="0" w:afterAutospacing="0"/>
        <w:jc w:val="both"/>
        <w:textAlignment w:val="baseline"/>
      </w:pPr>
      <w:r>
        <w:t xml:space="preserve">Para qué sirve un cheque, un bono, una paga… </w:t>
      </w:r>
      <w:r w:rsidRPr="00566ADC">
        <w:t>siempre que haya un problema,</w:t>
      </w:r>
      <w:r>
        <w:t xml:space="preserve"> </w:t>
      </w:r>
      <w:r w:rsidRPr="00566ADC">
        <w:t>como una especie de flotad</w:t>
      </w:r>
      <w:r>
        <w:t>or salvavidas al que aferrarse, si no sirve para incentivar la economía, sino para rescatar a los obedientes.</w:t>
      </w:r>
    </w:p>
    <w:p w:rsidR="007E482E" w:rsidRDefault="007E482E" w:rsidP="007E482E">
      <w:pPr>
        <w:pStyle w:val="NormalWeb"/>
        <w:spacing w:before="0" w:beforeAutospacing="0" w:after="0" w:afterAutospacing="0"/>
        <w:jc w:val="both"/>
        <w:textAlignment w:val="baseline"/>
      </w:pPr>
    </w:p>
    <w:p w:rsidR="007E482E" w:rsidRDefault="007E482E" w:rsidP="007E482E">
      <w:pPr>
        <w:pStyle w:val="NormalWeb"/>
        <w:spacing w:before="0" w:beforeAutospacing="0" w:after="0" w:afterAutospacing="0"/>
        <w:jc w:val="both"/>
        <w:textAlignment w:val="baseline"/>
      </w:pPr>
      <w:r>
        <w:t>C</w:t>
      </w:r>
      <w:r w:rsidRPr="006141A5">
        <w:t xml:space="preserve">omo en </w:t>
      </w:r>
      <w:r>
        <w:t>la fábula de la rana en la olla, van calentando el agua de a poquito (PAC, pacto</w:t>
      </w:r>
      <w:r w:rsidR="00FB35C9">
        <w:t xml:space="preserve"> verde, estrategia de la granja a la mesa</w:t>
      </w:r>
      <w:r w:rsidRPr="0064789F">
        <w:t>, bioeconomía circular, silvicultura sostenible, mitigación d</w:t>
      </w:r>
      <w:r w:rsidR="00FB35C9">
        <w:t>el cambio climático, greening</w:t>
      </w:r>
      <w:r w:rsidRPr="0064789F">
        <w:t>, mantenimiento de elementos paisajísticos y pasillos ecológicos, neutralidad en carbono, energías renovables, taxonomía, agenda 2030</w:t>
      </w:r>
      <w:r>
        <w:t xml:space="preserve">), </w:t>
      </w:r>
      <w:r w:rsidRPr="0064789F">
        <w:t xml:space="preserve">hasta bullir. </w:t>
      </w:r>
      <w:r>
        <w:t>Como la temperatura va subiendo  de forma gradual, la rana no se da cuenta y se quema</w:t>
      </w:r>
      <w:r w:rsidRPr="0064789F">
        <w:t>.</w:t>
      </w:r>
      <w:r>
        <w:t xml:space="preserve"> Esto es lo que le sucede a los europeos.</w:t>
      </w:r>
    </w:p>
    <w:p w:rsidR="007E482E" w:rsidRDefault="007E482E" w:rsidP="007E482E">
      <w:pPr>
        <w:pStyle w:val="NormalWeb"/>
        <w:spacing w:before="0" w:beforeAutospacing="0" w:after="0" w:afterAutospacing="0"/>
        <w:jc w:val="both"/>
        <w:textAlignment w:val="baseline"/>
      </w:pPr>
    </w:p>
    <w:p w:rsidR="007E482E" w:rsidRDefault="007E482E" w:rsidP="007E482E">
      <w:pPr>
        <w:pStyle w:val="NormalWeb"/>
        <w:spacing w:before="0" w:beforeAutospacing="0" w:after="0" w:afterAutospacing="0"/>
        <w:jc w:val="both"/>
        <w:textAlignment w:val="baseline"/>
      </w:pPr>
      <w:r>
        <w:t>¡Uf!, las finanzas son muy complicadas, que las dirijan en Wall Street… luego</w:t>
      </w:r>
      <w:r w:rsidR="00377D15">
        <w:t xml:space="preserve"> </w:t>
      </w:r>
      <w:r>
        <w:t>la crisis del año 2008</w:t>
      </w:r>
      <w:r w:rsidR="00FB35C9">
        <w:t xml:space="preserve"> (cuando Europa se contagió el sida financiero de EEUU)</w:t>
      </w:r>
      <w:r>
        <w:t>, demostró que los americanos repartieron su mierda</w:t>
      </w:r>
      <w:r w:rsidR="00377D15">
        <w:t xml:space="preserve"> subprime</w:t>
      </w:r>
      <w:r w:rsidR="00FB35C9">
        <w:t xml:space="preserve"> (armas financieras de destrucción masiva)</w:t>
      </w:r>
      <w:r>
        <w:t xml:space="preserve"> por el mundo mundial, llevando a Europa a la mayor depresión desde el fin de la II Guerra Mundial.</w:t>
      </w:r>
    </w:p>
    <w:p w:rsidR="007E482E" w:rsidRDefault="007E482E" w:rsidP="007E482E">
      <w:pPr>
        <w:pStyle w:val="NormalWeb"/>
        <w:spacing w:before="0" w:beforeAutospacing="0" w:after="0" w:afterAutospacing="0"/>
        <w:jc w:val="both"/>
        <w:textAlignment w:val="baseline"/>
      </w:pPr>
    </w:p>
    <w:p w:rsidR="007E482E" w:rsidRDefault="007E482E" w:rsidP="007E482E">
      <w:pPr>
        <w:pStyle w:val="NormalWeb"/>
        <w:spacing w:before="0" w:beforeAutospacing="0" w:after="0" w:afterAutospacing="0"/>
        <w:jc w:val="both"/>
        <w:textAlignment w:val="baseline"/>
      </w:pPr>
      <w:r>
        <w:t>¡Ay!, los salarios y cargas sociales en Europa son muy altos, los productos industriales pierden competitividad, mejor deslocalizar la producción, y comprar las manufacturas en países emergentes a menores costos… luego se demostró que gracias a la globalización, el librecambio, y el multilateralismo, China se transformó en la fábrica del mundo, y la UE quedó resignada a ser un mercado cautivo. Además exportó el Covid-19, sin aviso, ni perdón.</w:t>
      </w:r>
    </w:p>
    <w:p w:rsidR="007E482E" w:rsidRDefault="007E482E" w:rsidP="007E482E">
      <w:pPr>
        <w:pStyle w:val="NormalWeb"/>
        <w:spacing w:before="0" w:beforeAutospacing="0" w:after="0" w:afterAutospacing="0"/>
        <w:jc w:val="both"/>
        <w:textAlignment w:val="baseline"/>
      </w:pPr>
    </w:p>
    <w:p w:rsidR="007E482E" w:rsidRDefault="00FB35C9" w:rsidP="007E482E">
      <w:pPr>
        <w:pStyle w:val="NormalWeb"/>
        <w:spacing w:before="0" w:beforeAutospacing="0" w:after="0" w:afterAutospacing="0"/>
        <w:jc w:val="both"/>
        <w:textAlignment w:val="baseline"/>
      </w:pPr>
      <w:r>
        <w:t xml:space="preserve">¡SOS, la Tierra se muere! </w:t>
      </w:r>
      <w:r w:rsidR="007E482E">
        <w:t>¡Debemos salvar al</w:t>
      </w:r>
      <w:r>
        <w:t xml:space="preserve"> planeta! Europa asume la responsabilidad</w:t>
      </w:r>
      <w:r w:rsidR="007E482E">
        <w:t xml:space="preserve"> moral de liderar la cruzada por el medio ambiente. Aunque su participación en el cambio climático no supera el 8%, tiene </w:t>
      </w:r>
      <w:r w:rsidR="00377D15">
        <w:t>que dar ejemplo al resto del mundo</w:t>
      </w:r>
      <w:r w:rsidR="007E482E">
        <w:t xml:space="preserve">, e inmolarse abandonando actividades agrícolas y pesqueras, desautorizando explotaciones de recursos energéticos y mineros por métodos no tradicionales, adelantando la eliminación del carbón como fuente de energía, disponiendo el cierre anticipado de centrales nucleares… mientras </w:t>
      </w:r>
      <w:r w:rsidR="007E482E">
        <w:lastRenderedPageBreak/>
        <w:t>importa petróleo, gas, materias primas básicas, y productos agrícolas, de países que en su mayoría no cumplen con las mismas exigencias sanitarias, salariales, de cargas sociales, que se “carcajean” del medio ambiente, que muchas veces están dirigidos por dictadores (sátrapas) que no respetan los derechos humanos. ¿Hasta dónde puede llegar el dogmatismo, la cor</w:t>
      </w:r>
      <w:r>
        <w:t>rupción</w:t>
      </w:r>
      <w:r w:rsidR="00377D15">
        <w:t>,</w:t>
      </w:r>
      <w:r>
        <w:t xml:space="preserve"> o l</w:t>
      </w:r>
      <w:r w:rsidR="00377D15">
        <w:t>a estupidez, de los burócratas de Bruselas</w:t>
      </w:r>
      <w:r w:rsidR="007E482E">
        <w:t xml:space="preserve">?     </w:t>
      </w:r>
    </w:p>
    <w:p w:rsidR="007E482E" w:rsidRDefault="007E482E" w:rsidP="007E482E">
      <w:pPr>
        <w:pStyle w:val="NormalWeb"/>
        <w:spacing w:before="0" w:beforeAutospacing="0" w:after="0" w:afterAutospacing="0"/>
        <w:jc w:val="both"/>
        <w:textAlignment w:val="baseline"/>
      </w:pPr>
    </w:p>
    <w:p w:rsidR="007E482E" w:rsidRDefault="007E482E" w:rsidP="007E482E">
      <w:pPr>
        <w:pStyle w:val="NormalWeb"/>
        <w:spacing w:before="0" w:beforeAutospacing="0" w:after="0" w:afterAutospacing="0"/>
        <w:jc w:val="both"/>
        <w:textAlignment w:val="baseline"/>
      </w:pPr>
      <w:r>
        <w:t>¿Cómo acabar con los atropellos energéticos, y de materias primas, en la Unión Europea?</w:t>
      </w:r>
    </w:p>
    <w:p w:rsidR="00511B08" w:rsidRDefault="00511B08" w:rsidP="007E482E">
      <w:pPr>
        <w:pStyle w:val="NormalWeb"/>
        <w:spacing w:before="0" w:beforeAutospacing="0" w:after="0" w:afterAutospacing="0"/>
        <w:jc w:val="both"/>
        <w:textAlignment w:val="baseline"/>
      </w:pPr>
    </w:p>
    <w:p w:rsidR="00511B08" w:rsidRDefault="00511B08" w:rsidP="007E482E">
      <w:pPr>
        <w:pStyle w:val="NormalWeb"/>
        <w:spacing w:before="0" w:beforeAutospacing="0" w:after="0" w:afterAutospacing="0"/>
        <w:jc w:val="both"/>
        <w:textAlignment w:val="baseline"/>
      </w:pPr>
      <w:r>
        <w:rPr>
          <w:noProof/>
        </w:rPr>
        <w:drawing>
          <wp:inline distT="0" distB="0" distL="0" distR="0">
            <wp:extent cx="5730240" cy="3175000"/>
            <wp:effectExtent l="0" t="0" r="3810" b="6350"/>
            <wp:docPr id="30" name="Imagen 30" descr="ADAMS - Raffine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AMS - Raffinerie"/>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731510" cy="3175704"/>
                    </a:xfrm>
                    <a:prstGeom prst="rect">
                      <a:avLst/>
                    </a:prstGeom>
                    <a:noFill/>
                    <a:ln>
                      <a:noFill/>
                    </a:ln>
                  </pic:spPr>
                </pic:pic>
              </a:graphicData>
            </a:graphic>
          </wp:inline>
        </w:drawing>
      </w:r>
    </w:p>
    <w:p w:rsidR="007E482E" w:rsidRDefault="007E482E" w:rsidP="007E482E">
      <w:pPr>
        <w:pStyle w:val="NormalWeb"/>
        <w:spacing w:after="0"/>
        <w:jc w:val="both"/>
        <w:textAlignment w:val="baseline"/>
      </w:pPr>
      <w:r>
        <w:t xml:space="preserve">Larry Fink asegura que la guerra en Ucrania marca el final de la globalización (FT </w:t>
      </w:r>
      <w:r w:rsidR="00266C5A">
        <w:t xml:space="preserve">- </w:t>
      </w:r>
      <w:r w:rsidRPr="00266C5A">
        <w:rPr>
          <w:b/>
        </w:rPr>
        <w:t>24/3/22</w:t>
      </w:r>
      <w:r>
        <w:t>)</w:t>
      </w:r>
    </w:p>
    <w:p w:rsidR="007E482E" w:rsidRDefault="007E482E" w:rsidP="007E482E">
      <w:pPr>
        <w:pStyle w:val="NormalWeb"/>
        <w:spacing w:after="0"/>
        <w:jc w:val="both"/>
        <w:textAlignment w:val="baseline"/>
      </w:pPr>
      <w:r>
        <w:t>El CEO de la mayor gestora del mundo, con activos valorados en 10 billones de dólares, cree que el conflicto provocará cambios en la economía y advierte sobre la inflación.</w:t>
      </w:r>
    </w:p>
    <w:p w:rsidR="007E482E" w:rsidRDefault="007E482E" w:rsidP="007E482E">
      <w:pPr>
        <w:pStyle w:val="NormalWeb"/>
        <w:spacing w:after="0"/>
        <w:jc w:val="both"/>
        <w:textAlignment w:val="baseline"/>
      </w:pPr>
      <w:r>
        <w:t xml:space="preserve">En opinión del CEO de BlackRock, Larry Fink, la invasión rusa de Ucrania provocará un cambio en la economía mundial y dará un mayor impulso a la inflación, al hacer que las empresas se retiren de sus cadenas de suministro globales. </w:t>
      </w:r>
    </w:p>
    <w:p w:rsidR="007E482E" w:rsidRDefault="007E482E" w:rsidP="007E482E">
      <w:pPr>
        <w:pStyle w:val="NormalWeb"/>
        <w:spacing w:after="0"/>
        <w:jc w:val="both"/>
        <w:textAlignment w:val="baseline"/>
      </w:pPr>
      <w:r>
        <w:t>Esta es la historia real que no entienden, o</w:t>
      </w:r>
      <w:r w:rsidR="00377D15">
        <w:t xml:space="preserve"> no</w:t>
      </w:r>
      <w:r>
        <w:t xml:space="preserve"> quieren entender, los “alquimistas” de Bruselas, que siguen elucubrando planes para que la Unión Europea se arruine, y sus ciudadanos</w:t>
      </w:r>
      <w:r w:rsidRPr="00FB2900">
        <w:t xml:space="preserve"> pierda</w:t>
      </w:r>
      <w:r>
        <w:t>n</w:t>
      </w:r>
      <w:r w:rsidRPr="00FB2900">
        <w:t xml:space="preserve"> todo lo que tiene</w:t>
      </w:r>
      <w:r w:rsidR="00377D15">
        <w:t>n. Unos</w:t>
      </w:r>
      <w:r>
        <w:t xml:space="preserve"> personajillos mediocres que no aciertan ni cuando rectifican.</w:t>
      </w:r>
    </w:p>
    <w:p w:rsidR="007E482E" w:rsidRDefault="007E482E" w:rsidP="007E482E">
      <w:pPr>
        <w:pStyle w:val="NormalWeb"/>
        <w:spacing w:after="0"/>
        <w:jc w:val="both"/>
        <w:textAlignment w:val="baseline"/>
      </w:pPr>
      <w:r w:rsidRPr="00F478E9">
        <w:t>El mercado de petróleo se enfrenta a una situación totalmente inesperada y que no tiene parangón en la historia moderna. En poco más de un año, este mercado ha sufrido un vuelco absoluto y radical. Si a mediados de 2020 el problema era la falta de espacio para almacenar todo el petróleo que sobraba (el consumo se hundió con la pandemia), ahora el crudo se ha convertido en un bien escaso. El mundo se enfrenta a un shock sin precedentes comparables por la naturaleza del mismo. Este problema de oferta puede llegar incluso a generar escasez o racionamiento de algunos derivados del petróleo como el diésel, según han advertido recientemente varios traders del mercado.</w:t>
      </w:r>
      <w:r>
        <w:t xml:space="preserve"> (El Economista - </w:t>
      </w:r>
      <w:r w:rsidRPr="00266C5A">
        <w:rPr>
          <w:b/>
        </w:rPr>
        <w:t>25/3/22</w:t>
      </w:r>
      <w:r>
        <w:t>)</w:t>
      </w:r>
    </w:p>
    <w:p w:rsidR="007E482E" w:rsidRDefault="007E482E" w:rsidP="007E482E">
      <w:pPr>
        <w:pStyle w:val="NormalWeb"/>
        <w:spacing w:after="0"/>
        <w:jc w:val="both"/>
        <w:textAlignment w:val="baseline"/>
      </w:pPr>
      <w:r>
        <w:lastRenderedPageBreak/>
        <w:t>El barril de petróleo Brent</w:t>
      </w:r>
      <w:r w:rsidR="00377D15">
        <w:t xml:space="preserve"> cotiza a finales de marzo</w:t>
      </w:r>
      <w:r>
        <w:t xml:space="preserve"> en la zona de los 120 dólares, multiplicando por más de seis su precio desde lo peor de la pandemia en 2020. Sin embargo, el crudo aún podría estar lejos de su pico. El recrudecimiento de la guerra en Ucrania puede forzar a los países occidentales a imponer nuevas sanciones que incluyan el petróleo, lo que sin duda presionaría aún más al alza los precios del Brent y el West Texas (y nos llevaría a la recesión, según el equipo de research de Commerzbank).</w:t>
      </w:r>
    </w:p>
    <w:p w:rsidR="007E482E" w:rsidRDefault="007E482E" w:rsidP="007E482E">
      <w:pPr>
        <w:pStyle w:val="NormalWeb"/>
        <w:spacing w:after="0"/>
        <w:jc w:val="both"/>
        <w:textAlignment w:val="baseline"/>
      </w:pPr>
      <w:r>
        <w:t>Los expertos del banco alemán comentan en</w:t>
      </w:r>
      <w:r w:rsidR="00E527E0">
        <w:t xml:space="preserve"> una nota publicada el 25/3/22</w:t>
      </w:r>
      <w:r>
        <w:t xml:space="preserve"> que </w:t>
      </w:r>
      <w:r w:rsidR="00266C5A">
        <w:t>un embargo total al crudo ruso “</w:t>
      </w:r>
      <w:r>
        <w:t>no está de ninguna manera fuera de la mesa (Alemania ya ha presentado su hoja de ruta para reducir a cero las importaciones de petróleo ruso). En particular, si la situación en Ucrania continúa deteriorándose, es probable que aumenten nuevamente las presiones a detener las imp</w:t>
      </w:r>
      <w:r w:rsidR="00266C5A">
        <w:t>ortaciones de petróleo en la UE”</w:t>
      </w:r>
      <w:r>
        <w:t>. Es un arma de doble filo. Herir a Rusia con un embargo supone también herir (y mucho) la economía europea: el gas y el crudo ruso son clave para el Viejo Continente.</w:t>
      </w:r>
    </w:p>
    <w:p w:rsidR="007E482E" w:rsidRDefault="007E482E" w:rsidP="007E482E">
      <w:pPr>
        <w:pStyle w:val="NormalWeb"/>
        <w:spacing w:after="0"/>
        <w:jc w:val="both"/>
        <w:textAlignment w:val="baseline"/>
      </w:pPr>
      <w:r>
        <w:t>Teniendo en cuenta todo lo anterior y que nadie sabe con certeza hacia dónde se dirige el conflicto en Ucrania, se puede concluir que este shock del petróleo no tiene comparación a lo largo de la historia por su propia naturaleza (sanciones y repudio al petróleo del segundo mayor productor del mundo), aseguran desde el equipo de materias primas de la Reserva Federal de Dallas en un análisis publicado esta semana.</w:t>
      </w:r>
    </w:p>
    <w:p w:rsidR="007E482E" w:rsidRDefault="007E482E" w:rsidP="007E482E">
      <w:pPr>
        <w:pStyle w:val="NormalWeb"/>
        <w:spacing w:after="0"/>
        <w:jc w:val="both"/>
        <w:textAlignment w:val="baseline"/>
      </w:pPr>
      <w:r w:rsidRPr="00F478E9">
        <w:rPr>
          <w:noProof/>
        </w:rPr>
        <w:drawing>
          <wp:inline distT="0" distB="0" distL="0" distR="0" wp14:anchorId="0420E077" wp14:editId="7C4FF1FE">
            <wp:extent cx="5729273" cy="4965700"/>
            <wp:effectExtent l="0" t="0" r="508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4967639"/>
                    </a:xfrm>
                    <a:prstGeom prst="rect">
                      <a:avLst/>
                    </a:prstGeom>
                  </pic:spPr>
                </pic:pic>
              </a:graphicData>
            </a:graphic>
          </wp:inline>
        </w:drawing>
      </w:r>
    </w:p>
    <w:p w:rsidR="007E482E" w:rsidRDefault="00511B08" w:rsidP="007E482E">
      <w:pPr>
        <w:pStyle w:val="NormalWeb"/>
        <w:spacing w:after="0"/>
        <w:jc w:val="both"/>
        <w:textAlignment w:val="baseline"/>
      </w:pPr>
      <w:r>
        <w:lastRenderedPageBreak/>
        <w:t>“</w:t>
      </w:r>
      <w:r w:rsidR="007E482E">
        <w:t>Tradicionalmente, los shocks de oferta en el petróleo han surgido por conflictos internos o sociales en los países productores de crudo o porque un conflicto militar ha destruido las instalaciones y la industria de producción de petróleo, como fue el caso de la invasión d</w:t>
      </w:r>
      <w:r>
        <w:t>e Kuwait por Irak en 1990”</w:t>
      </w:r>
      <w:r w:rsidR="007E482E">
        <w:t>, explican los economistas de la Fed de Dallas.</w:t>
      </w:r>
    </w:p>
    <w:p w:rsidR="00FB35C9" w:rsidRDefault="007E482E" w:rsidP="007E482E">
      <w:pPr>
        <w:pStyle w:val="NormalWeb"/>
        <w:spacing w:after="0"/>
        <w:jc w:val="both"/>
        <w:textAlignment w:val="baseline"/>
      </w:pPr>
      <w:r>
        <w:t>Por el contrario, el shock de oferta esta vez es diferen</w:t>
      </w:r>
      <w:r w:rsidR="00266C5A">
        <w:t>te y su duración es un enigma: “</w:t>
      </w:r>
      <w:r>
        <w:t>La razón principal por la que las exportaciones rusas de petróleo crudo y productos refinados están sufriendo desde la invasión de Rusia es por la negativa de las instituciones financieras par</w:t>
      </w:r>
      <w:r w:rsidR="00266C5A">
        <w:t>a respaldar tales transacciones”</w:t>
      </w:r>
      <w:r>
        <w:t>. El mundo desarrollado ha dado la espalda al petróleo ruso casi por completo (el diferencial entre el Brent y el crudo de los Urales ya supera los 30 dólares). Más tarde, EEUU y Reino Unido decidieron vetar el petróleo ruso de forma oficial, pero el daño a las exportaciones ya estaba hecho previamente.</w:t>
      </w:r>
    </w:p>
    <w:p w:rsidR="007E482E" w:rsidRDefault="007E482E" w:rsidP="007E482E">
      <w:pPr>
        <w:pStyle w:val="NormalWeb"/>
        <w:spacing w:after="0"/>
        <w:jc w:val="both"/>
        <w:textAlignment w:val="baseline"/>
      </w:pPr>
      <w:r>
        <w:t>El petróleo fuera de Rusia</w:t>
      </w:r>
    </w:p>
    <w:p w:rsidR="007E482E" w:rsidRDefault="007E482E" w:rsidP="007E482E">
      <w:pPr>
        <w:pStyle w:val="NormalWeb"/>
        <w:spacing w:after="0"/>
        <w:jc w:val="both"/>
        <w:textAlignment w:val="baseline"/>
      </w:pPr>
      <w:r>
        <w:t>A ello hay que sumarle algunos acontecimientos puntuales que están acercando al lado de la oferta a una tormenta perfecta. Desde Julius</w:t>
      </w:r>
      <w:r w:rsidR="00266C5A">
        <w:t xml:space="preserve"> Baer comentan en una nota que “</w:t>
      </w:r>
      <w:r>
        <w:t>debido a supuestos daños causados por tormentas se ha cerrado una terminal de exportación clave de petróleo de Kazajistán, lo que está privando al mercado de los</w:t>
      </w:r>
      <w:r w:rsidR="00266C5A">
        <w:t xml:space="preserve"> suministros que tanto necesita”</w:t>
      </w:r>
      <w:r>
        <w:t>.</w:t>
      </w:r>
    </w:p>
    <w:p w:rsidR="007E482E" w:rsidRDefault="007E482E" w:rsidP="007E482E">
      <w:pPr>
        <w:pStyle w:val="NormalWeb"/>
        <w:spacing w:after="0"/>
        <w:jc w:val="both"/>
        <w:textAlignment w:val="baseline"/>
      </w:pPr>
      <w:r>
        <w:t>Kazajistán es un importante productor de petróleo que depende de un oleoducto que une los campos petroleros del Mar Caspio con las terminales petroleras del Mar Negro en Rusia para realizar sus importaciones. A principios de esta semana, el operador del puerto aseguró que los daños causados por las tormentas, la terminal cerraría para realizar trabajos de reparación y mantenimiento.</w:t>
      </w:r>
    </w:p>
    <w:p w:rsidR="007E482E" w:rsidRDefault="00266C5A" w:rsidP="007E482E">
      <w:pPr>
        <w:pStyle w:val="NormalWeb"/>
        <w:spacing w:after="0"/>
        <w:jc w:val="both"/>
        <w:textAlignment w:val="baseline"/>
      </w:pPr>
      <w:r>
        <w:t>“</w:t>
      </w:r>
      <w:r w:rsidR="007E482E">
        <w:t>Obviamente, esta interrupción llega en un momento muy desafortunado para los compradores de petróleo... Existen rutas comerciales alternativas, como a través del Cáucaso, pero estas rutas solo pueden compensar marginalmente el déficit. Los riesgos de un aumento del precio del petróleo de mayor duración se están incrementand</w:t>
      </w:r>
      <w:r>
        <w:t>o considerablemente”</w:t>
      </w:r>
      <w:r w:rsidR="007E482E">
        <w:t>, aseguran desde Julius Baer. Esto hace que los países occidentales aceleren la búsqueda de alternativas al petróleo ruso y de sus aliados (Kazajistán es un país muy cercano a Moscú), aunque por ahora esta búsqueda no ha dado frutos.</w:t>
      </w:r>
    </w:p>
    <w:p w:rsidR="007E482E" w:rsidRDefault="007E482E" w:rsidP="007E482E">
      <w:pPr>
        <w:pStyle w:val="NormalWeb"/>
        <w:spacing w:after="0"/>
        <w:jc w:val="both"/>
        <w:textAlignment w:val="baseline"/>
      </w:pPr>
      <w:r>
        <w:t>¿Hay alternativas reales?</w:t>
      </w:r>
    </w:p>
    <w:p w:rsidR="007E482E" w:rsidRDefault="007E482E" w:rsidP="007E482E">
      <w:pPr>
        <w:pStyle w:val="NormalWeb"/>
        <w:spacing w:after="0"/>
        <w:jc w:val="both"/>
        <w:textAlignment w:val="baseline"/>
      </w:pPr>
      <w:r>
        <w:t>Las alternativas para sustituir el petróleo ruso son deficientes cuando menos. Por un lado, la OPEP se ha mostrado reacia a intentar siquiera sustituir el crudo ruso con producción propia (sobre todo de Arabia Saudí y Emiratos Árabes Unidos) en caso de que pudiesen hacerlo. Por otro lado aparecen Irán y Venezuela, cuyo petróleo se encuentra también bajo sanciones. Incluso en un escenario de rápido levantamiento de estas sanciones, estos países no pueden multiplicar su producción de crudo de la noche a la mañana. Ni usando todo su potencial pueden suplir los más de 3-4 millones de barriles diarios de crudo y derivados rusos que calcula la Agencia Internacional de la Energía que desaparecerán.</w:t>
      </w:r>
    </w:p>
    <w:p w:rsidR="007E482E" w:rsidRDefault="007E482E" w:rsidP="007E482E">
      <w:pPr>
        <w:pStyle w:val="NormalWeb"/>
        <w:spacing w:after="0"/>
        <w:jc w:val="both"/>
        <w:textAlignment w:val="baseline"/>
      </w:pPr>
      <w:r>
        <w:t xml:space="preserve">De este modo, la única solución rápida y real es la liberación de reservas estratégicas, aunque su impacto será limitado también. Según los cálculos de la Reserva Federal de Dallas, EEUU podría liberar hasta 4,4 millones de barriles de crudo por día de su Reserva Estratégica de Petróleo (SPR), pero solo durante unos tres meses (la AIE está estudiando otra posible </w:t>
      </w:r>
      <w:r>
        <w:lastRenderedPageBreak/>
        <w:t xml:space="preserve">liberación de reservas de forma coordinada). </w:t>
      </w:r>
      <w:r w:rsidR="00266C5A">
        <w:t>“</w:t>
      </w:r>
      <w:r>
        <w:t xml:space="preserve">Se podrían lanzar volúmenes adicionales después de ese período, </w:t>
      </w:r>
      <w:r w:rsidR="00266C5A">
        <w:t>pero a un ritmo mucho más lento</w:t>
      </w:r>
      <w:r>
        <w:t>. De modo que no hay alternativa real a corto plazo si la guerra se mantiene y las sanciones se prolongan</w:t>
      </w:r>
      <w:r w:rsidR="00266C5A">
        <w:t>”</w:t>
      </w:r>
      <w:r>
        <w:t>.</w:t>
      </w:r>
    </w:p>
    <w:p w:rsidR="007E482E" w:rsidRDefault="00266C5A" w:rsidP="007E482E">
      <w:pPr>
        <w:pStyle w:val="NormalWeb"/>
        <w:spacing w:after="0"/>
        <w:jc w:val="both"/>
        <w:textAlignment w:val="baseline"/>
      </w:pPr>
      <w:r>
        <w:t>“</w:t>
      </w:r>
      <w:r w:rsidR="007E482E">
        <w:t>Por lo tanto, a menos que se pueda contener el déficit de suministro de petróleo ruso, parece necesario que el precio del petróleo aumente sustancialmente y permanezca elevado durante un largo período para eliminar el exceso de demanda de petróleo (destrucción de demanda). El pico del precio dependería de la magnitud del déficit de suministro de petróleo. Es probable que esta destrucción de la demanda se vea favorecida por el efecto recesivo de los precios más altos del gas natural y de otros productos b</w:t>
      </w:r>
      <w:r>
        <w:t>ásicos, especialmente en Europa”</w:t>
      </w:r>
      <w:r w:rsidR="007E482E">
        <w:t>, aseguran desde la Fed de Dallas.</w:t>
      </w:r>
    </w:p>
    <w:p w:rsidR="007E482E" w:rsidRDefault="007E482E" w:rsidP="007E482E">
      <w:pPr>
        <w:pStyle w:val="NormalWeb"/>
        <w:spacing w:after="0"/>
        <w:jc w:val="both"/>
        <w:textAlignment w:val="baseline"/>
      </w:pPr>
      <w:r>
        <w:t>También el gas</w:t>
      </w:r>
    </w:p>
    <w:p w:rsidR="007E482E" w:rsidRDefault="00266C5A" w:rsidP="007E482E">
      <w:pPr>
        <w:pStyle w:val="NormalWeb"/>
        <w:spacing w:after="0"/>
        <w:jc w:val="both"/>
        <w:textAlignment w:val="baseline"/>
      </w:pPr>
      <w:r>
        <w:t>“</w:t>
      </w:r>
      <w:r w:rsidR="007E482E">
        <w:t xml:space="preserve">Otra dimensión en la que el evento actual difiere de los precedentes históricos es que la reducción de las exportaciones rusas de petróleo ha venido precedida por un recorte en las exportaciones rusas de gas natural a Europa. El gas natural se utiliza para la calefacción del hogar, para la generación de energía y en la producción industrial. Por ejemplo, juega un papel central en la producción de fertilizantes. Los aumentos de precios resultantes en diversos grados se han extendido por todo el mundo a través del </w:t>
      </w:r>
      <w:r>
        <w:t>comercio de gas natural licuado”</w:t>
      </w:r>
      <w:r w:rsidR="007E482E">
        <w:t>, comentan los expertos de la Fed de Dallas.</w:t>
      </w:r>
    </w:p>
    <w:p w:rsidR="007E482E" w:rsidRDefault="007E482E" w:rsidP="007E482E">
      <w:pPr>
        <w:pStyle w:val="NormalWeb"/>
        <w:spacing w:after="0"/>
        <w:jc w:val="both"/>
        <w:textAlignment w:val="baseline"/>
      </w:pPr>
      <w:r>
        <w:t>Esto, a su vez, deja a la Unión Europea acorralada en cierta forma. A primera vista se podría pensar que Europa tiene la capacidad de amortiguar el impacto de la escasez de gas natural y petróleo usando de forma más intensiva las plantas de energía nuclear y de carbón, pero lo cierto es q</w:t>
      </w:r>
      <w:r w:rsidR="00FB35C9">
        <w:t>ue “</w:t>
      </w:r>
      <w:r>
        <w:t xml:space="preserve">Europa también depende de Rusia para el 40% de sus suministros de carbón y, lo que es más importante, para el carbón </w:t>
      </w:r>
      <w:r w:rsidR="00FB35C9">
        <w:t>natural y el uranio enriquecido”</w:t>
      </w:r>
      <w:r>
        <w:t>, sostiene el informe de la Fed de Dallas.</w:t>
      </w:r>
    </w:p>
    <w:p w:rsidR="007E482E" w:rsidRDefault="007E482E" w:rsidP="007E482E">
      <w:pPr>
        <w:pStyle w:val="NormalWeb"/>
        <w:spacing w:after="0"/>
        <w:jc w:val="both"/>
        <w:textAlignment w:val="baseline"/>
      </w:pPr>
      <w:r>
        <w:t>Por ejemplo, España cuenta con grandes reservas de Uranio, pero las trabas a su explotación impiden su uso y nos hacen dependientes de las importaciones de uranio ruso (el 38% de las importaciones) para mantener en funcionamiento las centrales nucleares del país.</w:t>
      </w:r>
    </w:p>
    <w:p w:rsidR="007E482E" w:rsidRDefault="007E482E" w:rsidP="007E482E">
      <w:pPr>
        <w:pStyle w:val="NormalWeb"/>
        <w:spacing w:after="0"/>
        <w:jc w:val="both"/>
        <w:textAlignment w:val="baseline"/>
      </w:pPr>
      <w:r>
        <w:t>Finalmente y para completar la panorámica, también resulta relevante estudiar el impacto sobre los alimentos, lo que da a este shock otro aire diferenciador respecto a los sufridos en el pasado. El efecto de la invasión rusa no se limita a los mercados energéticos. Rusia y Ucrania juntos representan el 29% de las exportaciones mundiales de trigo.</w:t>
      </w:r>
    </w:p>
    <w:p w:rsidR="007E482E" w:rsidRDefault="007E482E" w:rsidP="007E482E">
      <w:pPr>
        <w:pStyle w:val="NormalWeb"/>
        <w:spacing w:after="0"/>
        <w:jc w:val="both"/>
        <w:textAlignment w:val="baseline"/>
      </w:pPr>
      <w:r>
        <w:t xml:space="preserve">La interrupción de las exportaciones del Mar Negro junto con las sanciones financieras a Rusia </w:t>
      </w:r>
      <w:r w:rsidR="00FB35C9">
        <w:t>significa</w:t>
      </w:r>
      <w:r>
        <w:t xml:space="preserve"> que es más que probable que el suministro de trigo y otros granos se reduzca en 2022 y más allá. La disminución de la oferta, junto con la escasez de fertilizantes producidos a partir del gas natural, hará subir los precios mundiales de los alimentos y reforzará los efectos inflacionarios. Desde la Fed de</w:t>
      </w:r>
      <w:r w:rsidR="00FB35C9">
        <w:t xml:space="preserve"> Dallas creen que la inflación “mala”</w:t>
      </w:r>
      <w:r>
        <w:t xml:space="preserve"> ha llegado para quedarse por culpa, en buena parte, de este shock de la oferta que no tiene comparación en la historia.</w:t>
      </w:r>
    </w:p>
    <w:p w:rsidR="00511B08" w:rsidRDefault="00511B08" w:rsidP="007E482E">
      <w:pPr>
        <w:pStyle w:val="NormalWeb"/>
        <w:spacing w:after="0"/>
        <w:jc w:val="both"/>
        <w:textAlignment w:val="baseline"/>
      </w:pPr>
    </w:p>
    <w:p w:rsidR="00511B08" w:rsidRDefault="00511B08" w:rsidP="007E482E">
      <w:pPr>
        <w:pStyle w:val="NormalWeb"/>
        <w:spacing w:after="0"/>
        <w:jc w:val="both"/>
        <w:textAlignment w:val="baseline"/>
      </w:pPr>
    </w:p>
    <w:p w:rsidR="00511B08" w:rsidRPr="00E527E0" w:rsidRDefault="001C4B21" w:rsidP="007E482E">
      <w:pPr>
        <w:pStyle w:val="NormalWeb"/>
        <w:spacing w:after="0"/>
        <w:jc w:val="both"/>
        <w:textAlignment w:val="baseline"/>
        <w:rPr>
          <w:b/>
        </w:rPr>
      </w:pPr>
      <w:r w:rsidRPr="00E527E0">
        <w:rPr>
          <w:b/>
          <w:shd w:val="clear" w:color="auto" w:fill="FFFFFF"/>
        </w:rPr>
        <w:lastRenderedPageBreak/>
        <w:t>“Carpe diem” europeo: ¿d</w:t>
      </w:r>
      <w:r w:rsidR="00511B08" w:rsidRPr="00E527E0">
        <w:rPr>
          <w:b/>
          <w:shd w:val="clear" w:color="auto" w:fill="FFFFFF"/>
        </w:rPr>
        <w:t>emasiado tarde, para la rectificación o la enmienda?</w:t>
      </w:r>
    </w:p>
    <w:p w:rsidR="00511B08" w:rsidRPr="00E527E0" w:rsidRDefault="00511B08" w:rsidP="00511B08">
      <w:pPr>
        <w:pStyle w:val="NormalWeb"/>
        <w:spacing w:after="0"/>
        <w:jc w:val="both"/>
        <w:textAlignment w:val="baseline"/>
        <w:rPr>
          <w:shd w:val="clear" w:color="auto" w:fill="FFFFFF"/>
        </w:rPr>
      </w:pPr>
      <w:r w:rsidRPr="00E527E0">
        <w:rPr>
          <w:shd w:val="clear" w:color="auto" w:fill="FFFFFF"/>
        </w:rPr>
        <w:t>Dice Gregorio Morán, un veterano periodista, curtido en mil batallas, en su artículo: “</w:t>
      </w:r>
      <w:r w:rsidRPr="00E527E0">
        <w:rPr>
          <w:u w:val="single"/>
          <w:shd w:val="clear" w:color="auto" w:fill="FFFFFF"/>
        </w:rPr>
        <w:t>Se acabó la paciencia</w:t>
      </w:r>
      <w:r w:rsidRPr="00E527E0">
        <w:rPr>
          <w:shd w:val="clear" w:color="auto" w:fill="FFFFFF"/>
        </w:rPr>
        <w:t xml:space="preserve">” (Voxpópuli - </w:t>
      </w:r>
      <w:r w:rsidRPr="00E527E0">
        <w:rPr>
          <w:b/>
          <w:shd w:val="clear" w:color="auto" w:fill="FFFFFF"/>
        </w:rPr>
        <w:t>26/3/22</w:t>
      </w:r>
      <w:r w:rsidRPr="00E527E0">
        <w:rPr>
          <w:shd w:val="clear" w:color="auto" w:fill="FFFFFF"/>
        </w:rPr>
        <w:t>)</w:t>
      </w:r>
      <w:r w:rsidR="00E527E0">
        <w:rPr>
          <w:shd w:val="clear" w:color="auto" w:fill="FFFFFF"/>
        </w:rPr>
        <w:t>,</w:t>
      </w:r>
      <w:r w:rsidRPr="00E527E0">
        <w:rPr>
          <w:shd w:val="clear" w:color="auto" w:fill="FFFFFF"/>
        </w:rPr>
        <w:t xml:space="preserve"> “Los autónomos se han rebelado. Les han tocado el fondo de su paciencia, aquello que todo el mundo daba por obvio, la subsistencia. Se puede trabajar al borde del colapso, bordeando siempre un imprevisto que te sumiera en la ruina, un accidente, un achaque, un incidente desgraciado, pero nunca habían atisbado que podían llegar a lo imposible: trabajar a pérdidas. A más trabajo más pobreza. Ese momento del que antiguamente se decía que no tienes nada que perder salvo las cadenas. De pronto aparecía el viejo fantasma de la proletarización con el agravante insólito en la historia de tener la conciencia de un obrero que se paga su propio salario y que constituye una empresa que a efectos fiscales tiene un solo trabajador que eres tú”…</w:t>
      </w:r>
    </w:p>
    <w:p w:rsidR="00511B08" w:rsidRPr="00E527E0" w:rsidRDefault="00511B08" w:rsidP="00511B08">
      <w:pPr>
        <w:pStyle w:val="NormalWeb"/>
        <w:spacing w:after="0"/>
        <w:jc w:val="both"/>
        <w:textAlignment w:val="baseline"/>
        <w:rPr>
          <w:shd w:val="clear" w:color="auto" w:fill="FFFFFF"/>
        </w:rPr>
      </w:pPr>
      <w:r w:rsidRPr="00E527E0">
        <w:rPr>
          <w:shd w:val="clear" w:color="auto" w:fill="FFFFFF"/>
        </w:rPr>
        <w:t>La conflictividad social está escalando de una forma que sólo unas semanas atrás era absolutamente impensable. Cada día está más claro que la situación económica puede degenerar tanto, que el dinero europeo (Next Generation, Pacto Verde, monetización del BCE) no sirva para nada, y eso si llega: ¿alguien se cree que en plena guerra y con una enorme crisis energética se van a seguir destinado miles de millones a la “transición verde”?</w:t>
      </w:r>
    </w:p>
    <w:p w:rsidR="007A487C" w:rsidRPr="00E527E0" w:rsidRDefault="00511B08" w:rsidP="00511B08">
      <w:pPr>
        <w:pStyle w:val="NormalWeb"/>
        <w:spacing w:after="0"/>
        <w:jc w:val="both"/>
        <w:textAlignment w:val="baseline"/>
        <w:rPr>
          <w:shd w:val="clear" w:color="auto" w:fill="FFFFFF"/>
        </w:rPr>
      </w:pPr>
      <w:r w:rsidRPr="00E527E0">
        <w:rPr>
          <w:shd w:val="clear" w:color="auto" w:fill="FFFFFF"/>
        </w:rPr>
        <w:t xml:space="preserve">El principal suministrador de gas a la Unión Europea ha decidido emprender un ataque contra Occidente, y el petróleo ha iniciado una escalada de precios que, por el momento, no parece tener visos de cambio de tendencia. </w:t>
      </w:r>
      <w:r w:rsidR="007A487C" w:rsidRPr="00E527E0">
        <w:rPr>
          <w:shd w:val="clear" w:color="auto" w:fill="FFFFFF"/>
        </w:rPr>
        <w:t xml:space="preserve">Europa se enfrenta a una situación de carestía energética sin precedentes La independencia energética se ha convertido de hecho en la máxima prioridad de la Unión Europea, que hasta ahora importa de Rusia el 40% del gas que consume y el 26% del petróleo. </w:t>
      </w:r>
    </w:p>
    <w:p w:rsidR="005D3CB0" w:rsidRPr="00E527E0" w:rsidRDefault="005D3CB0" w:rsidP="005D3CB0">
      <w:pPr>
        <w:pStyle w:val="NormalWeb"/>
        <w:shd w:val="clear" w:color="auto" w:fill="FFFFFF"/>
        <w:spacing w:before="0" w:beforeAutospacing="0" w:after="270" w:afterAutospacing="0"/>
        <w:jc w:val="both"/>
        <w:rPr>
          <w:spacing w:val="-1"/>
        </w:rPr>
      </w:pPr>
      <w:r w:rsidRPr="00E527E0">
        <w:rPr>
          <w:shd w:val="clear" w:color="auto" w:fill="FFFFFF"/>
        </w:rPr>
        <w:t xml:space="preserve">El granero de Europa, es un campo de batalla. </w:t>
      </w:r>
      <w:r w:rsidRPr="00E527E0">
        <w:rPr>
          <w:spacing w:val="-1"/>
        </w:rPr>
        <w:t>La guerra de Putin con Ucrania, amenaza los suministros de alimentos al Viejo Continente por parte de un país que es conocido como el granero de Europa, ya que ocupa los primeros puestos</w:t>
      </w:r>
      <w:r w:rsidRPr="00E527E0">
        <w:rPr>
          <w:bCs/>
          <w:spacing w:val="-1"/>
        </w:rPr>
        <w:t> en la producción y exportación de girasol, cebada o maíz</w:t>
      </w:r>
      <w:r w:rsidRPr="00E527E0">
        <w:rPr>
          <w:spacing w:val="-1"/>
        </w:rPr>
        <w:t>, por citar algunos productos. Solo España, compra a Ucrania el 42,2% de los cereales que importa, lo que podría comportar una notable subida de precios.</w:t>
      </w:r>
    </w:p>
    <w:p w:rsidR="005D3CB0" w:rsidRPr="00E527E0" w:rsidRDefault="005D3CB0" w:rsidP="005D3CB0">
      <w:pPr>
        <w:pStyle w:val="NormalWeb"/>
        <w:shd w:val="clear" w:color="auto" w:fill="FFFFFF"/>
        <w:spacing w:before="0" w:beforeAutospacing="0" w:after="270" w:afterAutospacing="0"/>
        <w:jc w:val="both"/>
        <w:rPr>
          <w:spacing w:val="-1"/>
        </w:rPr>
      </w:pPr>
      <w:r w:rsidRPr="00E527E0">
        <w:rPr>
          <w:spacing w:val="-1"/>
        </w:rPr>
        <w:t>Ucrania es un es estado eminentemente agrícola, gracias, entre otras cosas, a su notable extensión geográfica: un total de 603.548 kilómetros cuadrados, mayor que Francia. De hecho, Ucrania es </w:t>
      </w:r>
      <w:r w:rsidRPr="00E527E0">
        <w:rPr>
          <w:bCs/>
          <w:spacing w:val="-1"/>
        </w:rPr>
        <w:t>la primera nación del continente y la segunda del mundo, por detrás de Bangladesh (Asia) en porcentaje de superficie cultivable (56%)</w:t>
      </w:r>
      <w:r w:rsidRPr="00E527E0">
        <w:rPr>
          <w:spacing w:val="-1"/>
        </w:rPr>
        <w:t>.</w:t>
      </w:r>
    </w:p>
    <w:p w:rsidR="005D3CB0" w:rsidRPr="00E527E0" w:rsidRDefault="005D3CB0" w:rsidP="005D3CB0">
      <w:pPr>
        <w:pStyle w:val="NormalWeb"/>
        <w:shd w:val="clear" w:color="auto" w:fill="FFFFFF"/>
        <w:spacing w:before="0" w:beforeAutospacing="0" w:after="270" w:afterAutospacing="0"/>
        <w:jc w:val="both"/>
        <w:rPr>
          <w:spacing w:val="-1"/>
        </w:rPr>
      </w:pPr>
      <w:r w:rsidRPr="00E527E0">
        <w:rPr>
          <w:spacing w:val="-1"/>
        </w:rPr>
        <w:t>Ucrania ocupa </w:t>
      </w:r>
      <w:r w:rsidRPr="00E527E0">
        <w:rPr>
          <w:bCs/>
          <w:spacing w:val="-1"/>
        </w:rPr>
        <w:t>el tercer lugar en el mundo por el área de suelo negro (25% del volumen mundial)</w:t>
      </w:r>
      <w:r w:rsidRPr="00E527E0">
        <w:rPr>
          <w:spacing w:val="-1"/>
        </w:rPr>
        <w:t>. Los suelos negros, que como su color indica son de tono oscuro, se caracterizan por ser ricos en materia orgánica o humus, por lo que son extraordinariamente fértiles.</w:t>
      </w:r>
    </w:p>
    <w:p w:rsidR="005D3CB0" w:rsidRPr="00E527E0" w:rsidRDefault="005D3CB0" w:rsidP="005D3CB0">
      <w:pPr>
        <w:pStyle w:val="NormalWeb"/>
        <w:shd w:val="clear" w:color="auto" w:fill="FFFFFF"/>
        <w:spacing w:before="0" w:beforeAutospacing="0" w:after="270" w:afterAutospacing="0"/>
        <w:jc w:val="both"/>
        <w:rPr>
          <w:spacing w:val="-1"/>
        </w:rPr>
      </w:pPr>
      <w:r w:rsidRPr="00E527E0">
        <w:rPr>
          <w:spacing w:val="-1"/>
        </w:rPr>
        <w:t>El país eslavo está en los </w:t>
      </w:r>
      <w:r w:rsidRPr="00E527E0">
        <w:rPr>
          <w:bCs/>
          <w:spacing w:val="-1"/>
        </w:rPr>
        <w:t>primeros puestos en  exportaciones agroalimentarias en muchos productos</w:t>
      </w:r>
      <w:r w:rsidRPr="00E527E0">
        <w:rPr>
          <w:spacing w:val="-1"/>
        </w:rPr>
        <w:t>. De este modo, es el primer exportador de girasol y aceite de girasol del mundo. Además, es el segundo productor mundial de cebada y el cuarto exportador. </w:t>
      </w:r>
    </w:p>
    <w:p w:rsidR="005D3CB0" w:rsidRPr="00E527E0" w:rsidRDefault="005D3CB0" w:rsidP="005D3CB0">
      <w:pPr>
        <w:pStyle w:val="NormalWeb"/>
        <w:shd w:val="clear" w:color="auto" w:fill="FFFFFF"/>
        <w:spacing w:before="0" w:beforeAutospacing="0" w:after="270" w:afterAutospacing="0"/>
        <w:jc w:val="both"/>
        <w:rPr>
          <w:spacing w:val="-1"/>
        </w:rPr>
      </w:pPr>
      <w:r w:rsidRPr="00E527E0">
        <w:rPr>
          <w:spacing w:val="-1"/>
        </w:rPr>
        <w:t>Asimismo, este estado de Europa Oriental es el tercer mayor productor y el cuarto mayor exportador de maíz del mundo, además del cuarto productor de patatas grandes y el quinto de centeno. Igualmente, ocupa el quinto lugar en el mundo en la producción de abejas (75.000 toneladas); el octavo en exportaciones de trigo; el noveno lugar en la producción de huevos de gallina o el decimosexto en el mundo en exportaciones de queso.</w:t>
      </w:r>
    </w:p>
    <w:p w:rsidR="00511B08" w:rsidRPr="00E527E0" w:rsidRDefault="005D3CB0" w:rsidP="00511B08">
      <w:pPr>
        <w:pStyle w:val="NormalWeb"/>
        <w:spacing w:after="0"/>
        <w:jc w:val="both"/>
        <w:textAlignment w:val="baseline"/>
        <w:rPr>
          <w:shd w:val="clear" w:color="auto" w:fill="FFFFFF"/>
        </w:rPr>
      </w:pPr>
      <w:r w:rsidRPr="00E527E0">
        <w:rPr>
          <w:shd w:val="clear" w:color="auto" w:fill="FFFFFF"/>
        </w:rPr>
        <w:lastRenderedPageBreak/>
        <w:t>La “Tomografía Axial Computerizada” (TAC) de la Unión Europea</w:t>
      </w:r>
      <w:r w:rsidR="00511B08" w:rsidRPr="00E527E0">
        <w:rPr>
          <w:shd w:val="clear" w:color="auto" w:fill="FFFFFF"/>
        </w:rPr>
        <w:t xml:space="preserve"> muestra inflación, desabastecimiento, estancamiento, recesión. La debilidad europea pasa factura.</w:t>
      </w:r>
    </w:p>
    <w:p w:rsidR="000175D3" w:rsidRPr="00E527E0" w:rsidRDefault="000175D3" w:rsidP="000175D3">
      <w:pPr>
        <w:pStyle w:val="NormalWeb"/>
        <w:spacing w:after="0"/>
        <w:jc w:val="both"/>
        <w:textAlignment w:val="baseline"/>
      </w:pPr>
      <w:r w:rsidRPr="00E527E0">
        <w:rPr>
          <w:shd w:val="clear" w:color="auto" w:fill="FFFFFF"/>
        </w:rPr>
        <w:t xml:space="preserve">Según la opinión de “los que saben”, la guerra económica con Rusia va a romper con décadas de apuesta por la globalización y con una larga era deflacionista. El nuevo entorno será de materias primas más caras. </w:t>
      </w:r>
      <w:r w:rsidR="0036257B" w:rsidRPr="00E527E0">
        <w:t>El efecto de la guerra será “una mayor autonomía estratégica de las grandes economías, la pérdida del impulso globalizador en el que llevamos inmersos desde los años 80. Se ha comprobado la fragilidad de las cadenas de valor”, sostienen.</w:t>
      </w:r>
    </w:p>
    <w:p w:rsidR="00C60874" w:rsidRPr="00E527E0" w:rsidRDefault="00C60874" w:rsidP="00C60874">
      <w:pPr>
        <w:pStyle w:val="NormalWeb"/>
        <w:spacing w:after="0"/>
        <w:jc w:val="both"/>
        <w:textAlignment w:val="baseline"/>
        <w:rPr>
          <w:shd w:val="clear" w:color="auto" w:fill="FFFFFF"/>
        </w:rPr>
      </w:pPr>
      <w:r w:rsidRPr="00E527E0">
        <w:rPr>
          <w:shd w:val="clear" w:color="auto" w:fill="FFFFFF"/>
        </w:rPr>
        <w:t>El conflicto bélico desatado en la Europa del Este, convertido ya en la mayor crisis geopolítica desde la Segunda Guerra Mundial, está alcanzado una dimensión económica que va a marcar un profundo punto de inflexión. No solo va a provocar este año (2022) un menor crecimiento económico y una mayor inflación sino que dejará cambios drásticos a medio y largo plazo.</w:t>
      </w:r>
    </w:p>
    <w:p w:rsidR="00C60874" w:rsidRPr="00E527E0" w:rsidRDefault="00C60874" w:rsidP="00C60874">
      <w:pPr>
        <w:pStyle w:val="NormalWeb"/>
        <w:spacing w:after="0"/>
        <w:jc w:val="both"/>
        <w:textAlignment w:val="baseline"/>
        <w:rPr>
          <w:shd w:val="clear" w:color="auto" w:fill="FFFFFF"/>
        </w:rPr>
      </w:pPr>
      <w:r w:rsidRPr="00E527E0">
        <w:rPr>
          <w:shd w:val="clear" w:color="auto" w:fill="FFFFFF"/>
        </w:rPr>
        <w:t>Como advertía en su carta anual Larry Fink, el presidente de BlackRock, la mayor gestora de fondos del mundo, “la invasión rusa de Ucrania ha puesto fin a la globalización que habíamos experimentado en las últimas tres décadas”. El freno a la globalización ya comenzó con la pandemia, cuando los problemas de suministro por las restricciones a la movilidad hicieron evidente la importancia de disponer de los productos básicos más cerca, incluso a costa de que resultaran más caros. El conflicto en Ucrania llega cuando aún no había terminado de regresar la normalidad a las cadenas de suministro tras la pandemia, un grave contratiempo que supuso el inicio de las tensiones inflacionistas que ahora se han desbocado.</w:t>
      </w:r>
    </w:p>
    <w:p w:rsidR="00C60874" w:rsidRPr="00E527E0" w:rsidRDefault="00C60874" w:rsidP="00C60874">
      <w:pPr>
        <w:pStyle w:val="NormalWeb"/>
        <w:spacing w:after="0"/>
        <w:jc w:val="both"/>
        <w:textAlignment w:val="baseline"/>
        <w:rPr>
          <w:shd w:val="clear" w:color="auto" w:fill="FFFFFF"/>
        </w:rPr>
      </w:pPr>
      <w:r w:rsidRPr="00E527E0">
        <w:rPr>
          <w:shd w:val="clear" w:color="auto" w:fill="FFFFFF"/>
        </w:rPr>
        <w:t>Más inflación y menos globalización, larvadas ya antes de la invasión rusa, son las tendencias que se han amplificado desde febrero de 2022 y que prometen prolongarse en el nuevo escenario económico que dejará la guerra. Para Fréderic Leourx, miembro del comité de inversión estratégico de Carmignac, “el conflicto entre Rusia y Ucrania confirmaría el final de la dinámica desinflacionista de los últimos 40 años, basada en una potente integración económica mundial, y daría comienzo a un nuevo orden económico”. Este nuevo orden, añade, estaría marcado por una especie de repliegue en el que favorecer la independencia industrial y energética, “cuya necesidad se ha revelado de forma manifiesta con la actual pandemia y las tensiones geopolíticas”.</w:t>
      </w:r>
    </w:p>
    <w:p w:rsidR="00C60874" w:rsidRPr="000D3F82" w:rsidRDefault="0036257B" w:rsidP="00C60874">
      <w:pPr>
        <w:pStyle w:val="NormalWeb"/>
        <w:spacing w:after="0"/>
        <w:jc w:val="both"/>
        <w:textAlignment w:val="baseline"/>
        <w:rPr>
          <w:shd w:val="clear" w:color="auto" w:fill="FFFFFF"/>
        </w:rPr>
      </w:pPr>
      <w:r w:rsidRPr="000D3F82">
        <w:t xml:space="preserve">Europa ha aprendido con este conflicto que tiene que depender más de sí misma, y no solo en materia de combustibles o electricidad. </w:t>
      </w:r>
      <w:r w:rsidR="00C60874" w:rsidRPr="000D3F82">
        <w:rPr>
          <w:shd w:val="clear" w:color="auto" w:fill="FFFFFF"/>
        </w:rPr>
        <w:t>La independencia energética y de materias primas básicas, se ha convertido de hecho en la máxima prioridad de la Unión Europea.</w:t>
      </w:r>
    </w:p>
    <w:p w:rsidR="000175D3" w:rsidRPr="000D3F82" w:rsidRDefault="000175D3" w:rsidP="000175D3">
      <w:pPr>
        <w:pStyle w:val="NormalWeb"/>
        <w:spacing w:after="0"/>
        <w:jc w:val="both"/>
        <w:textAlignment w:val="baseline"/>
        <w:rPr>
          <w:shd w:val="clear" w:color="auto" w:fill="FFFFFF"/>
        </w:rPr>
      </w:pPr>
      <w:r w:rsidRPr="000D3F82">
        <w:rPr>
          <w:shd w:val="clear" w:color="auto" w:fill="FFFFFF"/>
        </w:rPr>
        <w:t>¿Seguirá la Unión Europea, apostando por seguir la estela financiera de Wall Street, comprando en la fábrica del mundo China, cediendo al chantaje energético de Rusia, o adquiriendo materias primas básicas en países de fuera de la región?</w:t>
      </w:r>
    </w:p>
    <w:p w:rsidR="000175D3" w:rsidRPr="000D3F82" w:rsidRDefault="001F341F" w:rsidP="000175D3">
      <w:pPr>
        <w:pStyle w:val="NormalWeb"/>
        <w:spacing w:after="0"/>
        <w:jc w:val="both"/>
        <w:textAlignment w:val="baseline"/>
        <w:rPr>
          <w:shd w:val="clear" w:color="auto" w:fill="FFFFFF"/>
        </w:rPr>
      </w:pPr>
      <w:r w:rsidRPr="000D3F82">
        <w:rPr>
          <w:shd w:val="clear" w:color="auto" w:fill="FFFFFF"/>
        </w:rPr>
        <w:t>¿</w:t>
      </w:r>
      <w:r w:rsidR="000175D3" w:rsidRPr="000D3F82">
        <w:rPr>
          <w:shd w:val="clear" w:color="auto" w:fill="FFFFFF"/>
        </w:rPr>
        <w:t>Cree la Unión Europea que sus ciudadanos</w:t>
      </w:r>
      <w:r w:rsidRPr="000D3F82">
        <w:rPr>
          <w:shd w:val="clear" w:color="auto" w:fill="FFFFFF"/>
        </w:rPr>
        <w:t>,</w:t>
      </w:r>
      <w:r w:rsidR="000175D3" w:rsidRPr="000D3F82">
        <w:rPr>
          <w:shd w:val="clear" w:color="auto" w:fill="FFFFFF"/>
        </w:rPr>
        <w:t xml:space="preserve"> por más abducidos (y </w:t>
      </w:r>
      <w:r w:rsidRPr="000D3F82">
        <w:rPr>
          <w:shd w:val="clear" w:color="auto" w:fill="FFFFFF"/>
        </w:rPr>
        <w:t>anestesiados</w:t>
      </w:r>
      <w:r w:rsidR="000175D3" w:rsidRPr="000D3F82">
        <w:rPr>
          <w:shd w:val="clear" w:color="auto" w:fill="FFFFFF"/>
        </w:rPr>
        <w:t>) que estén por los iPhone, el 5g</w:t>
      </w:r>
      <w:r w:rsidR="00C60874" w:rsidRPr="000D3F82">
        <w:rPr>
          <w:shd w:val="clear" w:color="auto" w:fill="FFFFFF"/>
        </w:rPr>
        <w:t>, los gadgets</w:t>
      </w:r>
      <w:r w:rsidR="000175D3" w:rsidRPr="000D3F82">
        <w:rPr>
          <w:shd w:val="clear" w:color="auto" w:fill="FFFFFF"/>
        </w:rPr>
        <w:t>, el metaverso y toda l</w:t>
      </w:r>
      <w:r w:rsidRPr="000D3F82">
        <w:rPr>
          <w:shd w:val="clear" w:color="auto" w:fill="FFFFFF"/>
        </w:rPr>
        <w:t>a factoría</w:t>
      </w:r>
      <w:r w:rsidR="000175D3" w:rsidRPr="000D3F82">
        <w:rPr>
          <w:shd w:val="clear" w:color="auto" w:fill="FFFFFF"/>
        </w:rPr>
        <w:t xml:space="preserve"> de ficciones de Silicon Valley</w:t>
      </w:r>
      <w:r w:rsidR="00C60874" w:rsidRPr="000D3F82">
        <w:rPr>
          <w:shd w:val="clear" w:color="auto" w:fill="FFFFFF"/>
        </w:rPr>
        <w:t>, desocupados</w:t>
      </w:r>
      <w:r w:rsidRPr="000D3F82">
        <w:rPr>
          <w:shd w:val="clear" w:color="auto" w:fill="FFFFFF"/>
        </w:rPr>
        <w:t xml:space="preserve">, con empleos precarios, con aumento de la desigualdad, inflación, desabastecimiento… van a seguir tolerando los </w:t>
      </w:r>
      <w:r w:rsidR="00C60874" w:rsidRPr="000D3F82">
        <w:rPr>
          <w:shd w:val="clear" w:color="auto" w:fill="FFFFFF"/>
        </w:rPr>
        <w:t>“</w:t>
      </w:r>
      <w:r w:rsidRPr="000D3F82">
        <w:rPr>
          <w:shd w:val="clear" w:color="auto" w:fill="FFFFFF"/>
        </w:rPr>
        <w:t>dogmas</w:t>
      </w:r>
      <w:r w:rsidR="00C60874" w:rsidRPr="000D3F82">
        <w:rPr>
          <w:shd w:val="clear" w:color="auto" w:fill="FFFFFF"/>
        </w:rPr>
        <w:t>”</w:t>
      </w:r>
      <w:r w:rsidRPr="000D3F82">
        <w:rPr>
          <w:shd w:val="clear" w:color="auto" w:fill="FFFFFF"/>
        </w:rPr>
        <w:t xml:space="preserve"> de la Comisión Europea sobre</w:t>
      </w:r>
      <w:r w:rsidR="00C60874" w:rsidRPr="000D3F82">
        <w:rPr>
          <w:shd w:val="clear" w:color="auto" w:fill="FFFFFF"/>
        </w:rPr>
        <w:t xml:space="preserve"> </w:t>
      </w:r>
      <w:r w:rsidRPr="000D3F82">
        <w:rPr>
          <w:shd w:val="clear" w:color="auto" w:fill="FFFFFF"/>
        </w:rPr>
        <w:t xml:space="preserve"> globalización,</w:t>
      </w:r>
      <w:r w:rsidR="00C60874" w:rsidRPr="000D3F82">
        <w:rPr>
          <w:shd w:val="clear" w:color="auto" w:fill="FFFFFF"/>
        </w:rPr>
        <w:t xml:space="preserve"> </w:t>
      </w:r>
      <w:r w:rsidRPr="000D3F82">
        <w:rPr>
          <w:shd w:val="clear" w:color="auto" w:fill="FFFFFF"/>
        </w:rPr>
        <w:t>librecambio,</w:t>
      </w:r>
      <w:r w:rsidR="00C60874" w:rsidRPr="000D3F82">
        <w:rPr>
          <w:shd w:val="clear" w:color="auto" w:fill="FFFFFF"/>
        </w:rPr>
        <w:t xml:space="preserve"> ambientalismo</w:t>
      </w:r>
      <w:r w:rsidRPr="000D3F82">
        <w:rPr>
          <w:shd w:val="clear" w:color="auto" w:fill="FFFFFF"/>
        </w:rPr>
        <w:t xml:space="preserve">, </w:t>
      </w:r>
      <w:r w:rsidR="00C60874" w:rsidRPr="000D3F82">
        <w:rPr>
          <w:shd w:val="clear" w:color="auto" w:fill="FFFFFF"/>
        </w:rPr>
        <w:t xml:space="preserve">o </w:t>
      </w:r>
      <w:r w:rsidRPr="000D3F82">
        <w:rPr>
          <w:shd w:val="clear" w:color="auto" w:fill="FFFFFF"/>
        </w:rPr>
        <w:t xml:space="preserve">ideología de género? </w:t>
      </w:r>
      <w:r w:rsidR="000175D3" w:rsidRPr="000D3F82">
        <w:rPr>
          <w:shd w:val="clear" w:color="auto" w:fill="FFFFFF"/>
        </w:rPr>
        <w:t xml:space="preserve"> </w:t>
      </w:r>
    </w:p>
    <w:p w:rsidR="00511B08" w:rsidRPr="000D3F82" w:rsidRDefault="00511B08" w:rsidP="00511B08">
      <w:pPr>
        <w:pStyle w:val="NormalWeb"/>
        <w:spacing w:after="0"/>
        <w:jc w:val="both"/>
        <w:textAlignment w:val="baseline"/>
        <w:rPr>
          <w:shd w:val="clear" w:color="auto" w:fill="FFFFFF"/>
        </w:rPr>
      </w:pPr>
      <w:r w:rsidRPr="000D3F82">
        <w:rPr>
          <w:shd w:val="clear" w:color="auto" w:fill="FFFFFF"/>
        </w:rPr>
        <w:lastRenderedPageBreak/>
        <w:t>¿Demasiado tarde, para la rectificación o la enmienda? “La alternante fortuna se ha reído de muchos que ahora pretenden volver sobre sus pasos y ponerse en lugar seguro”, diría </w:t>
      </w:r>
      <w:r w:rsidRPr="000D3F82">
        <w:rPr>
          <w:rStyle w:val="Textoennegrita"/>
          <w:rFonts w:eastAsiaTheme="majorEastAsia"/>
          <w:b w:val="0"/>
          <w:shd w:val="clear" w:color="auto" w:fill="FFFFFF"/>
        </w:rPr>
        <w:t>Virgilio</w:t>
      </w:r>
      <w:r w:rsidRPr="000D3F82">
        <w:rPr>
          <w:shd w:val="clear" w:color="auto" w:fill="FFFFFF"/>
        </w:rPr>
        <w:t>. No le arriendo la ganancia a los “mangutas” de Bruselas.</w:t>
      </w:r>
    </w:p>
    <w:p w:rsidR="00511B08" w:rsidRPr="000D3F82" w:rsidRDefault="00511B08" w:rsidP="00511B08">
      <w:pPr>
        <w:pStyle w:val="NormalWeb"/>
        <w:spacing w:after="0"/>
        <w:jc w:val="both"/>
        <w:textAlignment w:val="baseline"/>
        <w:rPr>
          <w:shd w:val="clear" w:color="auto" w:fill="FFFFFF"/>
        </w:rPr>
      </w:pPr>
      <w:r w:rsidRPr="000D3F82">
        <w:rPr>
          <w:shd w:val="clear" w:color="auto" w:fill="FFFFFF"/>
        </w:rPr>
        <w:t xml:space="preserve">Han perdido el sentido de realidad y se han emborrachado de subterfugios. Mientras jugueteaban en el mundo de los “goldilocks” (Ricitos de Oro), con la ideología de género, huella ecológica, salvar el planeta, dejar de comer carne, no viajar en avión, utilizar energías renovables, cerrar las centrales de energía nuclear, ir al trabajo en bicicleta, ser sostenible,  circular, resiliente, guay, progre, woke…  confiaban en blockchain, criptoactivos, avatares y metaversos… han ignorado que la gasolina, el gas, la luz, la cadena de suministros, han saltado por los aires y sus restos están cayendo sobre una ciudadanía encogida y arruinada. </w:t>
      </w:r>
    </w:p>
    <w:p w:rsidR="00511B08" w:rsidRPr="000D3F82" w:rsidRDefault="00511B08" w:rsidP="00511B08">
      <w:pPr>
        <w:pStyle w:val="NormalWeb"/>
        <w:spacing w:after="0"/>
        <w:jc w:val="both"/>
        <w:textAlignment w:val="baseline"/>
        <w:rPr>
          <w:shd w:val="clear" w:color="auto" w:fill="FFFFFF"/>
        </w:rPr>
      </w:pPr>
      <w:r w:rsidRPr="000D3F82">
        <w:rPr>
          <w:shd w:val="clear" w:color="auto" w:fill="FFFFFF"/>
        </w:rPr>
        <w:t xml:space="preserve">¿Por qué la economía europea tiene la mala costumbre de situarse entre las perdedoras de todas las crisis? Lo fue en 2008 (financiera), en 2012 (monetaria) y en 2020 (sanitaria). En 2022 vuelve a tener un flanco débil en energía, materias primas, y productos básicos. </w:t>
      </w:r>
    </w:p>
    <w:p w:rsidR="00511B08" w:rsidRPr="000D3F82" w:rsidRDefault="000D3F82" w:rsidP="00511B08">
      <w:pPr>
        <w:pStyle w:val="NormalWeb"/>
        <w:spacing w:after="0"/>
        <w:jc w:val="both"/>
        <w:textAlignment w:val="baseline"/>
        <w:rPr>
          <w:shd w:val="clear" w:color="auto" w:fill="FFFFFF"/>
        </w:rPr>
      </w:pPr>
      <w:r w:rsidRPr="000D3F82">
        <w:rPr>
          <w:shd w:val="clear" w:color="auto" w:fill="FFFFFF"/>
        </w:rPr>
        <w:t>¿Habrá algún “mariscal de la derrota” que pague cara</w:t>
      </w:r>
      <w:r w:rsidR="00511B08" w:rsidRPr="000D3F82">
        <w:rPr>
          <w:shd w:val="clear" w:color="auto" w:fill="FFFFFF"/>
        </w:rPr>
        <w:t xml:space="preserve"> la pérdida de soberanía estratégica?</w:t>
      </w:r>
    </w:p>
    <w:p w:rsidR="00511B08" w:rsidRPr="000D3F82" w:rsidRDefault="00511B08" w:rsidP="00511B08">
      <w:pPr>
        <w:pStyle w:val="NormalWeb"/>
        <w:spacing w:after="0"/>
        <w:jc w:val="both"/>
        <w:textAlignment w:val="baseline"/>
        <w:rPr>
          <w:shd w:val="clear" w:color="auto" w:fill="FFFFFF"/>
        </w:rPr>
      </w:pPr>
      <w:r w:rsidRPr="000D3F82">
        <w:rPr>
          <w:shd w:val="clear" w:color="auto" w:fill="FFFFFF"/>
        </w:rPr>
        <w:t>La tormenta perfecta ya está aquí, y la “elite estéril” de Bruselas, sigue como Tarzán: “en bolas, y por las ramas”. Es lo que tiene cuando la Unión Europea depende de los más inútiles.</w:t>
      </w:r>
    </w:p>
    <w:p w:rsidR="00511B08" w:rsidRPr="000D3F82" w:rsidRDefault="00511B08" w:rsidP="00511B08">
      <w:pPr>
        <w:pStyle w:val="NormalWeb"/>
        <w:spacing w:after="0"/>
        <w:jc w:val="both"/>
        <w:textAlignment w:val="baseline"/>
        <w:rPr>
          <w:shd w:val="clear" w:color="auto" w:fill="FFFFFF"/>
        </w:rPr>
      </w:pPr>
      <w:r w:rsidRPr="000D3F82">
        <w:rPr>
          <w:shd w:val="clear" w:color="auto" w:fill="FFFFFF"/>
        </w:rPr>
        <w:t>¿Va a seguir siendo la Comisión Europea el avergonzado gestor de la nada de una región en bancarrota y en apariencia dispuesto, con la resignación del manso, a aceptar su triste destino, o surgirán unos líderes con mimbres morales bastantes para urdir una trama capaz de sacarla adelante -sangre, sudor y lágrimas- desde la plataforma de un proyecto liberal?</w:t>
      </w:r>
    </w:p>
    <w:p w:rsidR="00511B08" w:rsidRPr="000D3F82" w:rsidRDefault="00511B08" w:rsidP="00511B08">
      <w:pPr>
        <w:pStyle w:val="NormalWeb"/>
        <w:spacing w:after="0"/>
        <w:jc w:val="both"/>
        <w:textAlignment w:val="baseline"/>
        <w:rPr>
          <w:shd w:val="clear" w:color="auto" w:fill="FFFFFF"/>
        </w:rPr>
      </w:pPr>
      <w:r w:rsidRPr="000D3F82">
        <w:rPr>
          <w:shd w:val="clear" w:color="auto" w:fill="FFFFFF"/>
        </w:rPr>
        <w:t>¿Una Comisión Europea, de “tecnócratas”? Conviene decir enseguida que esta sería la peor salida imaginable de la crisis profunda que hoy vive la región. Una puerta sin esperanza.</w:t>
      </w:r>
    </w:p>
    <w:p w:rsidR="00511B08" w:rsidRPr="000D3F82" w:rsidRDefault="00511B08" w:rsidP="00511B08">
      <w:pPr>
        <w:pStyle w:val="NormalWeb"/>
        <w:spacing w:after="0"/>
        <w:jc w:val="both"/>
        <w:textAlignment w:val="baseline"/>
        <w:rPr>
          <w:shd w:val="clear" w:color="auto" w:fill="FFFFFF"/>
        </w:rPr>
      </w:pPr>
      <w:r w:rsidRPr="000D3F82">
        <w:rPr>
          <w:shd w:val="clear" w:color="auto" w:fill="FFFFFF"/>
        </w:rPr>
        <w:t>En las últimas décadas, la Comisión Europea (con algunos “tecnócratas” y demasiados “floreros chinos” que los países miembro no sabían d</w:t>
      </w:r>
      <w:r w:rsidR="004F7ED3" w:rsidRPr="000D3F82">
        <w:rPr>
          <w:shd w:val="clear" w:color="auto" w:fill="FFFFFF"/>
        </w:rPr>
        <w:t xml:space="preserve">ónde ponerlos) </w:t>
      </w:r>
      <w:r w:rsidRPr="000D3F82">
        <w:rPr>
          <w:shd w:val="clear" w:color="auto" w:fill="FFFFFF"/>
        </w:rPr>
        <w:t>no ha pasado de ser una especie de taller de reparaciones para que la socialdemocracia purgue los excesos de una izquierda extasiada ante la posibilidad de gastar el dinero ajeno.</w:t>
      </w:r>
    </w:p>
    <w:p w:rsidR="00511B08" w:rsidRPr="00E527E0" w:rsidRDefault="00511B08" w:rsidP="00511B08">
      <w:pPr>
        <w:pStyle w:val="NormalWeb"/>
        <w:spacing w:after="0"/>
        <w:jc w:val="both"/>
        <w:textAlignment w:val="baseline"/>
        <w:rPr>
          <w:shd w:val="clear" w:color="auto" w:fill="FFFFFF"/>
        </w:rPr>
      </w:pPr>
      <w:r w:rsidRPr="00E527E0">
        <w:rPr>
          <w:shd w:val="clear" w:color="auto" w:fill="FFFFFF"/>
        </w:rPr>
        <w:t xml:space="preserve">Dice Jesús Cacho, otro periodista español, de primer nivel, en su comentario del </w:t>
      </w:r>
      <w:r w:rsidR="004F7ED3">
        <w:rPr>
          <w:b/>
          <w:shd w:val="clear" w:color="auto" w:fill="FFFFFF"/>
        </w:rPr>
        <w:t>27</w:t>
      </w:r>
      <w:r w:rsidRPr="00E527E0">
        <w:rPr>
          <w:b/>
          <w:shd w:val="clear" w:color="auto" w:fill="FFFFFF"/>
        </w:rPr>
        <w:t>/3/22</w:t>
      </w:r>
      <w:r w:rsidRPr="00E527E0">
        <w:rPr>
          <w:shd w:val="clear" w:color="auto" w:fill="FFFFFF"/>
        </w:rPr>
        <w:t xml:space="preserve"> (Voxpópuli): “Pero ese modelo hace tiempo que ha entrado en crisis. Crisis terminal. Tal vez el mejor ejemplo sea ahora mismo Francia, un país que dedica casi el 62% de su PIB a gasto </w:t>
      </w:r>
      <w:r w:rsidR="000D3F82">
        <w:rPr>
          <w:shd w:val="clear" w:color="auto" w:fill="FFFFFF"/>
        </w:rPr>
        <w:t>público. Cuando, cada 1-E</w:t>
      </w:r>
      <w:r w:rsidRPr="00E527E0">
        <w:rPr>
          <w:shd w:val="clear" w:color="auto" w:fill="FFFFFF"/>
        </w:rPr>
        <w:t>, los Estados levantan el telón de sus respectivos Presupuestos, la parte del león de los mismos está asignada con compromisos de gasto insoslayables, a los que se añaden constantes remiendos de gasto nuevo que se convierte en estructural y se enchufa directamente a una deuda que no ha dejado de crecer en los últimos años por culpa, entre otras cosas, de la pandemia. Todo ya repartido, todas las cartas marcadas, todo el futuro agotado en una UE acogotada por la burocracia. No hay crecimiento. No hay empleo. No hay futuro para los jóvenes. España es quizá el mejor ejemplo de este drama”…</w:t>
      </w:r>
    </w:p>
    <w:p w:rsidR="00511B08" w:rsidRPr="00E527E0" w:rsidRDefault="00511B08" w:rsidP="00511B08">
      <w:pPr>
        <w:pStyle w:val="NormalWeb"/>
        <w:spacing w:after="0"/>
        <w:jc w:val="both"/>
        <w:textAlignment w:val="baseline"/>
        <w:rPr>
          <w:shd w:val="clear" w:color="auto" w:fill="FFFFFF"/>
        </w:rPr>
      </w:pPr>
      <w:r w:rsidRPr="00E527E0">
        <w:rPr>
          <w:shd w:val="clear" w:color="auto" w:fill="FFFFFF"/>
        </w:rPr>
        <w:t xml:space="preserve">Y, ¿qué ha hecho Europa para combatir este cáncer terminal? Nada, regodearse en su infortunio. Incrementar exponencialmente el mal con nuevas metástasis. Con el agravante de que ha sido la derecha la que ha asumido casi en exclusiva el papel de garante de esa socialdemocracia desvencijada, ese Estado paternalista que todo lo invade achicharrando la iniciativa privada. La derecha como gestor atontado de un modelo, el socialdemócrata, </w:t>
      </w:r>
      <w:r w:rsidRPr="00E527E0">
        <w:rPr>
          <w:shd w:val="clear" w:color="auto" w:fill="FFFFFF"/>
        </w:rPr>
        <w:lastRenderedPageBreak/>
        <w:t>claramente agotado, del que se han ido desprendiendo cual frutos maduros los partidos socialistas (el francés, el italiano, el griego, con el portugués jugando a liberal) hasta desaparecer. El socialismo muere y, donde sobrevive, se radicaliza, se echa al</w:t>
      </w:r>
      <w:r w:rsidR="004F7ED3">
        <w:rPr>
          <w:shd w:val="clear" w:color="auto" w:fill="FFFFFF"/>
        </w:rPr>
        <w:t xml:space="preserve"> monte, caso del PSOE en España</w:t>
      </w:r>
      <w:r w:rsidRPr="00E527E0">
        <w:rPr>
          <w:shd w:val="clear" w:color="auto" w:fill="FFFFFF"/>
        </w:rPr>
        <w:t>. Pero esa derecha que ha renunciado a los viejos principios no tiene ya capacidad para gestionar el monstruo de unos Estados inmanejables, quebrados en su mayoría, con una deuda superior a los bienes y servicios que un país como España es capaz de producir en un año entero”, agrega.</w:t>
      </w:r>
    </w:p>
    <w:p w:rsidR="00511B08" w:rsidRPr="000D3F82" w:rsidRDefault="00511B08" w:rsidP="00511B08">
      <w:pPr>
        <w:pStyle w:val="NormalWeb"/>
        <w:spacing w:after="0"/>
        <w:jc w:val="both"/>
        <w:textAlignment w:val="baseline"/>
        <w:rPr>
          <w:b/>
          <w:shd w:val="clear" w:color="auto" w:fill="FFFFFF"/>
        </w:rPr>
      </w:pPr>
      <w:r w:rsidRPr="000D3F82">
        <w:rPr>
          <w:b/>
          <w:shd w:val="clear" w:color="auto" w:fill="FFFFFF"/>
        </w:rPr>
        <w:t>El desafío se ha convertido en inabarcable para nuestros aprendices de Brujos. Ya nadie puede ocultar la necesidad de una revisión integral del modelo de la Unión, revisión que va mucho más allá de su vertiente puramente económica para, de forma obligada, invadir terrenos naturalmente de la política (calidad de la democracia, regeneración de las instituciones, desalojo de los grupos de poder, que han copado la Comisión, el Parlamento y si me apuran, hasta el Consejo Europeo) y social (</w:t>
      </w:r>
      <w:r w:rsidR="00C65A9F" w:rsidRPr="000D3F82">
        <w:rPr>
          <w:b/>
          <w:shd w:val="clear" w:color="auto" w:fill="FFFFFF"/>
        </w:rPr>
        <w:t>batalla informativa</w:t>
      </w:r>
      <w:r w:rsidRPr="000D3F82">
        <w:rPr>
          <w:b/>
          <w:shd w:val="clear" w:color="auto" w:fill="FFFFFF"/>
        </w:rPr>
        <w:t xml:space="preserve"> contra esas parodias llamadas: progresismo woke, ambientalismo radical, feminismo extremo, </w:t>
      </w:r>
      <w:r w:rsidR="001C4B21" w:rsidRPr="000D3F82">
        <w:rPr>
          <w:b/>
          <w:shd w:val="clear" w:color="auto" w:fill="FFFFFF"/>
        </w:rPr>
        <w:t xml:space="preserve">cultura de la </w:t>
      </w:r>
      <w:r w:rsidRPr="000D3F82">
        <w:rPr>
          <w:b/>
          <w:shd w:val="clear" w:color="auto" w:fill="FFFFFF"/>
        </w:rPr>
        <w:t>cancelación,</w:t>
      </w:r>
      <w:r w:rsidR="001C4B21" w:rsidRPr="000D3F82">
        <w:rPr>
          <w:b/>
          <w:shd w:val="clear" w:color="auto" w:fill="FFFFFF"/>
        </w:rPr>
        <w:t xml:space="preserve"> y </w:t>
      </w:r>
      <w:r w:rsidRPr="000D3F82">
        <w:rPr>
          <w:b/>
          <w:shd w:val="clear" w:color="auto" w:fill="FFFFFF"/>
        </w:rPr>
        <w:t>lucha sin cuartel contra las sanguijuelas progres acostumbradas a vivir de los impuestos del ciudadano).</w:t>
      </w:r>
    </w:p>
    <w:p w:rsidR="00511B08" w:rsidRPr="000D3F82" w:rsidRDefault="00511B08" w:rsidP="00511B08">
      <w:pPr>
        <w:pStyle w:val="NormalWeb"/>
        <w:spacing w:after="0"/>
        <w:jc w:val="both"/>
        <w:textAlignment w:val="baseline"/>
        <w:rPr>
          <w:b/>
          <w:shd w:val="clear" w:color="auto" w:fill="FFFFFF"/>
        </w:rPr>
      </w:pPr>
      <w:r w:rsidRPr="000D3F82">
        <w:rPr>
          <w:b/>
          <w:shd w:val="clear" w:color="auto" w:fill="FFFFFF"/>
        </w:rPr>
        <w:t>Conviene insistir: lo que está en crisis es el modelo, el consenso socialdemócrata que ha gobernado Europa durante décadas, el de un gasto público desenfrenado, el de unos impuestos confiscatorios, el de un Estado Leviatán lleno de funcionarios, vocacionalmente dispuestos a decirle al ciudadano cómo debe vivir su vida y lo que tiene o no prohibido hacer. La carga fiscal que soportaban los europeos hasta la gran crisis del petróleo de 1973 era muy inferior a la actual, lo que permitió a las economías crecer con fuerza y crear empleo. Eso hace mucho tiempo que se acabó. Italia lleva más de 20 años sin crecer.</w:t>
      </w:r>
    </w:p>
    <w:p w:rsidR="00511B08" w:rsidRPr="000D3F82" w:rsidRDefault="00511B08" w:rsidP="00511B08">
      <w:pPr>
        <w:pStyle w:val="NormalWeb"/>
        <w:spacing w:after="0"/>
        <w:jc w:val="both"/>
        <w:textAlignment w:val="baseline"/>
        <w:rPr>
          <w:b/>
          <w:shd w:val="clear" w:color="auto" w:fill="FFFFFF"/>
        </w:rPr>
      </w:pPr>
      <w:r w:rsidRPr="000D3F82">
        <w:rPr>
          <w:b/>
          <w:shd w:val="clear" w:color="auto" w:fill="FFFFFF"/>
        </w:rPr>
        <w:t>La recuperación del crecimiento dañado por la pandemia, que se esperaba, como ocurrió en otros países fuera de la UE, para finales de 2021, no se producirá en este 2022 y muy probablemente ni siquiera en 2023. La inestabilidad es la “nueva normalidad”. El futuro de la Unión Europea empieza a presentar perfiles muy amenazadores.</w:t>
      </w:r>
    </w:p>
    <w:p w:rsidR="00511B08" w:rsidRPr="000D3F82" w:rsidRDefault="00511B08" w:rsidP="00511B08">
      <w:pPr>
        <w:pStyle w:val="NormalWeb"/>
        <w:spacing w:after="0"/>
        <w:jc w:val="both"/>
        <w:textAlignment w:val="baseline"/>
        <w:rPr>
          <w:b/>
          <w:shd w:val="clear" w:color="auto" w:fill="FFFFFF"/>
        </w:rPr>
      </w:pPr>
      <w:r w:rsidRPr="000D3F82">
        <w:rPr>
          <w:b/>
          <w:shd w:val="clear" w:color="auto" w:fill="FFFFFF"/>
        </w:rPr>
        <w:t>La Unión Europea no puede continuar insultando la inteligencia de sus ciudadanos mientras mete mano en su cartera. Hay que salir del bucle de inanidad en el que la UE ha navegado desde, más o menos, el año 2001. Hay que devolver el protagonismo a los ciudadanos antes que a la sociedad. Y a la sociedad antes que al Estado. Hay que hacerlo ahora, o nunca…</w:t>
      </w:r>
    </w:p>
    <w:p w:rsidR="00511B08" w:rsidRPr="000D3F82" w:rsidRDefault="00511B08" w:rsidP="00511B08">
      <w:pPr>
        <w:pStyle w:val="NormalWeb"/>
        <w:spacing w:after="0"/>
        <w:jc w:val="both"/>
        <w:textAlignment w:val="baseline"/>
        <w:rPr>
          <w:b/>
          <w:shd w:val="clear" w:color="auto" w:fill="FFFFFF"/>
        </w:rPr>
      </w:pPr>
      <w:r w:rsidRPr="000D3F82">
        <w:rPr>
          <w:b/>
        </w:rPr>
        <w:t>Una sociedad asentada, estable, con un grado de bienestar extendido, permite que los valores sean mucho más sólidos, y también más avanzados.</w:t>
      </w:r>
      <w:r w:rsidRPr="000D3F82">
        <w:rPr>
          <w:b/>
          <w:shd w:val="clear" w:color="auto" w:fill="FFFFFF"/>
        </w:rPr>
        <w:t xml:space="preserve"> </w:t>
      </w:r>
      <w:r w:rsidRPr="000D3F82">
        <w:rPr>
          <w:b/>
        </w:rPr>
        <w:t>Cuando las sociedades se desorganizan y son muy desiguales, aparece la anomia, en el mejor de los casos, y predominan las posiciones egoístas, cuando no decididamente agresivas.</w:t>
      </w:r>
    </w:p>
    <w:p w:rsidR="00511B08" w:rsidRPr="000D3F82" w:rsidRDefault="00511B08" w:rsidP="00511B08">
      <w:pPr>
        <w:pStyle w:val="NormalWeb"/>
        <w:spacing w:after="0"/>
        <w:jc w:val="both"/>
        <w:textAlignment w:val="baseline"/>
        <w:rPr>
          <w:shd w:val="clear" w:color="auto" w:fill="FFFFFF"/>
        </w:rPr>
      </w:pPr>
      <w:r w:rsidRPr="000D3F82">
        <w:rPr>
          <w:shd w:val="clear" w:color="auto" w:fill="FFFFFF"/>
        </w:rPr>
        <w:t>En la considerada primera óper</w:t>
      </w:r>
      <w:r w:rsidR="000D3F82">
        <w:rPr>
          <w:shd w:val="clear" w:color="auto" w:fill="FFFFFF"/>
        </w:rPr>
        <w:t xml:space="preserve">a de la historia, Orfeo de </w:t>
      </w:r>
      <w:r w:rsidRPr="000D3F82">
        <w:rPr>
          <w:shd w:val="clear" w:color="auto" w:fill="FFFFFF"/>
        </w:rPr>
        <w:t>Claudio Monteverdi, su protagonista canta que: “La ocasión es una efímera flor que hay que cosechar a tiempo”.</w:t>
      </w:r>
    </w:p>
    <w:p w:rsidR="001C4B21" w:rsidRPr="000D3F82" w:rsidRDefault="001C4B21" w:rsidP="00511B08">
      <w:pPr>
        <w:pStyle w:val="NormalWeb"/>
        <w:spacing w:after="0"/>
        <w:jc w:val="both"/>
        <w:textAlignment w:val="baseline"/>
        <w:rPr>
          <w:b/>
          <w:shd w:val="clear" w:color="auto" w:fill="FFFFFF"/>
        </w:rPr>
      </w:pPr>
      <w:r w:rsidRPr="000D3F82">
        <w:rPr>
          <w:b/>
        </w:rPr>
        <w:t>Si la Unión Eu</w:t>
      </w:r>
      <w:r w:rsidR="00C55E82" w:rsidRPr="000D3F82">
        <w:rPr>
          <w:b/>
        </w:rPr>
        <w:t>ropea</w:t>
      </w:r>
      <w:r w:rsidRPr="000D3F82">
        <w:rPr>
          <w:b/>
        </w:rPr>
        <w:t xml:space="preserve"> quiere sobrevivir, debe prepararse para lo peor.</w:t>
      </w:r>
    </w:p>
    <w:p w:rsidR="001C4B21" w:rsidRPr="000D3F82" w:rsidRDefault="00511B08" w:rsidP="00511B08">
      <w:pPr>
        <w:pStyle w:val="NormalWeb"/>
        <w:spacing w:after="0"/>
        <w:jc w:val="both"/>
        <w:textAlignment w:val="baseline"/>
        <w:rPr>
          <w:b/>
          <w:shd w:val="clear" w:color="auto" w:fill="FFFFFF"/>
        </w:rPr>
      </w:pPr>
      <w:r w:rsidRPr="000D3F82">
        <w:rPr>
          <w:b/>
          <w:shd w:val="clear" w:color="auto" w:fill="FFFFFF"/>
        </w:rPr>
        <w:t>¡Wake up, Europe!</w:t>
      </w:r>
    </w:p>
    <w:sectPr w:rsidR="001C4B21" w:rsidRPr="000D3F8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D1F22"/>
    <w:multiLevelType w:val="multilevel"/>
    <w:tmpl w:val="3FC60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7EA4F30"/>
    <w:multiLevelType w:val="multilevel"/>
    <w:tmpl w:val="62605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0925A2D"/>
    <w:multiLevelType w:val="multilevel"/>
    <w:tmpl w:val="925E9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14C3BF2"/>
    <w:multiLevelType w:val="multilevel"/>
    <w:tmpl w:val="D772E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5865CF2"/>
    <w:multiLevelType w:val="multilevel"/>
    <w:tmpl w:val="DB4C9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A770345"/>
    <w:multiLevelType w:val="multilevel"/>
    <w:tmpl w:val="25B84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C592973"/>
    <w:multiLevelType w:val="multilevel"/>
    <w:tmpl w:val="DC2AF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C657F53"/>
    <w:multiLevelType w:val="multilevel"/>
    <w:tmpl w:val="DC2C0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D69043C"/>
    <w:multiLevelType w:val="multilevel"/>
    <w:tmpl w:val="54D61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0AF21BB"/>
    <w:multiLevelType w:val="multilevel"/>
    <w:tmpl w:val="65D41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1A44FC1"/>
    <w:multiLevelType w:val="multilevel"/>
    <w:tmpl w:val="B622C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4743905"/>
    <w:multiLevelType w:val="multilevel"/>
    <w:tmpl w:val="730E5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4C4323E"/>
    <w:multiLevelType w:val="multilevel"/>
    <w:tmpl w:val="7548A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93E6348"/>
    <w:multiLevelType w:val="hybridMultilevel"/>
    <w:tmpl w:val="283269F2"/>
    <w:lvl w:ilvl="0" w:tplc="32EC185E">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2AD445FD"/>
    <w:multiLevelType w:val="multilevel"/>
    <w:tmpl w:val="8C529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B30000A"/>
    <w:multiLevelType w:val="multilevel"/>
    <w:tmpl w:val="386CE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33D81EC4"/>
    <w:multiLevelType w:val="multilevel"/>
    <w:tmpl w:val="0B727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39E00DC9"/>
    <w:multiLevelType w:val="multilevel"/>
    <w:tmpl w:val="2D98A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4F65747"/>
    <w:multiLevelType w:val="multilevel"/>
    <w:tmpl w:val="2A683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FC59B1"/>
    <w:multiLevelType w:val="multilevel"/>
    <w:tmpl w:val="31F84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5FAB5B23"/>
    <w:multiLevelType w:val="multilevel"/>
    <w:tmpl w:val="1F349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5FF300F"/>
    <w:multiLevelType w:val="multilevel"/>
    <w:tmpl w:val="C9C29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66C26122"/>
    <w:multiLevelType w:val="hybridMultilevel"/>
    <w:tmpl w:val="FECED81A"/>
    <w:lvl w:ilvl="0" w:tplc="4B460AA6">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6C222F86"/>
    <w:multiLevelType w:val="multilevel"/>
    <w:tmpl w:val="CAC0D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7C35419F"/>
    <w:multiLevelType w:val="hybridMultilevel"/>
    <w:tmpl w:val="61684828"/>
    <w:lvl w:ilvl="0" w:tplc="A476B72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7D2959C6"/>
    <w:multiLevelType w:val="multilevel"/>
    <w:tmpl w:val="7BBC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4"/>
  </w:num>
  <w:num w:numId="2">
    <w:abstractNumId w:val="18"/>
  </w:num>
  <w:num w:numId="3">
    <w:abstractNumId w:val="13"/>
  </w:num>
  <w:num w:numId="4">
    <w:abstractNumId w:val="22"/>
  </w:num>
  <w:num w:numId="5">
    <w:abstractNumId w:val="21"/>
  </w:num>
  <w:num w:numId="6">
    <w:abstractNumId w:val="15"/>
  </w:num>
  <w:num w:numId="7">
    <w:abstractNumId w:val="25"/>
  </w:num>
  <w:num w:numId="8">
    <w:abstractNumId w:val="14"/>
  </w:num>
  <w:num w:numId="9">
    <w:abstractNumId w:val="5"/>
  </w:num>
  <w:num w:numId="10">
    <w:abstractNumId w:val="9"/>
  </w:num>
  <w:num w:numId="11">
    <w:abstractNumId w:val="0"/>
  </w:num>
  <w:num w:numId="12">
    <w:abstractNumId w:val="19"/>
  </w:num>
  <w:num w:numId="13">
    <w:abstractNumId w:val="3"/>
  </w:num>
  <w:num w:numId="14">
    <w:abstractNumId w:val="8"/>
  </w:num>
  <w:num w:numId="15">
    <w:abstractNumId w:val="11"/>
  </w:num>
  <w:num w:numId="16">
    <w:abstractNumId w:val="4"/>
  </w:num>
  <w:num w:numId="17">
    <w:abstractNumId w:val="17"/>
  </w:num>
  <w:num w:numId="18">
    <w:abstractNumId w:val="2"/>
  </w:num>
  <w:num w:numId="19">
    <w:abstractNumId w:val="12"/>
  </w:num>
  <w:num w:numId="20">
    <w:abstractNumId w:val="6"/>
  </w:num>
  <w:num w:numId="21">
    <w:abstractNumId w:val="23"/>
  </w:num>
  <w:num w:numId="22">
    <w:abstractNumId w:val="1"/>
  </w:num>
  <w:num w:numId="23">
    <w:abstractNumId w:val="10"/>
  </w:num>
  <w:num w:numId="24">
    <w:abstractNumId w:val="7"/>
  </w:num>
  <w:num w:numId="25">
    <w:abstractNumId w:val="16"/>
  </w:num>
  <w:num w:numId="2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642A"/>
    <w:rsid w:val="000055D6"/>
    <w:rsid w:val="000142C0"/>
    <w:rsid w:val="000175D3"/>
    <w:rsid w:val="00025A50"/>
    <w:rsid w:val="00042ECF"/>
    <w:rsid w:val="000576B3"/>
    <w:rsid w:val="00076E63"/>
    <w:rsid w:val="000B1009"/>
    <w:rsid w:val="000D3F82"/>
    <w:rsid w:val="00155BE6"/>
    <w:rsid w:val="001C4B21"/>
    <w:rsid w:val="001F341F"/>
    <w:rsid w:val="00244B4E"/>
    <w:rsid w:val="00266C5A"/>
    <w:rsid w:val="002B7C74"/>
    <w:rsid w:val="002D5C7A"/>
    <w:rsid w:val="003436AF"/>
    <w:rsid w:val="00357A5E"/>
    <w:rsid w:val="0036257B"/>
    <w:rsid w:val="00371472"/>
    <w:rsid w:val="00377D15"/>
    <w:rsid w:val="004611C9"/>
    <w:rsid w:val="00463E11"/>
    <w:rsid w:val="0046570B"/>
    <w:rsid w:val="00474C90"/>
    <w:rsid w:val="004D35FC"/>
    <w:rsid w:val="004E34F4"/>
    <w:rsid w:val="004F7ED3"/>
    <w:rsid w:val="00511B08"/>
    <w:rsid w:val="005464CF"/>
    <w:rsid w:val="00597116"/>
    <w:rsid w:val="005D3CB0"/>
    <w:rsid w:val="00606F63"/>
    <w:rsid w:val="006100FA"/>
    <w:rsid w:val="00625A76"/>
    <w:rsid w:val="0063040C"/>
    <w:rsid w:val="00702947"/>
    <w:rsid w:val="007A487C"/>
    <w:rsid w:val="007C220D"/>
    <w:rsid w:val="007E482E"/>
    <w:rsid w:val="008A5228"/>
    <w:rsid w:val="00900E09"/>
    <w:rsid w:val="00901140"/>
    <w:rsid w:val="00901F03"/>
    <w:rsid w:val="009353E8"/>
    <w:rsid w:val="0096224B"/>
    <w:rsid w:val="0098611F"/>
    <w:rsid w:val="009B1AA2"/>
    <w:rsid w:val="009C20F1"/>
    <w:rsid w:val="00A3309B"/>
    <w:rsid w:val="00A33540"/>
    <w:rsid w:val="00A54C10"/>
    <w:rsid w:val="00AB107E"/>
    <w:rsid w:val="00B4374C"/>
    <w:rsid w:val="00BF5D7B"/>
    <w:rsid w:val="00C55E82"/>
    <w:rsid w:val="00C60874"/>
    <w:rsid w:val="00C63ABB"/>
    <w:rsid w:val="00C65A9F"/>
    <w:rsid w:val="00C96BF0"/>
    <w:rsid w:val="00D0642A"/>
    <w:rsid w:val="00D15D03"/>
    <w:rsid w:val="00DC06EA"/>
    <w:rsid w:val="00DC33F0"/>
    <w:rsid w:val="00DE64B9"/>
    <w:rsid w:val="00E15C81"/>
    <w:rsid w:val="00E527E0"/>
    <w:rsid w:val="00EE563B"/>
    <w:rsid w:val="00F36C3D"/>
    <w:rsid w:val="00F63799"/>
    <w:rsid w:val="00F80261"/>
    <w:rsid w:val="00F80CE1"/>
    <w:rsid w:val="00F83242"/>
    <w:rsid w:val="00F93456"/>
    <w:rsid w:val="00FB35C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642A"/>
  </w:style>
  <w:style w:type="paragraph" w:styleId="Ttulo2">
    <w:name w:val="heading 2"/>
    <w:basedOn w:val="Normal"/>
    <w:link w:val="Ttulo2Car"/>
    <w:uiPriority w:val="9"/>
    <w:qFormat/>
    <w:rsid w:val="007E482E"/>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F36C3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7E482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ennegrita">
    <w:name w:val="Strong"/>
    <w:basedOn w:val="Fuentedeprrafopredeter"/>
    <w:uiPriority w:val="22"/>
    <w:qFormat/>
    <w:rsid w:val="00D0642A"/>
    <w:rPr>
      <w:b/>
      <w:bCs/>
    </w:rPr>
  </w:style>
  <w:style w:type="paragraph" w:styleId="Textodeglobo">
    <w:name w:val="Balloon Text"/>
    <w:basedOn w:val="Normal"/>
    <w:link w:val="TextodegloboCar"/>
    <w:uiPriority w:val="99"/>
    <w:semiHidden/>
    <w:unhideWhenUsed/>
    <w:rsid w:val="00D064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642A"/>
    <w:rPr>
      <w:rFonts w:ascii="Tahoma" w:hAnsi="Tahoma" w:cs="Tahoma"/>
      <w:sz w:val="16"/>
      <w:szCs w:val="16"/>
    </w:rPr>
  </w:style>
  <w:style w:type="character" w:styleId="Hipervnculo">
    <w:name w:val="Hyperlink"/>
    <w:basedOn w:val="Fuentedeprrafopredeter"/>
    <w:uiPriority w:val="99"/>
    <w:unhideWhenUsed/>
    <w:rsid w:val="00D0642A"/>
    <w:rPr>
      <w:color w:val="0000FF"/>
      <w:u w:val="single"/>
    </w:rPr>
  </w:style>
  <w:style w:type="paragraph" w:styleId="NormalWeb">
    <w:name w:val="Normal (Web)"/>
    <w:basedOn w:val="Normal"/>
    <w:uiPriority w:val="99"/>
    <w:unhideWhenUsed/>
    <w:rsid w:val="00D0642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D0642A"/>
    <w:pPr>
      <w:ind w:left="720"/>
      <w:contextualSpacing/>
    </w:pPr>
  </w:style>
  <w:style w:type="paragraph" w:customStyle="1" w:styleId="bbc-bm53ic">
    <w:name w:val="bbc-bm53ic"/>
    <w:basedOn w:val="Normal"/>
    <w:rsid w:val="00BF5D7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F36C3D"/>
    <w:rPr>
      <w:rFonts w:asciiTheme="majorHAnsi" w:eastAsiaTheme="majorEastAsia" w:hAnsiTheme="majorHAnsi" w:cstheme="majorBidi"/>
      <w:b/>
      <w:bCs/>
      <w:color w:val="4F81BD" w:themeColor="accent1"/>
    </w:rPr>
  </w:style>
  <w:style w:type="character" w:customStyle="1" w:styleId="Ttulo2Car">
    <w:name w:val="Título 2 Car"/>
    <w:basedOn w:val="Fuentedeprrafopredeter"/>
    <w:link w:val="Ttulo2"/>
    <w:uiPriority w:val="9"/>
    <w:rsid w:val="007E482E"/>
    <w:rPr>
      <w:rFonts w:ascii="Times New Roman" w:eastAsia="Times New Roman" w:hAnsi="Times New Roman" w:cs="Times New Roman"/>
      <w:b/>
      <w:bCs/>
      <w:sz w:val="36"/>
      <w:szCs w:val="36"/>
      <w:lang w:eastAsia="es-ES"/>
    </w:rPr>
  </w:style>
  <w:style w:type="character" w:customStyle="1" w:styleId="Ttulo4Car">
    <w:name w:val="Título 4 Car"/>
    <w:basedOn w:val="Fuentedeprrafopredeter"/>
    <w:link w:val="Ttulo4"/>
    <w:uiPriority w:val="9"/>
    <w:rsid w:val="007E482E"/>
    <w:rPr>
      <w:rFonts w:asciiTheme="majorHAnsi" w:eastAsiaTheme="majorEastAsia" w:hAnsiTheme="majorHAnsi" w:cstheme="majorBidi"/>
      <w:b/>
      <w:bCs/>
      <w:i/>
      <w:iCs/>
      <w:color w:val="4F81BD" w:themeColor="accent1"/>
    </w:rPr>
  </w:style>
  <w:style w:type="character" w:customStyle="1" w:styleId="bold">
    <w:name w:val="bold"/>
    <w:basedOn w:val="Fuentedeprrafopredeter"/>
    <w:rsid w:val="007E482E"/>
  </w:style>
  <w:style w:type="character" w:customStyle="1" w:styleId="filetitle">
    <w:name w:val="file__title"/>
    <w:basedOn w:val="Fuentedeprrafopredeter"/>
    <w:rsid w:val="007E482E"/>
  </w:style>
  <w:style w:type="character" w:customStyle="1" w:styleId="filecontent-language">
    <w:name w:val="file__content-language"/>
    <w:basedOn w:val="Fuentedeprrafopredeter"/>
    <w:rsid w:val="007E482E"/>
  </w:style>
  <w:style w:type="character" w:customStyle="1" w:styleId="fileproperties">
    <w:name w:val="file__properties"/>
    <w:basedOn w:val="Fuentedeprrafopredeter"/>
    <w:rsid w:val="007E482E"/>
  </w:style>
  <w:style w:type="character" w:customStyle="1" w:styleId="sr-only">
    <w:name w:val="sr-only"/>
    <w:basedOn w:val="Fuentedeprrafopredeter"/>
    <w:rsid w:val="007E482E"/>
  </w:style>
  <w:style w:type="character" w:customStyle="1" w:styleId="mw-headline">
    <w:name w:val="mw-headline"/>
    <w:basedOn w:val="Fuentedeprrafopredeter"/>
    <w:rsid w:val="007E482E"/>
  </w:style>
  <w:style w:type="paragraph" w:customStyle="1" w:styleId="titulo">
    <w:name w:val="titulo"/>
    <w:basedOn w:val="Normal"/>
    <w:rsid w:val="007E482E"/>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642A"/>
  </w:style>
  <w:style w:type="paragraph" w:styleId="Ttulo2">
    <w:name w:val="heading 2"/>
    <w:basedOn w:val="Normal"/>
    <w:link w:val="Ttulo2Car"/>
    <w:uiPriority w:val="9"/>
    <w:qFormat/>
    <w:rsid w:val="007E482E"/>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F36C3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7E482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ennegrita">
    <w:name w:val="Strong"/>
    <w:basedOn w:val="Fuentedeprrafopredeter"/>
    <w:uiPriority w:val="22"/>
    <w:qFormat/>
    <w:rsid w:val="00D0642A"/>
    <w:rPr>
      <w:b/>
      <w:bCs/>
    </w:rPr>
  </w:style>
  <w:style w:type="paragraph" w:styleId="Textodeglobo">
    <w:name w:val="Balloon Text"/>
    <w:basedOn w:val="Normal"/>
    <w:link w:val="TextodegloboCar"/>
    <w:uiPriority w:val="99"/>
    <w:semiHidden/>
    <w:unhideWhenUsed/>
    <w:rsid w:val="00D064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642A"/>
    <w:rPr>
      <w:rFonts w:ascii="Tahoma" w:hAnsi="Tahoma" w:cs="Tahoma"/>
      <w:sz w:val="16"/>
      <w:szCs w:val="16"/>
    </w:rPr>
  </w:style>
  <w:style w:type="character" w:styleId="Hipervnculo">
    <w:name w:val="Hyperlink"/>
    <w:basedOn w:val="Fuentedeprrafopredeter"/>
    <w:uiPriority w:val="99"/>
    <w:unhideWhenUsed/>
    <w:rsid w:val="00D0642A"/>
    <w:rPr>
      <w:color w:val="0000FF"/>
      <w:u w:val="single"/>
    </w:rPr>
  </w:style>
  <w:style w:type="paragraph" w:styleId="NormalWeb">
    <w:name w:val="Normal (Web)"/>
    <w:basedOn w:val="Normal"/>
    <w:uiPriority w:val="99"/>
    <w:unhideWhenUsed/>
    <w:rsid w:val="00D0642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D0642A"/>
    <w:pPr>
      <w:ind w:left="720"/>
      <w:contextualSpacing/>
    </w:pPr>
  </w:style>
  <w:style w:type="paragraph" w:customStyle="1" w:styleId="bbc-bm53ic">
    <w:name w:val="bbc-bm53ic"/>
    <w:basedOn w:val="Normal"/>
    <w:rsid w:val="00BF5D7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F36C3D"/>
    <w:rPr>
      <w:rFonts w:asciiTheme="majorHAnsi" w:eastAsiaTheme="majorEastAsia" w:hAnsiTheme="majorHAnsi" w:cstheme="majorBidi"/>
      <w:b/>
      <w:bCs/>
      <w:color w:val="4F81BD" w:themeColor="accent1"/>
    </w:rPr>
  </w:style>
  <w:style w:type="character" w:customStyle="1" w:styleId="Ttulo2Car">
    <w:name w:val="Título 2 Car"/>
    <w:basedOn w:val="Fuentedeprrafopredeter"/>
    <w:link w:val="Ttulo2"/>
    <w:uiPriority w:val="9"/>
    <w:rsid w:val="007E482E"/>
    <w:rPr>
      <w:rFonts w:ascii="Times New Roman" w:eastAsia="Times New Roman" w:hAnsi="Times New Roman" w:cs="Times New Roman"/>
      <w:b/>
      <w:bCs/>
      <w:sz w:val="36"/>
      <w:szCs w:val="36"/>
      <w:lang w:eastAsia="es-ES"/>
    </w:rPr>
  </w:style>
  <w:style w:type="character" w:customStyle="1" w:styleId="Ttulo4Car">
    <w:name w:val="Título 4 Car"/>
    <w:basedOn w:val="Fuentedeprrafopredeter"/>
    <w:link w:val="Ttulo4"/>
    <w:uiPriority w:val="9"/>
    <w:rsid w:val="007E482E"/>
    <w:rPr>
      <w:rFonts w:asciiTheme="majorHAnsi" w:eastAsiaTheme="majorEastAsia" w:hAnsiTheme="majorHAnsi" w:cstheme="majorBidi"/>
      <w:b/>
      <w:bCs/>
      <w:i/>
      <w:iCs/>
      <w:color w:val="4F81BD" w:themeColor="accent1"/>
    </w:rPr>
  </w:style>
  <w:style w:type="character" w:customStyle="1" w:styleId="bold">
    <w:name w:val="bold"/>
    <w:basedOn w:val="Fuentedeprrafopredeter"/>
    <w:rsid w:val="007E482E"/>
  </w:style>
  <w:style w:type="character" w:customStyle="1" w:styleId="filetitle">
    <w:name w:val="file__title"/>
    <w:basedOn w:val="Fuentedeprrafopredeter"/>
    <w:rsid w:val="007E482E"/>
  </w:style>
  <w:style w:type="character" w:customStyle="1" w:styleId="filecontent-language">
    <w:name w:val="file__content-language"/>
    <w:basedOn w:val="Fuentedeprrafopredeter"/>
    <w:rsid w:val="007E482E"/>
  </w:style>
  <w:style w:type="character" w:customStyle="1" w:styleId="fileproperties">
    <w:name w:val="file__properties"/>
    <w:basedOn w:val="Fuentedeprrafopredeter"/>
    <w:rsid w:val="007E482E"/>
  </w:style>
  <w:style w:type="character" w:customStyle="1" w:styleId="sr-only">
    <w:name w:val="sr-only"/>
    <w:basedOn w:val="Fuentedeprrafopredeter"/>
    <w:rsid w:val="007E482E"/>
  </w:style>
  <w:style w:type="character" w:customStyle="1" w:styleId="mw-headline">
    <w:name w:val="mw-headline"/>
    <w:basedOn w:val="Fuentedeprrafopredeter"/>
    <w:rsid w:val="007E482E"/>
  </w:style>
  <w:style w:type="paragraph" w:customStyle="1" w:styleId="titulo">
    <w:name w:val="titulo"/>
    <w:basedOn w:val="Normal"/>
    <w:rsid w:val="007E482E"/>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9104831">
      <w:bodyDiv w:val="1"/>
      <w:marLeft w:val="0"/>
      <w:marRight w:val="0"/>
      <w:marTop w:val="0"/>
      <w:marBottom w:val="0"/>
      <w:divBdr>
        <w:top w:val="none" w:sz="0" w:space="0" w:color="auto"/>
        <w:left w:val="none" w:sz="0" w:space="0" w:color="auto"/>
        <w:bottom w:val="none" w:sz="0" w:space="0" w:color="auto"/>
        <w:right w:val="none" w:sz="0" w:space="0" w:color="auto"/>
      </w:divBdr>
      <w:divsChild>
        <w:div w:id="495340837">
          <w:marLeft w:val="0"/>
          <w:marRight w:val="0"/>
          <w:marTop w:val="0"/>
          <w:marBottom w:val="0"/>
          <w:divBdr>
            <w:top w:val="none" w:sz="0" w:space="0" w:color="auto"/>
            <w:left w:val="none" w:sz="0" w:space="0" w:color="auto"/>
            <w:bottom w:val="none" w:sz="0" w:space="0" w:color="auto"/>
            <w:right w:val="none" w:sz="0" w:space="0" w:color="auto"/>
          </w:divBdr>
          <w:divsChild>
            <w:div w:id="1717046219">
              <w:marLeft w:val="0"/>
              <w:marRight w:val="0"/>
              <w:marTop w:val="0"/>
              <w:marBottom w:val="0"/>
              <w:divBdr>
                <w:top w:val="none" w:sz="0" w:space="0" w:color="auto"/>
                <w:left w:val="none" w:sz="0" w:space="0" w:color="auto"/>
                <w:bottom w:val="none" w:sz="0" w:space="0" w:color="auto"/>
                <w:right w:val="none" w:sz="0" w:space="0" w:color="auto"/>
              </w:divBdr>
            </w:div>
            <w:div w:id="1985575535">
              <w:marLeft w:val="0"/>
              <w:marRight w:val="0"/>
              <w:marTop w:val="0"/>
              <w:marBottom w:val="0"/>
              <w:divBdr>
                <w:top w:val="none" w:sz="0" w:space="0" w:color="auto"/>
                <w:left w:val="none" w:sz="0" w:space="0" w:color="auto"/>
                <w:bottom w:val="none" w:sz="0" w:space="0" w:color="auto"/>
                <w:right w:val="none" w:sz="0" w:space="0" w:color="auto"/>
              </w:divBdr>
              <w:divsChild>
                <w:div w:id="1489907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c.europa.eu/info/food-farming-fisheries/sustainability/environmental-sustainability/low-input-farming_es" TargetMode="External"/><Relationship Id="rId21" Type="http://schemas.openxmlformats.org/officeDocument/2006/relationships/image" Target="media/image15.png"/><Relationship Id="rId42" Type="http://schemas.openxmlformats.org/officeDocument/2006/relationships/image" Target="media/image35.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hyperlink" Target="https://ec.europa.eu/eurostat/statistics-explained/index.php?title=Agri-environmental_indicator_-_irrigation" TargetMode="External"/><Relationship Id="rId159" Type="http://schemas.openxmlformats.org/officeDocument/2006/relationships/image" Target="media/image110.png"/><Relationship Id="rId170" Type="http://schemas.openxmlformats.org/officeDocument/2006/relationships/image" Target="media/image121.png"/><Relationship Id="rId107" Type="http://schemas.openxmlformats.org/officeDocument/2006/relationships/image" Target="media/image97.png"/><Relationship Id="rId11" Type="http://schemas.openxmlformats.org/officeDocument/2006/relationships/image" Target="media/image5.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6.png"/><Relationship Id="rId128" Type="http://schemas.openxmlformats.org/officeDocument/2006/relationships/hyperlink" Target="https://ec.europa.eu/info/strategy/priorities-2019-2024/european-green-deal/actions-being-taken-eu/eu-biodiversity-strategy-2030_es" TargetMode="External"/><Relationship Id="rId149" Type="http://schemas.openxmlformats.org/officeDocument/2006/relationships/hyperlink" Target="https://ec.europa.eu/info/sites/info/files/food-farming-fisheries/farming/documents/cap-indicators-doc-c39_2018_en.pdf" TargetMode="External"/><Relationship Id="rId5" Type="http://schemas.openxmlformats.org/officeDocument/2006/relationships/webSettings" Target="webSettings.xml"/><Relationship Id="rId95" Type="http://schemas.openxmlformats.org/officeDocument/2006/relationships/hyperlink" Target="https://ec.europa.eu/eurostat/statistics-explained/index.php?title=Glossary:EU_enlargements/es" TargetMode="External"/><Relationship Id="rId160" Type="http://schemas.openxmlformats.org/officeDocument/2006/relationships/image" Target="media/image111.png"/><Relationship Id="rId22" Type="http://schemas.openxmlformats.org/officeDocument/2006/relationships/image" Target="media/image16.png"/><Relationship Id="rId43" Type="http://schemas.openxmlformats.org/officeDocument/2006/relationships/image" Target="media/image36.png"/><Relationship Id="rId64" Type="http://schemas.openxmlformats.org/officeDocument/2006/relationships/image" Target="media/image56.png"/><Relationship Id="rId118" Type="http://schemas.openxmlformats.org/officeDocument/2006/relationships/hyperlink" Target="https://ec.europa.eu/info/food-farming-fisheries/key-policies/common-agricultural-policy/income-support/cross-compliance_es" TargetMode="External"/><Relationship Id="rId139" Type="http://schemas.openxmlformats.org/officeDocument/2006/relationships/hyperlink" Target="https://ec.europa.eu/eurostat/statistics-explained/index.php?title=Agri-environmental_indicator_-_energy_use" TargetMode="External"/><Relationship Id="rId85" Type="http://schemas.openxmlformats.org/officeDocument/2006/relationships/image" Target="media/image77.png"/><Relationship Id="rId150" Type="http://schemas.openxmlformats.org/officeDocument/2006/relationships/hyperlink" Target="https://ec.europa.eu/eurostat/statistics-explained/index.php?title=Agri-environmental_indicator_-_soil_erosion" TargetMode="External"/><Relationship Id="rId171" Type="http://schemas.openxmlformats.org/officeDocument/2006/relationships/image" Target="media/image122.png"/><Relationship Id="rId12" Type="http://schemas.openxmlformats.org/officeDocument/2006/relationships/image" Target="media/image6.png"/><Relationship Id="rId33" Type="http://schemas.openxmlformats.org/officeDocument/2006/relationships/image" Target="media/image26.png"/><Relationship Id="rId108" Type="http://schemas.openxmlformats.org/officeDocument/2006/relationships/image" Target="media/image98.png"/><Relationship Id="rId129" Type="http://schemas.openxmlformats.org/officeDocument/2006/relationships/hyperlink" Target="https://ec.europa.eu/info/food-farming-fisheries/farming/facts-and-figures/performance-agricultural-policy/cap-indicators_es" TargetMode="External"/><Relationship Id="rId54" Type="http://schemas.openxmlformats.org/officeDocument/2006/relationships/image" Target="media/image47.png"/><Relationship Id="rId75" Type="http://schemas.openxmlformats.org/officeDocument/2006/relationships/image" Target="media/image67.png"/><Relationship Id="rId96" Type="http://schemas.openxmlformats.org/officeDocument/2006/relationships/image" Target="media/image87.png"/><Relationship Id="rId140" Type="http://schemas.openxmlformats.org/officeDocument/2006/relationships/hyperlink" Target="https://www.eea.europa.eu/themes/landuse" TargetMode="External"/><Relationship Id="rId161" Type="http://schemas.openxmlformats.org/officeDocument/2006/relationships/image" Target="media/image112.png"/><Relationship Id="rId6" Type="http://schemas.openxmlformats.org/officeDocument/2006/relationships/image" Target="media/image1.jpeg"/><Relationship Id="rId23" Type="http://schemas.openxmlformats.org/officeDocument/2006/relationships/image" Target="media/image17.png"/><Relationship Id="rId28" Type="http://schemas.openxmlformats.org/officeDocument/2006/relationships/hyperlink" Target="https://ec.europa.eu/eurostat/web/energy/overview" TargetMode="External"/><Relationship Id="rId49" Type="http://schemas.openxmlformats.org/officeDocument/2006/relationships/image" Target="media/image42.png"/><Relationship Id="rId114" Type="http://schemas.openxmlformats.org/officeDocument/2006/relationships/hyperlink" Target="https://ec.europa.eu/info/strategy/priorities-2019-2024/european-green-deal_es" TargetMode="External"/><Relationship Id="rId119" Type="http://schemas.openxmlformats.org/officeDocument/2006/relationships/hyperlink" Target="https://ec.europa.eu/info/food-farming-fisheries/key-policies/common-agricultural-policy/income-support/greening_es" TargetMode="External"/><Relationship Id="rId44" Type="http://schemas.openxmlformats.org/officeDocument/2006/relationships/image" Target="media/image37.png"/><Relationship Id="rId60" Type="http://schemas.openxmlformats.org/officeDocument/2006/relationships/image" Target="media/image52.jpeg"/><Relationship Id="rId65" Type="http://schemas.openxmlformats.org/officeDocument/2006/relationships/image" Target="media/image57.jpe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hyperlink" Target="https://ec.europa.eu/info/food-farming-fisheries/key-policies/common-agricultural-policy/cmef_es" TargetMode="External"/><Relationship Id="rId135" Type="http://schemas.openxmlformats.org/officeDocument/2006/relationships/hyperlink" Target="https://ec.europa.eu/info/research-and-innovation/research-area/agriculture-forestry-and-rural-areas/interactive-innovation-and-eip-agri_es" TargetMode="External"/><Relationship Id="rId151" Type="http://schemas.openxmlformats.org/officeDocument/2006/relationships/hyperlink" Target="https://ec.europa.eu/eurostat/statistics-explained/index.php?title=Agri-environmental_indicator_-_High_Nature_Value_farmland" TargetMode="External"/><Relationship Id="rId156" Type="http://schemas.openxmlformats.org/officeDocument/2006/relationships/image" Target="media/image107.png"/><Relationship Id="rId177" Type="http://schemas.openxmlformats.org/officeDocument/2006/relationships/image" Target="media/image128.png"/><Relationship Id="rId172" Type="http://schemas.openxmlformats.org/officeDocument/2006/relationships/image" Target="media/image12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2.png"/><Relationship Id="rId109" Type="http://schemas.openxmlformats.org/officeDocument/2006/relationships/image" Target="media/image99.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hyperlink" Target="https://ec.europa.eu/commission/presscorner/detail/en/ip_21_4626" TargetMode="External"/><Relationship Id="rId76" Type="http://schemas.openxmlformats.org/officeDocument/2006/relationships/image" Target="media/image68.png"/><Relationship Id="rId97" Type="http://schemas.openxmlformats.org/officeDocument/2006/relationships/hyperlink" Target="https://ec.europa.eu/eurostat/statistics-explained/index.php?title=Glossary:Trade_balance" TargetMode="External"/><Relationship Id="rId104" Type="http://schemas.openxmlformats.org/officeDocument/2006/relationships/image" Target="media/image94.png"/><Relationship Id="rId120" Type="http://schemas.openxmlformats.org/officeDocument/2006/relationships/hyperlink" Target="https://ec.europa.eu/info/food-farming-fisheries/key-policies/common-agricultural-policy/rural-development_es" TargetMode="External"/><Relationship Id="rId125" Type="http://schemas.openxmlformats.org/officeDocument/2006/relationships/hyperlink" Target="https://ec.europa.eu/info/food-farming-fisheries/sustainability/environmental-sustainability/natural-resources/clean-air_es" TargetMode="External"/><Relationship Id="rId141" Type="http://schemas.openxmlformats.org/officeDocument/2006/relationships/hyperlink" Target="https://ec.europa.eu/eurostat/statistics-explained/index.php?title=Agri-environmental_indicator_-_cropping_patterns" TargetMode="External"/><Relationship Id="rId146" Type="http://schemas.openxmlformats.org/officeDocument/2006/relationships/hyperlink" Target="https://ec.europa.eu/eurostat/statistics-explained/index.php?title=Agri-environmental_indicator_-_specialisation" TargetMode="External"/><Relationship Id="rId167" Type="http://schemas.openxmlformats.org/officeDocument/2006/relationships/image" Target="media/image118.png"/><Relationship Id="rId7" Type="http://schemas.openxmlformats.org/officeDocument/2006/relationships/image" Target="media/image2.jpeg"/><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13.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8.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jpeg"/><Relationship Id="rId87" Type="http://schemas.openxmlformats.org/officeDocument/2006/relationships/image" Target="media/image79.png"/><Relationship Id="rId110" Type="http://schemas.openxmlformats.org/officeDocument/2006/relationships/image" Target="media/image100.png"/><Relationship Id="rId115" Type="http://schemas.openxmlformats.org/officeDocument/2006/relationships/hyperlink" Target="https://ec.europa.eu/info/strategy/priorities-2019-2024/european-green-deal/actions-being-taken-eu/farm-fork_es" TargetMode="External"/><Relationship Id="rId131" Type="http://schemas.openxmlformats.org/officeDocument/2006/relationships/hyperlink" Target="http://ec.europa.eu/eurostat/web/agri-environmental-indicators/indicators" TargetMode="External"/><Relationship Id="rId136" Type="http://schemas.openxmlformats.org/officeDocument/2006/relationships/hyperlink" Target="https://ec.europa.eu/eurostat/statistics-explained/index.php?title=Agri-environmental_indicator_-_mineral_fertiliser_consumption" TargetMode="External"/><Relationship Id="rId157" Type="http://schemas.openxmlformats.org/officeDocument/2006/relationships/image" Target="media/image108.png"/><Relationship Id="rId178" Type="http://schemas.openxmlformats.org/officeDocument/2006/relationships/fontTable" Target="fontTable.xml"/><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hyperlink" Target="https://ec.europa.eu/info/sites/info/files/food-farming-fisheries/farming/documents/cap-indicators-doc-c43_2018_en.pdf" TargetMode="External"/><Relationship Id="rId173" Type="http://schemas.openxmlformats.org/officeDocument/2006/relationships/image" Target="media/image124.jpe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8.jpeg"/><Relationship Id="rId77" Type="http://schemas.openxmlformats.org/officeDocument/2006/relationships/image" Target="media/image69.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hyperlink" Target="https://ec.europa.eu/info/food-farming-fisheries/forestry/forestry-explained_es" TargetMode="External"/><Relationship Id="rId147" Type="http://schemas.openxmlformats.org/officeDocument/2006/relationships/hyperlink" Target="https://ec.europa.eu/food/plant/pesticides/sustainable_use_pesticides/harmonised-risk-indicators_en" TargetMode="External"/><Relationship Id="rId168" Type="http://schemas.openxmlformats.org/officeDocument/2006/relationships/image" Target="media/image119.png"/><Relationship Id="rId8" Type="http://schemas.openxmlformats.org/officeDocument/2006/relationships/hyperlink" Target="https://www.vozpopuli.com/espana/feijoo-podemos-bloque-investidura.html" TargetMode="External"/><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5.jpeg"/><Relationship Id="rId98" Type="http://schemas.openxmlformats.org/officeDocument/2006/relationships/image" Target="media/image88.png"/><Relationship Id="rId121" Type="http://schemas.openxmlformats.org/officeDocument/2006/relationships/hyperlink" Target="https://ec.europa.eu/info/food-farming-fisheries/key-policies/common-agricultural-policy/new-cap-2023-27_es" TargetMode="External"/><Relationship Id="rId142" Type="http://schemas.openxmlformats.org/officeDocument/2006/relationships/hyperlink" Target="https://ec.europa.eu/eurostat/statistics-explained/index.php?title=Agri-environmental_indicator_-_livestock_patterns" TargetMode="External"/><Relationship Id="rId163" Type="http://schemas.openxmlformats.org/officeDocument/2006/relationships/image" Target="media/image114.png"/><Relationship Id="rId3" Type="http://schemas.microsoft.com/office/2007/relationships/stylesWithEffects" Target="stylesWithEffects.xml"/><Relationship Id="rId25" Type="http://schemas.openxmlformats.org/officeDocument/2006/relationships/image" Target="media/image19.png"/><Relationship Id="rId46" Type="http://schemas.openxmlformats.org/officeDocument/2006/relationships/image" Target="media/image39.png"/><Relationship Id="rId67" Type="http://schemas.openxmlformats.org/officeDocument/2006/relationships/image" Target="media/image59.png"/><Relationship Id="rId116" Type="http://schemas.openxmlformats.org/officeDocument/2006/relationships/hyperlink" Target="https://ec.europa.eu/info/food-farming-fisheries/farming/organic-farming_es" TargetMode="External"/><Relationship Id="rId137" Type="http://schemas.openxmlformats.org/officeDocument/2006/relationships/hyperlink" Target="https://ec.europa.eu/eurostat/statistics-explained/index.php?title=Agri-environmental_indicator_-_consumption_of_pesticides" TargetMode="External"/><Relationship Id="rId158" Type="http://schemas.openxmlformats.org/officeDocument/2006/relationships/image" Target="media/image109.png"/><Relationship Id="rId20" Type="http://schemas.openxmlformats.org/officeDocument/2006/relationships/image" Target="media/image14.png"/><Relationship Id="rId41" Type="http://schemas.openxmlformats.org/officeDocument/2006/relationships/image" Target="media/image34.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1.png"/><Relationship Id="rId132" Type="http://schemas.openxmlformats.org/officeDocument/2006/relationships/hyperlink" Target="https://ec.europa.eu/info/food-farming-fisheries/key-policies/common-agricultural-policy/cmef/sustainability_es" TargetMode="External"/><Relationship Id="rId153" Type="http://schemas.openxmlformats.org/officeDocument/2006/relationships/image" Target="media/image104.png"/><Relationship Id="rId174" Type="http://schemas.openxmlformats.org/officeDocument/2006/relationships/image" Target="media/image125.jpeg"/><Relationship Id="rId179" Type="http://schemas.openxmlformats.org/officeDocument/2006/relationships/theme" Target="theme/theme1.xml"/><Relationship Id="rId15" Type="http://schemas.openxmlformats.org/officeDocument/2006/relationships/image" Target="media/image9.png"/><Relationship Id="rId36" Type="http://schemas.openxmlformats.org/officeDocument/2006/relationships/image" Target="media/image29.png"/><Relationship Id="rId57" Type="http://schemas.openxmlformats.org/officeDocument/2006/relationships/image" Target="media/image49.png"/><Relationship Id="rId106" Type="http://schemas.openxmlformats.org/officeDocument/2006/relationships/image" Target="media/image96.png"/><Relationship Id="rId127" Type="http://schemas.openxmlformats.org/officeDocument/2006/relationships/hyperlink" Target="https://ec.europa.eu/commission/presscorner/detail/en/fs_19_6729" TargetMode="External"/><Relationship Id="rId10" Type="http://schemas.openxmlformats.org/officeDocument/2006/relationships/image" Target="media/image4.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hyperlink" Target="https://ec.europa.eu/clima/index_en" TargetMode="External"/><Relationship Id="rId143" Type="http://schemas.openxmlformats.org/officeDocument/2006/relationships/hyperlink" Target="https://ec.europa.eu/eurostat/statistics-explained/index.php?title=Agri-environmental_indicator_-_soil_cover" TargetMode="External"/><Relationship Id="rId148" Type="http://schemas.openxmlformats.org/officeDocument/2006/relationships/hyperlink" Target="https://ec.europa.eu/eurostat/statistics-explained/index.php/Climate_change_-_driving_forces" TargetMode="External"/><Relationship Id="rId164" Type="http://schemas.openxmlformats.org/officeDocument/2006/relationships/image" Target="media/image115.png"/><Relationship Id="rId169" Type="http://schemas.openxmlformats.org/officeDocument/2006/relationships/image" Target="media/image120.png"/><Relationship Id="rId4" Type="http://schemas.openxmlformats.org/officeDocument/2006/relationships/settings" Target="settings.xml"/><Relationship Id="rId9" Type="http://schemas.openxmlformats.org/officeDocument/2006/relationships/image" Target="media/image3.jpeg"/><Relationship Id="rId26" Type="http://schemas.openxmlformats.org/officeDocument/2006/relationships/image" Target="media/image20.png"/><Relationship Id="rId47" Type="http://schemas.openxmlformats.org/officeDocument/2006/relationships/image" Target="media/image40.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2.png"/><Relationship Id="rId133" Type="http://schemas.openxmlformats.org/officeDocument/2006/relationships/hyperlink" Target="https://ec.europa.eu/info/research-and-innovation/research-area/agriculture-forestry-and-rural-areas_es" TargetMode="External"/><Relationship Id="rId154" Type="http://schemas.openxmlformats.org/officeDocument/2006/relationships/image" Target="media/image105.png"/><Relationship Id="rId175" Type="http://schemas.openxmlformats.org/officeDocument/2006/relationships/image" Target="media/image126.png"/><Relationship Id="rId16" Type="http://schemas.openxmlformats.org/officeDocument/2006/relationships/image" Target="media/image10.png"/><Relationship Id="rId37" Type="http://schemas.openxmlformats.org/officeDocument/2006/relationships/image" Target="media/image30.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2.png"/><Relationship Id="rId123" Type="http://schemas.openxmlformats.org/officeDocument/2006/relationships/hyperlink" Target="https://ec.europa.eu/info/food-farming-fisheries/sustainability/environmental-sustainability/natural-resources/water_es" TargetMode="External"/><Relationship Id="rId144" Type="http://schemas.openxmlformats.org/officeDocument/2006/relationships/hyperlink" Target="https://ec.europa.eu/eurostat/statistics-explained/index.php?title=Agri-environmental_indicator_-_tillage_practices" TargetMode="External"/><Relationship Id="rId90" Type="http://schemas.openxmlformats.org/officeDocument/2006/relationships/image" Target="media/image82.png"/><Relationship Id="rId165" Type="http://schemas.openxmlformats.org/officeDocument/2006/relationships/image" Target="media/image116.png"/><Relationship Id="rId27" Type="http://schemas.openxmlformats.org/officeDocument/2006/relationships/image" Target="media/image21.png"/><Relationship Id="rId48" Type="http://schemas.openxmlformats.org/officeDocument/2006/relationships/image" Target="media/image41.png"/><Relationship Id="rId69" Type="http://schemas.openxmlformats.org/officeDocument/2006/relationships/image" Target="media/image61.png"/><Relationship Id="rId113" Type="http://schemas.openxmlformats.org/officeDocument/2006/relationships/image" Target="media/image103.jpeg"/><Relationship Id="rId134" Type="http://schemas.openxmlformats.org/officeDocument/2006/relationships/hyperlink" Target="https://ec.europa.eu/info/food-farming-fisheries/key-policies/common-agricultural-policy/income-support/cross-compliance/fas_es" TargetMode="External"/><Relationship Id="rId80" Type="http://schemas.openxmlformats.org/officeDocument/2006/relationships/image" Target="media/image72.png"/><Relationship Id="rId155" Type="http://schemas.openxmlformats.org/officeDocument/2006/relationships/image" Target="media/image106.png"/><Relationship Id="rId176" Type="http://schemas.openxmlformats.org/officeDocument/2006/relationships/image" Target="media/image127.jpeg"/><Relationship Id="rId17" Type="http://schemas.openxmlformats.org/officeDocument/2006/relationships/image" Target="media/image11.png"/><Relationship Id="rId38" Type="http://schemas.openxmlformats.org/officeDocument/2006/relationships/image" Target="media/image31.png"/><Relationship Id="rId59" Type="http://schemas.openxmlformats.org/officeDocument/2006/relationships/image" Target="media/image51.png"/><Relationship Id="rId103" Type="http://schemas.openxmlformats.org/officeDocument/2006/relationships/image" Target="media/image93.png"/><Relationship Id="rId124" Type="http://schemas.openxmlformats.org/officeDocument/2006/relationships/hyperlink" Target="https://ec.europa.eu/info/food-farming-fisheries/sustainability/environmental-sustainability/natural-resources/soil_es" TargetMode="External"/><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hyperlink" Target="https://ec.europa.eu/info/sites/info/files/food-farming-fisheries/farming/documents/cap-indicators-doc-c33_2018_en.pdf" TargetMode="External"/><Relationship Id="rId166" Type="http://schemas.openxmlformats.org/officeDocument/2006/relationships/image" Target="media/image117.png"/><Relationship Id="rId1" Type="http://schemas.openxmlformats.org/officeDocument/2006/relationships/numbering" Target="numbering.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162</Pages>
  <Words>58365</Words>
  <Characters>321013</Characters>
  <Application>Microsoft Office Word</Application>
  <DocSecurity>0</DocSecurity>
  <Lines>2675</Lines>
  <Paragraphs>757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378621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2022-04-01T08:38:00Z</dcterms:created>
  <dcterms:modified xsi:type="dcterms:W3CDTF">2022-04-01T08:38:00Z</dcterms:modified>
</cp:coreProperties>
</file>