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739F" w:rsidRPr="0016137C" w:rsidRDefault="00D60B84" w:rsidP="00D60B84">
      <w:pPr>
        <w:spacing w:line="240" w:lineRule="auto"/>
        <w:jc w:val="both"/>
        <w:rPr>
          <w:rFonts w:ascii="Times New Roman" w:hAnsi="Times New Roman" w:cs="Times New Roman"/>
          <w:b/>
        </w:rPr>
      </w:pPr>
      <w:r w:rsidRPr="0016137C">
        <w:rPr>
          <w:rFonts w:ascii="Times New Roman" w:hAnsi="Times New Roman" w:cs="Times New Roman"/>
          <w:b/>
        </w:rPr>
        <w:t>Paper - El día que a la Unión Europea se le terminaron toda</w:t>
      </w:r>
      <w:r w:rsidR="0016137C" w:rsidRPr="0016137C">
        <w:rPr>
          <w:rFonts w:ascii="Times New Roman" w:hAnsi="Times New Roman" w:cs="Times New Roman"/>
          <w:b/>
        </w:rPr>
        <w:t>s</w:t>
      </w:r>
      <w:r w:rsidRPr="0016137C">
        <w:rPr>
          <w:rFonts w:ascii="Times New Roman" w:hAnsi="Times New Roman" w:cs="Times New Roman"/>
          <w:b/>
        </w:rPr>
        <w:t xml:space="preserve"> las “mentiras confortables”</w:t>
      </w:r>
    </w:p>
    <w:p w:rsidR="0041158E" w:rsidRDefault="0041158E" w:rsidP="00D60B84">
      <w:pPr>
        <w:spacing w:line="240" w:lineRule="auto"/>
        <w:jc w:val="both"/>
        <w:rPr>
          <w:rFonts w:ascii="Times New Roman" w:hAnsi="Times New Roman" w:cs="Times New Roman"/>
          <w:b/>
          <w:sz w:val="24"/>
          <w:szCs w:val="24"/>
        </w:rPr>
      </w:pPr>
    </w:p>
    <w:p w:rsidR="0050739F" w:rsidRDefault="0050739F" w:rsidP="00D60B84">
      <w:pPr>
        <w:spacing w:line="240" w:lineRule="auto"/>
        <w:jc w:val="both"/>
        <w:rPr>
          <w:rFonts w:ascii="Times New Roman" w:hAnsi="Times New Roman" w:cs="Times New Roman"/>
          <w:b/>
          <w:sz w:val="24"/>
          <w:szCs w:val="24"/>
        </w:rPr>
      </w:pPr>
      <w:r>
        <w:rPr>
          <w:noProof/>
          <w:lang w:val="en-GB" w:eastAsia="zh-CN"/>
        </w:rPr>
        <w:drawing>
          <wp:inline distT="0" distB="0" distL="0" distR="0">
            <wp:extent cx="5734050" cy="3213100"/>
            <wp:effectExtent l="0" t="0" r="0" b="6350"/>
            <wp:docPr id="79" name="Imagen 79" descr="https://phantom-expansion.unidadeditorial.es/bae2050f4e6eb9cb1448da78eab724f2/crop/0x0/2039x1360/resize/828/f/jpg/assets/multimedia/imagenes/2022/04/09/16495023871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antom-expansion.unidadeditorial.es/bae2050f4e6eb9cb1448da78eab724f2/crop/0x0/2039x1360/resize/828/f/jpg/assets/multimedia/imagenes/2022/04/09/16495023871114.jpg"/>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11677"/>
                    </a:xfrm>
                    <a:prstGeom prst="rect">
                      <a:avLst/>
                    </a:prstGeom>
                    <a:noFill/>
                    <a:ln>
                      <a:noFill/>
                    </a:ln>
                  </pic:spPr>
                </pic:pic>
              </a:graphicData>
            </a:graphic>
          </wp:inline>
        </w:drawing>
      </w:r>
    </w:p>
    <w:p w:rsidR="0050739F" w:rsidRPr="00F526ED" w:rsidRDefault="0050739F" w:rsidP="00D60B84">
      <w:pPr>
        <w:spacing w:line="240" w:lineRule="auto"/>
        <w:jc w:val="both"/>
        <w:rPr>
          <w:rFonts w:ascii="Times New Roman" w:hAnsi="Times New Roman" w:cs="Times New Roman"/>
          <w:b/>
          <w:sz w:val="24"/>
          <w:szCs w:val="24"/>
        </w:rPr>
      </w:pPr>
    </w:p>
    <w:p w:rsidR="006D3BE9" w:rsidRDefault="00D60B84" w:rsidP="006D3BE9">
      <w:pPr>
        <w:spacing w:line="240" w:lineRule="auto"/>
        <w:jc w:val="both"/>
        <w:rPr>
          <w:noProof/>
          <w:lang w:eastAsia="es-ES"/>
        </w:rPr>
      </w:pPr>
      <w:r w:rsidRPr="00D60B84">
        <w:rPr>
          <w:noProof/>
          <w:lang w:val="en-GB" w:eastAsia="zh-CN"/>
        </w:rPr>
        <w:drawing>
          <wp:inline distT="0" distB="0" distL="0" distR="0">
            <wp:extent cx="5727700" cy="3492500"/>
            <wp:effectExtent l="0" t="0" r="635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3494823"/>
                    </a:xfrm>
                    <a:prstGeom prst="rect">
                      <a:avLst/>
                    </a:prstGeom>
                  </pic:spPr>
                </pic:pic>
              </a:graphicData>
            </a:graphic>
          </wp:inline>
        </w:drawing>
      </w:r>
    </w:p>
    <w:p w:rsidR="006D3BE9" w:rsidRDefault="006D3BE9" w:rsidP="006D3BE9">
      <w:pPr>
        <w:spacing w:line="240" w:lineRule="auto"/>
        <w:ind w:left="360"/>
        <w:jc w:val="both"/>
        <w:rPr>
          <w:noProof/>
          <w:lang w:eastAsia="es-ES"/>
        </w:rPr>
      </w:pPr>
    </w:p>
    <w:p w:rsidR="0041158E" w:rsidRPr="0041158E" w:rsidRDefault="00D60B84" w:rsidP="00D60B84">
      <w:pPr>
        <w:spacing w:line="240" w:lineRule="auto"/>
        <w:jc w:val="both"/>
        <w:rPr>
          <w:rFonts w:ascii="Times New Roman" w:hAnsi="Times New Roman" w:cs="Times New Roman"/>
          <w:b/>
          <w:sz w:val="24"/>
          <w:szCs w:val="24"/>
        </w:rPr>
      </w:pPr>
      <w:r w:rsidRPr="0041158E">
        <w:rPr>
          <w:rFonts w:ascii="Times New Roman" w:hAnsi="Times New Roman" w:cs="Times New Roman"/>
          <w:b/>
          <w:sz w:val="24"/>
          <w:szCs w:val="24"/>
        </w:rPr>
        <w:t xml:space="preserve">El 24 de febrero de 2022 -inicio de la invasión a Ucrania por parte Rusia- fue el día en que Europa “no se acordó de nada”. </w:t>
      </w:r>
    </w:p>
    <w:p w:rsidR="00D60B84" w:rsidRPr="0041158E" w:rsidRDefault="007A5AD6" w:rsidP="00D60B84">
      <w:pPr>
        <w:spacing w:line="240" w:lineRule="auto"/>
        <w:jc w:val="both"/>
        <w:rPr>
          <w:rFonts w:ascii="Times New Roman" w:hAnsi="Times New Roman" w:cs="Times New Roman"/>
          <w:sz w:val="24"/>
          <w:szCs w:val="24"/>
        </w:rPr>
      </w:pPr>
      <w:r w:rsidRPr="007A5AD6">
        <w:rPr>
          <w:rFonts w:ascii="Times New Roman" w:hAnsi="Times New Roman" w:cs="Times New Roman"/>
          <w:b/>
          <w:sz w:val="24"/>
          <w:szCs w:val="24"/>
        </w:rPr>
        <w:lastRenderedPageBreak/>
        <w:t xml:space="preserve">- </w:t>
      </w:r>
      <w:r w:rsidR="00D60B84" w:rsidRPr="007A5AD6">
        <w:rPr>
          <w:rFonts w:ascii="Times New Roman" w:hAnsi="Times New Roman" w:cs="Times New Roman"/>
          <w:b/>
          <w:sz w:val="24"/>
          <w:szCs w:val="24"/>
        </w:rPr>
        <w:t xml:space="preserve">Introducción: Rusia y el </w:t>
      </w:r>
      <w:r w:rsidR="00285E6E">
        <w:rPr>
          <w:rFonts w:ascii="Times New Roman" w:hAnsi="Times New Roman" w:cs="Times New Roman"/>
          <w:b/>
          <w:sz w:val="24"/>
          <w:szCs w:val="24"/>
        </w:rPr>
        <w:t>“</w:t>
      </w:r>
      <w:r w:rsidR="00D60B84" w:rsidRPr="007A5AD6">
        <w:rPr>
          <w:rFonts w:ascii="Times New Roman" w:hAnsi="Times New Roman" w:cs="Times New Roman"/>
          <w:b/>
          <w:sz w:val="24"/>
          <w:szCs w:val="24"/>
        </w:rPr>
        <w:t>paciente europeo</w:t>
      </w:r>
      <w:r w:rsidR="00285E6E">
        <w:rPr>
          <w:rFonts w:ascii="Times New Roman" w:hAnsi="Times New Roman" w:cs="Times New Roman"/>
          <w:b/>
          <w:sz w:val="24"/>
          <w:szCs w:val="24"/>
        </w:rPr>
        <w:t>”</w:t>
      </w:r>
      <w:r w:rsidR="00D60B84" w:rsidRPr="007A5AD6">
        <w:rPr>
          <w:rFonts w:ascii="Times New Roman" w:hAnsi="Times New Roman" w:cs="Times New Roman"/>
          <w:b/>
          <w:sz w:val="24"/>
          <w:szCs w:val="24"/>
        </w:rPr>
        <w:t xml:space="preserve"> (letra y música de la “tanguedia”: del miedo a la deflación, al terror a la inflación)</w:t>
      </w:r>
    </w:p>
    <w:p w:rsidR="00DE040A" w:rsidRPr="007A5AD6" w:rsidRDefault="00DE040A" w:rsidP="00D60B84">
      <w:pPr>
        <w:spacing w:line="240" w:lineRule="auto"/>
        <w:jc w:val="both"/>
        <w:rPr>
          <w:rFonts w:ascii="Times New Roman" w:hAnsi="Times New Roman" w:cs="Times New Roman"/>
          <w:b/>
          <w:sz w:val="24"/>
          <w:szCs w:val="24"/>
        </w:rPr>
      </w:pPr>
    </w:p>
    <w:p w:rsidR="00D60B84" w:rsidRDefault="00D60B84" w:rsidP="00D60B84">
      <w:pPr>
        <w:spacing w:line="240" w:lineRule="auto"/>
        <w:jc w:val="both"/>
        <w:rPr>
          <w:rFonts w:ascii="Times New Roman" w:hAnsi="Times New Roman" w:cs="Times New Roman"/>
          <w:sz w:val="24"/>
          <w:szCs w:val="24"/>
        </w:rPr>
      </w:pPr>
      <w:r>
        <w:rPr>
          <w:noProof/>
          <w:lang w:val="en-GB" w:eastAsia="zh-CN"/>
        </w:rPr>
        <w:drawing>
          <wp:inline distT="0" distB="0" distL="0" distR="0">
            <wp:extent cx="5734050" cy="3111500"/>
            <wp:effectExtent l="0" t="0" r="0" b="0"/>
            <wp:docPr id="5" name="Imagen 5" descr="https://evtv.online/wp-content/uploads/2022/03/FMufIXtXIAIqx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vtv.online/wp-content/uploads/2022/03/FMufIXtXIAIqxpY.jpg"/>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10122"/>
                    </a:xfrm>
                    <a:prstGeom prst="rect">
                      <a:avLst/>
                    </a:prstGeom>
                    <a:noFill/>
                    <a:ln>
                      <a:noFill/>
                    </a:ln>
                  </pic:spPr>
                </pic:pic>
              </a:graphicData>
            </a:graphic>
          </wp:inline>
        </w:drawing>
      </w:r>
      <w:r w:rsidR="007A5AD6" w:rsidRPr="007A5AD6">
        <w:rPr>
          <w:rFonts w:ascii="Times New Roman" w:hAnsi="Times New Roman" w:cs="Times New Roman"/>
          <w:sz w:val="24"/>
          <w:szCs w:val="24"/>
        </w:rPr>
        <w:t>Imágenes satelitales tomadas en Ucrania muestran un inmenso convoy militar ruso que se extiende por más de 60 kilómetros al noroeste de la capital, Kiev, objetivo militar principal de Rusia en su ofensiva en Ucrania.</w:t>
      </w:r>
    </w:p>
    <w:p w:rsidR="007A5AD6" w:rsidRDefault="007A5AD6" w:rsidP="00D60B84">
      <w:pPr>
        <w:spacing w:line="240" w:lineRule="auto"/>
        <w:jc w:val="both"/>
        <w:rPr>
          <w:rFonts w:ascii="Times New Roman" w:hAnsi="Times New Roman" w:cs="Times New Roman"/>
          <w:b/>
          <w:sz w:val="24"/>
          <w:szCs w:val="24"/>
        </w:rPr>
      </w:pPr>
      <w:r w:rsidRPr="007A5AD6">
        <w:rPr>
          <w:rFonts w:ascii="Times New Roman" w:hAnsi="Times New Roman" w:cs="Times New Roman"/>
          <w:b/>
          <w:sz w:val="24"/>
          <w:szCs w:val="24"/>
        </w:rPr>
        <w:t>Antes de antes</w:t>
      </w:r>
    </w:p>
    <w:p w:rsidR="0054360D" w:rsidRDefault="007A5AD6" w:rsidP="00D60B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 crisis económica del año </w:t>
      </w:r>
      <w:r w:rsidR="0054360D">
        <w:rPr>
          <w:rFonts w:ascii="Times New Roman" w:hAnsi="Times New Roman" w:cs="Times New Roman"/>
          <w:sz w:val="24"/>
          <w:szCs w:val="24"/>
        </w:rPr>
        <w:t>2008, en la</w:t>
      </w:r>
      <w:r>
        <w:rPr>
          <w:rFonts w:ascii="Times New Roman" w:hAnsi="Times New Roman" w:cs="Times New Roman"/>
          <w:sz w:val="24"/>
          <w:szCs w:val="24"/>
        </w:rPr>
        <w:t xml:space="preserve"> que la Unión Europea se contagió el sida financiero de los Estados Unidos, por complejo de inferioridad, seguidismo, dependencia, debilidad, falta de autonomía, connivencia, especulación y cortoplacismo… los “grandes bonetes” (líderes políticos de plastilina, empresarios avaros y miopes,</w:t>
      </w:r>
      <w:r w:rsidR="0054360D">
        <w:rPr>
          <w:rFonts w:ascii="Times New Roman" w:hAnsi="Times New Roman" w:cs="Times New Roman"/>
          <w:sz w:val="24"/>
          <w:szCs w:val="24"/>
        </w:rPr>
        <w:t xml:space="preserve"> gurús mediáticos y</w:t>
      </w:r>
      <w:r>
        <w:rPr>
          <w:rFonts w:ascii="Times New Roman" w:hAnsi="Times New Roman" w:cs="Times New Roman"/>
          <w:sz w:val="24"/>
          <w:szCs w:val="24"/>
        </w:rPr>
        <w:t xml:space="preserve"> académicos fatuos y arrogantes, dijeron que la culpa era de Wall Street y la banca norteamericana</w:t>
      </w:r>
      <w:r w:rsidR="0054360D">
        <w:rPr>
          <w:rFonts w:ascii="Times New Roman" w:hAnsi="Times New Roman" w:cs="Times New Roman"/>
          <w:sz w:val="24"/>
          <w:szCs w:val="24"/>
        </w:rPr>
        <w:t>,</w:t>
      </w:r>
      <w:r>
        <w:rPr>
          <w:rFonts w:ascii="Times New Roman" w:hAnsi="Times New Roman" w:cs="Times New Roman"/>
          <w:sz w:val="24"/>
          <w:szCs w:val="24"/>
        </w:rPr>
        <w:t xml:space="preserve"> que había</w:t>
      </w:r>
      <w:r w:rsidR="0054360D">
        <w:rPr>
          <w:rFonts w:ascii="Times New Roman" w:hAnsi="Times New Roman" w:cs="Times New Roman"/>
          <w:sz w:val="24"/>
          <w:szCs w:val="24"/>
        </w:rPr>
        <w:t>n</w:t>
      </w:r>
      <w:r>
        <w:rPr>
          <w:rFonts w:ascii="Times New Roman" w:hAnsi="Times New Roman" w:cs="Times New Roman"/>
          <w:sz w:val="24"/>
          <w:szCs w:val="24"/>
        </w:rPr>
        <w:t xml:space="preserve"> repartido por el mundo mundial, sus productos especulativos de mierda (armas financieras de destrucción masiva, las llamó Warren Buffett)</w:t>
      </w:r>
      <w:r w:rsidR="009A3A60">
        <w:rPr>
          <w:rFonts w:ascii="Times New Roman" w:hAnsi="Times New Roman" w:cs="Times New Roman"/>
          <w:sz w:val="24"/>
          <w:szCs w:val="24"/>
        </w:rPr>
        <w:t>, y que Europa (confiada y frágil</w:t>
      </w:r>
      <w:r w:rsidR="0054360D">
        <w:rPr>
          <w:rFonts w:ascii="Times New Roman" w:hAnsi="Times New Roman" w:cs="Times New Roman"/>
          <w:sz w:val="24"/>
          <w:szCs w:val="24"/>
        </w:rPr>
        <w:t>) había sido barrida por el tsunami</w:t>
      </w:r>
      <w:r w:rsidR="003F5E93">
        <w:rPr>
          <w:rFonts w:ascii="Times New Roman" w:hAnsi="Times New Roman" w:cs="Times New Roman"/>
          <w:sz w:val="24"/>
          <w:szCs w:val="24"/>
        </w:rPr>
        <w:t xml:space="preserve"> financiero</w:t>
      </w:r>
      <w:r w:rsidR="0054360D">
        <w:rPr>
          <w:rFonts w:ascii="Times New Roman" w:hAnsi="Times New Roman" w:cs="Times New Roman"/>
          <w:sz w:val="24"/>
          <w:szCs w:val="24"/>
        </w:rPr>
        <w:t xml:space="preserve"> provocado por los excesos del capitalismo anglosajón.</w:t>
      </w:r>
    </w:p>
    <w:p w:rsidR="007A5AD6" w:rsidRDefault="0054360D" w:rsidP="00D60B84">
      <w:pPr>
        <w:spacing w:line="240" w:lineRule="auto"/>
        <w:jc w:val="both"/>
        <w:rPr>
          <w:rFonts w:ascii="Times New Roman" w:hAnsi="Times New Roman" w:cs="Times New Roman"/>
          <w:sz w:val="24"/>
          <w:szCs w:val="24"/>
        </w:rPr>
      </w:pPr>
      <w:r>
        <w:rPr>
          <w:rFonts w:ascii="Times New Roman" w:hAnsi="Times New Roman" w:cs="Times New Roman"/>
          <w:sz w:val="24"/>
          <w:szCs w:val="24"/>
        </w:rPr>
        <w:t>En la crisis sanitaria del año 2020, en la que la Unión Europea se contagió el virus del Covid 19 de China, por practicar una política de libre movimiento de personas y mercancías</w:t>
      </w:r>
      <w:r w:rsidR="009A3A60">
        <w:rPr>
          <w:rFonts w:ascii="Times New Roman" w:hAnsi="Times New Roman" w:cs="Times New Roman"/>
          <w:sz w:val="24"/>
          <w:szCs w:val="24"/>
        </w:rPr>
        <w:t xml:space="preserve">, deslocalización, tercerización, </w:t>
      </w:r>
      <w:r w:rsidR="00CD0828">
        <w:rPr>
          <w:rFonts w:ascii="Times New Roman" w:hAnsi="Times New Roman" w:cs="Times New Roman"/>
          <w:sz w:val="24"/>
          <w:szCs w:val="24"/>
        </w:rPr>
        <w:t>y globalismo</w:t>
      </w:r>
      <w:r>
        <w:rPr>
          <w:rFonts w:ascii="Times New Roman" w:hAnsi="Times New Roman" w:cs="Times New Roman"/>
          <w:sz w:val="24"/>
          <w:szCs w:val="24"/>
        </w:rPr>
        <w:t xml:space="preserve"> (renunciado al modelo renano, en beneficio del modelo anglosajón)… los “grandes bonetes” (líderes políticos de plastilina, empresarios avaros y miopes, gurús mediáticos y académicos fatuos y arrogantes, dijeron que la culpa era de</w:t>
      </w:r>
      <w:r w:rsidR="009A3A60">
        <w:rPr>
          <w:rFonts w:ascii="Times New Roman" w:hAnsi="Times New Roman" w:cs="Times New Roman"/>
          <w:sz w:val="24"/>
          <w:szCs w:val="24"/>
        </w:rPr>
        <w:t>l… “empedrado”, “azar”, “</w:t>
      </w:r>
      <w:r w:rsidR="003F5E93">
        <w:rPr>
          <w:rFonts w:ascii="Times New Roman" w:hAnsi="Times New Roman" w:cs="Times New Roman"/>
          <w:sz w:val="24"/>
          <w:szCs w:val="24"/>
        </w:rPr>
        <w:t>pangolín</w:t>
      </w:r>
      <w:r w:rsidR="009A3A60">
        <w:rPr>
          <w:rFonts w:ascii="Times New Roman" w:hAnsi="Times New Roman" w:cs="Times New Roman"/>
          <w:sz w:val="24"/>
          <w:szCs w:val="24"/>
        </w:rPr>
        <w:t>”</w:t>
      </w:r>
      <w:r w:rsidR="003F5E93">
        <w:rPr>
          <w:rFonts w:ascii="Times New Roman" w:hAnsi="Times New Roman" w:cs="Times New Roman"/>
          <w:sz w:val="24"/>
          <w:szCs w:val="24"/>
        </w:rPr>
        <w:t>, “murciélago”</w:t>
      </w:r>
      <w:r w:rsidR="009A3A60">
        <w:rPr>
          <w:rFonts w:ascii="Times New Roman" w:hAnsi="Times New Roman" w:cs="Times New Roman"/>
          <w:sz w:val="24"/>
          <w:szCs w:val="24"/>
        </w:rPr>
        <w:t>, o eufemismos equivalentes</w:t>
      </w:r>
      <w:r w:rsidR="003F5E93">
        <w:rPr>
          <w:rFonts w:ascii="Times New Roman" w:hAnsi="Times New Roman" w:cs="Times New Roman"/>
          <w:sz w:val="24"/>
          <w:szCs w:val="24"/>
        </w:rPr>
        <w:t>, con tal de no reconocer la evidencia (responsabilidad de China en el contagio,</w:t>
      </w:r>
      <w:r w:rsidR="00CD0828">
        <w:rPr>
          <w:rFonts w:ascii="Times New Roman" w:hAnsi="Times New Roman" w:cs="Times New Roman"/>
          <w:sz w:val="24"/>
          <w:szCs w:val="24"/>
        </w:rPr>
        <w:t xml:space="preserve"> encubrimiento,y </w:t>
      </w:r>
      <w:r w:rsidR="003F5E93">
        <w:rPr>
          <w:rFonts w:ascii="Times New Roman" w:hAnsi="Times New Roman" w:cs="Times New Roman"/>
          <w:sz w:val="24"/>
          <w:szCs w:val="24"/>
        </w:rPr>
        <w:t>falta d</w:t>
      </w:r>
      <w:r w:rsidR="00CD0828">
        <w:rPr>
          <w:rFonts w:ascii="Times New Roman" w:hAnsi="Times New Roman" w:cs="Times New Roman"/>
          <w:sz w:val="24"/>
          <w:szCs w:val="24"/>
        </w:rPr>
        <w:t>e comunicación), mientras la Unión Europea (más desunida que nunca) patentizaba su</w:t>
      </w:r>
      <w:r w:rsidR="009A3A60">
        <w:rPr>
          <w:rFonts w:ascii="Times New Roman" w:hAnsi="Times New Roman" w:cs="Times New Roman"/>
          <w:sz w:val="24"/>
          <w:szCs w:val="24"/>
        </w:rPr>
        <w:t>imprevisión</w:t>
      </w:r>
      <w:r w:rsidR="00CD0828">
        <w:rPr>
          <w:rFonts w:ascii="Times New Roman" w:hAnsi="Times New Roman" w:cs="Times New Roman"/>
          <w:sz w:val="24"/>
          <w:szCs w:val="24"/>
        </w:rPr>
        <w:t xml:space="preserve"> sanitaria</w:t>
      </w:r>
      <w:r w:rsidR="009A3A60">
        <w:rPr>
          <w:rFonts w:ascii="Times New Roman" w:hAnsi="Times New Roman" w:cs="Times New Roman"/>
          <w:sz w:val="24"/>
          <w:szCs w:val="24"/>
        </w:rPr>
        <w:t>, falta de insumos críticos, de</w:t>
      </w:r>
      <w:r w:rsidR="00CC4B93">
        <w:rPr>
          <w:rFonts w:ascii="Times New Roman" w:hAnsi="Times New Roman" w:cs="Times New Roman"/>
          <w:sz w:val="24"/>
          <w:szCs w:val="24"/>
        </w:rPr>
        <w:t>pendencia tecnológica, falta de planificación</w:t>
      </w:r>
      <w:r w:rsidR="009A3A60">
        <w:rPr>
          <w:rFonts w:ascii="Times New Roman" w:hAnsi="Times New Roman" w:cs="Times New Roman"/>
          <w:sz w:val="24"/>
          <w:szCs w:val="24"/>
        </w:rPr>
        <w:t xml:space="preserve"> estratégica, coordinación, y u</w:t>
      </w:r>
      <w:r w:rsidR="00FC7C0C">
        <w:rPr>
          <w:rFonts w:ascii="Times New Roman" w:hAnsi="Times New Roman" w:cs="Times New Roman"/>
          <w:sz w:val="24"/>
          <w:szCs w:val="24"/>
        </w:rPr>
        <w:t xml:space="preserve">nidad operativa), quedando </w:t>
      </w:r>
      <w:r w:rsidR="003F5E93">
        <w:rPr>
          <w:rFonts w:ascii="Times New Roman" w:hAnsi="Times New Roman" w:cs="Times New Roman"/>
          <w:sz w:val="24"/>
          <w:szCs w:val="24"/>
        </w:rPr>
        <w:t>barrida por el tsunami sanitario provocado por</w:t>
      </w:r>
      <w:r w:rsidR="00CD0828">
        <w:rPr>
          <w:rFonts w:ascii="Times New Roman" w:hAnsi="Times New Roman" w:cs="Times New Roman"/>
          <w:sz w:val="24"/>
          <w:szCs w:val="24"/>
        </w:rPr>
        <w:t xml:space="preserve"> China</w:t>
      </w:r>
      <w:r w:rsidR="00FC7C0C">
        <w:rPr>
          <w:rFonts w:ascii="Times New Roman" w:hAnsi="Times New Roman" w:cs="Times New Roman"/>
          <w:sz w:val="24"/>
          <w:szCs w:val="24"/>
        </w:rPr>
        <w:t>.</w:t>
      </w:r>
    </w:p>
    <w:p w:rsidR="00CD0828" w:rsidRDefault="00FC7C0C" w:rsidP="00CD08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Queda patente</w:t>
      </w:r>
      <w:r w:rsidR="00CD0828">
        <w:rPr>
          <w:rFonts w:ascii="Times New Roman" w:hAnsi="Times New Roman" w:cs="Times New Roman"/>
          <w:sz w:val="24"/>
          <w:szCs w:val="24"/>
          <w:shd w:val="clear" w:color="auto" w:fill="FFFFFF"/>
        </w:rPr>
        <w:t xml:space="preserve"> que algunos</w:t>
      </w:r>
      <w:r>
        <w:rPr>
          <w:rFonts w:ascii="Times New Roman" w:hAnsi="Times New Roman" w:cs="Times New Roman"/>
          <w:sz w:val="24"/>
          <w:szCs w:val="24"/>
          <w:shd w:val="clear" w:color="auto" w:fill="FFFFFF"/>
        </w:rPr>
        <w:t xml:space="preserve"> de los</w:t>
      </w:r>
      <w:r w:rsidR="00CD0828">
        <w:rPr>
          <w:rFonts w:ascii="Times New Roman" w:hAnsi="Times New Roman" w:cs="Times New Roman"/>
          <w:sz w:val="24"/>
          <w:szCs w:val="24"/>
          <w:shd w:val="clear" w:color="auto" w:fill="FFFFFF"/>
        </w:rPr>
        <w:t xml:space="preserve"> países</w:t>
      </w:r>
      <w:r>
        <w:rPr>
          <w:rFonts w:ascii="Times New Roman" w:hAnsi="Times New Roman" w:cs="Times New Roman"/>
          <w:sz w:val="24"/>
          <w:szCs w:val="24"/>
          <w:shd w:val="clear" w:color="auto" w:fill="FFFFFF"/>
        </w:rPr>
        <w:t xml:space="preserve"> más</w:t>
      </w:r>
      <w:r w:rsidR="00CD0828">
        <w:rPr>
          <w:rFonts w:ascii="Times New Roman" w:hAnsi="Times New Roman" w:cs="Times New Roman"/>
          <w:sz w:val="24"/>
          <w:szCs w:val="24"/>
          <w:shd w:val="clear" w:color="auto" w:fill="FFFFFF"/>
        </w:rPr>
        <w:t xml:space="preserve"> avanzados, tan poderosos en lo económico, en lo administrativo e, incluso, en lo militar, han demostrado una grandiosa </w:t>
      </w:r>
      <w:r w:rsidR="00CD0828" w:rsidRPr="00FC7C0C">
        <w:rPr>
          <w:rStyle w:val="Textoennegrita"/>
          <w:rFonts w:ascii="Times New Roman" w:hAnsi="Times New Roman" w:cs="Times New Roman"/>
          <w:b w:val="0"/>
          <w:sz w:val="24"/>
          <w:szCs w:val="24"/>
          <w:bdr w:val="none" w:sz="0" w:space="0" w:color="auto" w:frame="1"/>
          <w:shd w:val="clear" w:color="auto" w:fill="FFFFFF"/>
        </w:rPr>
        <w:t>vulnerabilidad</w:t>
      </w:r>
      <w:r w:rsidR="00CD0828">
        <w:rPr>
          <w:rStyle w:val="Textoennegrita"/>
          <w:rFonts w:ascii="Times New Roman" w:hAnsi="Times New Roman" w:cs="Times New Roman"/>
          <w:sz w:val="24"/>
          <w:szCs w:val="24"/>
          <w:bdr w:val="none" w:sz="0" w:space="0" w:color="auto" w:frame="1"/>
          <w:shd w:val="clear" w:color="auto" w:fill="FFFFFF"/>
        </w:rPr>
        <w:t> </w:t>
      </w:r>
      <w:r w:rsidR="00CD0828">
        <w:rPr>
          <w:rFonts w:ascii="Times New Roman" w:hAnsi="Times New Roman" w:cs="Times New Roman"/>
          <w:sz w:val="24"/>
          <w:szCs w:val="24"/>
          <w:shd w:val="clear" w:color="auto" w:fill="FFFFFF"/>
        </w:rPr>
        <w:t>ante la </w:t>
      </w:r>
      <w:hyperlink r:id="rId8" w:history="1">
        <w:r w:rsidR="00CD0828" w:rsidRPr="00FC7C0C">
          <w:rPr>
            <w:rStyle w:val="Hipervnculo"/>
            <w:rFonts w:ascii="Times New Roman" w:hAnsi="Times New Roman" w:cs="Times New Roman"/>
            <w:bCs/>
            <w:color w:val="auto"/>
            <w:sz w:val="24"/>
            <w:szCs w:val="24"/>
            <w:u w:val="none"/>
            <w:shd w:val="clear" w:color="auto" w:fill="FFFFFF"/>
          </w:rPr>
          <w:t>globalización</w:t>
        </w:r>
      </w:hyperlink>
      <w:r w:rsidR="00CC4B93">
        <w:rPr>
          <w:rFonts w:ascii="Times New Roman" w:hAnsi="Times New Roman" w:cs="Times New Roman"/>
          <w:sz w:val="24"/>
          <w:szCs w:val="24"/>
          <w:shd w:val="clear" w:color="auto" w:fill="FFFFFF"/>
        </w:rPr>
        <w:t xml:space="preserve">, </w:t>
      </w:r>
      <w:r w:rsidR="00CD0828">
        <w:rPr>
          <w:rFonts w:ascii="Times New Roman" w:hAnsi="Times New Roman" w:cs="Times New Roman"/>
          <w:sz w:val="24"/>
          <w:szCs w:val="24"/>
          <w:shd w:val="clear" w:color="auto" w:fill="FFFFFF"/>
        </w:rPr>
        <w:t>que los han dejado inermes ante las crisis devenidas.</w:t>
      </w:r>
    </w:p>
    <w:p w:rsidR="00CD0828" w:rsidRDefault="00CD0828" w:rsidP="00CD08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O, al menos, seriamente</w:t>
      </w:r>
      <w:r>
        <w:rPr>
          <w:rStyle w:val="Textoennegrita"/>
          <w:rFonts w:ascii="Times New Roman" w:hAnsi="Times New Roman" w:cs="Times New Roman"/>
          <w:sz w:val="24"/>
          <w:szCs w:val="24"/>
          <w:bdr w:val="none" w:sz="0" w:space="0" w:color="auto" w:frame="1"/>
          <w:shd w:val="clear" w:color="auto" w:fill="FFFFFF"/>
        </w:rPr>
        <w:t> </w:t>
      </w:r>
      <w:r w:rsidRPr="00FC7C0C">
        <w:rPr>
          <w:rStyle w:val="Textoennegrita"/>
          <w:rFonts w:ascii="Times New Roman" w:hAnsi="Times New Roman" w:cs="Times New Roman"/>
          <w:b w:val="0"/>
          <w:sz w:val="24"/>
          <w:szCs w:val="24"/>
          <w:bdr w:val="none" w:sz="0" w:space="0" w:color="auto" w:frame="1"/>
          <w:shd w:val="clear" w:color="auto" w:fill="FFFFFF"/>
        </w:rPr>
        <w:t>indefensos</w:t>
      </w:r>
      <w:r>
        <w:rPr>
          <w:rFonts w:ascii="Times New Roman" w:hAnsi="Times New Roman" w:cs="Times New Roman"/>
          <w:b/>
          <w:sz w:val="24"/>
          <w:szCs w:val="24"/>
          <w:shd w:val="clear" w:color="auto" w:fill="FFFFFF"/>
        </w:rPr>
        <w:t> </w:t>
      </w:r>
      <w:r>
        <w:rPr>
          <w:rFonts w:ascii="Times New Roman" w:hAnsi="Times New Roman" w:cs="Times New Roman"/>
          <w:sz w:val="24"/>
          <w:szCs w:val="24"/>
          <w:shd w:val="clear" w:color="auto" w:fill="FFFFFF"/>
        </w:rPr>
        <w:t>ante un problema grave</w:t>
      </w:r>
      <w:r w:rsidR="00FC7C0C">
        <w:rPr>
          <w:rFonts w:ascii="Times New Roman" w:hAnsi="Times New Roman" w:cs="Times New Roman"/>
          <w:sz w:val="24"/>
          <w:szCs w:val="24"/>
          <w:shd w:val="clear" w:color="auto" w:fill="FFFFFF"/>
        </w:rPr>
        <w:t>, económico y financiero (</w:t>
      </w:r>
      <w:r w:rsidR="00CC4B93">
        <w:rPr>
          <w:rFonts w:ascii="Times New Roman" w:hAnsi="Times New Roman" w:cs="Times New Roman"/>
          <w:sz w:val="24"/>
          <w:szCs w:val="24"/>
          <w:shd w:val="clear" w:color="auto" w:fill="FFFFFF"/>
        </w:rPr>
        <w:t xml:space="preserve">en el año </w:t>
      </w:r>
      <w:r w:rsidR="00FC7C0C">
        <w:rPr>
          <w:rFonts w:ascii="Times New Roman" w:hAnsi="Times New Roman" w:cs="Times New Roman"/>
          <w:sz w:val="24"/>
          <w:szCs w:val="24"/>
          <w:shd w:val="clear" w:color="auto" w:fill="FFFFFF"/>
        </w:rPr>
        <w:t>2008), o</w:t>
      </w:r>
      <w:r>
        <w:rPr>
          <w:rFonts w:ascii="Times New Roman" w:hAnsi="Times New Roman" w:cs="Times New Roman"/>
          <w:sz w:val="24"/>
          <w:szCs w:val="24"/>
          <w:shd w:val="clear" w:color="auto" w:fill="FFFFFF"/>
        </w:rPr>
        <w:t xml:space="preserve"> de </w:t>
      </w:r>
      <w:hyperlink r:id="rId9" w:history="1">
        <w:r w:rsidRPr="00FC7C0C">
          <w:rPr>
            <w:rStyle w:val="Hipervnculo"/>
            <w:rFonts w:ascii="Times New Roman" w:hAnsi="Times New Roman" w:cs="Times New Roman"/>
            <w:bCs/>
            <w:color w:val="auto"/>
            <w:sz w:val="24"/>
            <w:szCs w:val="24"/>
            <w:u w:val="none"/>
            <w:shd w:val="clear" w:color="auto" w:fill="FFFFFF"/>
          </w:rPr>
          <w:t>salud pública</w:t>
        </w:r>
      </w:hyperlink>
      <w:r w:rsidR="00FC7C0C" w:rsidRPr="00FC7C0C">
        <w:rPr>
          <w:rFonts w:ascii="Times New Roman" w:hAnsi="Times New Roman" w:cs="Times New Roman"/>
          <w:sz w:val="24"/>
          <w:szCs w:val="24"/>
        </w:rPr>
        <w:t>(</w:t>
      </w:r>
      <w:r w:rsidR="00CC4B93">
        <w:rPr>
          <w:rFonts w:ascii="Times New Roman" w:hAnsi="Times New Roman" w:cs="Times New Roman"/>
          <w:sz w:val="24"/>
          <w:szCs w:val="24"/>
        </w:rPr>
        <w:t xml:space="preserve">en el año </w:t>
      </w:r>
      <w:r w:rsidR="00FC7C0C" w:rsidRPr="00FC7C0C">
        <w:rPr>
          <w:rFonts w:ascii="Times New Roman" w:hAnsi="Times New Roman" w:cs="Times New Roman"/>
          <w:sz w:val="24"/>
          <w:szCs w:val="24"/>
        </w:rPr>
        <w:t>2020</w:t>
      </w:r>
      <w:r w:rsidR="00FC7C0C">
        <w:rPr>
          <w:rFonts w:ascii="Times New Roman" w:hAnsi="Times New Roman" w:cs="Times New Roman"/>
          <w:sz w:val="24"/>
          <w:szCs w:val="24"/>
        </w:rPr>
        <w:t>,</w:t>
      </w:r>
      <w:r w:rsidR="00FC7C0C" w:rsidRPr="00FC7C0C">
        <w:rPr>
          <w:rFonts w:ascii="Times New Roman" w:hAnsi="Times New Roman" w:cs="Times New Roman"/>
          <w:sz w:val="24"/>
          <w:szCs w:val="24"/>
        </w:rPr>
        <w:t>)</w:t>
      </w:r>
      <w:r w:rsidRPr="00FC7C0C">
        <w:rPr>
          <w:rFonts w:ascii="Times New Roman" w:hAnsi="Times New Roman" w:cs="Times New Roman"/>
          <w:sz w:val="24"/>
          <w:szCs w:val="24"/>
          <w:shd w:val="clear" w:color="auto" w:fill="FFFFFF"/>
        </w:rPr>
        <w:t> como consecuencia de décadas de un modelo de crecimiento arrogante que </w:t>
      </w:r>
      <w:hyperlink r:id="rId10" w:history="1">
        <w:r w:rsidRPr="00FC7C0C">
          <w:rPr>
            <w:rStyle w:val="Hipervnculo"/>
            <w:rFonts w:ascii="Times New Roman" w:hAnsi="Times New Roman" w:cs="Times New Roman"/>
            <w:bCs/>
            <w:color w:val="auto"/>
            <w:sz w:val="24"/>
            <w:szCs w:val="24"/>
            <w:u w:val="none"/>
            <w:shd w:val="clear" w:color="auto" w:fill="FFFFFF"/>
          </w:rPr>
          <w:t>ha arrinconado</w:t>
        </w:r>
      </w:hyperlink>
      <w:r w:rsidR="00CC4B93">
        <w:rPr>
          <w:rFonts w:ascii="Times New Roman" w:hAnsi="Times New Roman" w:cs="Times New Roman"/>
          <w:sz w:val="24"/>
          <w:szCs w:val="24"/>
          <w:shd w:val="clear" w:color="auto" w:fill="FFFFFF"/>
        </w:rPr>
        <w:t xml:space="preserve"> la economía productiva </w:t>
      </w:r>
      <w:r w:rsidR="00FC7C0C">
        <w:rPr>
          <w:rFonts w:ascii="Times New Roman" w:hAnsi="Times New Roman" w:cs="Times New Roman"/>
          <w:sz w:val="24"/>
          <w:szCs w:val="24"/>
          <w:shd w:val="clear" w:color="auto" w:fill="FFFFFF"/>
        </w:rPr>
        <w:t>y los servicios públicos esenciales, haciendo</w:t>
      </w:r>
      <w:r w:rsidRPr="00FC7C0C">
        <w:rPr>
          <w:rFonts w:ascii="Times New Roman" w:hAnsi="Times New Roman" w:cs="Times New Roman"/>
          <w:sz w:val="24"/>
          <w:szCs w:val="24"/>
          <w:shd w:val="clear" w:color="auto" w:fill="FFFFFF"/>
        </w:rPr>
        <w:t xml:space="preserve"> añicos el Estado </w:t>
      </w:r>
      <w:r w:rsidR="00CC4B93">
        <w:rPr>
          <w:rFonts w:ascii="Times New Roman" w:hAnsi="Times New Roman" w:cs="Times New Roman"/>
          <w:sz w:val="24"/>
          <w:szCs w:val="24"/>
          <w:shd w:val="clear" w:color="auto" w:fill="FFFFFF"/>
        </w:rPr>
        <w:t xml:space="preserve">de Bienestar y, de imposible </w:t>
      </w:r>
      <w:r w:rsidRPr="00FC7C0C">
        <w:rPr>
          <w:rFonts w:ascii="Times New Roman" w:hAnsi="Times New Roman" w:cs="Times New Roman"/>
          <w:sz w:val="24"/>
          <w:szCs w:val="24"/>
          <w:shd w:val="clear" w:color="auto" w:fill="FFFFFF"/>
        </w:rPr>
        <w:t>cumplimiento, el Contrato Social.</w:t>
      </w:r>
    </w:p>
    <w:p w:rsidR="00CC4B93" w:rsidRPr="00E82DE9" w:rsidRDefault="005E59C2" w:rsidP="00CD0828">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Putin se va a la guerra… y la UE anda “en bolas y por la ramas”</w:t>
      </w:r>
      <w:r w:rsidR="007E4618">
        <w:rPr>
          <w:rFonts w:ascii="Times New Roman" w:hAnsi="Times New Roman" w:cs="Times New Roman"/>
          <w:b/>
          <w:sz w:val="24"/>
          <w:szCs w:val="24"/>
          <w:shd w:val="clear" w:color="auto" w:fill="FFFFFF"/>
        </w:rPr>
        <w:t>(m</w:t>
      </w:r>
      <w:r w:rsidR="00E82DE9" w:rsidRPr="00E82DE9">
        <w:rPr>
          <w:rFonts w:ascii="Times New Roman" w:hAnsi="Times New Roman" w:cs="Times New Roman"/>
          <w:b/>
          <w:sz w:val="24"/>
          <w:szCs w:val="24"/>
          <w:shd w:val="clear" w:color="auto" w:fill="FFFFFF"/>
        </w:rPr>
        <w:t>ás allá del arco iris)</w:t>
      </w:r>
    </w:p>
    <w:p w:rsidR="00CC4B93" w:rsidRPr="00CC4B93" w:rsidRDefault="00CC4B93" w:rsidP="00CC4B93">
      <w:pPr>
        <w:spacing w:line="240" w:lineRule="auto"/>
        <w:jc w:val="both"/>
        <w:rPr>
          <w:rFonts w:ascii="Times New Roman" w:hAnsi="Times New Roman" w:cs="Times New Roman"/>
          <w:sz w:val="24"/>
          <w:szCs w:val="24"/>
          <w:shd w:val="clear" w:color="auto" w:fill="FFFFFF"/>
        </w:rPr>
      </w:pPr>
      <w:r w:rsidRPr="00CC4B93">
        <w:rPr>
          <w:rFonts w:ascii="Times New Roman" w:hAnsi="Times New Roman" w:cs="Times New Roman"/>
          <w:sz w:val="24"/>
          <w:szCs w:val="24"/>
          <w:shd w:val="clear" w:color="auto" w:fill="FFFFFF"/>
        </w:rPr>
        <w:t>¿Por qué se disparan los precios? ¿Cómo es posible?</w:t>
      </w:r>
    </w:p>
    <w:p w:rsidR="00CC4B93" w:rsidRPr="00CC4B93" w:rsidRDefault="00CC4B93" w:rsidP="00CC4B93">
      <w:pPr>
        <w:spacing w:line="240" w:lineRule="auto"/>
        <w:jc w:val="both"/>
        <w:rPr>
          <w:rFonts w:ascii="Times New Roman" w:hAnsi="Times New Roman" w:cs="Times New Roman"/>
          <w:sz w:val="24"/>
          <w:szCs w:val="24"/>
          <w:shd w:val="clear" w:color="auto" w:fill="FFFFFF"/>
        </w:rPr>
      </w:pPr>
      <w:r w:rsidRPr="00CC4B93">
        <w:rPr>
          <w:rFonts w:ascii="Times New Roman" w:hAnsi="Times New Roman" w:cs="Times New Roman"/>
          <w:sz w:val="24"/>
          <w:szCs w:val="24"/>
          <w:shd w:val="clear" w:color="auto" w:fill="FFFFFF"/>
        </w:rPr>
        <w:t>¿Un colapso sin precedentes? ¿Estamos ante un caso de odio “fraternal”?</w:t>
      </w:r>
    </w:p>
    <w:p w:rsidR="00CC4B93" w:rsidRDefault="00E82DE9" w:rsidP="00CC4B9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w:t>
      </w:r>
      <w:r w:rsidR="00CC4B93" w:rsidRPr="00CC4B93">
        <w:rPr>
          <w:rFonts w:ascii="Times New Roman" w:hAnsi="Times New Roman" w:cs="Times New Roman"/>
          <w:sz w:val="24"/>
          <w:szCs w:val="24"/>
          <w:shd w:val="clear" w:color="auto" w:fill="FFFFFF"/>
        </w:rPr>
        <w:t>or qué Alemania “confía”</w:t>
      </w:r>
      <w:r>
        <w:rPr>
          <w:rFonts w:ascii="Times New Roman" w:hAnsi="Times New Roman" w:cs="Times New Roman"/>
          <w:sz w:val="24"/>
          <w:szCs w:val="24"/>
          <w:shd w:val="clear" w:color="auto" w:fill="FFFFFF"/>
        </w:rPr>
        <w:t xml:space="preserve"> en Rusia: temor o connivencia?</w:t>
      </w:r>
    </w:p>
    <w:p w:rsidR="00E82DE9" w:rsidRDefault="00E82DE9" w:rsidP="00E82DE9">
      <w:pPr>
        <w:spacing w:line="240" w:lineRule="auto"/>
        <w:jc w:val="both"/>
        <w:rPr>
          <w:rFonts w:ascii="Times New Roman" w:hAnsi="Times New Roman" w:cs="Times New Roman"/>
          <w:sz w:val="24"/>
          <w:szCs w:val="24"/>
          <w:shd w:val="clear" w:color="auto" w:fill="FFFFFF"/>
        </w:rPr>
      </w:pPr>
      <w:r w:rsidRPr="00E82DE9">
        <w:rPr>
          <w:rFonts w:ascii="Times New Roman" w:hAnsi="Times New Roman" w:cs="Times New Roman"/>
          <w:sz w:val="24"/>
          <w:szCs w:val="24"/>
          <w:shd w:val="clear" w:color="auto" w:fill="FFFFFF"/>
        </w:rPr>
        <w:t xml:space="preserve">Falsos conceptos, miedo escénico, esclavitud moral, complejo de Estocolmo, derrotas preventivas, víctima de creencias desfasadas, imbecilidad supina, satisfechos con lo logrado, ostentosa autocomplacencia, dependencia por inercia, encantado de haberse conocido, pero con un programa de cambios profundos agotado. Y eso no sólo augura un pésimo futuro. Demasiados listillos cortoplacistas. Demasiados cooperadores necesarios. Demasiadas puertas giratorias. Demasiado capitalismo anglosajón. Demasiados partidarios de ganar perdiendo…  </w:t>
      </w:r>
    </w:p>
    <w:p w:rsidR="00E82DE9" w:rsidRDefault="00E82DE9" w:rsidP="00E82DE9">
      <w:pPr>
        <w:spacing w:line="240" w:lineRule="auto"/>
        <w:jc w:val="both"/>
        <w:rPr>
          <w:rFonts w:ascii="Times New Roman" w:hAnsi="Times New Roman" w:cs="Times New Roman"/>
          <w:sz w:val="24"/>
          <w:szCs w:val="24"/>
          <w:shd w:val="clear" w:color="auto" w:fill="FFFFFF"/>
        </w:rPr>
      </w:pPr>
      <w:r w:rsidRPr="00E82DE9">
        <w:rPr>
          <w:rFonts w:ascii="Times New Roman" w:hAnsi="Times New Roman" w:cs="Times New Roman"/>
          <w:sz w:val="24"/>
          <w:szCs w:val="24"/>
          <w:shd w:val="clear" w:color="auto" w:fill="FFFFFF"/>
        </w:rPr>
        <w:t>¿Qué está pas</w:t>
      </w:r>
      <w:r w:rsidR="0081746F">
        <w:rPr>
          <w:rFonts w:ascii="Times New Roman" w:hAnsi="Times New Roman" w:cs="Times New Roman"/>
          <w:sz w:val="24"/>
          <w:szCs w:val="24"/>
          <w:shd w:val="clear" w:color="auto" w:fill="FFFFFF"/>
        </w:rPr>
        <w:t>ando con la Unión Europea</w:t>
      </w:r>
      <w:r w:rsidRPr="00E82DE9">
        <w:rPr>
          <w:rFonts w:ascii="Times New Roman" w:hAnsi="Times New Roman" w:cs="Times New Roman"/>
          <w:sz w:val="24"/>
          <w:szCs w:val="24"/>
          <w:shd w:val="clear" w:color="auto" w:fill="FFFFFF"/>
        </w:rPr>
        <w:t>?</w:t>
      </w:r>
    </w:p>
    <w:p w:rsidR="00E82DE9" w:rsidRPr="00E82DE9" w:rsidRDefault="00E82DE9" w:rsidP="00E82DE9">
      <w:pPr>
        <w:spacing w:line="240" w:lineRule="auto"/>
        <w:jc w:val="both"/>
        <w:rPr>
          <w:rFonts w:ascii="Times New Roman" w:hAnsi="Times New Roman" w:cs="Times New Roman"/>
          <w:sz w:val="24"/>
          <w:szCs w:val="24"/>
          <w:shd w:val="clear" w:color="auto" w:fill="FFFFFF"/>
        </w:rPr>
      </w:pPr>
      <w:r w:rsidRPr="00E82DE9">
        <w:rPr>
          <w:rFonts w:ascii="Times New Roman" w:hAnsi="Times New Roman" w:cs="Times New Roman"/>
          <w:sz w:val="24"/>
          <w:szCs w:val="24"/>
          <w:shd w:val="clear" w:color="auto" w:fill="FFFFFF"/>
        </w:rPr>
        <w:t>¿Queda algo de la famosa autonomía estratégica europea? ¿De qué sirve la ortodoxia económica cuando se carece de la base productiva (agraria, industrial, energética, tecnológica y de servicios) necesaria para elaborar los alimentos, bienes o servicios, que aseguren la soberanía?</w:t>
      </w:r>
    </w:p>
    <w:p w:rsidR="00E82DE9" w:rsidRPr="00E82DE9" w:rsidRDefault="00E82DE9" w:rsidP="00E82DE9">
      <w:pPr>
        <w:spacing w:line="240" w:lineRule="auto"/>
        <w:jc w:val="both"/>
        <w:rPr>
          <w:rFonts w:ascii="Times New Roman" w:hAnsi="Times New Roman" w:cs="Times New Roman"/>
          <w:sz w:val="24"/>
          <w:szCs w:val="24"/>
          <w:shd w:val="clear" w:color="auto" w:fill="FFFFFF"/>
        </w:rPr>
      </w:pPr>
      <w:r w:rsidRPr="00E82DE9">
        <w:rPr>
          <w:rFonts w:ascii="Times New Roman" w:hAnsi="Times New Roman" w:cs="Times New Roman"/>
          <w:sz w:val="24"/>
          <w:szCs w:val="24"/>
          <w:shd w:val="clear" w:color="auto" w:fill="FFFFFF"/>
        </w:rPr>
        <w:t xml:space="preserve">Un estado de funambulismo “acojonado”: cuyos dirigentes políticos y empresariales más que tontear han compartido cama con el “enemigo”, una actitud que ha devastado a la Unión Europea hasta extremos difícilmente recuperables. </w:t>
      </w:r>
    </w:p>
    <w:p w:rsidR="00E82DE9" w:rsidRPr="00E82DE9" w:rsidRDefault="00E82DE9" w:rsidP="00E82DE9">
      <w:pPr>
        <w:spacing w:line="240" w:lineRule="auto"/>
        <w:jc w:val="both"/>
        <w:rPr>
          <w:rFonts w:ascii="Times New Roman" w:hAnsi="Times New Roman" w:cs="Times New Roman"/>
          <w:sz w:val="24"/>
          <w:szCs w:val="24"/>
          <w:shd w:val="clear" w:color="auto" w:fill="FFFFFF"/>
        </w:rPr>
      </w:pPr>
      <w:r w:rsidRPr="00E82DE9">
        <w:rPr>
          <w:rFonts w:ascii="Times New Roman" w:hAnsi="Times New Roman" w:cs="Times New Roman"/>
          <w:sz w:val="24"/>
          <w:szCs w:val="24"/>
          <w:shd w:val="clear" w:color="auto" w:fill="FFFFFF"/>
        </w:rPr>
        <w:t>Una burguesía europea, tan sobrada de miedos como carente de valores cívicos, ha abdicado de su vocación de faro, ha borrado de su ideario y de su praxis cualquier atisbo de ideología de capitalismo renano (palabra maldita, desaparecida del horizonte europeo) para confundirse en el paisaje gris de una sumisión al capitalismo anglosajón.</w:t>
      </w:r>
    </w:p>
    <w:p w:rsidR="00E82DE9" w:rsidRPr="00E82DE9" w:rsidRDefault="00E82DE9" w:rsidP="00E82DE9">
      <w:pPr>
        <w:spacing w:line="240" w:lineRule="auto"/>
        <w:jc w:val="both"/>
        <w:rPr>
          <w:rFonts w:ascii="Times New Roman" w:hAnsi="Times New Roman" w:cs="Times New Roman"/>
          <w:sz w:val="24"/>
          <w:szCs w:val="24"/>
          <w:shd w:val="clear" w:color="auto" w:fill="FFFFFF"/>
        </w:rPr>
      </w:pPr>
      <w:r w:rsidRPr="00E82DE9">
        <w:rPr>
          <w:rFonts w:ascii="Times New Roman" w:hAnsi="Times New Roman" w:cs="Times New Roman"/>
          <w:sz w:val="24"/>
          <w:szCs w:val="24"/>
          <w:shd w:val="clear" w:color="auto" w:fill="FFFFFF"/>
        </w:rPr>
        <w:t>Una eurozona que siempre parece tener la sensación de vivir adormecida y a la espera de que los acontecimientos fuercen las decisiones, en lugar de al contrario.</w:t>
      </w:r>
    </w:p>
    <w:p w:rsidR="00E82DE9" w:rsidRPr="00E82DE9" w:rsidRDefault="00E82DE9" w:rsidP="00E82DE9">
      <w:pPr>
        <w:spacing w:line="240" w:lineRule="auto"/>
        <w:jc w:val="both"/>
        <w:rPr>
          <w:rFonts w:ascii="Times New Roman" w:hAnsi="Times New Roman" w:cs="Times New Roman"/>
          <w:sz w:val="24"/>
          <w:szCs w:val="24"/>
          <w:shd w:val="clear" w:color="auto" w:fill="FFFFFF"/>
        </w:rPr>
      </w:pPr>
      <w:r w:rsidRPr="00E82DE9">
        <w:rPr>
          <w:rFonts w:ascii="Times New Roman" w:hAnsi="Times New Roman" w:cs="Times New Roman"/>
          <w:sz w:val="24"/>
          <w:szCs w:val="24"/>
          <w:shd w:val="clear" w:color="auto" w:fill="FFFFFF"/>
        </w:rPr>
        <w:t>Esta inflación es la confluencia de una salida a borbotones de la pandemia, de la guerra de Ucrania, de diferentes políticas anti-Covid con consecuencias sobre las cadenas de suministro globales y de cierto oportunismo. Se trata de un conjunto de cuestiones que exceden lo que un banco central puede controlar, aunque tenga que tocar su balada.</w:t>
      </w:r>
    </w:p>
    <w:p w:rsidR="00E82DE9" w:rsidRDefault="00161E82" w:rsidP="00E82DE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Petróleo, gas natural, productos agrícolas</w:t>
      </w:r>
      <w:r w:rsidR="00E82DE9" w:rsidRPr="00E82DE9">
        <w:rPr>
          <w:rFonts w:ascii="Times New Roman" w:hAnsi="Times New Roman" w:cs="Times New Roman"/>
          <w:sz w:val="24"/>
          <w:szCs w:val="24"/>
          <w:shd w:val="clear" w:color="auto" w:fill="FFFFFF"/>
        </w:rPr>
        <w:t xml:space="preserve">... Las materias primas están siendo, sin lugar a dudas, las protagonistas durante este año y no es para menos. Su precio ha experimentado un crecimiento meteórico y no ha dado tregua a una inflación que amenaza con hacer descarrilar las principales economías del mundo, lo que ha encendido todas las alarmas en el seno de los </w:t>
      </w:r>
      <w:r w:rsidR="00E82DE9" w:rsidRPr="00E82DE9">
        <w:rPr>
          <w:rFonts w:ascii="Times New Roman" w:hAnsi="Times New Roman" w:cs="Times New Roman"/>
          <w:sz w:val="24"/>
          <w:szCs w:val="24"/>
          <w:shd w:val="clear" w:color="auto" w:fill="FFFFFF"/>
        </w:rPr>
        <w:lastRenderedPageBreak/>
        <w:t>bancos centrales, que están subiendo los tipos de interés por encima de lo esperado hace pocas semanas (mediados de junio 2022). Así, el precio de las “commodities” está cerca de su nivel más alto desde 2008, si tomamos como referencia el Bloomberg Commodity Inditex en euros, tras un repunte superior al 30% en este 2022.</w:t>
      </w:r>
    </w:p>
    <w:p w:rsidR="00056CDE" w:rsidRDefault="0031305D" w:rsidP="00E82DE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Del papel cumplido (o sus debilidades manifiestas), por parte de los países miembro de la Unión Europea, debo confesar que mi mayor interés y preocupación está puesto en Alemania.</w:t>
      </w:r>
      <w:r w:rsidR="00DE040A">
        <w:rPr>
          <w:rFonts w:ascii="Times New Roman" w:hAnsi="Times New Roman" w:cs="Times New Roman"/>
          <w:sz w:val="24"/>
          <w:szCs w:val="24"/>
          <w:shd w:val="clear" w:color="auto" w:fill="FFFFFF"/>
        </w:rPr>
        <w:t xml:space="preserve"> De</w:t>
      </w:r>
      <w:r w:rsidR="00056CDE">
        <w:rPr>
          <w:rFonts w:ascii="Times New Roman" w:hAnsi="Times New Roman" w:cs="Times New Roman"/>
          <w:sz w:val="24"/>
          <w:szCs w:val="24"/>
          <w:shd w:val="clear" w:color="auto" w:fill="FFFFFF"/>
        </w:rPr>
        <w:t xml:space="preserve"> los países mediterráneos (conocidos como PIGS, ahora más “pigs” que nunca), poco se puede esperar (pedigüeños y manirrotos, sin ninguna capacidad de liderazgo), de Francia (aunque intenta maquillarlo con su “grandeur” trasnochada) solo se puede desear que abandone su estatismo clientelar y su burocracia progre, del resto de los países (algunos frugales y otros mendicantes), </w:t>
      </w:r>
      <w:r w:rsidR="00243F2F">
        <w:rPr>
          <w:rFonts w:ascii="Times New Roman" w:hAnsi="Times New Roman" w:cs="Times New Roman"/>
          <w:sz w:val="24"/>
          <w:szCs w:val="24"/>
          <w:shd w:val="clear" w:color="auto" w:fill="FFFFFF"/>
        </w:rPr>
        <w:t xml:space="preserve">decir que </w:t>
      </w:r>
      <w:r w:rsidR="00056CDE">
        <w:rPr>
          <w:rFonts w:ascii="Times New Roman" w:hAnsi="Times New Roman" w:cs="Times New Roman"/>
          <w:sz w:val="24"/>
          <w:szCs w:val="24"/>
          <w:shd w:val="clear" w:color="auto" w:fill="FFFFFF"/>
        </w:rPr>
        <w:t>siguen las señales de Alemania, como</w:t>
      </w:r>
      <w:r w:rsidR="00243F2F">
        <w:rPr>
          <w:rFonts w:ascii="Times New Roman" w:hAnsi="Times New Roman" w:cs="Times New Roman"/>
          <w:sz w:val="24"/>
          <w:szCs w:val="24"/>
          <w:shd w:val="clear" w:color="auto" w:fill="FFFFFF"/>
        </w:rPr>
        <w:t xml:space="preserve"> un</w:t>
      </w:r>
      <w:r w:rsidR="00056CDE">
        <w:rPr>
          <w:rFonts w:ascii="Times New Roman" w:hAnsi="Times New Roman" w:cs="Times New Roman"/>
          <w:sz w:val="24"/>
          <w:szCs w:val="24"/>
          <w:shd w:val="clear" w:color="auto" w:fill="FFFFFF"/>
        </w:rPr>
        <w:t xml:space="preserve"> mal menor. </w:t>
      </w:r>
    </w:p>
    <w:p w:rsidR="00243F2F" w:rsidRDefault="00DE040A" w:rsidP="00E82DE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definitiva</w:t>
      </w:r>
      <w:r w:rsidR="00056CDE">
        <w:rPr>
          <w:rFonts w:ascii="Times New Roman" w:hAnsi="Times New Roman" w:cs="Times New Roman"/>
          <w:sz w:val="24"/>
          <w:szCs w:val="24"/>
          <w:shd w:val="clear" w:color="auto" w:fill="FFFFFF"/>
        </w:rPr>
        <w:t>: con Alemania al frente (comprometida y leal) se puede “soñar” con la Unión Europea. Sin Alemania</w:t>
      </w:r>
      <w:r w:rsidR="00243F2F">
        <w:rPr>
          <w:rFonts w:ascii="Times New Roman" w:hAnsi="Times New Roman" w:cs="Times New Roman"/>
          <w:sz w:val="24"/>
          <w:szCs w:val="24"/>
          <w:shd w:val="clear" w:color="auto" w:fill="FFFFFF"/>
        </w:rPr>
        <w:t xml:space="preserve"> (relativista y mercantil)</w:t>
      </w:r>
      <w:r w:rsidR="00056CDE">
        <w:rPr>
          <w:rFonts w:ascii="Times New Roman" w:hAnsi="Times New Roman" w:cs="Times New Roman"/>
          <w:sz w:val="24"/>
          <w:szCs w:val="24"/>
          <w:shd w:val="clear" w:color="auto" w:fill="FFFFFF"/>
        </w:rPr>
        <w:t xml:space="preserve">, la Unión Europea dejaría de existir. </w:t>
      </w:r>
      <w:r>
        <w:rPr>
          <w:rFonts w:ascii="Times New Roman" w:hAnsi="Times New Roman" w:cs="Times New Roman"/>
          <w:sz w:val="24"/>
          <w:szCs w:val="24"/>
          <w:shd w:val="clear" w:color="auto" w:fill="FFFFFF"/>
        </w:rPr>
        <w:t>Kaput.</w:t>
      </w:r>
    </w:p>
    <w:p w:rsidR="00DE1FE8" w:rsidRDefault="00DE1FE8" w:rsidP="00DE1F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anteriores oportunidades ya he publicado otros Papers, dónde trataba la problemática de Alemania, desde el punto de vista nacional (propio), o desde el punto de vista regional (europeo), y cómo afectaba (perjudicaba, condicionaba, lastraba) el desarrollo de la UE.   </w:t>
      </w:r>
    </w:p>
    <w:p w:rsidR="00C306CB" w:rsidRDefault="00C306CB" w:rsidP="00C306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28-5-2004</w:t>
      </w:r>
      <w:r>
        <w:rPr>
          <w:rFonts w:ascii="Times New Roman" w:hAnsi="Times New Roman" w:cs="Times New Roman"/>
          <w:sz w:val="24"/>
          <w:szCs w:val="24"/>
          <w:shd w:val="clear" w:color="auto" w:fill="FFFFFF"/>
        </w:rPr>
        <w:tab/>
        <w:t xml:space="preserve">Aufwiedersehen Berlin - </w:t>
      </w:r>
      <w:r w:rsidRPr="00C306CB">
        <w:rPr>
          <w:rFonts w:ascii="Times New Roman" w:hAnsi="Times New Roman" w:cs="Times New Roman"/>
          <w:sz w:val="24"/>
          <w:szCs w:val="24"/>
          <w:shd w:val="clear" w:color="auto" w:fill="FFFFFF"/>
        </w:rPr>
        <w:t>Título alternativo: El Amtrak europeo</w:t>
      </w:r>
    </w:p>
    <w:p w:rsidR="00C306CB" w:rsidRDefault="0031305D" w:rsidP="00C306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15-9-2008</w:t>
      </w:r>
      <w:r>
        <w:rPr>
          <w:rFonts w:ascii="Times New Roman" w:hAnsi="Times New Roman" w:cs="Times New Roman"/>
          <w:sz w:val="24"/>
          <w:szCs w:val="24"/>
          <w:shd w:val="clear" w:color="auto" w:fill="FFFFFF"/>
        </w:rPr>
        <w:tab/>
        <w:t>El “</w:t>
      </w:r>
      <w:r w:rsidR="00C306CB" w:rsidRPr="00C306CB">
        <w:rPr>
          <w:rFonts w:ascii="Times New Roman" w:hAnsi="Times New Roman" w:cs="Times New Roman"/>
          <w:sz w:val="24"/>
          <w:szCs w:val="24"/>
          <w:shd w:val="clear" w:color="auto" w:fill="FFFFFF"/>
        </w:rPr>
        <w:t>suicidio méd</w:t>
      </w:r>
      <w:r>
        <w:rPr>
          <w:rFonts w:ascii="Times New Roman" w:hAnsi="Times New Roman" w:cs="Times New Roman"/>
          <w:sz w:val="24"/>
          <w:szCs w:val="24"/>
          <w:shd w:val="clear" w:color="auto" w:fill="FFFFFF"/>
        </w:rPr>
        <w:t>ico”</w:t>
      </w:r>
      <w:r w:rsidR="00C306CB">
        <w:rPr>
          <w:rFonts w:ascii="Times New Roman" w:hAnsi="Times New Roman" w:cs="Times New Roman"/>
          <w:sz w:val="24"/>
          <w:szCs w:val="24"/>
          <w:shd w:val="clear" w:color="auto" w:fill="FFFFFF"/>
        </w:rPr>
        <w:t xml:space="preserve"> asistido del Modelo Renano </w:t>
      </w:r>
      <w:r w:rsidR="00C306CB" w:rsidRPr="00C306CB">
        <w:rPr>
          <w:rFonts w:ascii="Times New Roman" w:hAnsi="Times New Roman" w:cs="Times New Roman"/>
          <w:sz w:val="24"/>
          <w:szCs w:val="24"/>
          <w:shd w:val="clear" w:color="auto" w:fill="FFFFFF"/>
        </w:rPr>
        <w:t>(Eutanasia activa: entre todos lo mataron y él solito se murió)</w:t>
      </w:r>
    </w:p>
    <w:p w:rsidR="00C306CB" w:rsidRDefault="00C306CB" w:rsidP="00C306CB">
      <w:pPr>
        <w:spacing w:line="240" w:lineRule="auto"/>
        <w:jc w:val="both"/>
        <w:rPr>
          <w:rFonts w:ascii="Times New Roman" w:hAnsi="Times New Roman" w:cs="Times New Roman"/>
          <w:sz w:val="24"/>
          <w:szCs w:val="24"/>
          <w:shd w:val="clear" w:color="auto" w:fill="FFFFFF"/>
        </w:rPr>
      </w:pPr>
      <w:r w:rsidRPr="00C306CB">
        <w:rPr>
          <w:rFonts w:ascii="Times New Roman" w:hAnsi="Times New Roman" w:cs="Times New Roman"/>
          <w:sz w:val="24"/>
          <w:szCs w:val="24"/>
          <w:shd w:val="clear" w:color="auto" w:fill="FFFFFF"/>
        </w:rPr>
        <w:t>15-1</w:t>
      </w:r>
      <w:r w:rsidR="0031305D">
        <w:rPr>
          <w:rFonts w:ascii="Times New Roman" w:hAnsi="Times New Roman" w:cs="Times New Roman"/>
          <w:sz w:val="24"/>
          <w:szCs w:val="24"/>
          <w:shd w:val="clear" w:color="auto" w:fill="FFFFFF"/>
        </w:rPr>
        <w:t>2-2015</w:t>
      </w:r>
      <w:r w:rsidR="0031305D">
        <w:rPr>
          <w:rFonts w:ascii="Times New Roman" w:hAnsi="Times New Roman" w:cs="Times New Roman"/>
          <w:sz w:val="24"/>
          <w:szCs w:val="24"/>
          <w:shd w:val="clear" w:color="auto" w:fill="FFFFFF"/>
        </w:rPr>
        <w:tab/>
        <w:t>Volkswagen y el “timo” del “dieselgate”: “Réquiem”</w:t>
      </w:r>
      <w:r w:rsidRPr="00C306CB">
        <w:rPr>
          <w:rFonts w:ascii="Times New Roman" w:hAnsi="Times New Roman" w:cs="Times New Roman"/>
          <w:sz w:val="24"/>
          <w:szCs w:val="24"/>
          <w:shd w:val="clear" w:color="auto" w:fill="FFFFFF"/>
        </w:rPr>
        <w:t xml:space="preserve"> por el Capitalismo Renano (cuando</w:t>
      </w:r>
      <w:r w:rsidR="0031305D">
        <w:rPr>
          <w:rFonts w:ascii="Times New Roman" w:hAnsi="Times New Roman" w:cs="Times New Roman"/>
          <w:sz w:val="24"/>
          <w:szCs w:val="24"/>
          <w:shd w:val="clear" w:color="auto" w:fill="FFFFFF"/>
        </w:rPr>
        <w:t xml:space="preserve"> la industria alemana pasó del “Das Auto” al “Des-astre”</w:t>
      </w:r>
      <w:r w:rsidRPr="00C306CB">
        <w:rPr>
          <w:rFonts w:ascii="Times New Roman" w:hAnsi="Times New Roman" w:cs="Times New Roman"/>
          <w:sz w:val="24"/>
          <w:szCs w:val="24"/>
          <w:shd w:val="clear" w:color="auto" w:fill="FFFFFF"/>
        </w:rPr>
        <w:t>)</w:t>
      </w:r>
    </w:p>
    <w:p w:rsidR="0031305D" w:rsidRDefault="0031305D" w:rsidP="00C306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15-12-2019</w:t>
      </w:r>
      <w:r>
        <w:rPr>
          <w:rFonts w:ascii="Times New Roman" w:hAnsi="Times New Roman" w:cs="Times New Roman"/>
          <w:sz w:val="24"/>
          <w:szCs w:val="24"/>
          <w:shd w:val="clear" w:color="auto" w:fill="FFFFFF"/>
        </w:rPr>
        <w:tab/>
        <w:t>El “caso” del Deutsche Bank - Una “metáfora”</w:t>
      </w:r>
      <w:r w:rsidR="00DE040A">
        <w:rPr>
          <w:rFonts w:ascii="Times New Roman" w:hAnsi="Times New Roman" w:cs="Times New Roman"/>
          <w:sz w:val="24"/>
          <w:szCs w:val="24"/>
          <w:shd w:val="clear" w:color="auto" w:fill="FFFFFF"/>
        </w:rPr>
        <w:t xml:space="preserve"> sobre Alemania -en su “réplica”</w:t>
      </w:r>
      <w:r w:rsidRPr="0031305D">
        <w:rPr>
          <w:rFonts w:ascii="Times New Roman" w:hAnsi="Times New Roman" w:cs="Times New Roman"/>
          <w:sz w:val="24"/>
          <w:szCs w:val="24"/>
          <w:shd w:val="clear" w:color="auto" w:fill="FFFFFF"/>
        </w:rPr>
        <w:t xml:space="preserve"> absurda del modelo anglosajón-, que condiciona el futuro de la Unión Europea</w:t>
      </w:r>
    </w:p>
    <w:p w:rsidR="0031305D" w:rsidRDefault="0031305D" w:rsidP="00C306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15-6-2022</w:t>
      </w:r>
      <w:r>
        <w:rPr>
          <w:rFonts w:ascii="Times New Roman" w:hAnsi="Times New Roman" w:cs="Times New Roman"/>
          <w:sz w:val="24"/>
          <w:szCs w:val="24"/>
          <w:shd w:val="clear" w:color="auto" w:fill="FFFFFF"/>
        </w:rPr>
        <w:tab/>
        <w:t>Las “hipotecas”</w:t>
      </w:r>
      <w:r w:rsidRPr="0031305D">
        <w:rPr>
          <w:rFonts w:ascii="Times New Roman" w:hAnsi="Times New Roman" w:cs="Times New Roman"/>
          <w:sz w:val="24"/>
          <w:szCs w:val="24"/>
          <w:shd w:val="clear" w:color="auto" w:fill="FFFFFF"/>
        </w:rPr>
        <w:t xml:space="preserve"> alemanas, que lastran a la Unión Europea</w:t>
      </w:r>
    </w:p>
    <w:p w:rsidR="00DE1FE8" w:rsidRDefault="00DE1FE8" w:rsidP="00C306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Sobre estos asuntos vengo “debatiendo” desde hace muchos años. Aunque debo reconocer que sin resultado favorable. </w:t>
      </w:r>
      <w:r w:rsidR="0081746F">
        <w:rPr>
          <w:rFonts w:ascii="Times New Roman" w:hAnsi="Times New Roman" w:cs="Times New Roman"/>
          <w:sz w:val="24"/>
          <w:szCs w:val="24"/>
          <w:shd w:val="clear" w:color="auto" w:fill="FFFFFF"/>
        </w:rPr>
        <w:t>Alemania se ha inoculado el “sida” anglosajón, y ahí sigue.</w:t>
      </w:r>
    </w:p>
    <w:p w:rsidR="0031305D" w:rsidRDefault="00DE1FE8" w:rsidP="00C306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la Introducción de la</w:t>
      </w:r>
      <w:r w:rsidR="0031305D">
        <w:rPr>
          <w:rFonts w:ascii="Times New Roman" w:hAnsi="Times New Roman" w:cs="Times New Roman"/>
          <w:sz w:val="24"/>
          <w:szCs w:val="24"/>
          <w:shd w:val="clear" w:color="auto" w:fill="FFFFFF"/>
        </w:rPr>
        <w:t xml:space="preserve"> última publicación</w:t>
      </w:r>
      <w:r>
        <w:rPr>
          <w:rFonts w:ascii="Times New Roman" w:hAnsi="Times New Roman" w:cs="Times New Roman"/>
          <w:sz w:val="24"/>
          <w:szCs w:val="24"/>
          <w:shd w:val="clear" w:color="auto" w:fill="FFFFFF"/>
        </w:rPr>
        <w:t xml:space="preserve"> (15/6/22)</w:t>
      </w:r>
      <w:r w:rsidR="0031305D">
        <w:rPr>
          <w:rFonts w:ascii="Times New Roman" w:hAnsi="Times New Roman" w:cs="Times New Roman"/>
          <w:sz w:val="24"/>
          <w:szCs w:val="24"/>
          <w:shd w:val="clear" w:color="auto" w:fill="FFFFFF"/>
        </w:rPr>
        <w:t>, hacía una “confesión de parte”:</w:t>
      </w:r>
    </w:p>
    <w:p w:rsidR="0031305D" w:rsidRDefault="0031305D" w:rsidP="0031305D">
      <w:pPr>
        <w:spacing w:line="240" w:lineRule="auto"/>
        <w:rPr>
          <w:rFonts w:ascii="Times New Roman" w:hAnsi="Times New Roman" w:cs="Times New Roman"/>
          <w:b/>
          <w:sz w:val="24"/>
          <w:szCs w:val="24"/>
        </w:rPr>
      </w:pPr>
      <w:r>
        <w:rPr>
          <w:rFonts w:ascii="Times New Roman" w:hAnsi="Times New Roman" w:cs="Times New Roman"/>
          <w:b/>
          <w:sz w:val="24"/>
          <w:szCs w:val="24"/>
        </w:rPr>
        <w:t>“Admiratio” (a confesión de parte, relevo de prueba)</w:t>
      </w:r>
    </w:p>
    <w:p w:rsidR="0031305D" w:rsidRDefault="0031305D" w:rsidP="003130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Antes de comenzar el desarrollo de este Paper, deseo dejar expresada mi admiración, y respeto, por el pueblo alemán. Si hubiera podido elegir un país dónde nacer, habría sido Alemania. Si hubiera podido elegir un país al que enviar a estudiar a mis hijas, habría sido Alemania. Si mi opinión sirviera para algo a la hora de elegir universidad para mis nietos, aconsejaría Alemania. Coda: volver a estudiar, en la Ruprecht-Karls-Universität Heidelberg. </w:t>
      </w:r>
    </w:p>
    <w:p w:rsidR="0031305D" w:rsidRDefault="0031305D" w:rsidP="0031305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Creo conocer Alemania (sus grandes ciudades, pueblos pequeños, paisajes, museos, salas de concierto, templos religiosos, y bibliotecas), mejor que muchos nacionales. He aprendido a disfrutar de su música, literatura, o pintura, escuchando, leyendo, o contemplando, a los grandes Maestros universales en su género: Beethoven, Bach, Schumann, Brahms, Strauss, Mendelssohn, Telemann…  </w:t>
      </w:r>
      <w:r>
        <w:rPr>
          <w:rFonts w:ascii="Times New Roman" w:hAnsi="Times New Roman" w:cs="Times New Roman"/>
          <w:sz w:val="24"/>
          <w:szCs w:val="24"/>
          <w:lang w:val="en-US"/>
        </w:rPr>
        <w:t xml:space="preserve">Goethe, Grimm, Schopenhauer, Heine, Schiller, Brecht, Mann, Hesse, Grass… Klee, Ernst, Polke, Dix, Bechmann, Richter… </w:t>
      </w:r>
    </w:p>
    <w:p w:rsidR="0031305D" w:rsidRDefault="0031305D" w:rsidP="0031305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Pero toda esa admiración y respeto, por el pueblo alemán, y sus grandes Maestros, no me hace ignorar la parte oscura de su historia (I y II Guerra Mundial, Hitler, el nazismo, el holocausto…). Acontecimientos que, en mi humilde opinión, lastran (limitan, condicionan, obstaculizan, dificultan, inhiben, disminuyen, retraen, o acomplejan) el comportamiento de la dirigencia alemana, a la hora de asumir el papel que le corresponde, en la integración, y desarrollo futuro, de la Unión Europea. Un “recuerdo” dominante. Un “miedo” paralizante.</w:t>
      </w:r>
    </w:p>
    <w:p w:rsidR="0031305D" w:rsidRDefault="0031305D" w:rsidP="003130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Después de haber pasado los primeros 40 años de mi vida en Sudamérica (Argentina), y luego más de 35 años de residencia en Europa (España), con mucho más pasado que futuro, curtido en viejas y queridas causas perdidas, transido por la amargura de la victoria, y como  millonario en derrotas, siento la necesidad de debatir sobre el papel de Alemania en Europa. </w:t>
      </w:r>
    </w:p>
    <w:p w:rsidR="00D21EF2" w:rsidRDefault="0031305D" w:rsidP="0031305D">
      <w:pPr>
        <w:spacing w:line="240" w:lineRule="auto"/>
        <w:jc w:val="both"/>
        <w:rPr>
          <w:rFonts w:ascii="Times New Roman" w:hAnsi="Times New Roman" w:cs="Times New Roman"/>
          <w:sz w:val="24"/>
          <w:szCs w:val="24"/>
        </w:rPr>
      </w:pPr>
      <w:r>
        <w:rPr>
          <w:rFonts w:ascii="Times New Roman" w:hAnsi="Times New Roman" w:cs="Times New Roman"/>
          <w:sz w:val="24"/>
          <w:szCs w:val="24"/>
        </w:rPr>
        <w:t>Discutir, entre dramaturgias y olvidos, las dificultades causadas por Alemania (por acción u omisión) para la vertebración y el progreso de la Unión Europea, y las soluciones pendientes (si fueran posibles). Desde la óptica, y con las limitaciones, de un “corresponsal extranjero”.</w:t>
      </w:r>
    </w:p>
    <w:p w:rsidR="00C306CB" w:rsidRDefault="00C306CB" w:rsidP="00C306CB">
      <w:pPr>
        <w:spacing w:line="240" w:lineRule="auto"/>
        <w:jc w:val="both"/>
        <w:rPr>
          <w:rFonts w:ascii="Times New Roman" w:hAnsi="Times New Roman" w:cs="Times New Roman"/>
          <w:b/>
          <w:sz w:val="24"/>
          <w:szCs w:val="24"/>
        </w:rPr>
      </w:pPr>
      <w:r w:rsidRPr="00C306CB">
        <w:rPr>
          <w:rFonts w:ascii="Times New Roman" w:hAnsi="Times New Roman" w:cs="Times New Roman"/>
          <w:b/>
          <w:sz w:val="24"/>
          <w:szCs w:val="24"/>
        </w:rPr>
        <w:t xml:space="preserve">El silencio es la </w:t>
      </w:r>
      <w:r w:rsidR="007E4618">
        <w:rPr>
          <w:rFonts w:ascii="Times New Roman" w:hAnsi="Times New Roman" w:cs="Times New Roman"/>
          <w:b/>
          <w:sz w:val="24"/>
          <w:szCs w:val="24"/>
        </w:rPr>
        <w:t>antesala del miedo (l</w:t>
      </w:r>
      <w:r w:rsidRPr="00C306CB">
        <w:rPr>
          <w:rFonts w:ascii="Times New Roman" w:hAnsi="Times New Roman" w:cs="Times New Roman"/>
          <w:b/>
          <w:sz w:val="24"/>
          <w:szCs w:val="24"/>
        </w:rPr>
        <w:t xml:space="preserve">a duda </w:t>
      </w:r>
      <w:r w:rsidR="007E4618">
        <w:rPr>
          <w:rFonts w:ascii="Times New Roman" w:hAnsi="Times New Roman" w:cs="Times New Roman"/>
          <w:b/>
          <w:sz w:val="24"/>
          <w:szCs w:val="24"/>
        </w:rPr>
        <w:t>está en saber a qué y a quiénes)</w:t>
      </w:r>
    </w:p>
    <w:p w:rsidR="00A55E30" w:rsidRDefault="00D21EF2" w:rsidP="00C306CB">
      <w:pPr>
        <w:spacing w:line="240" w:lineRule="auto"/>
        <w:jc w:val="both"/>
        <w:rPr>
          <w:rFonts w:ascii="Times New Roman" w:hAnsi="Times New Roman" w:cs="Times New Roman"/>
          <w:sz w:val="24"/>
          <w:szCs w:val="24"/>
        </w:rPr>
      </w:pPr>
      <w:r>
        <w:rPr>
          <w:rFonts w:ascii="Times New Roman" w:hAnsi="Times New Roman" w:cs="Times New Roman"/>
          <w:sz w:val="24"/>
          <w:szCs w:val="24"/>
        </w:rPr>
        <w:t>En este debate, se echa en falta el papel de los catedráticos, investigadores, expertos, gurús mediáticos, analistas y comunica</w:t>
      </w:r>
      <w:r w:rsidR="00161E82">
        <w:rPr>
          <w:rFonts w:ascii="Times New Roman" w:hAnsi="Times New Roman" w:cs="Times New Roman"/>
          <w:sz w:val="24"/>
          <w:szCs w:val="24"/>
        </w:rPr>
        <w:t>dores. Hay sospechosas ausencias</w:t>
      </w:r>
      <w:r>
        <w:rPr>
          <w:rFonts w:ascii="Times New Roman" w:hAnsi="Times New Roman" w:cs="Times New Roman"/>
          <w:sz w:val="24"/>
          <w:szCs w:val="24"/>
        </w:rPr>
        <w:t xml:space="preserve"> de crítica. Hay demasiados socios del silencio. Hay exceso de</w:t>
      </w:r>
      <w:r w:rsidR="00A55E30">
        <w:rPr>
          <w:rFonts w:ascii="Times New Roman" w:hAnsi="Times New Roman" w:cs="Times New Roman"/>
          <w:sz w:val="24"/>
          <w:szCs w:val="24"/>
        </w:rPr>
        <w:t xml:space="preserve"> ciegos voluntarios. Algunas</w:t>
      </w:r>
      <w:r>
        <w:rPr>
          <w:rFonts w:ascii="Times New Roman" w:hAnsi="Times New Roman" w:cs="Times New Roman"/>
          <w:sz w:val="24"/>
          <w:szCs w:val="24"/>
        </w:rPr>
        <w:t xml:space="preserve"> clamorosas ausencias y</w:t>
      </w:r>
      <w:r w:rsidR="00A55E30">
        <w:rPr>
          <w:rFonts w:ascii="Times New Roman" w:hAnsi="Times New Roman" w:cs="Times New Roman"/>
          <w:sz w:val="24"/>
          <w:szCs w:val="24"/>
        </w:rPr>
        <w:t xml:space="preserve"> descaradas</w:t>
      </w:r>
      <w:r>
        <w:rPr>
          <w:rFonts w:ascii="Times New Roman" w:hAnsi="Times New Roman" w:cs="Times New Roman"/>
          <w:sz w:val="24"/>
          <w:szCs w:val="24"/>
        </w:rPr>
        <w:t xml:space="preserve"> presencias estabuladas. </w:t>
      </w:r>
    </w:p>
    <w:p w:rsidR="00D21EF2" w:rsidRDefault="00A55E30" w:rsidP="00C306C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¿Tanto se cotizan las puertas giratorias? ¿Tanto es el miedo o la connivencia? ¿Tan cómodo se está en el pesebre? ¿A cuánto se cobra la línea? ¿Tanto frío hace en el speacker’s corner? </w:t>
      </w:r>
    </w:p>
    <w:p w:rsidR="00A55E30" w:rsidRDefault="00A55E30" w:rsidP="00C306C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que el lector pueda comprobar que no estoy </w:t>
      </w:r>
      <w:r w:rsidR="00DE040A">
        <w:rPr>
          <w:rFonts w:ascii="Times New Roman" w:hAnsi="Times New Roman" w:cs="Times New Roman"/>
          <w:sz w:val="24"/>
          <w:szCs w:val="24"/>
        </w:rPr>
        <w:t xml:space="preserve">solo en la denuncia de “omisiones y carencias”, les adjunto un artículo publicado por un veterano periodista, curtido en mil batallas de papel, que no tiene miedo de decir algunas “verdades de a puño”. </w:t>
      </w:r>
    </w:p>
    <w:p w:rsidR="00C306CB" w:rsidRPr="00AD2287" w:rsidRDefault="00C306CB" w:rsidP="00C306C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D2287">
        <w:rPr>
          <w:rFonts w:ascii="Times New Roman" w:hAnsi="Times New Roman" w:cs="Times New Roman"/>
          <w:sz w:val="24"/>
          <w:szCs w:val="24"/>
          <w:u w:val="single"/>
        </w:rPr>
        <w:t>Informar o barnizar</w:t>
      </w:r>
      <w:r>
        <w:rPr>
          <w:rFonts w:ascii="Times New Roman" w:hAnsi="Times New Roman" w:cs="Times New Roman"/>
          <w:sz w:val="24"/>
          <w:szCs w:val="24"/>
        </w:rPr>
        <w:t xml:space="preserve"> (Vozpópuli - </w:t>
      </w:r>
      <w:r w:rsidRPr="00AD2287">
        <w:rPr>
          <w:rFonts w:ascii="Times New Roman" w:hAnsi="Times New Roman" w:cs="Times New Roman"/>
          <w:b/>
          <w:sz w:val="24"/>
          <w:szCs w:val="24"/>
        </w:rPr>
        <w:t>11/6/22</w:t>
      </w:r>
      <w:r>
        <w:rPr>
          <w:rFonts w:ascii="Times New Roman" w:hAnsi="Times New Roman" w:cs="Times New Roman"/>
          <w:sz w:val="24"/>
          <w:szCs w:val="24"/>
        </w:rPr>
        <w:t>)</w:t>
      </w:r>
    </w:p>
    <w:p w:rsidR="00C306CB" w:rsidRDefault="00C306CB" w:rsidP="00C306CB">
      <w:pPr>
        <w:spacing w:line="240" w:lineRule="auto"/>
        <w:jc w:val="both"/>
        <w:rPr>
          <w:rFonts w:ascii="Times New Roman" w:hAnsi="Times New Roman" w:cs="Times New Roman"/>
          <w:sz w:val="24"/>
          <w:szCs w:val="24"/>
        </w:rPr>
      </w:pPr>
      <w:r w:rsidRPr="00AD2287">
        <w:rPr>
          <w:rFonts w:ascii="Times New Roman" w:hAnsi="Times New Roman" w:cs="Times New Roman"/>
          <w:sz w:val="24"/>
          <w:szCs w:val="24"/>
        </w:rPr>
        <w:t>Vuelve esa exigencia de las buenas gentes para que los periodistas se dediquen a dar noticias optimistas. Hemos convertido a los economistas en los omnímodos gurús, sumos sacerdotes de los secretos de la tribu</w:t>
      </w:r>
    </w:p>
    <w:p w:rsidR="00C306CB" w:rsidRPr="00AD2287" w:rsidRDefault="00C306CB" w:rsidP="00C306CB">
      <w:pPr>
        <w:spacing w:line="240" w:lineRule="auto"/>
        <w:jc w:val="both"/>
        <w:rPr>
          <w:rFonts w:ascii="Times New Roman" w:hAnsi="Times New Roman" w:cs="Times New Roman"/>
          <w:sz w:val="24"/>
          <w:szCs w:val="24"/>
        </w:rPr>
      </w:pPr>
      <w:r>
        <w:rPr>
          <w:rFonts w:ascii="Times New Roman" w:hAnsi="Times New Roman" w:cs="Times New Roman"/>
          <w:sz w:val="24"/>
          <w:szCs w:val="24"/>
        </w:rPr>
        <w:t>(Por Gregorio Morán)</w:t>
      </w:r>
    </w:p>
    <w:p w:rsidR="00C306CB" w:rsidRPr="00AD2287" w:rsidRDefault="00C306CB" w:rsidP="00C306CB">
      <w:pPr>
        <w:spacing w:line="240" w:lineRule="auto"/>
        <w:jc w:val="both"/>
        <w:rPr>
          <w:rFonts w:ascii="Times New Roman" w:hAnsi="Times New Roman" w:cs="Times New Roman"/>
          <w:sz w:val="24"/>
          <w:szCs w:val="24"/>
        </w:rPr>
      </w:pPr>
      <w:r w:rsidRPr="00AD2287">
        <w:rPr>
          <w:rFonts w:ascii="Times New Roman" w:hAnsi="Times New Roman" w:cs="Times New Roman"/>
          <w:sz w:val="24"/>
          <w:szCs w:val="24"/>
        </w:rPr>
        <w:t>Vuelve esa exigencia de las buenas gentes para que los periodistas se dediquen a dar noticias optimistas. Suele ocurrir cuando las cosas van mal y amenazan ir peor. En esas ocasiones se pide al mensajero que manipule la postal y donde aparezcan los desastres se las arregle para que se contemplen seductores paisajes. En el fondo tienen una idea curiosa, que es la de considerar que lo real es lo que nos cuentan y no lo que vemos. Los muertos tienen muy buena cara. Los enfermos gozan de esplendorosa salud. Los jodidos sonríen, y al fin tenemos un mundo pletórico de vecinos afectuosos. Una inclinación tan vieja como la estupidez y que se resumiría en la desvergüenza de afirmar que si la vida es dura exijo que me la pinten de colores.</w:t>
      </w:r>
    </w:p>
    <w:p w:rsidR="00C306CB" w:rsidRPr="00AD2287" w:rsidRDefault="00C306CB" w:rsidP="00C306CB">
      <w:pPr>
        <w:spacing w:line="240" w:lineRule="auto"/>
        <w:jc w:val="both"/>
        <w:rPr>
          <w:rFonts w:ascii="Times New Roman" w:hAnsi="Times New Roman" w:cs="Times New Roman"/>
          <w:sz w:val="24"/>
          <w:szCs w:val="24"/>
        </w:rPr>
      </w:pPr>
      <w:r w:rsidRPr="00AD2287">
        <w:rPr>
          <w:rFonts w:ascii="Times New Roman" w:hAnsi="Times New Roman" w:cs="Times New Roman"/>
          <w:sz w:val="24"/>
          <w:szCs w:val="24"/>
        </w:rPr>
        <w:t>La información mata</w:t>
      </w:r>
    </w:p>
    <w:p w:rsidR="00C306CB" w:rsidRPr="00AD2287" w:rsidRDefault="00C306CB" w:rsidP="00C306CB">
      <w:pPr>
        <w:spacing w:line="240" w:lineRule="auto"/>
        <w:jc w:val="both"/>
        <w:rPr>
          <w:rFonts w:ascii="Times New Roman" w:hAnsi="Times New Roman" w:cs="Times New Roman"/>
          <w:sz w:val="24"/>
          <w:szCs w:val="24"/>
        </w:rPr>
      </w:pPr>
      <w:r w:rsidRPr="00AD2287">
        <w:rPr>
          <w:rFonts w:ascii="Times New Roman" w:hAnsi="Times New Roman" w:cs="Times New Roman"/>
          <w:sz w:val="24"/>
          <w:szCs w:val="24"/>
        </w:rPr>
        <w:t xml:space="preserve">No es extraño que fuera Hollywood, esa fábrica de sueños y traficantes de ideas, la que impusiera los finales felices como obligación industrial. La trama podía ser tortuosa, pero debía acabar bien. Se facilitaba así la digestión del personal y si le suministraba las dosis </w:t>
      </w:r>
      <w:r w:rsidRPr="00AD2287">
        <w:rPr>
          <w:rFonts w:ascii="Times New Roman" w:hAnsi="Times New Roman" w:cs="Times New Roman"/>
          <w:sz w:val="24"/>
          <w:szCs w:val="24"/>
        </w:rPr>
        <w:lastRenderedPageBreak/>
        <w:t>necesarias para seguir aguantando sin hacerse preguntas. Todo ese mundo se acabó hace ya mucho tiempo, sin embargo, ahora, que todo vuelve en modo pesadilla, se exige de los cronistas que alteren la dureza del relato echando varias capas de barniz. La realidad</w:t>
      </w:r>
      <w:r>
        <w:rPr>
          <w:rFonts w:ascii="Times New Roman" w:hAnsi="Times New Roman" w:cs="Times New Roman"/>
          <w:sz w:val="24"/>
          <w:szCs w:val="24"/>
        </w:rPr>
        <w:t xml:space="preserve"> es fea, pero luce como nueva. </w:t>
      </w:r>
    </w:p>
    <w:p w:rsidR="00C306CB" w:rsidRPr="00AD2287" w:rsidRDefault="00C306CB" w:rsidP="00C306CB">
      <w:pPr>
        <w:spacing w:line="240" w:lineRule="auto"/>
        <w:jc w:val="both"/>
        <w:rPr>
          <w:rFonts w:ascii="Times New Roman" w:hAnsi="Times New Roman" w:cs="Times New Roman"/>
          <w:sz w:val="24"/>
          <w:szCs w:val="24"/>
        </w:rPr>
      </w:pPr>
      <w:r w:rsidRPr="00AD2287">
        <w:rPr>
          <w:rFonts w:ascii="Times New Roman" w:hAnsi="Times New Roman" w:cs="Times New Roman"/>
          <w:sz w:val="24"/>
          <w:szCs w:val="24"/>
        </w:rPr>
        <w:t>La bolsa de la compra se ha disparado. Gracias a que la llamamos IPC y que recurrimos a la estadística conseguimos que el personal la contemple con cierto distanciamiento. Por si fuera poco, insisten en que les pasa a todos. ¿De verdad alguien se cree que les pasa a todos? Da lo mismo, y así evitamos recurrir al refranero sobre el mal de muchos y el consuelo de los tontos. No está el horno par</w:t>
      </w:r>
      <w:r w:rsidR="00254497">
        <w:rPr>
          <w:rFonts w:ascii="Times New Roman" w:hAnsi="Times New Roman" w:cs="Times New Roman"/>
          <w:sz w:val="24"/>
          <w:szCs w:val="24"/>
        </w:rPr>
        <w:t>a refranes en la era del tu</w:t>
      </w:r>
      <w:r>
        <w:rPr>
          <w:rFonts w:ascii="Times New Roman" w:hAnsi="Times New Roman" w:cs="Times New Roman"/>
          <w:sz w:val="24"/>
          <w:szCs w:val="24"/>
        </w:rPr>
        <w:t xml:space="preserve">it. </w:t>
      </w:r>
    </w:p>
    <w:p w:rsidR="00C306CB" w:rsidRPr="00AD2287" w:rsidRDefault="00C306CB" w:rsidP="00C306CB">
      <w:pPr>
        <w:spacing w:line="240" w:lineRule="auto"/>
        <w:jc w:val="both"/>
        <w:rPr>
          <w:rFonts w:ascii="Times New Roman" w:hAnsi="Times New Roman" w:cs="Times New Roman"/>
          <w:sz w:val="24"/>
          <w:szCs w:val="24"/>
        </w:rPr>
      </w:pPr>
      <w:r w:rsidRPr="00AD2287">
        <w:rPr>
          <w:rFonts w:ascii="Times New Roman" w:hAnsi="Times New Roman" w:cs="Times New Roman"/>
          <w:sz w:val="24"/>
          <w:szCs w:val="24"/>
        </w:rPr>
        <w:t>Hemos convertido a los economistas en los omnímodos gurús, sumos sacerdotes de los secretos de la tribu. Son los que hablan con Dios y trasmiten a los mortales las palabras sagradas. Sus diferencias son como las de las religiones: todas parten de una verdad revelada. En épocas de crisis profundas y en situaciones sin salida, ejercen la hegemonía de la inteligencia porque la clase política, cobarde y acojonada, les ha puesto en primera línea. Son la ciencia, aunque cualquier mortal enterado sabe que engañan porque tienen unos intereses aún más veleidosos que los dirigentes políticos. Como carecen de peso en las urnas, su única entidad está vinculada a aquellos de quienes dependen. Son científicos de lo efímero; imprescindibles para el discurso político que enuncian otros; los que les sufragan y orientan. Ni siquiera alcanzan la fragilidad de los periodistas con su realidad pegada al culo, porque de ellos se exig</w:t>
      </w:r>
      <w:r>
        <w:rPr>
          <w:rFonts w:ascii="Times New Roman" w:hAnsi="Times New Roman" w:cs="Times New Roman"/>
          <w:sz w:val="24"/>
          <w:szCs w:val="24"/>
        </w:rPr>
        <w:t>e que además hagan previsiones.</w:t>
      </w:r>
    </w:p>
    <w:p w:rsidR="00C306CB" w:rsidRPr="00AD2287" w:rsidRDefault="00C306CB" w:rsidP="00C306CB">
      <w:pPr>
        <w:spacing w:line="240" w:lineRule="auto"/>
        <w:jc w:val="both"/>
        <w:rPr>
          <w:rFonts w:ascii="Times New Roman" w:hAnsi="Times New Roman" w:cs="Times New Roman"/>
          <w:sz w:val="24"/>
          <w:szCs w:val="24"/>
        </w:rPr>
      </w:pPr>
      <w:r w:rsidRPr="00AD2287">
        <w:rPr>
          <w:rFonts w:ascii="Times New Roman" w:hAnsi="Times New Roman" w:cs="Times New Roman"/>
          <w:sz w:val="24"/>
          <w:szCs w:val="24"/>
        </w:rPr>
        <w:t>Nuestro lenguaje, ya sea político, periodístico o económico, está volviendo a siglos muy pasados. Se escribe haciendo guiños para que se entienda lo que no decimos. Hay una mayoría de gente que está por debajo del nivel de pobreza, se llaman “pobres” y no precisamente de solemnidad, aunque nosotros encontremos fórmulas de expresión redondas, sin aristas, como “precarios” o lo que es más excéntrico, “vulnerables”. Luego existe ese acordeón social que constituyen las clases medias, que se abre o se cierra a partir del aire que le entra al fuelle. Y los ricos, cuya sola denominación apesta a zafiedad y demagogia. No hay nadie que diga “nosotros, los ricos”, a menos que esté borracho. Ni tampoco quien atine a exclamar “yo soy vulnerable”. Como es fácil de comprobar las calificaciones están ausentes de sentido de la realidad, no se correspon</w:t>
      </w:r>
      <w:r>
        <w:rPr>
          <w:rFonts w:ascii="Times New Roman" w:hAnsi="Times New Roman" w:cs="Times New Roman"/>
          <w:sz w:val="24"/>
          <w:szCs w:val="24"/>
        </w:rPr>
        <w:t>den porque han sido barnizadas.</w:t>
      </w:r>
    </w:p>
    <w:p w:rsidR="00C306CB" w:rsidRPr="00AD2287" w:rsidRDefault="00C306CB" w:rsidP="00C306CB">
      <w:pPr>
        <w:spacing w:line="240" w:lineRule="auto"/>
        <w:jc w:val="both"/>
        <w:rPr>
          <w:rFonts w:ascii="Times New Roman" w:hAnsi="Times New Roman" w:cs="Times New Roman"/>
          <w:sz w:val="24"/>
          <w:szCs w:val="24"/>
        </w:rPr>
      </w:pPr>
      <w:r w:rsidRPr="00AD2287">
        <w:rPr>
          <w:rFonts w:ascii="Times New Roman" w:hAnsi="Times New Roman" w:cs="Times New Roman"/>
          <w:sz w:val="24"/>
          <w:szCs w:val="24"/>
        </w:rPr>
        <w:t>El que escriba “clases sociales” corre peligro. No digamos si se desliza hacia el lado maligno y añade “lucha de clases”. Una pelea que vive todos los días desde alguno de los puestos de la barricada ideológica pero que desde hace décadas se ha vuelto impronunciable. Frente a lo que la gente cree no la inventó Marx, ya venía de antes y era una expresión de procedencia conservadora. Ya ven las metamorfosis de las palabras; donde menos lo esperas salta un tópico que s</w:t>
      </w:r>
      <w:r>
        <w:rPr>
          <w:rFonts w:ascii="Times New Roman" w:hAnsi="Times New Roman" w:cs="Times New Roman"/>
          <w:sz w:val="24"/>
          <w:szCs w:val="24"/>
        </w:rPr>
        <w:t xml:space="preserve">e convierte en arma ofensiva.  </w:t>
      </w:r>
    </w:p>
    <w:p w:rsidR="00C306CB" w:rsidRPr="00AD2287" w:rsidRDefault="00C306CB" w:rsidP="00C306CB">
      <w:pPr>
        <w:spacing w:line="240" w:lineRule="auto"/>
        <w:jc w:val="both"/>
        <w:rPr>
          <w:rFonts w:ascii="Times New Roman" w:hAnsi="Times New Roman" w:cs="Times New Roman"/>
          <w:sz w:val="24"/>
          <w:szCs w:val="24"/>
        </w:rPr>
      </w:pPr>
      <w:r w:rsidRPr="00AD2287">
        <w:rPr>
          <w:rFonts w:ascii="Times New Roman" w:hAnsi="Times New Roman" w:cs="Times New Roman"/>
          <w:sz w:val="24"/>
          <w:szCs w:val="24"/>
        </w:rPr>
        <w:t>Lo que requieren de nosotros es que nos enzarcemos en las diferencias entre la inflación, a secas, y la “inflación subyacente”, pero no que sumemos ambas y tengamos que decir escuetamente que, desde la energía al pan, todo se está desmadrando, y que las pensiones no sólo peligran si no que se han convertido en un albur disfrazado de estadísticas. El último bálsamo para idiotas es la regulación de la comida; que nada se tire a la basura sin antes ofrecerlo al precariado. Como la cofradía de San Vicente Paul, pero en posmoderno y con la garantía del Esta</w:t>
      </w:r>
      <w:r>
        <w:rPr>
          <w:rFonts w:ascii="Times New Roman" w:hAnsi="Times New Roman" w:cs="Times New Roman"/>
          <w:sz w:val="24"/>
          <w:szCs w:val="24"/>
        </w:rPr>
        <w:t>do.</w:t>
      </w:r>
    </w:p>
    <w:p w:rsidR="00C306CB" w:rsidRPr="00AD2287" w:rsidRDefault="00C306CB" w:rsidP="00C306CB">
      <w:pPr>
        <w:spacing w:line="240" w:lineRule="auto"/>
        <w:jc w:val="both"/>
        <w:rPr>
          <w:rFonts w:ascii="Times New Roman" w:hAnsi="Times New Roman" w:cs="Times New Roman"/>
          <w:sz w:val="24"/>
          <w:szCs w:val="24"/>
        </w:rPr>
      </w:pPr>
      <w:r w:rsidRPr="00AD2287">
        <w:rPr>
          <w:rFonts w:ascii="Times New Roman" w:hAnsi="Times New Roman" w:cs="Times New Roman"/>
          <w:sz w:val="24"/>
          <w:szCs w:val="24"/>
        </w:rPr>
        <w:t xml:space="preserve">Diferentes modos de embaucar a los lectores para que no se cabreen con nosotros por tener que titular “Lo peor está por llegar” y no vernos forzados a describir que ese horizonte no afectará a todos. Algunos saldrán reforzados y la mayoría destrozados. La vileza de los </w:t>
      </w:r>
      <w:r w:rsidRPr="00AD2287">
        <w:rPr>
          <w:rFonts w:ascii="Times New Roman" w:hAnsi="Times New Roman" w:cs="Times New Roman"/>
          <w:sz w:val="24"/>
          <w:szCs w:val="24"/>
        </w:rPr>
        <w:lastRenderedPageBreak/>
        <w:t>argumentos debería escandalizarnos. Primero fue la pandemia, de la que empezamos ahora a conocer el volumen de la catástrofe, pero también la incompetencia de los poderes públicos para afrontarla. Ahora, la invasión rusa de Ucrania que presume el crimen de una guerra si no también el fin de una globalización que dibujaba un mundo geopolítico que se ha venido abajo y del que no tenemos ni idea de hacia dónde va. Cuando las grandes potencias occidentales han incluido a la supuesta amante de Vladimir Putin, la ignota Alina Kabaeva, entre el puñado de potentados rusos sancionados económicamente, cabe imaginar que nos están vendiendo un serial televisivo sobre Pablo Escobar y los narcos de Medellín. O quizá se trate de un fake de la casa Trump. Cua</w:t>
      </w:r>
      <w:r>
        <w:rPr>
          <w:rFonts w:ascii="Times New Roman" w:hAnsi="Times New Roman" w:cs="Times New Roman"/>
          <w:sz w:val="24"/>
          <w:szCs w:val="24"/>
        </w:rPr>
        <w:t xml:space="preserve">lquier cosa menos una matanza. </w:t>
      </w:r>
    </w:p>
    <w:p w:rsidR="00C306CB" w:rsidRPr="00AD2287" w:rsidRDefault="00C306CB" w:rsidP="00C306CB">
      <w:pPr>
        <w:spacing w:line="240" w:lineRule="auto"/>
        <w:jc w:val="both"/>
        <w:rPr>
          <w:rFonts w:ascii="Times New Roman" w:hAnsi="Times New Roman" w:cs="Times New Roman"/>
          <w:sz w:val="24"/>
          <w:szCs w:val="24"/>
        </w:rPr>
      </w:pPr>
      <w:r w:rsidRPr="00AD2287">
        <w:rPr>
          <w:rFonts w:ascii="Times New Roman" w:hAnsi="Times New Roman" w:cs="Times New Roman"/>
          <w:sz w:val="24"/>
          <w:szCs w:val="24"/>
        </w:rPr>
        <w:t xml:space="preserve">La alternativa más nefasta que se nos viene encima es la de trivializar sobre una guerra, sumada a una crisis alimentaria. Las concepciones que habíamos manejado de la economía tortuosamente globalizada están cuestionadas por la geopolítica. No hace falta recordar la República de Weimar como antecedente del tránsito de una inflación desmesurada a una política totalitaria y belicista. Casi todo es diferente, empezando por nosotros, obligados a cambiar día a día por la fuerza </w:t>
      </w:r>
      <w:r>
        <w:rPr>
          <w:rFonts w:ascii="Times New Roman" w:hAnsi="Times New Roman" w:cs="Times New Roman"/>
          <w:sz w:val="24"/>
          <w:szCs w:val="24"/>
        </w:rPr>
        <w:t>de los hechos y las evidencias.</w:t>
      </w:r>
    </w:p>
    <w:p w:rsidR="00C306CB" w:rsidRDefault="00C306CB" w:rsidP="00C306CB">
      <w:pPr>
        <w:spacing w:line="240" w:lineRule="auto"/>
        <w:jc w:val="both"/>
        <w:rPr>
          <w:rFonts w:ascii="Times New Roman" w:hAnsi="Times New Roman" w:cs="Times New Roman"/>
          <w:sz w:val="24"/>
          <w:szCs w:val="24"/>
        </w:rPr>
      </w:pPr>
      <w:r w:rsidRPr="00AD2287">
        <w:rPr>
          <w:rFonts w:ascii="Times New Roman" w:hAnsi="Times New Roman" w:cs="Times New Roman"/>
          <w:sz w:val="24"/>
          <w:szCs w:val="24"/>
        </w:rPr>
        <w:t>No nos engañemos, no estamos viviendo la hegemonía de la economía sino la decadencia de la política. Sufrimos una ansiedad insaciable cuando no hay barniz que pueda cubrir la sensación de estar siendo gobernados por unos incompetentes irresponsables.</w:t>
      </w:r>
    </w:p>
    <w:p w:rsidR="00720F60" w:rsidRPr="007E4618" w:rsidRDefault="00720F60" w:rsidP="00720F60">
      <w:pPr>
        <w:spacing w:line="240" w:lineRule="auto"/>
        <w:jc w:val="both"/>
        <w:rPr>
          <w:rFonts w:ascii="Times New Roman" w:hAnsi="Times New Roman" w:cs="Times New Roman"/>
          <w:b/>
          <w:sz w:val="24"/>
          <w:szCs w:val="24"/>
        </w:rPr>
      </w:pPr>
      <w:r w:rsidRPr="007E4618">
        <w:rPr>
          <w:rFonts w:ascii="Times New Roman" w:hAnsi="Times New Roman" w:cs="Times New Roman"/>
          <w:b/>
          <w:sz w:val="24"/>
          <w:szCs w:val="24"/>
        </w:rPr>
        <w:t>El fin de una ilusión económica (cuanto antes mejor, aunque puede que algunos daños sean irreparables)</w:t>
      </w:r>
    </w:p>
    <w:p w:rsidR="00720F60" w:rsidRPr="00836A57" w:rsidRDefault="00720F60" w:rsidP="00720F60">
      <w:pPr>
        <w:spacing w:line="240" w:lineRule="auto"/>
        <w:jc w:val="both"/>
        <w:rPr>
          <w:rFonts w:ascii="Times New Roman" w:hAnsi="Times New Roman" w:cs="Times New Roman"/>
          <w:sz w:val="24"/>
          <w:szCs w:val="24"/>
        </w:rPr>
      </w:pPr>
      <w:r w:rsidRPr="00836A57">
        <w:rPr>
          <w:rFonts w:ascii="Times New Roman" w:hAnsi="Times New Roman" w:cs="Times New Roman"/>
          <w:sz w:val="24"/>
          <w:szCs w:val="24"/>
        </w:rPr>
        <w:t>A medida que avanza la guerra, la demanda y el precio de productos y materias primas provenientes de Rusia y Ucrania seguirán aumentando. Y, con ello, la preocupación sobre la seguridad energética y alimentaria, dicen los analistas.</w:t>
      </w:r>
      <w:r w:rsidR="00977DDF" w:rsidRPr="00836A57">
        <w:rPr>
          <w:rFonts w:ascii="Times New Roman" w:hAnsi="Times New Roman" w:cs="Times New Roman"/>
          <w:sz w:val="24"/>
          <w:szCs w:val="24"/>
        </w:rPr>
        <w:t xml:space="preserve"> Europa en riesgo de cola</w:t>
      </w:r>
      <w:r w:rsidR="007E4618" w:rsidRPr="00836A57">
        <w:rPr>
          <w:rFonts w:ascii="Times New Roman" w:hAnsi="Times New Roman" w:cs="Times New Roman"/>
          <w:sz w:val="24"/>
          <w:szCs w:val="24"/>
        </w:rPr>
        <w:t>pso energético, escases alimentaria</w:t>
      </w:r>
      <w:r w:rsidR="00034043" w:rsidRPr="00836A57">
        <w:rPr>
          <w:rFonts w:ascii="Times New Roman" w:hAnsi="Times New Roman" w:cs="Times New Roman"/>
          <w:sz w:val="24"/>
          <w:szCs w:val="24"/>
        </w:rPr>
        <w:t>,</w:t>
      </w:r>
      <w:r w:rsidR="00977DDF" w:rsidRPr="00836A57">
        <w:rPr>
          <w:rFonts w:ascii="Times New Roman" w:hAnsi="Times New Roman" w:cs="Times New Roman"/>
          <w:sz w:val="24"/>
          <w:szCs w:val="24"/>
        </w:rPr>
        <w:t xml:space="preserve"> e incremento de precios</w:t>
      </w:r>
    </w:p>
    <w:p w:rsidR="00720F60" w:rsidRPr="00836A57" w:rsidRDefault="00720F60" w:rsidP="00720F60">
      <w:pPr>
        <w:spacing w:line="240" w:lineRule="auto"/>
        <w:jc w:val="both"/>
        <w:rPr>
          <w:rFonts w:ascii="Times New Roman" w:hAnsi="Times New Roman" w:cs="Times New Roman"/>
          <w:sz w:val="24"/>
          <w:szCs w:val="24"/>
        </w:rPr>
      </w:pPr>
      <w:r w:rsidRPr="00836A57">
        <w:rPr>
          <w:rFonts w:ascii="Times New Roman" w:hAnsi="Times New Roman" w:cs="Times New Roman"/>
          <w:sz w:val="24"/>
          <w:szCs w:val="24"/>
        </w:rPr>
        <w:t>Después de un año de alta inflación, la guerra de Rusia en Ucrania está obligando a los políticos y comentaristas de todo el mundo a rendir cuentas. Las nuevas realidades macroeconómicas muestran que los días del estímulo de la demanda sin sentido, los rescates garantizados y las políticas climáticas activistas ahora deben dejarse atrás.</w:t>
      </w:r>
    </w:p>
    <w:p w:rsidR="00720F60" w:rsidRPr="00836A57" w:rsidRDefault="00720F60" w:rsidP="00720F60">
      <w:pPr>
        <w:spacing w:line="240" w:lineRule="auto"/>
        <w:jc w:val="both"/>
        <w:rPr>
          <w:rFonts w:ascii="Times New Roman" w:hAnsi="Times New Roman" w:cs="Times New Roman"/>
          <w:sz w:val="24"/>
          <w:szCs w:val="24"/>
        </w:rPr>
      </w:pPr>
      <w:r w:rsidRPr="00836A57">
        <w:rPr>
          <w:rFonts w:ascii="Times New Roman" w:hAnsi="Times New Roman" w:cs="Times New Roman"/>
          <w:sz w:val="24"/>
          <w:szCs w:val="24"/>
        </w:rPr>
        <w:t>El regreso de la inflación marca un punto de inflexión. La demanda ha golpeado la pared de ladrillos de la oferta. Nuestras economías ahora están produciendo todo lo que pueden. Además, esta inflación está claramente arraigada en políticas fiscales excesivamente expansivas. Si bien los choques de oferta pueden aumentar el precio de una cosa en relación con otras, no aumentan todos los precios y salarios juntos.</w:t>
      </w:r>
    </w:p>
    <w:p w:rsidR="00720F60" w:rsidRPr="00836A57" w:rsidRDefault="00720F60" w:rsidP="00977DDF">
      <w:pPr>
        <w:spacing w:line="240" w:lineRule="auto"/>
        <w:jc w:val="both"/>
        <w:rPr>
          <w:rFonts w:ascii="Times New Roman" w:hAnsi="Times New Roman" w:cs="Times New Roman"/>
          <w:sz w:val="24"/>
          <w:szCs w:val="24"/>
        </w:rPr>
      </w:pPr>
      <w:r w:rsidRPr="00836A57">
        <w:rPr>
          <w:rFonts w:ascii="Times New Roman" w:hAnsi="Times New Roman" w:cs="Times New Roman"/>
          <w:sz w:val="24"/>
          <w:szCs w:val="24"/>
        </w:rPr>
        <w:t xml:space="preserve">Habrá que abandonar muchas ilusiones, comenzando con la idea de que los gobiernos pueden pedir prestado o imprimir tanto dinero como necesiten para rociar cada problema. El gasto público ahora debe provenir de los ingresos fiscales actuales o de ingresos fiscales futuros creíbles, para respaldar el </w:t>
      </w:r>
      <w:r w:rsidR="00977DDF" w:rsidRPr="00836A57">
        <w:rPr>
          <w:rFonts w:ascii="Times New Roman" w:hAnsi="Times New Roman" w:cs="Times New Roman"/>
          <w:sz w:val="24"/>
          <w:szCs w:val="24"/>
        </w:rPr>
        <w:t xml:space="preserve">endeudamiento no inflacionario. </w:t>
      </w:r>
      <w:r w:rsidRPr="00836A57">
        <w:rPr>
          <w:rFonts w:ascii="Times New Roman" w:hAnsi="Times New Roman" w:cs="Times New Roman"/>
          <w:sz w:val="24"/>
          <w:szCs w:val="24"/>
        </w:rPr>
        <w:t xml:space="preserve">Se acabó el gasto de estímulo por sí mismo. Los gobiernos deben comenzar a gastar sabiamente… </w:t>
      </w:r>
      <w:r w:rsidR="00977DDF" w:rsidRPr="00836A57">
        <w:rPr>
          <w:rFonts w:ascii="Times New Roman" w:hAnsi="Times New Roman" w:cs="Times New Roman"/>
          <w:sz w:val="24"/>
          <w:szCs w:val="24"/>
        </w:rPr>
        <w:t>¿Aterrizaje suave o fin de una era? El libre comercio y la idea de que el “mundo es plano” se ha acabado. La era de la subcontratación por todo el mundo podría haber llegado a su fin… And them?</w:t>
      </w:r>
    </w:p>
    <w:p w:rsidR="00DE1FE8" w:rsidRDefault="00DE1FE8" w:rsidP="00DE1FE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Lo dicho: </w:t>
      </w:r>
      <w:r w:rsidRPr="00C306CB">
        <w:rPr>
          <w:rFonts w:ascii="Times New Roman" w:hAnsi="Times New Roman" w:cs="Times New Roman"/>
          <w:b/>
          <w:sz w:val="24"/>
          <w:szCs w:val="24"/>
        </w:rPr>
        <w:t>El sil</w:t>
      </w:r>
      <w:r w:rsidR="007E4618">
        <w:rPr>
          <w:rFonts w:ascii="Times New Roman" w:hAnsi="Times New Roman" w:cs="Times New Roman"/>
          <w:b/>
          <w:sz w:val="24"/>
          <w:szCs w:val="24"/>
        </w:rPr>
        <w:t>encio es la antesala del miedo. L</w:t>
      </w:r>
      <w:r w:rsidRPr="00C306CB">
        <w:rPr>
          <w:rFonts w:ascii="Times New Roman" w:hAnsi="Times New Roman" w:cs="Times New Roman"/>
          <w:b/>
          <w:sz w:val="24"/>
          <w:szCs w:val="24"/>
        </w:rPr>
        <w:t>a duda está en saber a qué y a quiénes.</w:t>
      </w:r>
    </w:p>
    <w:p w:rsidR="00720F60" w:rsidRPr="00034043" w:rsidRDefault="005F1DB4" w:rsidP="00CC4B93">
      <w:pPr>
        <w:spacing w:line="240" w:lineRule="auto"/>
        <w:jc w:val="both"/>
        <w:rPr>
          <w:rFonts w:ascii="Times New Roman" w:hAnsi="Times New Roman" w:cs="Times New Roman"/>
          <w:sz w:val="24"/>
          <w:szCs w:val="24"/>
        </w:rPr>
      </w:pPr>
      <w:r w:rsidRPr="00034043">
        <w:rPr>
          <w:rFonts w:ascii="Times New Roman" w:hAnsi="Times New Roman" w:cs="Times New Roman"/>
          <w:b/>
          <w:sz w:val="24"/>
          <w:szCs w:val="24"/>
        </w:rPr>
        <w:t>El 24 de febrero de 2022</w:t>
      </w:r>
      <w:r w:rsidRPr="00D60B84">
        <w:rPr>
          <w:rFonts w:ascii="Times New Roman" w:hAnsi="Times New Roman" w:cs="Times New Roman"/>
          <w:sz w:val="24"/>
          <w:szCs w:val="24"/>
        </w:rPr>
        <w:t xml:space="preserve"> -inicio de la invasión a Ucrania por parte Rusia- </w:t>
      </w:r>
      <w:r w:rsidRPr="00034043">
        <w:rPr>
          <w:rFonts w:ascii="Times New Roman" w:hAnsi="Times New Roman" w:cs="Times New Roman"/>
          <w:b/>
          <w:sz w:val="24"/>
          <w:szCs w:val="24"/>
        </w:rPr>
        <w:t>fue el día en que Europa “no se acordó de nada”.</w:t>
      </w:r>
      <w:r w:rsidR="006D3BE9">
        <w:rPr>
          <w:rFonts w:ascii="Times New Roman" w:hAnsi="Times New Roman" w:cs="Times New Roman"/>
          <w:b/>
          <w:sz w:val="24"/>
          <w:szCs w:val="24"/>
        </w:rPr>
        <w:t xml:space="preserve">Un escenario de pesadilla. </w:t>
      </w:r>
      <w:r w:rsidR="00DE1FE8">
        <w:rPr>
          <w:rFonts w:ascii="Times New Roman" w:hAnsi="Times New Roman" w:cs="Times New Roman"/>
          <w:b/>
          <w:sz w:val="24"/>
          <w:szCs w:val="24"/>
        </w:rPr>
        <w:t>Si se animan,</w:t>
      </w:r>
      <w:r w:rsidR="00161E82">
        <w:rPr>
          <w:rFonts w:ascii="Times New Roman" w:hAnsi="Times New Roman" w:cs="Times New Roman"/>
          <w:b/>
          <w:sz w:val="24"/>
          <w:szCs w:val="24"/>
        </w:rPr>
        <w:t xml:space="preserve"> pasen y lean… </w:t>
      </w:r>
    </w:p>
    <w:p w:rsidR="007E4618" w:rsidRPr="007E4618" w:rsidRDefault="007E4618" w:rsidP="007E4618">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7E4618">
        <w:rPr>
          <w:rFonts w:ascii="Times New Roman" w:hAnsi="Times New Roman" w:cs="Times New Roman"/>
          <w:b/>
          <w:sz w:val="24"/>
          <w:szCs w:val="24"/>
        </w:rPr>
        <w:lastRenderedPageBreak/>
        <w:t xml:space="preserve">- </w:t>
      </w:r>
      <w:r w:rsidRPr="007E4618">
        <w:rPr>
          <w:rFonts w:ascii="Times New Roman" w:eastAsia="Times New Roman" w:hAnsi="Times New Roman" w:cs="Times New Roman"/>
          <w:b/>
          <w:sz w:val="24"/>
          <w:szCs w:val="24"/>
          <w:lang w:eastAsia="es-ES"/>
        </w:rPr>
        <w:t>Un “flashback” de las tonterías (pasadas, presentes</w:t>
      </w:r>
      <w:r w:rsidR="00836A57">
        <w:rPr>
          <w:rFonts w:ascii="Times New Roman" w:eastAsia="Times New Roman" w:hAnsi="Times New Roman" w:cs="Times New Roman"/>
          <w:b/>
          <w:sz w:val="24"/>
          <w:szCs w:val="24"/>
          <w:lang w:eastAsia="es-ES"/>
        </w:rPr>
        <w:t>,</w:t>
      </w:r>
      <w:r w:rsidR="006D3BE9">
        <w:rPr>
          <w:rFonts w:ascii="Times New Roman" w:eastAsia="Times New Roman" w:hAnsi="Times New Roman" w:cs="Times New Roman"/>
          <w:b/>
          <w:sz w:val="24"/>
          <w:szCs w:val="24"/>
          <w:lang w:eastAsia="es-ES"/>
        </w:rPr>
        <w:t>¿</w:t>
      </w:r>
      <w:r w:rsidRPr="007E4618">
        <w:rPr>
          <w:rFonts w:ascii="Times New Roman" w:eastAsia="Times New Roman" w:hAnsi="Times New Roman" w:cs="Times New Roman"/>
          <w:b/>
          <w:sz w:val="24"/>
          <w:szCs w:val="24"/>
          <w:lang w:eastAsia="es-ES"/>
        </w:rPr>
        <w:t>y</w:t>
      </w:r>
      <w:r>
        <w:rPr>
          <w:rFonts w:ascii="Times New Roman" w:eastAsia="Times New Roman" w:hAnsi="Times New Roman" w:cs="Times New Roman"/>
          <w:b/>
          <w:sz w:val="24"/>
          <w:szCs w:val="24"/>
          <w:lang w:eastAsia="es-ES"/>
        </w:rPr>
        <w:t>futuras</w:t>
      </w:r>
      <w:r w:rsidR="006D3BE9">
        <w:rPr>
          <w:rFonts w:ascii="Times New Roman" w:eastAsia="Times New Roman" w:hAnsi="Times New Roman" w:cs="Times New Roman"/>
          <w:b/>
          <w:sz w:val="24"/>
          <w:szCs w:val="24"/>
          <w:lang w:eastAsia="es-ES"/>
        </w:rPr>
        <w:t>?</w:t>
      </w:r>
      <w:r>
        <w:rPr>
          <w:rFonts w:ascii="Times New Roman" w:eastAsia="Times New Roman" w:hAnsi="Times New Roman" w:cs="Times New Roman"/>
          <w:b/>
          <w:sz w:val="24"/>
          <w:szCs w:val="24"/>
          <w:lang w:eastAsia="es-ES"/>
        </w:rPr>
        <w:t>) de la Unión Europea</w:t>
      </w:r>
    </w:p>
    <w:p w:rsidR="00AE636F" w:rsidRDefault="00AE636F" w:rsidP="00CC4B93">
      <w:pPr>
        <w:spacing w:line="240" w:lineRule="auto"/>
        <w:jc w:val="both"/>
        <w:rPr>
          <w:rFonts w:ascii="Times New Roman" w:hAnsi="Times New Roman" w:cs="Times New Roman"/>
          <w:b/>
          <w:sz w:val="24"/>
          <w:szCs w:val="24"/>
        </w:rPr>
      </w:pPr>
      <w:r>
        <w:rPr>
          <w:noProof/>
          <w:lang w:val="en-GB" w:eastAsia="zh-CN"/>
        </w:rPr>
        <w:drawing>
          <wp:inline distT="0" distB="0" distL="0" distR="0">
            <wp:extent cx="5734050" cy="3175000"/>
            <wp:effectExtent l="0" t="0" r="0" b="6350"/>
            <wp:docPr id="34" name="Imagen 34" descr="Inversor ante una encrucij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versor ante una encrucijada"/>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73594"/>
                    </a:xfrm>
                    <a:prstGeom prst="rect">
                      <a:avLst/>
                    </a:prstGeom>
                    <a:noFill/>
                    <a:ln>
                      <a:noFill/>
                    </a:ln>
                  </pic:spPr>
                </pic:pic>
              </a:graphicData>
            </a:graphic>
          </wp:inline>
        </w:drawing>
      </w:r>
    </w:p>
    <w:p w:rsidR="00AE636F" w:rsidRPr="00836A57" w:rsidRDefault="00AE636F" w:rsidP="00AE636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“Nada es más despreciable que el respeto basado en el miedo”. (Albert Camus)</w:t>
      </w:r>
    </w:p>
    <w:p w:rsidR="00AE636F" w:rsidRPr="00836A57" w:rsidRDefault="000D1DA2" w:rsidP="00AE636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Cuando la ola del “putinismo”</w:t>
      </w:r>
      <w:r w:rsidR="00AE636F" w:rsidRPr="00836A57">
        <w:rPr>
          <w:rFonts w:ascii="Times New Roman" w:eastAsia="Times New Roman" w:hAnsi="Times New Roman" w:cs="Times New Roman"/>
          <w:sz w:val="24"/>
          <w:szCs w:val="24"/>
          <w:lang w:eastAsia="es-ES"/>
        </w:rPr>
        <w:t xml:space="preserve"> abandone la periferia europea, emergerá de nuevo, indisimulable, el paisaje desolador de la Unión Europea, con su “garrulería y tiesura imperantes”, que diría Octavio Paz, un panorama de agobios económicos, angustias sociales, dramas familiares, despóticos sobresaltos, que hacen difícil no enterrar la esperanza de un cambio drástico que mejore el futuro de los europeos.</w:t>
      </w:r>
    </w:p>
    <w:p w:rsidR="00AE636F" w:rsidRPr="00836A57" w:rsidRDefault="00AE636F" w:rsidP="00AE636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Lo cual no obsta para que tengamos ante nosotros cadáveres (políticos y empresariales) llenos de vida, que bailan, gritan y se inventan lo inimaginable para hacer ver que aún sobre</w:t>
      </w:r>
      <w:r w:rsidR="003053F8">
        <w:rPr>
          <w:rFonts w:ascii="Times New Roman" w:eastAsia="Times New Roman" w:hAnsi="Times New Roman" w:cs="Times New Roman"/>
          <w:sz w:val="24"/>
          <w:szCs w:val="24"/>
          <w:lang w:eastAsia="es-ES"/>
        </w:rPr>
        <w:t xml:space="preserve">viven. Patriotas de hojalata, </w:t>
      </w:r>
      <w:r w:rsidRPr="00836A57">
        <w:rPr>
          <w:rFonts w:ascii="Times New Roman" w:eastAsia="Times New Roman" w:hAnsi="Times New Roman" w:cs="Times New Roman"/>
          <w:sz w:val="24"/>
          <w:szCs w:val="24"/>
          <w:lang w:eastAsia="es-ES"/>
        </w:rPr>
        <w:t>líderes de plastilina</w:t>
      </w:r>
      <w:r w:rsidR="003053F8">
        <w:rPr>
          <w:rFonts w:ascii="Times New Roman" w:eastAsia="Times New Roman" w:hAnsi="Times New Roman" w:cs="Times New Roman"/>
          <w:sz w:val="24"/>
          <w:szCs w:val="24"/>
          <w:lang w:eastAsia="es-ES"/>
        </w:rPr>
        <w:t>, y bobos solemnes</w:t>
      </w:r>
      <w:r w:rsidRPr="00836A57">
        <w:rPr>
          <w:rFonts w:ascii="Times New Roman" w:eastAsia="Times New Roman" w:hAnsi="Times New Roman" w:cs="Times New Roman"/>
          <w:sz w:val="24"/>
          <w:szCs w:val="24"/>
          <w:lang w:eastAsia="es-ES"/>
        </w:rPr>
        <w:t xml:space="preserve">, que aunque saben que han perdido, les queda la conciencia de esos últimos metros para escapar a lo que nadie duda que </w:t>
      </w:r>
      <w:r w:rsidR="00254497">
        <w:rPr>
          <w:rFonts w:ascii="Times New Roman" w:eastAsia="Times New Roman" w:hAnsi="Times New Roman" w:cs="Times New Roman"/>
          <w:sz w:val="24"/>
          <w:szCs w:val="24"/>
          <w:lang w:eastAsia="es-ES"/>
        </w:rPr>
        <w:t>sea</w:t>
      </w:r>
      <w:r w:rsidRPr="00836A57">
        <w:rPr>
          <w:rFonts w:ascii="Times New Roman" w:eastAsia="Times New Roman" w:hAnsi="Times New Roman" w:cs="Times New Roman"/>
          <w:sz w:val="24"/>
          <w:szCs w:val="24"/>
          <w:lang w:eastAsia="es-ES"/>
        </w:rPr>
        <w:t xml:space="preserve"> su destino. No hay que dárselas de adivino para asegurar que van a utilizar todo lo que esté a mano para conjurar la derrota. Antes de la paz (ucraniana), a Putin, tal vez, haya que agradecerle, el final de la escapada (europea). </w:t>
      </w:r>
    </w:p>
    <w:p w:rsidR="00AE636F" w:rsidRPr="00836A57" w:rsidRDefault="00AE636F" w:rsidP="00AE636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No creo en las casualidades. Este carro suicida lanzado a toda velocidad hacia el abismo está tasado y tiene manos que mecen la cuna (beneficiarios) en la sombra. A estos dirigentes (europeos) sinvergüenzas, y sin vergüenza, toda imputación es válida.</w:t>
      </w:r>
    </w:p>
    <w:p w:rsidR="000D1DA2" w:rsidRPr="00836A57" w:rsidRDefault="00AE636F" w:rsidP="00AE636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Los empresarios europeos han creído (y algunos,</w:t>
      </w:r>
      <w:r w:rsidR="000D1DA2" w:rsidRPr="00836A57">
        <w:rPr>
          <w:rFonts w:ascii="Times New Roman" w:eastAsia="Times New Roman" w:hAnsi="Times New Roman" w:cs="Times New Roman"/>
          <w:sz w:val="24"/>
          <w:szCs w:val="24"/>
          <w:lang w:eastAsia="es-ES"/>
        </w:rPr>
        <w:t xml:space="preserve"> siguen creyé</w:t>
      </w:r>
      <w:r w:rsidRPr="00836A57">
        <w:rPr>
          <w:rFonts w:ascii="Times New Roman" w:eastAsia="Times New Roman" w:hAnsi="Times New Roman" w:cs="Times New Roman"/>
          <w:sz w:val="24"/>
          <w:szCs w:val="24"/>
          <w:lang w:eastAsia="es-ES"/>
        </w:rPr>
        <w:t>ndo</w:t>
      </w:r>
      <w:r w:rsidR="000D1DA2" w:rsidRPr="00836A57">
        <w:rPr>
          <w:rFonts w:ascii="Times New Roman" w:eastAsia="Times New Roman" w:hAnsi="Times New Roman" w:cs="Times New Roman"/>
          <w:sz w:val="24"/>
          <w:szCs w:val="24"/>
          <w:lang w:eastAsia="es-ES"/>
        </w:rPr>
        <w:t>lo</w:t>
      </w:r>
      <w:r w:rsidRPr="00836A57">
        <w:rPr>
          <w:rFonts w:ascii="Times New Roman" w:eastAsia="Times New Roman" w:hAnsi="Times New Roman" w:cs="Times New Roman"/>
          <w:sz w:val="24"/>
          <w:szCs w:val="24"/>
          <w:lang w:eastAsia="es-ES"/>
        </w:rPr>
        <w:t xml:space="preserve">) que pueden ganar más como cortesanos (y si se tercia, vasallos) de las grandes corporaciones norteamericanas o chinas, que como autónomos, soberanos, independientes, </w:t>
      </w:r>
      <w:r w:rsidR="000D1DA2" w:rsidRPr="00836A57">
        <w:rPr>
          <w:rFonts w:ascii="Times New Roman" w:eastAsia="Times New Roman" w:hAnsi="Times New Roman" w:cs="Times New Roman"/>
          <w:sz w:val="24"/>
          <w:szCs w:val="24"/>
          <w:lang w:eastAsia="es-ES"/>
        </w:rPr>
        <w:t xml:space="preserve">emancipados, libres. </w:t>
      </w:r>
      <w:r w:rsidR="00280B3A" w:rsidRPr="00836A57">
        <w:rPr>
          <w:rFonts w:ascii="Times New Roman" w:eastAsia="Times New Roman" w:hAnsi="Times New Roman" w:cs="Times New Roman"/>
          <w:sz w:val="24"/>
          <w:szCs w:val="24"/>
          <w:lang w:eastAsia="es-ES"/>
        </w:rPr>
        <w:t>Entregan un mercado de 500 millones de consumidores, a cambio que les dejen vender unos “autitos”, y sentarse a la mesa del Foro Económico</w:t>
      </w:r>
      <w:r w:rsidR="00E74FE4" w:rsidRPr="00836A57">
        <w:rPr>
          <w:rFonts w:ascii="Times New Roman" w:eastAsia="Times New Roman" w:hAnsi="Times New Roman" w:cs="Times New Roman"/>
          <w:sz w:val="24"/>
          <w:szCs w:val="24"/>
          <w:lang w:eastAsia="es-ES"/>
        </w:rPr>
        <w:t xml:space="preserve"> Mundial</w:t>
      </w:r>
      <w:r w:rsidR="00280B3A" w:rsidRPr="00836A57">
        <w:rPr>
          <w:rFonts w:ascii="Times New Roman" w:eastAsia="Times New Roman" w:hAnsi="Times New Roman" w:cs="Times New Roman"/>
          <w:sz w:val="24"/>
          <w:szCs w:val="24"/>
          <w:lang w:eastAsia="es-ES"/>
        </w:rPr>
        <w:t xml:space="preserve"> de Davos.</w:t>
      </w:r>
      <w:r w:rsidR="00E74FE4" w:rsidRPr="00836A57">
        <w:rPr>
          <w:rFonts w:ascii="Times New Roman" w:eastAsia="Times New Roman" w:hAnsi="Times New Roman" w:cs="Times New Roman"/>
          <w:sz w:val="24"/>
          <w:szCs w:val="24"/>
          <w:lang w:eastAsia="es-ES"/>
        </w:rPr>
        <w:t xml:space="preserve"> Soñando</w:t>
      </w:r>
      <w:r w:rsidR="00280B3A" w:rsidRPr="00836A57">
        <w:rPr>
          <w:rFonts w:ascii="Times New Roman" w:eastAsia="Times New Roman" w:hAnsi="Times New Roman" w:cs="Times New Roman"/>
          <w:sz w:val="24"/>
          <w:szCs w:val="24"/>
          <w:lang w:eastAsia="es-ES"/>
        </w:rPr>
        <w:t xml:space="preserve"> con poder ordeñarlobos.</w:t>
      </w:r>
    </w:p>
    <w:p w:rsidR="00E74FE4" w:rsidRPr="00836A57" w:rsidRDefault="000D1DA2" w:rsidP="00AE636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Los político</w:t>
      </w:r>
      <w:r w:rsidR="00E74FE4" w:rsidRPr="00836A57">
        <w:rPr>
          <w:rFonts w:ascii="Times New Roman" w:eastAsia="Times New Roman" w:hAnsi="Times New Roman" w:cs="Times New Roman"/>
          <w:sz w:val="24"/>
          <w:szCs w:val="24"/>
          <w:lang w:eastAsia="es-ES"/>
        </w:rPr>
        <w:t xml:space="preserve">s europeos no existen, son </w:t>
      </w:r>
      <w:r w:rsidRPr="00836A57">
        <w:rPr>
          <w:rFonts w:ascii="Times New Roman" w:eastAsia="Times New Roman" w:hAnsi="Times New Roman" w:cs="Times New Roman"/>
          <w:sz w:val="24"/>
          <w:szCs w:val="24"/>
          <w:lang w:eastAsia="es-ES"/>
        </w:rPr>
        <w:t>meros felpudos</w:t>
      </w:r>
      <w:r w:rsidR="00E74FE4" w:rsidRPr="00836A57">
        <w:rPr>
          <w:rFonts w:ascii="Times New Roman" w:eastAsia="Times New Roman" w:hAnsi="Times New Roman" w:cs="Times New Roman"/>
          <w:sz w:val="24"/>
          <w:szCs w:val="24"/>
          <w:lang w:eastAsia="es-ES"/>
        </w:rPr>
        <w:t xml:space="preserve"> (o en su caso</w:t>
      </w:r>
      <w:r w:rsidR="00280B3A" w:rsidRPr="00836A57">
        <w:rPr>
          <w:rFonts w:ascii="Times New Roman" w:eastAsia="Times New Roman" w:hAnsi="Times New Roman" w:cs="Times New Roman"/>
          <w:sz w:val="24"/>
          <w:szCs w:val="24"/>
          <w:lang w:eastAsia="es-ES"/>
        </w:rPr>
        <w:t>, alfombrilla de baño), de los “hacedores de mercado”</w:t>
      </w:r>
      <w:r w:rsidRPr="00836A57">
        <w:rPr>
          <w:rFonts w:ascii="Times New Roman" w:eastAsia="Times New Roman" w:hAnsi="Times New Roman" w:cs="Times New Roman"/>
          <w:sz w:val="24"/>
          <w:szCs w:val="24"/>
          <w:lang w:eastAsia="es-ES"/>
        </w:rPr>
        <w:t xml:space="preserve"> (norteamericanos, chinos, japoneses, árabes, europeos </w:t>
      </w:r>
      <w:r w:rsidR="00E74FE4" w:rsidRPr="00836A57">
        <w:rPr>
          <w:rFonts w:ascii="Times New Roman" w:eastAsia="Times New Roman" w:hAnsi="Times New Roman" w:cs="Times New Roman"/>
          <w:sz w:val="24"/>
          <w:szCs w:val="24"/>
          <w:lang w:eastAsia="es-ES"/>
        </w:rPr>
        <w:t xml:space="preserve">o </w:t>
      </w:r>
      <w:r w:rsidRPr="00836A57">
        <w:rPr>
          <w:rFonts w:ascii="Times New Roman" w:eastAsia="Times New Roman" w:hAnsi="Times New Roman" w:cs="Times New Roman"/>
          <w:sz w:val="24"/>
          <w:szCs w:val="24"/>
          <w:lang w:eastAsia="es-ES"/>
        </w:rPr>
        <w:t>rusos)</w:t>
      </w:r>
      <w:r w:rsidR="00280B3A" w:rsidRPr="00836A57">
        <w:rPr>
          <w:rFonts w:ascii="Times New Roman" w:eastAsia="Times New Roman" w:hAnsi="Times New Roman" w:cs="Times New Roman"/>
          <w:sz w:val="24"/>
          <w:szCs w:val="24"/>
          <w:lang w:eastAsia="es-ES"/>
        </w:rPr>
        <w:t xml:space="preserve">. </w:t>
      </w:r>
    </w:p>
    <w:p w:rsidR="007B10E8" w:rsidRPr="00836A57" w:rsidRDefault="00E74FE4" w:rsidP="00AE636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Entre tanto la población europea se debate entre la muerte, el hambre, la recesión y el desempleo, y lo peor es que nadie sabe cómo</w:t>
      </w:r>
      <w:r w:rsidR="003053F8">
        <w:rPr>
          <w:rFonts w:ascii="Times New Roman" w:eastAsia="Times New Roman" w:hAnsi="Times New Roman" w:cs="Times New Roman"/>
          <w:sz w:val="24"/>
          <w:szCs w:val="24"/>
          <w:lang w:eastAsia="es-ES"/>
        </w:rPr>
        <w:t>,</w:t>
      </w:r>
      <w:r w:rsidRPr="00836A57">
        <w:rPr>
          <w:rFonts w:ascii="Times New Roman" w:eastAsia="Times New Roman" w:hAnsi="Times New Roman" w:cs="Times New Roman"/>
          <w:sz w:val="24"/>
          <w:szCs w:val="24"/>
          <w:lang w:eastAsia="es-ES"/>
        </w:rPr>
        <w:t xml:space="preserve"> ni cuándo</w:t>
      </w:r>
      <w:r w:rsidR="003053F8">
        <w:rPr>
          <w:rFonts w:ascii="Times New Roman" w:eastAsia="Times New Roman" w:hAnsi="Times New Roman" w:cs="Times New Roman"/>
          <w:sz w:val="24"/>
          <w:szCs w:val="24"/>
          <w:lang w:eastAsia="es-ES"/>
        </w:rPr>
        <w:t>,</w:t>
      </w:r>
      <w:r w:rsidRPr="00836A57">
        <w:rPr>
          <w:rFonts w:ascii="Times New Roman" w:eastAsia="Times New Roman" w:hAnsi="Times New Roman" w:cs="Times New Roman"/>
          <w:sz w:val="24"/>
          <w:szCs w:val="24"/>
          <w:lang w:eastAsia="es-ES"/>
        </w:rPr>
        <w:t xml:space="preserve"> terminará esta debacle.</w:t>
      </w:r>
    </w:p>
    <w:p w:rsidR="00236741" w:rsidRPr="00236741" w:rsidRDefault="003053F8" w:rsidP="00236741">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lastRenderedPageBreak/>
        <w:t>“</w:t>
      </w:r>
      <w:r w:rsidR="00236741" w:rsidRPr="00236741">
        <w:rPr>
          <w:rFonts w:ascii="Times New Roman" w:eastAsia="Times New Roman" w:hAnsi="Times New Roman" w:cs="Times New Roman"/>
          <w:b/>
          <w:sz w:val="24"/>
          <w:szCs w:val="24"/>
          <w:lang w:eastAsia="es-ES"/>
        </w:rPr>
        <w:t>Prima la musica e poi le parole</w:t>
      </w:r>
      <w:r>
        <w:rPr>
          <w:rFonts w:ascii="Times New Roman" w:eastAsia="Times New Roman" w:hAnsi="Times New Roman" w:cs="Times New Roman"/>
          <w:b/>
          <w:sz w:val="24"/>
          <w:szCs w:val="24"/>
          <w:lang w:eastAsia="es-ES"/>
        </w:rPr>
        <w:t>”</w:t>
      </w:r>
    </w:p>
    <w:p w:rsidR="00161E82" w:rsidRPr="0015319A" w:rsidRDefault="007B10E8" w:rsidP="00AE636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15319A">
        <w:rPr>
          <w:rFonts w:ascii="Times New Roman" w:eastAsia="Times New Roman" w:hAnsi="Times New Roman" w:cs="Times New Roman"/>
          <w:sz w:val="24"/>
          <w:szCs w:val="24"/>
          <w:lang w:eastAsia="es-ES"/>
        </w:rPr>
        <w:t>Como decí</w:t>
      </w:r>
      <w:r w:rsidR="00161E82" w:rsidRPr="0015319A">
        <w:rPr>
          <w:rFonts w:ascii="Times New Roman" w:eastAsia="Times New Roman" w:hAnsi="Times New Roman" w:cs="Times New Roman"/>
          <w:sz w:val="24"/>
          <w:szCs w:val="24"/>
          <w:lang w:eastAsia="es-ES"/>
        </w:rPr>
        <w:t>a Cesar Vidal, sin ánimo de ser exhaustivo, los hechos son los siguientes</w:t>
      </w:r>
      <w:r w:rsidR="00A115F5" w:rsidRPr="0015319A">
        <w:rPr>
          <w:rFonts w:ascii="Times New Roman" w:eastAsia="Times New Roman" w:hAnsi="Times New Roman" w:cs="Times New Roman"/>
          <w:sz w:val="24"/>
          <w:szCs w:val="24"/>
          <w:lang w:eastAsia="es-ES"/>
        </w:rPr>
        <w:t>:</w:t>
      </w:r>
    </w:p>
    <w:p w:rsidR="001C678E" w:rsidRPr="00B01701" w:rsidRDefault="001C678E" w:rsidP="001C678E">
      <w:pPr>
        <w:rPr>
          <w:rFonts w:ascii="Times New Roman" w:hAnsi="Times New Roman" w:cs="Times New Roman"/>
          <w:b/>
          <w:color w:val="FF0000"/>
          <w:sz w:val="24"/>
          <w:szCs w:val="24"/>
        </w:rPr>
      </w:pPr>
      <w:r w:rsidRPr="00B01701">
        <w:rPr>
          <w:rFonts w:ascii="Times New Roman" w:hAnsi="Times New Roman" w:cs="Times New Roman"/>
          <w:b/>
          <w:color w:val="FF0000"/>
          <w:sz w:val="24"/>
          <w:szCs w:val="24"/>
        </w:rPr>
        <w:t>1 - La pobreza en medio de la riqueza</w:t>
      </w:r>
    </w:p>
    <w:p w:rsidR="001C678E" w:rsidRDefault="001C678E"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8C1FB8">
        <w:rPr>
          <w:rFonts w:ascii="Times New Roman" w:eastAsia="Times New Roman" w:hAnsi="Times New Roman" w:cs="Times New Roman"/>
          <w:b/>
          <w:sz w:val="24"/>
          <w:szCs w:val="24"/>
          <w:lang w:eastAsia="es-ES"/>
        </w:rPr>
        <w:t>La “anatomí</w:t>
      </w:r>
      <w:r>
        <w:rPr>
          <w:rFonts w:ascii="Times New Roman" w:eastAsia="Times New Roman" w:hAnsi="Times New Roman" w:cs="Times New Roman"/>
          <w:b/>
          <w:sz w:val="24"/>
          <w:szCs w:val="24"/>
          <w:lang w:eastAsia="es-ES"/>
        </w:rPr>
        <w:t>a famélica” de la Unión Europea</w:t>
      </w:r>
    </w:p>
    <w:p w:rsidR="005C0018" w:rsidRDefault="005C0018" w:rsidP="005C0018">
      <w:pPr>
        <w:pStyle w:val="NormalWeb"/>
        <w:shd w:val="clear" w:color="auto" w:fill="FFFFFF"/>
        <w:spacing w:before="0" w:beforeAutospacing="0" w:after="150" w:afterAutospacing="0"/>
        <w:jc w:val="both"/>
      </w:pPr>
      <w:r w:rsidRPr="005C0018">
        <w:t>En 2020, el año del brote de COVID-19, la </w:t>
      </w:r>
      <w:hyperlink r:id="rId12" w:tgtFrame="_blank" w:history="1">
        <w:r w:rsidRPr="005C0018">
          <w:rPr>
            <w:rStyle w:val="Hipervnculo"/>
            <w:color w:val="auto"/>
            <w:u w:val="none"/>
          </w:rPr>
          <w:t>renta</w:t>
        </w:r>
      </w:hyperlink>
      <w:r w:rsidRPr="005C0018">
        <w:t> laboral </w:t>
      </w:r>
      <w:hyperlink r:id="rId13" w:tgtFrame="_blank" w:history="1">
        <w:r w:rsidRPr="005C0018">
          <w:rPr>
            <w:rStyle w:val="Hipervnculo"/>
            <w:color w:val="auto"/>
            <w:u w:val="none"/>
          </w:rPr>
          <w:t>mediana</w:t>
        </w:r>
      </w:hyperlink>
      <w:r w:rsidRPr="005C0018">
        <w:t> de la población en edad de trabajar (18-64) en la </w:t>
      </w:r>
      <w:hyperlink r:id="rId14" w:tgtFrame="_blank" w:history="1">
        <w:r w:rsidRPr="005C0018">
          <w:rPr>
            <w:rStyle w:val="Hipervnculo"/>
            <w:color w:val="auto"/>
            <w:u w:val="none"/>
          </w:rPr>
          <w:t>UE</w:t>
        </w:r>
      </w:hyperlink>
      <w:r w:rsidRPr="005C0018">
        <w:t> disminuyó un 7 % en comparación con 2019. Sin embargo, la renta </w:t>
      </w:r>
      <w:hyperlink r:id="rId15" w:tgtFrame="_blank" w:history="1">
        <w:r w:rsidRPr="005C0018">
          <w:rPr>
            <w:rStyle w:val="Hipervnculo"/>
            <w:color w:val="auto"/>
            <w:u w:val="none"/>
          </w:rPr>
          <w:t>familiar disponible</w:t>
        </w:r>
      </w:hyperlink>
      <w:r w:rsidRPr="005C0018">
        <w:t> mediana, así como la </w:t>
      </w:r>
      <w:hyperlink r:id="rId16" w:tgtFrame="_blank" w:history="1">
        <w:r w:rsidRPr="005C0018">
          <w:rPr>
            <w:rStyle w:val="Hipervnculo"/>
            <w:color w:val="auto"/>
            <w:u w:val="none"/>
          </w:rPr>
          <w:t>ocupación La tasa de riesgo de pobreza se</w:t>
        </w:r>
      </w:hyperlink>
      <w:r w:rsidRPr="005C0018">
        <w:t> mantuvo estable, con tendencias variables entre países. Esta información proviene de las </w:t>
      </w:r>
      <w:hyperlink r:id="rId17" w:tgtFrame="_blank" w:history="1">
        <w:r w:rsidRPr="005C0018">
          <w:rPr>
            <w:rStyle w:val="Hipervnculo"/>
            <w:color w:val="auto"/>
            <w:u w:val="none"/>
          </w:rPr>
          <w:t>primeras estimaciones</w:t>
        </w:r>
      </w:hyperlink>
      <w:r w:rsidRPr="005C0018">
        <w:t xml:space="preserve"> sobre la desigualdad de </w:t>
      </w:r>
      <w:r>
        <w:t>ingresos en 2020 publicadas por Eurostat</w:t>
      </w:r>
      <w:r w:rsidRPr="005C0018">
        <w:t>.</w:t>
      </w:r>
    </w:p>
    <w:p w:rsidR="005C0018" w:rsidRDefault="005C0018" w:rsidP="005C0018">
      <w:pPr>
        <w:pStyle w:val="NormalWeb"/>
        <w:shd w:val="clear" w:color="auto" w:fill="FFFFFF"/>
        <w:spacing w:before="0" w:beforeAutospacing="0" w:after="150" w:afterAutospacing="0"/>
        <w:jc w:val="both"/>
      </w:pPr>
    </w:p>
    <w:p w:rsidR="005C0018" w:rsidRPr="00A823C5" w:rsidRDefault="005C0018" w:rsidP="005C0018">
      <w:pPr>
        <w:pStyle w:val="NormalWeb"/>
        <w:shd w:val="clear" w:color="auto" w:fill="FFFFFF"/>
        <w:spacing w:before="0" w:beforeAutospacing="0" w:after="150" w:afterAutospacing="0"/>
        <w:jc w:val="both"/>
      </w:pPr>
      <w:r w:rsidRPr="00A823C5">
        <w:rPr>
          <w:noProof/>
          <w:lang w:val="en-GB" w:eastAsia="zh-CN"/>
        </w:rPr>
        <w:drawing>
          <wp:inline distT="0" distB="0" distL="0" distR="0">
            <wp:extent cx="5721350" cy="3397250"/>
            <wp:effectExtent l="0" t="0" r="0" b="0"/>
            <wp:docPr id="35" name="Imagen 35" descr="Renta laboral mediana y renta disponible mediana en la UE, 2009 - 2020">
              <a:hlinkClick xmlns:a="http://schemas.openxmlformats.org/drawingml/2006/main" r:id="rId1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enta laboral mediana y renta disponible mediana en la UE, 2009 - 2020">
                      <a:hlinkClick r:id="rId18" tgtFrame="&quot;_blank&quot;"/>
                    </pic:cNvPr>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1350" cy="3397250"/>
                    </a:xfrm>
                    <a:prstGeom prst="rect">
                      <a:avLst/>
                    </a:prstGeom>
                    <a:noFill/>
                    <a:ln>
                      <a:noFill/>
                    </a:ln>
                  </pic:spPr>
                </pic:pic>
              </a:graphicData>
            </a:graphic>
          </wp:inline>
        </w:drawing>
      </w:r>
      <w:r w:rsidRPr="00A823C5">
        <w:t>Las pérdidas en los ingresos del trabajo se debieron en gran medida al aumento sin precedentes del número de trabajadores ausentes del trabajo o con jornadas reducidas. Sin embargo, las transferencias e impuestos gubernamentales habituales, así como las políticas temporales, ayudaron a compensar el impacto de la crisis de COVID-19 en el ingreso disponible de los hogares.</w:t>
      </w:r>
    </w:p>
    <w:p w:rsidR="005C0018" w:rsidRPr="00A823C5" w:rsidRDefault="005C0018" w:rsidP="005C0018">
      <w:pPr>
        <w:pStyle w:val="NormalWeb"/>
        <w:shd w:val="clear" w:color="auto" w:fill="FFFFFF"/>
        <w:spacing w:before="0" w:beforeAutospacing="0" w:after="150" w:afterAutospacing="0"/>
        <w:jc w:val="both"/>
      </w:pPr>
      <w:r w:rsidRPr="00A823C5">
        <w:t xml:space="preserve">Estos esquemas temporales jugaron un papel importante en la estabilización de los salarios y los ingresos de los hogares, en particular para aquellos con ingresos más bajos. Aunque las </w:t>
      </w:r>
      <w:r w:rsidRPr="00F526ED">
        <w:t xml:space="preserve">personas en </w:t>
      </w:r>
      <w:r w:rsidRPr="005C0018">
        <w:t>los </w:t>
      </w:r>
      <w:hyperlink r:id="rId20" w:tgtFrame="_blank" w:history="1">
        <w:r w:rsidRPr="005C0018">
          <w:rPr>
            <w:rStyle w:val="Hipervnculo"/>
            <w:color w:val="auto"/>
            <w:u w:val="none"/>
          </w:rPr>
          <w:t>quintiles de ingresos</w:t>
        </w:r>
      </w:hyperlink>
      <w:r w:rsidRPr="005C0018">
        <w:t> más </w:t>
      </w:r>
      <w:hyperlink r:id="rId21" w:tgtFrame="_blank" w:history="1">
        <w:r w:rsidRPr="005C0018">
          <w:rPr>
            <w:rStyle w:val="Hipervnculo"/>
            <w:color w:val="auto"/>
            <w:u w:val="none"/>
          </w:rPr>
          <w:t>bajos se</w:t>
        </w:r>
      </w:hyperlink>
      <w:r w:rsidRPr="00F526ED">
        <w:t xml:space="preserve"> vieron más afectadas por la crisis del </w:t>
      </w:r>
      <w:r w:rsidRPr="00A823C5">
        <w:t>COVID-19, estos esquemas temporales ayudaron a compensar sus pérdidas de ingresos. Los beneficios de compensación siguen una distribución progresiva, siendo mayores para aquellos con menores ingresos.</w:t>
      </w:r>
    </w:p>
    <w:p w:rsidR="005C0018" w:rsidRPr="00A823C5" w:rsidRDefault="005C0018" w:rsidP="005C0018">
      <w:pPr>
        <w:pStyle w:val="NormalWeb"/>
        <w:shd w:val="clear" w:color="auto" w:fill="FFFFFF"/>
        <w:spacing w:before="0" w:beforeAutospacing="0" w:after="150" w:afterAutospacing="0"/>
        <w:jc w:val="both"/>
      </w:pPr>
      <w:r w:rsidRPr="00A823C5">
        <w:t> </w:t>
      </w:r>
    </w:p>
    <w:p w:rsidR="005C0018" w:rsidRPr="00A823C5" w:rsidRDefault="005C0018" w:rsidP="005C0018">
      <w:pPr>
        <w:pStyle w:val="NormalWeb"/>
        <w:shd w:val="clear" w:color="auto" w:fill="FFFFFF"/>
        <w:spacing w:before="0" w:beforeAutospacing="0" w:after="150" w:afterAutospacing="0"/>
        <w:jc w:val="both"/>
      </w:pPr>
      <w:r w:rsidRPr="00A823C5">
        <w:rPr>
          <w:noProof/>
          <w:lang w:val="en-GB" w:eastAsia="zh-CN"/>
        </w:rPr>
        <w:lastRenderedPageBreak/>
        <w:drawing>
          <wp:inline distT="0" distB="0" distL="0" distR="0">
            <wp:extent cx="5676900" cy="3117850"/>
            <wp:effectExtent l="0" t="0" r="0" b="6350"/>
            <wp:docPr id="1" name="Imagen 1" descr="Renta laboral mediana frente a renta disponible mediana en la UE, 2020">
              <a:hlinkClick xmlns:a="http://schemas.openxmlformats.org/drawingml/2006/main" r:id="rId2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enta laboral mediana frente a renta disponible mediana en la UE, 2020">
                      <a:hlinkClick r:id="rId22" tgtFrame="&quot;_blank&quot;"/>
                    </pic:cNvPr>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76900" cy="3117850"/>
                    </a:xfrm>
                    <a:prstGeom prst="rect">
                      <a:avLst/>
                    </a:prstGeom>
                    <a:noFill/>
                    <a:ln>
                      <a:noFill/>
                    </a:ln>
                  </pic:spPr>
                </pic:pic>
              </a:graphicData>
            </a:graphic>
          </wp:inline>
        </w:drawing>
      </w:r>
    </w:p>
    <w:p w:rsidR="005C0018" w:rsidRPr="00A823C5" w:rsidRDefault="005C0018" w:rsidP="005C0018">
      <w:pPr>
        <w:pStyle w:val="NormalWeb"/>
        <w:shd w:val="clear" w:color="auto" w:fill="FFFFFF"/>
        <w:spacing w:before="0" w:beforeAutospacing="0" w:after="150" w:afterAutospacing="0"/>
        <w:jc w:val="both"/>
      </w:pPr>
      <w:r w:rsidRPr="00A823C5">
        <w:t>A nivel de la UE, la renta familiar disponible y la tasa de riesgo de pobreza se mantuvieron estables en 2020, aunque la situación varió entre los Estados miembros de la UE.</w:t>
      </w:r>
    </w:p>
    <w:p w:rsidR="005C0018" w:rsidRDefault="005C0018" w:rsidP="005C0018">
      <w:pPr>
        <w:pStyle w:val="NormalWeb"/>
        <w:shd w:val="clear" w:color="auto" w:fill="FFFFFF"/>
        <w:spacing w:before="0" w:beforeAutospacing="0" w:after="150" w:afterAutospacing="0"/>
        <w:jc w:val="both"/>
      </w:pPr>
      <w:r w:rsidRPr="00A823C5">
        <w:t>En comparación con 2019, entre los Estados miembros con datos estadísticamente significativos (naranja y azul en el mapa), se observaron aumentos en la tasa de riesgo de pobreza de la población en edad de trabajar en Portugal, Grecia, Esp</w:t>
      </w:r>
      <w:r>
        <w:t>aña, Italia, Irlanda, Eslovenia</w:t>
      </w:r>
      <w:r w:rsidRPr="00A823C5">
        <w:t>, Bulgaria, Austria y Suecia. En aproximadamente la mitad de los Estados miembros, la tasa de riesgo de pobreza se mantuvo estable en 2020, mientras que disminuyó en Estonia. </w:t>
      </w:r>
    </w:p>
    <w:p w:rsidR="005C0018" w:rsidRDefault="005C0018" w:rsidP="005C0018">
      <w:pPr>
        <w:pStyle w:val="NormalWeb"/>
        <w:shd w:val="clear" w:color="auto" w:fill="FFFFFF"/>
        <w:spacing w:before="0" w:beforeAutospacing="0" w:after="150" w:afterAutospacing="0"/>
        <w:jc w:val="both"/>
      </w:pPr>
      <w:r w:rsidRPr="00A823C5">
        <w:rPr>
          <w:noProof/>
          <w:lang w:val="en-GB" w:eastAsia="zh-CN"/>
        </w:rPr>
        <w:drawing>
          <wp:inline distT="0" distB="0" distL="0" distR="0">
            <wp:extent cx="5562600" cy="4006850"/>
            <wp:effectExtent l="0" t="0" r="0" b="0"/>
            <wp:docPr id="39" name="Imagen 39" descr="Tasa de riesgo de pobreza en los Estados miembros de la UE, 2020 en comparación con 2019">
              <a:hlinkClick xmlns:a="http://schemas.openxmlformats.org/drawingml/2006/main" r:id="rId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asa de riesgo de pobreza en los Estados miembros de la UE, 2020 en comparación con 2019">
                      <a:hlinkClick r:id="rId24" tgtFrame="&quot;_blank&quot;"/>
                    </pic:cNvPr>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62600" cy="4006850"/>
                    </a:xfrm>
                    <a:prstGeom prst="rect">
                      <a:avLst/>
                    </a:prstGeom>
                    <a:noFill/>
                    <a:ln>
                      <a:noFill/>
                    </a:ln>
                  </pic:spPr>
                </pic:pic>
              </a:graphicData>
            </a:graphic>
          </wp:inline>
        </w:drawing>
      </w:r>
    </w:p>
    <w:p w:rsidR="005C0018" w:rsidRPr="009C23C9" w:rsidRDefault="005C0018" w:rsidP="005C0018">
      <w:pPr>
        <w:pStyle w:val="NormalWeb"/>
        <w:shd w:val="clear" w:color="auto" w:fill="FFFFFF"/>
        <w:spacing w:before="0" w:beforeAutospacing="0" w:after="150" w:afterAutospacing="0"/>
        <w:jc w:val="both"/>
        <w:rPr>
          <w:b/>
        </w:rPr>
      </w:pPr>
      <w:r w:rsidRPr="009C23C9">
        <w:rPr>
          <w:b/>
        </w:rPr>
        <w:lastRenderedPageBreak/>
        <w:t>Ser pobre en un país rico: en Alemania, no todos gozan del boom de la economía</w:t>
      </w:r>
    </w:p>
    <w:p w:rsidR="005C0018" w:rsidRDefault="005C0018" w:rsidP="005C0018">
      <w:pPr>
        <w:pStyle w:val="NormalWeb"/>
        <w:shd w:val="clear" w:color="auto" w:fill="FFFFFF"/>
        <w:spacing w:before="0" w:beforeAutospacing="0" w:after="150" w:afterAutospacing="0"/>
        <w:jc w:val="both"/>
      </w:pPr>
      <w:r w:rsidRPr="009C23C9">
        <w:rPr>
          <w:noProof/>
          <w:lang w:val="en-GB" w:eastAsia="zh-CN"/>
        </w:rPr>
        <w:drawing>
          <wp:inline distT="0" distB="0" distL="0" distR="0">
            <wp:extent cx="5731510" cy="206971"/>
            <wp:effectExtent l="0" t="0" r="0" b="317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206971"/>
                    </a:xfrm>
                    <a:prstGeom prst="rect">
                      <a:avLst/>
                    </a:prstGeom>
                  </pic:spPr>
                </pic:pic>
              </a:graphicData>
            </a:graphic>
          </wp:inline>
        </w:drawing>
      </w:r>
    </w:p>
    <w:p w:rsidR="00937E77" w:rsidRDefault="005C0018" w:rsidP="00937E77">
      <w:pPr>
        <w:pStyle w:val="NormalWeb"/>
        <w:shd w:val="clear" w:color="auto" w:fill="FFFFFF"/>
        <w:spacing w:before="0" w:beforeAutospacing="0" w:after="150" w:afterAutospacing="0"/>
        <w:jc w:val="both"/>
      </w:pPr>
      <w:r w:rsidRPr="009C23C9">
        <w:rPr>
          <w:noProof/>
          <w:lang w:val="en-GB" w:eastAsia="zh-CN"/>
        </w:rPr>
        <w:drawing>
          <wp:inline distT="0" distB="0" distL="0" distR="0">
            <wp:extent cx="5727700" cy="2514600"/>
            <wp:effectExtent l="0" t="0" r="635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2516273"/>
                    </a:xfrm>
                    <a:prstGeom prst="rect">
                      <a:avLst/>
                    </a:prstGeom>
                  </pic:spPr>
                </pic:pic>
              </a:graphicData>
            </a:graphic>
          </wp:inline>
        </w:drawing>
      </w:r>
    </w:p>
    <w:p w:rsidR="005C0018" w:rsidRDefault="005C0018" w:rsidP="00937E77">
      <w:pPr>
        <w:pStyle w:val="NormalWeb"/>
        <w:shd w:val="clear" w:color="auto" w:fill="FFFFFF"/>
        <w:spacing w:before="0" w:beforeAutospacing="0" w:after="150" w:afterAutospacing="0"/>
        <w:jc w:val="both"/>
      </w:pPr>
      <w:r>
        <w:t xml:space="preserve">Berlín.- Un alquiler precario en Múnich, los remedios imprescindibles y una dieta de papas, arroz y pan viejo. Los ingresos de Joseph H. no alcanzan para más. Después de una vida de trabajo como autónomo, este jubilado alemán de 75 años encarna un drama poco visible: el de ser pobre en uno de los países más ricos del mundo. (Fuente: La Nación - </w:t>
      </w:r>
      <w:r w:rsidRPr="00F526ED">
        <w:rPr>
          <w:b/>
        </w:rPr>
        <w:t>28/2/16</w:t>
      </w:r>
      <w:r>
        <w:t>)</w:t>
      </w:r>
    </w:p>
    <w:p w:rsidR="005C0018" w:rsidRDefault="005C0018" w:rsidP="005C0018">
      <w:pPr>
        <w:pStyle w:val="NormalWeb"/>
        <w:shd w:val="clear" w:color="auto" w:fill="FFFFFF"/>
        <w:spacing w:after="150"/>
        <w:jc w:val="both"/>
      </w:pPr>
      <w:r>
        <w:t>El boom de la mayor economía europea sigue sin llegar a muchos como Joseph. Según el informe de pobreza 2016 en Berlín, un 15,4% de la población (12,5 millones de personas) vive en esa condición. El dato requiere una aclaración. Alemania no mide la pobreza “absoluta” -la que amenaza la subsistencia de millones de personas en países en vías de desarrollo-, sino la “relativa”: se cuenta como pobre a quien sufre privaciones y desventajas importantes con respecto al promedio de la población.</w:t>
      </w:r>
    </w:p>
    <w:p w:rsidR="005C0018" w:rsidRDefault="005C0018" w:rsidP="005C0018">
      <w:pPr>
        <w:pStyle w:val="NormalWeb"/>
        <w:shd w:val="clear" w:color="auto" w:fill="FFFFFF"/>
        <w:spacing w:after="150"/>
        <w:jc w:val="both"/>
      </w:pPr>
      <w:r>
        <w:t>“No hablamos de personas que duermen bajo un puente, no tienen qué comer o recolectan envases en la calle”, explica Ulrich Schneider, presidente de la Asociación Alemana del Bienestar, que elabora el informe. “Hablamos de gente segregada que no tiene recursos para una vida normal en Alemania, aunque no viva en la calle”.</w:t>
      </w:r>
    </w:p>
    <w:p w:rsidR="005C0018" w:rsidRDefault="005C0018" w:rsidP="005C0018">
      <w:pPr>
        <w:pStyle w:val="NormalWeb"/>
        <w:shd w:val="clear" w:color="auto" w:fill="FFFFFF"/>
        <w:spacing w:after="150"/>
        <w:jc w:val="both"/>
      </w:pPr>
      <w:r>
        <w:t>¿Quiénes son y cómo viven los pobres alemanes? La Unión Europea (UE) considera a una persona en riesgo de pobreza cuando su ingreso mensual es inferior al 60% del ingreso medio nacional. En Alemania, la barrera se sitúa en 930 euros netos para un soltero o 1651 euros para un matrimonio con un hijo.</w:t>
      </w:r>
    </w:p>
    <w:p w:rsidR="005C0018" w:rsidRDefault="005C0018" w:rsidP="005C0018">
      <w:pPr>
        <w:pStyle w:val="NormalWeb"/>
        <w:shd w:val="clear" w:color="auto" w:fill="FFFFFF"/>
        <w:spacing w:after="150"/>
        <w:jc w:val="both"/>
      </w:pPr>
      <w:r>
        <w:t>El perfil de quienes están en esa situación es variado: madres solteras que no pueden pagar actividades escolares de sus hijos, desempleados de larga duración que no llegan a cubrir necesidades básicas como ropa de invierno, familias sin calefacción o computadora, y chicos que ven determinado su futuro sólo por crecer en un barrio pobre.</w:t>
      </w:r>
    </w:p>
    <w:p w:rsidR="005C0018" w:rsidRDefault="005C0018" w:rsidP="005C0018">
      <w:pPr>
        <w:pStyle w:val="NormalWeb"/>
        <w:shd w:val="clear" w:color="auto" w:fill="FFFFFF"/>
        <w:spacing w:after="150"/>
        <w:jc w:val="both"/>
      </w:pPr>
      <w:r>
        <w:t>La tasa de pobreza en Alemania es inferior a la del conjunto de la UE, que ronda el 17%. Pero el informe incluye datos que cuestionan la imagen de una sociedad rica e igualitaria. Por ejemplo, la pobreza amenaza a un 19% de los chicos alemanes, y a una de cada siete personas en la vibrante capital, Berlín.</w:t>
      </w:r>
    </w:p>
    <w:p w:rsidR="005C0018" w:rsidRDefault="005C0018" w:rsidP="005C0018">
      <w:pPr>
        <w:pStyle w:val="NormalWeb"/>
        <w:shd w:val="clear" w:color="auto" w:fill="FFFFFF"/>
        <w:spacing w:after="150"/>
        <w:jc w:val="both"/>
      </w:pPr>
      <w:r>
        <w:lastRenderedPageBreak/>
        <w:t>También preocupa la situación de jubilados como Joseph. El riesgo de pobreza en el sector se disparó a 15,6% y superó así, por primera vez, el promedio nacional. Muchos dependen de ayudas públicas.</w:t>
      </w:r>
    </w:p>
    <w:p w:rsidR="005C0018" w:rsidRDefault="005C0018" w:rsidP="005C0018">
      <w:pPr>
        <w:pStyle w:val="NormalWeb"/>
        <w:shd w:val="clear" w:color="auto" w:fill="FFFFFF"/>
        <w:spacing w:after="150"/>
        <w:jc w:val="both"/>
      </w:pPr>
      <w:r>
        <w:t>“En 2007, un 12% de las personas que atendíamos estaban en edad de jubilación. Ahora se duplic</w:t>
      </w:r>
      <w:r w:rsidR="00836A57">
        <w:t>ó hasta 24%”, cuenta a La Nación</w:t>
      </w:r>
      <w:r>
        <w:t xml:space="preserve"> Inga Leffers, de Tafel, una asociación que recolecta alimentos descartados por productores, restaurantes o mercados para distribuirlos hasta a 1,5 millones de personas sin recursos.</w:t>
      </w:r>
    </w:p>
    <w:p w:rsidR="005C0018" w:rsidRDefault="005C0018" w:rsidP="005C0018">
      <w:pPr>
        <w:pStyle w:val="NormalWeb"/>
        <w:shd w:val="clear" w:color="auto" w:fill="FFFFFF"/>
        <w:spacing w:after="150"/>
        <w:jc w:val="both"/>
      </w:pPr>
      <w:r>
        <w:t>La amplia red de ayudas del Estado de bienestar alemán y las iniciativas como Tafel ayudan a combatir la pobreza absoluta. Sin embargo, en Alemania hay cerca de 40.000 personas que viven en la calle y unas 335.000 no tienen hogar.</w:t>
      </w:r>
    </w:p>
    <w:p w:rsidR="005C0018" w:rsidRDefault="005C0018" w:rsidP="005C0018">
      <w:pPr>
        <w:pStyle w:val="NormalWeb"/>
        <w:shd w:val="clear" w:color="auto" w:fill="FFFFFF"/>
        <w:spacing w:after="150"/>
        <w:jc w:val="both"/>
      </w:pPr>
      <w:r>
        <w:t>Muchos de ellos vagan por las ciudades revisando la basura en busca de comida o botellas que luego cambian por dinero. En invierno se refugian en albergues y estaciones de subte, pero cada año se registran muertes por el frío extremo.</w:t>
      </w:r>
    </w:p>
    <w:p w:rsidR="005C0018" w:rsidRDefault="005C0018" w:rsidP="005C0018">
      <w:pPr>
        <w:pStyle w:val="NormalWeb"/>
        <w:shd w:val="clear" w:color="auto" w:fill="FFFFFF"/>
        <w:spacing w:after="150"/>
        <w:jc w:val="both"/>
      </w:pPr>
      <w:r>
        <w:t>No es sólo que las ayudas no lleguen a todos, sino que “la mitad de los que tienen derecho a prestaciones sociales no las solicita”, explica Schneider. “Algunos ni siquiera saben que existen, otros se avergüenzan y no quieren reconocer que son pobres”, agrega. El experto entiende que la situación es mejor que en otros países, pero se indigna ante la desigualdad: ¿cómo se explica que la pobreza haya subido en diez años de 14 a 15,4% en un país con niveles de consumo récord, un desempleo de 6,8% y un crecimiento sostenido que llegó al 1,7% en 2015?</w:t>
      </w:r>
    </w:p>
    <w:p w:rsidR="005C0018" w:rsidRDefault="005C0018" w:rsidP="005C0018">
      <w:pPr>
        <w:pStyle w:val="NormalWeb"/>
        <w:shd w:val="clear" w:color="auto" w:fill="FFFFFF"/>
        <w:spacing w:after="150"/>
        <w:jc w:val="both"/>
      </w:pPr>
      <w:r>
        <w:t>“La causa profunda es que la capa social más alta acumula un patrimonio inmenso y no quiere distribuirlo”, dice Schneider. “Tenemos un gobierno que declaró tabú cualquier tipo de aumento impositivo a los más ricos y por eso no está en condiciones de hacer una política de pobreza que la reduzca”, agrega.</w:t>
      </w:r>
    </w:p>
    <w:p w:rsidR="00937E77" w:rsidRDefault="005C0018" w:rsidP="00937E77">
      <w:pPr>
        <w:pStyle w:val="NormalWeb"/>
        <w:shd w:val="clear" w:color="auto" w:fill="FFFFFF"/>
        <w:spacing w:after="150"/>
        <w:jc w:val="both"/>
      </w:pPr>
      <w:r>
        <w:t>Otra razón invita al pesimismo. El informe se basa en estadísticas de 2014 y no recoge el efecto de la ola d</w:t>
      </w:r>
      <w:r w:rsidR="00937E77">
        <w:t xml:space="preserve">e refugiados que llegó en 2015. </w:t>
      </w:r>
    </w:p>
    <w:p w:rsidR="005C0018" w:rsidRDefault="005C0018" w:rsidP="00937E77">
      <w:pPr>
        <w:pStyle w:val="NormalWeb"/>
        <w:shd w:val="clear" w:color="auto" w:fill="FFFFFF"/>
        <w:spacing w:after="150"/>
        <w:jc w:val="both"/>
      </w:pPr>
      <w:r>
        <w:t>El índice llegó a 15,4%, pero es relativo: mide las privaciones respecto al ingreso promedio.</w:t>
      </w:r>
    </w:p>
    <w:p w:rsidR="001C678E" w:rsidRDefault="001C678E"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8C1FB8">
        <w:rPr>
          <w:rFonts w:ascii="Times New Roman" w:eastAsia="Times New Roman" w:hAnsi="Times New Roman" w:cs="Times New Roman"/>
          <w:b/>
          <w:sz w:val="24"/>
          <w:szCs w:val="24"/>
          <w:lang w:eastAsia="es-ES"/>
        </w:rPr>
        <w:t>Alemania rica, Alemania pobre: un muro invisible divide, cada vez más, al país</w:t>
      </w:r>
    </w:p>
    <w:p w:rsidR="005C0018" w:rsidRPr="00D71863" w:rsidRDefault="005C0018" w:rsidP="005C0018">
      <w:pPr>
        <w:pStyle w:val="NormalWeb"/>
        <w:shd w:val="clear" w:color="auto" w:fill="FFFFFF"/>
        <w:spacing w:before="0" w:beforeAutospacing="0" w:after="360" w:afterAutospacing="0"/>
        <w:jc w:val="both"/>
        <w:rPr>
          <w:i/>
        </w:rPr>
      </w:pPr>
      <w:r w:rsidRPr="00D71863">
        <w:rPr>
          <w:rStyle w:val="nfasis"/>
          <w:i w:val="0"/>
        </w:rPr>
        <w:t xml:space="preserve">Un cuarto de siglo después de la caída del Muro de Berlín sigue habiendo dos Alemanias. Pero la frontera ya no es una militarizada pared de bloques de hormigón que separa dos regímenes políticos antagónicos. Ahora es una barrera invisible que distancia, cada vez más, a ricos y pobres. (Fuente: El Confidencial - </w:t>
      </w:r>
      <w:r w:rsidRPr="00D71863">
        <w:rPr>
          <w:rStyle w:val="nfasis"/>
          <w:b/>
          <w:i w:val="0"/>
        </w:rPr>
        <w:t>5/10/18</w:t>
      </w:r>
      <w:r w:rsidRPr="00D71863">
        <w:rPr>
          <w:rStyle w:val="nfasis"/>
          <w:i w:val="0"/>
        </w:rPr>
        <w:t xml:space="preserve">) </w:t>
      </w:r>
      <w:r w:rsidRPr="00D71863">
        <w:rPr>
          <w:i/>
        </w:rPr>
        <w:t> </w:t>
      </w:r>
    </w:p>
    <w:p w:rsidR="005C0018" w:rsidRPr="008717BD" w:rsidRDefault="005C0018" w:rsidP="005C0018">
      <w:pPr>
        <w:pStyle w:val="NormalWeb"/>
        <w:shd w:val="clear" w:color="auto" w:fill="FFFFFF"/>
        <w:spacing w:before="0" w:beforeAutospacing="0" w:after="360" w:afterAutospacing="0"/>
        <w:jc w:val="both"/>
      </w:pPr>
      <w:r w:rsidRPr="008717BD">
        <w:t>Para endulzar el comienzo de sus conferencias en Alemania, el economista Marcel Fratzscher suele recurrir a un pequeño juego. Así rompe el hielo y engancha a aquellos entre el público que aún están tentados de salir corriendo. Es solo un acertijo, advierte el presidente del Instituto Alemán para la Investigación económica (DIW), un respetado centro de estudios de Berlín. Se trata de </w:t>
      </w:r>
      <w:r w:rsidRPr="00F526ED">
        <w:rPr>
          <w:rStyle w:val="Textoennegrita"/>
          <w:b w:val="0"/>
        </w:rPr>
        <w:t>adivinar la identidad de dos países europeos</w:t>
      </w:r>
      <w:r w:rsidRPr="008717BD">
        <w:t> a través de una somera </w:t>
      </w:r>
      <w:r w:rsidRPr="00F526ED">
        <w:rPr>
          <w:rStyle w:val="Textoennegrita"/>
          <w:b w:val="0"/>
        </w:rPr>
        <w:t>descripción mediante datos económicos</w:t>
      </w:r>
      <w:r w:rsidRPr="008717BD">
        <w:t>.</w:t>
      </w:r>
    </w:p>
    <w:p w:rsidR="005C0018" w:rsidRPr="00D71863" w:rsidRDefault="005C0018" w:rsidP="005C0018">
      <w:pPr>
        <w:pStyle w:val="NormalWeb"/>
        <w:shd w:val="clear" w:color="auto" w:fill="FFFFFF"/>
        <w:spacing w:before="0" w:beforeAutospacing="0" w:after="360" w:afterAutospacing="0"/>
        <w:jc w:val="both"/>
      </w:pPr>
      <w:r w:rsidRPr="00D71863">
        <w:lastRenderedPageBreak/>
        <w:t>El primero, apunta Fratzscher, ha superado de forma sorprendente </w:t>
      </w:r>
      <w:hyperlink r:id="rId28" w:tgtFrame="_self" w:history="1">
        <w:r w:rsidRPr="00D71863">
          <w:rPr>
            <w:rStyle w:val="Hipervnculo"/>
            <w:bCs/>
            <w:color w:val="auto"/>
            <w:u w:val="none"/>
          </w:rPr>
          <w:t>la crisis financiera global de 2008</w:t>
        </w:r>
      </w:hyperlink>
      <w:r w:rsidRPr="00D71863">
        <w:t> y la subsecuente crisis de la deuda europea. Su Producto Interior Bruto (PIB) ha repuntado un 8% desde 2009 y su </w:t>
      </w:r>
      <w:r w:rsidRPr="00D71863">
        <w:rPr>
          <w:rStyle w:val="Textoennegrita"/>
          <w:b w:val="0"/>
        </w:rPr>
        <w:t>tasa de desempleo</w:t>
      </w:r>
      <w:r w:rsidRPr="00D71863">
        <w:rPr>
          <w:rStyle w:val="Textoennegrita"/>
        </w:rPr>
        <w:t> </w:t>
      </w:r>
      <w:r w:rsidRPr="00D71863">
        <w:t>se encuentra</w:t>
      </w:r>
      <w:r w:rsidRPr="00D71863">
        <w:rPr>
          <w:rStyle w:val="Textoennegrita"/>
        </w:rPr>
        <w:t> </w:t>
      </w:r>
      <w:r w:rsidRPr="00D71863">
        <w:rPr>
          <w:rStyle w:val="Textoennegrita"/>
          <w:b w:val="0"/>
        </w:rPr>
        <w:t>en mínimos históricos</w:t>
      </w:r>
      <w:r w:rsidRPr="00D71863">
        <w:t>. Además, el Estado ha logrado en los últimos años </w:t>
      </w:r>
      <w:r w:rsidRPr="00D71863">
        <w:rPr>
          <w:rStyle w:val="Textoennegrita"/>
          <w:b w:val="0"/>
        </w:rPr>
        <w:t>cerrar sus cuentas con superávit</w:t>
      </w:r>
      <w:r w:rsidRPr="00D71863">
        <w:t> y está reduciendo su deuda. “El público al completo adivina rápidamente que se trata de Alemania”, asegura Fratzscher cuando revela esta anécdota en su último libro, </w:t>
      </w:r>
      <w:r w:rsidRPr="00836A57">
        <w:rPr>
          <w:i/>
        </w:rPr>
        <w:t>“</w:t>
      </w:r>
      <w:r w:rsidRPr="00836A57">
        <w:rPr>
          <w:rStyle w:val="nfasis"/>
          <w:i w:val="0"/>
        </w:rPr>
        <w:t>La ilusión alemana”</w:t>
      </w:r>
      <w:r w:rsidRPr="00836A57">
        <w:rPr>
          <w:i/>
        </w:rPr>
        <w:t>.</w:t>
      </w:r>
    </w:p>
    <w:p w:rsidR="005C0018" w:rsidRPr="00D71863" w:rsidRDefault="005C0018" w:rsidP="005C0018">
      <w:pPr>
        <w:pStyle w:val="NormalWeb"/>
        <w:shd w:val="clear" w:color="auto" w:fill="FFFFFF"/>
        <w:spacing w:before="0" w:beforeAutospacing="0" w:after="360" w:afterAutospacing="0"/>
        <w:jc w:val="both"/>
      </w:pPr>
      <w:r w:rsidRPr="00D71863">
        <w:t>La economía del segundo país, sin embargo, podría calificarse de quebrada, continúa este economista que trabajó para el Banco Central Europeo (BCE) y el Banco Mundial. La misteriosa nación ha crecido desde 2000 por debajo de la media de la eurozona y los sueldos de sus trabajadores se han incrementado aún menos. </w:t>
      </w:r>
      <w:r w:rsidRPr="00D71863">
        <w:rPr>
          <w:rStyle w:val="Textoennegrita"/>
          <w:b w:val="0"/>
        </w:rPr>
        <w:t>La productividad apenas ha aumentado</w:t>
      </w:r>
      <w:r w:rsidRPr="00D71863">
        <w:t> en los últimos lustros, principalmente por la sequía inversora. Además, </w:t>
      </w:r>
      <w:hyperlink r:id="rId29" w:tgtFrame="_self" w:history="1">
        <w:r w:rsidRPr="00D71863">
          <w:rPr>
            <w:rStyle w:val="Hipervnculo"/>
            <w:bCs/>
            <w:color w:val="auto"/>
            <w:u w:val="none"/>
          </w:rPr>
          <w:t>la desigualdad se ha disparado</w:t>
        </w:r>
      </w:hyperlink>
      <w:r w:rsidRPr="00D71863">
        <w:rPr>
          <w:rStyle w:val="Textoennegrita"/>
        </w:rPr>
        <w:t> </w:t>
      </w:r>
      <w:r w:rsidRPr="00D71863">
        <w:t>hasta superar los</w:t>
      </w:r>
      <w:r w:rsidRPr="00D71863">
        <w:rPr>
          <w:rStyle w:val="Textoennegrita"/>
        </w:rPr>
        <w:t> </w:t>
      </w:r>
      <w:r w:rsidRPr="00D71863">
        <w:rPr>
          <w:rStyle w:val="Textoennegrita"/>
          <w:b w:val="0"/>
        </w:rPr>
        <w:t>niveles de hace 20 años</w:t>
      </w:r>
      <w:r w:rsidRPr="00D71863">
        <w:t>, situándose entre las mayores del continente.</w:t>
      </w:r>
    </w:p>
    <w:p w:rsidR="005C0018" w:rsidRPr="00D71863" w:rsidRDefault="005C0018" w:rsidP="005C0018">
      <w:pPr>
        <w:shd w:val="clear" w:color="auto" w:fill="FFFFFF"/>
        <w:spacing w:line="240" w:lineRule="auto"/>
        <w:jc w:val="both"/>
        <w:rPr>
          <w:rFonts w:ascii="Times New Roman" w:hAnsi="Times New Roman" w:cs="Times New Roman"/>
          <w:sz w:val="24"/>
          <w:szCs w:val="24"/>
        </w:rPr>
      </w:pPr>
      <w:r w:rsidRPr="00D71863">
        <w:rPr>
          <w:rFonts w:ascii="Times New Roman" w:hAnsi="Times New Roman" w:cs="Times New Roman"/>
          <w:sz w:val="24"/>
          <w:szCs w:val="24"/>
        </w:rPr>
        <w:t>“¿Qué país será?”, dice Fratzscher prosiguiendo con su relato. “La mayoría del público está seguro: tiene que ser </w:t>
      </w:r>
      <w:hyperlink r:id="rId30" w:tgtFrame="_self" w:history="1">
        <w:r w:rsidRPr="00D71863">
          <w:rPr>
            <w:rStyle w:val="Hipervnculo"/>
            <w:rFonts w:ascii="Times New Roman" w:hAnsi="Times New Roman" w:cs="Times New Roman"/>
            <w:bCs/>
            <w:color w:val="auto"/>
            <w:sz w:val="24"/>
            <w:szCs w:val="24"/>
            <w:u w:val="none"/>
          </w:rPr>
          <w:t>uno de los países en crisis</w:t>
        </w:r>
      </w:hyperlink>
      <w:r w:rsidRPr="00D71863">
        <w:rPr>
          <w:rFonts w:ascii="Times New Roman" w:hAnsi="Times New Roman" w:cs="Times New Roman"/>
          <w:sz w:val="24"/>
          <w:szCs w:val="24"/>
        </w:rPr>
        <w:t>”, prosigue el economista, utilizando el término alemán “Krisenländer” con el que medios y políticos señalan a </w:t>
      </w:r>
      <w:hyperlink r:id="rId31" w:tgtFrame="_self" w:history="1">
        <w:r w:rsidRPr="00D71863">
          <w:rPr>
            <w:rStyle w:val="Hipervnculo"/>
            <w:rFonts w:ascii="Times New Roman" w:hAnsi="Times New Roman" w:cs="Times New Roman"/>
            <w:bCs/>
            <w:color w:val="auto"/>
            <w:sz w:val="24"/>
            <w:szCs w:val="24"/>
            <w:u w:val="none"/>
          </w:rPr>
          <w:t>Grecia</w:t>
        </w:r>
      </w:hyperlink>
      <w:r w:rsidRPr="00D71863">
        <w:rPr>
          <w:rFonts w:ascii="Times New Roman" w:hAnsi="Times New Roman" w:cs="Times New Roman"/>
          <w:sz w:val="24"/>
          <w:szCs w:val="24"/>
        </w:rPr>
        <w:t>, </w:t>
      </w:r>
      <w:hyperlink r:id="rId32" w:tgtFrame="_self" w:history="1">
        <w:r w:rsidRPr="00D71863">
          <w:rPr>
            <w:rStyle w:val="Hipervnculo"/>
            <w:rFonts w:ascii="Times New Roman" w:hAnsi="Times New Roman" w:cs="Times New Roman"/>
            <w:bCs/>
            <w:color w:val="auto"/>
            <w:sz w:val="24"/>
            <w:szCs w:val="24"/>
            <w:u w:val="none"/>
          </w:rPr>
          <w:t>Portugal</w:t>
        </w:r>
      </w:hyperlink>
      <w:r w:rsidRPr="00D71863">
        <w:rPr>
          <w:rFonts w:ascii="Times New Roman" w:hAnsi="Times New Roman" w:cs="Times New Roman"/>
          <w:sz w:val="24"/>
          <w:szCs w:val="24"/>
        </w:rPr>
        <w:t>, España e Irlanda... y, últimamente, también a Italia y </w:t>
      </w:r>
      <w:hyperlink r:id="rId33" w:tgtFrame="_self" w:history="1">
        <w:r w:rsidRPr="00D71863">
          <w:rPr>
            <w:rStyle w:val="Hipervnculo"/>
            <w:rFonts w:ascii="Times New Roman" w:hAnsi="Times New Roman" w:cs="Times New Roman"/>
            <w:bCs/>
            <w:color w:val="auto"/>
            <w:sz w:val="24"/>
            <w:szCs w:val="24"/>
            <w:u w:val="none"/>
          </w:rPr>
          <w:t>Francia</w:t>
        </w:r>
      </w:hyperlink>
      <w:r w:rsidRPr="00D71863">
        <w:rPr>
          <w:rFonts w:ascii="Times New Roman" w:hAnsi="Times New Roman" w:cs="Times New Roman"/>
          <w:sz w:val="24"/>
          <w:szCs w:val="24"/>
        </w:rPr>
        <w:t>. “</w:t>
      </w:r>
      <w:r w:rsidRPr="00D71863">
        <w:rPr>
          <w:rStyle w:val="Textoennegrita"/>
          <w:rFonts w:ascii="Times New Roman" w:hAnsi="Times New Roman" w:cs="Times New Roman"/>
          <w:b w:val="0"/>
          <w:sz w:val="24"/>
          <w:szCs w:val="24"/>
        </w:rPr>
        <w:t>Cuando les digo que ese país es Alemania veo sorpresa</w:t>
      </w:r>
      <w:r w:rsidRPr="00D71863">
        <w:rPr>
          <w:rFonts w:ascii="Times New Roman" w:hAnsi="Times New Roman" w:cs="Times New Roman"/>
          <w:sz w:val="24"/>
          <w:szCs w:val="24"/>
        </w:rPr>
        <w:t>, incredulidad y duda en sus car</w:t>
      </w:r>
      <w:r w:rsidR="00D71863">
        <w:rPr>
          <w:rFonts w:ascii="Times New Roman" w:hAnsi="Times New Roman" w:cs="Times New Roman"/>
          <w:sz w:val="24"/>
          <w:szCs w:val="24"/>
        </w:rPr>
        <w:t>as. ¿Alemania, cómo es posible?”</w:t>
      </w:r>
      <w:r w:rsidRPr="00D71863">
        <w:rPr>
          <w:rFonts w:ascii="Times New Roman" w:hAnsi="Times New Roman" w:cs="Times New Roman"/>
          <w:sz w:val="24"/>
          <w:szCs w:val="24"/>
        </w:rPr>
        <w:t>.</w:t>
      </w:r>
    </w:p>
    <w:p w:rsidR="005C0018" w:rsidRPr="00D71863" w:rsidRDefault="005C0018" w:rsidP="005C0018">
      <w:pPr>
        <w:pStyle w:val="NormalWeb"/>
        <w:shd w:val="clear" w:color="auto" w:fill="FFFFFF"/>
        <w:spacing w:before="0" w:beforeAutospacing="0" w:after="360" w:afterAutospacing="0"/>
        <w:jc w:val="both"/>
      </w:pPr>
      <w:r w:rsidRPr="00D71863">
        <w:rPr>
          <w:rStyle w:val="Textoennegrita"/>
        </w:rPr>
        <w:t>La dualidad económica</w:t>
      </w:r>
    </w:p>
    <w:p w:rsidR="005C0018" w:rsidRPr="00D71863" w:rsidRDefault="005C0018" w:rsidP="005C0018">
      <w:pPr>
        <w:pStyle w:val="NormalWeb"/>
        <w:shd w:val="clear" w:color="auto" w:fill="FFFFFF"/>
        <w:spacing w:before="0" w:beforeAutospacing="0" w:after="360" w:afterAutospacing="0"/>
        <w:jc w:val="both"/>
      </w:pPr>
      <w:r w:rsidRPr="00D71863">
        <w:t>El escepticismo ante esta dualidad no es exclusivo de los alemanes que acuden a las charlas de Fratzscher. </w:t>
      </w:r>
      <w:r w:rsidRPr="00D71863">
        <w:rPr>
          <w:rStyle w:val="Textoennegrita"/>
          <w:b w:val="0"/>
        </w:rPr>
        <w:t>El poderío económico y sin matices de Alemania</w:t>
      </w:r>
      <w:r w:rsidRPr="00D71863">
        <w:t> se ha vendido como rosquillas en todo el continente, un terreno abonado para las medias verdades macroeconómicas a raíz de la irrupción de la crisis y del </w:t>
      </w:r>
      <w:hyperlink r:id="rId34" w:tgtFrame="_self" w:history="1">
        <w:r w:rsidRPr="00D71863">
          <w:rPr>
            <w:rStyle w:val="Hipervnculo"/>
            <w:bCs/>
            <w:color w:val="auto"/>
            <w:u w:val="none"/>
          </w:rPr>
          <w:t>surgimiento de la canciller Angela Merkel como líder única e incontestada</w:t>
        </w:r>
      </w:hyperlink>
      <w:r w:rsidRPr="00D71863">
        <w:t>. Sus mantras de que la mayor economía del bloque era “la locomotora de crecimiento” y “el ancla de la estabilidad” han contribuido a </w:t>
      </w:r>
      <w:r w:rsidRPr="00D71863">
        <w:rPr>
          <w:rStyle w:val="Textoennegrita"/>
          <w:b w:val="0"/>
        </w:rPr>
        <w:t>tapar una verdad económica mucho más compleja</w:t>
      </w:r>
      <w:r w:rsidRPr="00D71863">
        <w:t> donde, en la estadística, no es todo oro. </w:t>
      </w:r>
    </w:p>
    <w:p w:rsidR="005C0018" w:rsidRPr="00D71863" w:rsidRDefault="005C0018" w:rsidP="005C0018">
      <w:pPr>
        <w:pStyle w:val="NormalWeb"/>
        <w:shd w:val="clear" w:color="auto" w:fill="FFFFFF"/>
        <w:spacing w:before="0" w:beforeAutospacing="0" w:after="360" w:afterAutospacing="0"/>
        <w:jc w:val="both"/>
      </w:pPr>
      <w:r w:rsidRPr="00D71863">
        <w:t>De hecho, muchas de las fortalezas de la economía alemana esconden en sí mismas peligrosas debilidades. Una especie de Yin-yang económico. El “milagro” operado en los últimos años en el mercado laboral, por ejemplo, </w:t>
      </w:r>
      <w:r w:rsidRPr="00D71863">
        <w:rPr>
          <w:rStyle w:val="Textoennegrita"/>
          <w:b w:val="0"/>
        </w:rPr>
        <w:t>oculta el despegue de los llamados “minijobs”</w:t>
      </w:r>
      <w:r w:rsidRPr="00D71863">
        <w:t>, trabajos de hasta 40 horas mensuales y por un sueldo máximo de 450 euros por los que las empresas no deben pagar cotizaciones y que </w:t>
      </w:r>
      <w:r w:rsidRPr="00D71863">
        <w:rPr>
          <w:rStyle w:val="Textoennegrita"/>
          <w:b w:val="0"/>
        </w:rPr>
        <w:t>encadenan a quien los tienen a una precariedad</w:t>
      </w:r>
      <w:r w:rsidRPr="00D71863">
        <w:t> de la que pocos escapan en la práctica (además de a una pensión a todas luces insuficiente). El éxito exportador alemán, por su parte, enmascara la </w:t>
      </w:r>
      <w:r w:rsidRPr="00D71863">
        <w:rPr>
          <w:rStyle w:val="Textoennegrita"/>
          <w:b w:val="0"/>
        </w:rPr>
        <w:t>anemia del consumo interno</w:t>
      </w:r>
      <w:r w:rsidRPr="00D71863">
        <w:t>, retraído por la prolongada atonía de los salarios; y la creciente brecha entre el sector industrial -competitivo, cualificado, exportador y bien pagado- y el depauperado sector servicios. </w:t>
      </w:r>
    </w:p>
    <w:p w:rsidR="005C0018" w:rsidRDefault="005C0018" w:rsidP="005C0018">
      <w:pPr>
        <w:pStyle w:val="NormalWeb"/>
        <w:shd w:val="clear" w:color="auto" w:fill="FFFFFF"/>
        <w:spacing w:before="0" w:beforeAutospacing="0" w:after="360" w:afterAutospacing="0"/>
        <w:jc w:val="both"/>
      </w:pPr>
      <w:r w:rsidRPr="008717BD">
        <w:t>Por su parte, </w:t>
      </w:r>
      <w:r w:rsidRPr="003D3AA4">
        <w:rPr>
          <w:rStyle w:val="Textoennegrita"/>
          <w:b w:val="0"/>
        </w:rPr>
        <w:t>el “cero negro”</w:t>
      </w:r>
      <w:r w:rsidRPr="008717BD">
        <w:t> que esgrime orgulloso el ministro de Finanzas, Wolfgang Schäuble, el superávit por la mínima en las cuentas del Estado -el primer “déficit cero” en el presupuesto federal llegará previsiblemente el año que viene-, esconde a la vez algo. </w:t>
      </w:r>
      <w:r w:rsidRPr="003D3AA4">
        <w:rPr>
          <w:rStyle w:val="Textoennegrita"/>
          <w:b w:val="0"/>
        </w:rPr>
        <w:t>La faltade inversiones públicas</w:t>
      </w:r>
      <w:r w:rsidRPr="008717BD">
        <w:t>. Algo que a juicio de muchos economistas, incluidos los de la OCDE, está presionando a la baja el potencial de crecimiento de Alemania a largo plazo.</w:t>
      </w:r>
    </w:p>
    <w:p w:rsidR="00937E77" w:rsidRPr="008717BD" w:rsidRDefault="00937E77" w:rsidP="005C0018">
      <w:pPr>
        <w:pStyle w:val="NormalWeb"/>
        <w:shd w:val="clear" w:color="auto" w:fill="FFFFFF"/>
        <w:spacing w:before="0" w:beforeAutospacing="0" w:after="360" w:afterAutospacing="0"/>
        <w:jc w:val="both"/>
      </w:pPr>
    </w:p>
    <w:p w:rsidR="005C0018" w:rsidRPr="008717BD" w:rsidRDefault="005C0018" w:rsidP="005C0018">
      <w:pPr>
        <w:pStyle w:val="NormalWeb"/>
        <w:shd w:val="clear" w:color="auto" w:fill="FFFFFF"/>
        <w:spacing w:before="0" w:beforeAutospacing="0" w:after="360" w:afterAutospacing="0"/>
        <w:jc w:val="both"/>
      </w:pPr>
      <w:r w:rsidRPr="008717BD">
        <w:rPr>
          <w:rStyle w:val="Textoennegrita"/>
        </w:rPr>
        <w:lastRenderedPageBreak/>
        <w:t>Agenda 2010: cuando Alemania era “el enfermo de Europa”</w:t>
      </w:r>
    </w:p>
    <w:p w:rsidR="005C0018" w:rsidRPr="008717BD" w:rsidRDefault="005C0018" w:rsidP="005C0018">
      <w:pPr>
        <w:pStyle w:val="NormalWeb"/>
        <w:shd w:val="clear" w:color="auto" w:fill="FFFFFF"/>
        <w:spacing w:before="0" w:beforeAutospacing="0" w:after="360" w:afterAutospacing="0"/>
        <w:jc w:val="both"/>
      </w:pPr>
      <w:r w:rsidRPr="008717BD">
        <w:t>Muchos de estos elementos, tanto su parte positiva como sus negativos efectos colaterales tienen su origen en la denominada Agenda 2010, un </w:t>
      </w:r>
      <w:r w:rsidRPr="003D3AA4">
        <w:rPr>
          <w:rStyle w:val="Textoennegrita"/>
          <w:b w:val="0"/>
        </w:rPr>
        <w:t>batería de reformas estructurales y recortes en las prestaciones sociales</w:t>
      </w:r>
      <w:r w:rsidRPr="008717BD">
        <w:t> que implementó a partir de 2004 el anterior canciller, el socialdemócrata Gerhard Schröder, cuando el semanario británico </w:t>
      </w:r>
      <w:r w:rsidR="003053F8">
        <w:t>“</w:t>
      </w:r>
      <w:r w:rsidRPr="003053F8">
        <w:rPr>
          <w:rStyle w:val="nfasis"/>
          <w:i w:val="0"/>
        </w:rPr>
        <w:t>The Economist”</w:t>
      </w:r>
      <w:r w:rsidRPr="008717BD">
        <w:t> acusaba a Alemania de ser “el hombre enfermo de Europa”. Sí, cuando </w:t>
      </w:r>
      <w:r w:rsidRPr="00351732">
        <w:rPr>
          <w:rStyle w:val="Textoennegrita"/>
          <w:b w:val="0"/>
        </w:rPr>
        <w:t>Berlín decidió saltarse los límites de déficit</w:t>
      </w:r>
      <w:r w:rsidRPr="008717BD">
        <w:t> público fijados en el Tratado de </w:t>
      </w:r>
      <w:r w:rsidRPr="003D3AA4">
        <w:rPr>
          <w:rStyle w:val="Textoennegrita"/>
          <w:b w:val="0"/>
        </w:rPr>
        <w:t>Maastricht</w:t>
      </w:r>
      <w:r w:rsidRPr="008717BD">
        <w:t>. Otros tiempos. </w:t>
      </w:r>
    </w:p>
    <w:p w:rsidR="005C0018" w:rsidRPr="008717BD" w:rsidRDefault="005C0018" w:rsidP="005C0018">
      <w:pPr>
        <w:pStyle w:val="NormalWeb"/>
        <w:shd w:val="clear" w:color="auto" w:fill="FFFFFF"/>
        <w:spacing w:before="0" w:beforeAutospacing="0" w:after="360" w:afterAutospacing="0"/>
        <w:jc w:val="both"/>
      </w:pPr>
      <w:r w:rsidRPr="008717BD">
        <w:t>Entonces una coalición de socialdemócratas y verdes impulsó un paquete legislativo hasta entonces impensable en Alemania. </w:t>
      </w:r>
      <w:r w:rsidRPr="003D3AA4">
        <w:rPr>
          <w:rStyle w:val="Textoennegrita"/>
          <w:b w:val="0"/>
        </w:rPr>
        <w:t>Recortaron las prestaciones por desempleo</w:t>
      </w:r>
      <w:r w:rsidRPr="008717BD">
        <w:t> y la cobertura de la seguridad social. </w:t>
      </w:r>
      <w:r w:rsidRPr="003D3AA4">
        <w:rPr>
          <w:rStyle w:val="Textoennegrita"/>
          <w:b w:val="0"/>
        </w:rPr>
        <w:t>Bajaron las pensiones</w:t>
      </w:r>
      <w:r w:rsidRPr="008717BD">
        <w:t> y modificaron a la baja su cálculo. Redujeron también los impuestos para las empresas. Fraguaron el </w:t>
      </w:r>
      <w:r w:rsidRPr="003053F8">
        <w:rPr>
          <w:i/>
        </w:rPr>
        <w:t>“</w:t>
      </w:r>
      <w:r w:rsidRPr="003053F8">
        <w:rPr>
          <w:rStyle w:val="nfasis"/>
          <w:i w:val="0"/>
        </w:rPr>
        <w:t>boom”</w:t>
      </w:r>
      <w:r w:rsidRPr="008717BD">
        <w:t> </w:t>
      </w:r>
      <w:r>
        <w:t>de la subcontratación y de los “mini-jobs”</w:t>
      </w:r>
      <w:r w:rsidRPr="008717BD">
        <w:t>, flexibilizaron las condiciones de apertura de los negocios y liberalizaron sectores en línea con las directrices de Bruselas.</w:t>
      </w:r>
    </w:p>
    <w:p w:rsidR="005C0018" w:rsidRPr="00D71863" w:rsidRDefault="005C0018" w:rsidP="005C0018">
      <w:pPr>
        <w:shd w:val="clear" w:color="auto" w:fill="FFFFFF"/>
        <w:spacing w:line="240" w:lineRule="auto"/>
        <w:jc w:val="both"/>
        <w:rPr>
          <w:rFonts w:ascii="Times New Roman" w:hAnsi="Times New Roman" w:cs="Times New Roman"/>
          <w:sz w:val="24"/>
          <w:szCs w:val="24"/>
        </w:rPr>
      </w:pPr>
      <w:r w:rsidRPr="00D71863">
        <w:rPr>
          <w:rFonts w:ascii="Times New Roman" w:hAnsi="Times New Roman" w:cs="Times New Roman"/>
          <w:sz w:val="24"/>
          <w:szCs w:val="24"/>
        </w:rPr>
        <w:t>Las opiniones sobre sus resultados varían ostensiblemente, dependiendo del punto de vista ideológico del que se observen. Incluso dentro del Partido Socialdemócrata (SPD) su mera mención aún genera tensiones. Pero todos están de acuerdo en algo: fue </w:t>
      </w:r>
      <w:r w:rsidRPr="00D71863">
        <w:rPr>
          <w:rStyle w:val="Textoennegrita"/>
          <w:rFonts w:ascii="Times New Roman" w:hAnsi="Times New Roman" w:cs="Times New Roman"/>
          <w:b w:val="0"/>
          <w:sz w:val="24"/>
          <w:szCs w:val="24"/>
        </w:rPr>
        <w:t>un hito en la historia económica y social de Alemania</w:t>
      </w:r>
      <w:r w:rsidRPr="00D71863">
        <w:rPr>
          <w:rFonts w:ascii="Times New Roman" w:hAnsi="Times New Roman" w:cs="Times New Roman"/>
          <w:sz w:val="24"/>
          <w:szCs w:val="24"/>
        </w:rPr>
        <w:t>, un cambio radical en la mayor economía europea, hasta entonces conocida por la generosidad de su Estado del bienestar.</w:t>
      </w:r>
    </w:p>
    <w:p w:rsidR="005C0018" w:rsidRPr="008717BD" w:rsidRDefault="005C0018" w:rsidP="005C0018">
      <w:pPr>
        <w:pStyle w:val="NormalWeb"/>
        <w:shd w:val="clear" w:color="auto" w:fill="FFFFFF"/>
        <w:spacing w:before="0" w:beforeAutospacing="0" w:after="360" w:afterAutospacing="0"/>
        <w:jc w:val="both"/>
      </w:pPr>
      <w:r w:rsidRPr="008717BD">
        <w:t>Para rematar la transformación económica alemana, en 2009 el primer gobierno encabezado por Merkel -una “gran coalición” de conservadores y socialdemócratas como la actual- aprobó, junto con el paquete coyuntural para estimular la economía tras el colapso de Lehman Brothers, una reforma constitucional que incluyó en la Ley Fundamental </w:t>
      </w:r>
      <w:r w:rsidRPr="003D3AA4">
        <w:rPr>
          <w:rStyle w:val="Textoennegrita"/>
          <w:b w:val="0"/>
        </w:rPr>
        <w:t>el denominado “freno de la deuda”</w:t>
      </w:r>
      <w:r w:rsidRPr="008717BD">
        <w:t>. Éste obliga al gobierno federal a no incurrir en déficit superiores al 0,35% del PIB a partir de 2016, tras un período de progresiva adaptación.</w:t>
      </w:r>
    </w:p>
    <w:p w:rsidR="005C0018" w:rsidRPr="003D3AA4" w:rsidRDefault="005C0018" w:rsidP="005C0018">
      <w:pPr>
        <w:pStyle w:val="NormalWeb"/>
        <w:shd w:val="clear" w:color="auto" w:fill="FFFFFF"/>
        <w:spacing w:before="0" w:beforeAutospacing="0" w:after="360" w:afterAutospacing="0"/>
        <w:jc w:val="both"/>
        <w:rPr>
          <w:b/>
        </w:rPr>
      </w:pPr>
      <w:r w:rsidRPr="008717BD">
        <w:t>Una década después de la puesta en marcha de la Agenda 2010 y un lustro luego de la aprobación del “freno de la deuda” las consecuencias son evidentes:</w:t>
      </w:r>
      <w:r w:rsidRPr="008717BD">
        <w:rPr>
          <w:rStyle w:val="Textoennegrita"/>
        </w:rPr>
        <w:t> </w:t>
      </w:r>
      <w:r w:rsidRPr="003D3AA4">
        <w:rPr>
          <w:rStyle w:val="Textoennegrita"/>
          <w:b w:val="0"/>
        </w:rPr>
        <w:t>Alemania es una economía dual</w:t>
      </w:r>
      <w:r w:rsidRPr="003D3AA4">
        <w:rPr>
          <w:b/>
        </w:rPr>
        <w:t>.</w:t>
      </w:r>
    </w:p>
    <w:p w:rsidR="005C0018" w:rsidRPr="008717BD" w:rsidRDefault="005C0018" w:rsidP="005C0018">
      <w:pPr>
        <w:pStyle w:val="NormalWeb"/>
        <w:shd w:val="clear" w:color="auto" w:fill="FFFFFF"/>
        <w:spacing w:before="0" w:beforeAutospacing="0" w:after="360" w:afterAutospacing="0"/>
        <w:jc w:val="both"/>
      </w:pPr>
      <w:r w:rsidRPr="008717BD">
        <w:t>La tasa de </w:t>
      </w:r>
      <w:r w:rsidRPr="003D3AA4">
        <w:rPr>
          <w:rStyle w:val="Textoennegrita"/>
          <w:b w:val="0"/>
        </w:rPr>
        <w:t>desempleo se encuentra en mínimos históricos</w:t>
      </w:r>
      <w:r w:rsidRPr="008717BD">
        <w:t>, desde febrero por debajo del 7% y mantiene su tendencia a la baja. Los alemanes con trabajo ascienden a casi 42 millones, por encima de la mitad de la población total del país. Pero el empleo precario se ha disparado y las condiciones, en general, han empeorado sensiblemente. Los sueldos, por su parte, están estancados.</w:t>
      </w:r>
    </w:p>
    <w:p w:rsidR="005C0018" w:rsidRPr="008717BD" w:rsidRDefault="005C0018" w:rsidP="005C0018">
      <w:pPr>
        <w:pStyle w:val="NormalWeb"/>
        <w:shd w:val="clear" w:color="auto" w:fill="FFFFFF"/>
        <w:spacing w:before="0" w:beforeAutospacing="0" w:after="360" w:afterAutospacing="0"/>
        <w:jc w:val="both"/>
      </w:pPr>
      <w:r w:rsidRPr="008717BD">
        <w:t>Hasta </w:t>
      </w:r>
      <w:r w:rsidRPr="003D3AA4">
        <w:rPr>
          <w:rStyle w:val="Textoennegrita"/>
          <w:b w:val="0"/>
        </w:rPr>
        <w:t>7,8 millones de ciuda</w:t>
      </w:r>
      <w:r>
        <w:rPr>
          <w:rStyle w:val="Textoennegrita"/>
          <w:b w:val="0"/>
        </w:rPr>
        <w:t>danos trabajaban en régimen de “mini-jobs”</w:t>
      </w:r>
      <w:r w:rsidRPr="003D3AA4">
        <w:rPr>
          <w:rStyle w:val="Textoennegrita"/>
          <w:b w:val="0"/>
        </w:rPr>
        <w:t xml:space="preserve"> en 2013</w:t>
      </w:r>
      <w:r w:rsidRPr="008717BD">
        <w:t>, el último período con datos de la Oficina Federal de Estadística (Destatis). De ellos, más de 855.000 eran jubilados, que complementaban así su pensión. Y, entre estos últimos, 142.000 tenían más de 74 años. Es frecuente ver personas mayores adecentando jardines o reponiendo estanterías de grandes cadenas de droguerías. Además, más de </w:t>
      </w:r>
      <w:r w:rsidRPr="003D3AA4">
        <w:rPr>
          <w:rStyle w:val="Textoennegrita"/>
          <w:b w:val="0"/>
        </w:rPr>
        <w:t>800.000 personas trabajan a través de subcontratas</w:t>
      </w:r>
      <w:r w:rsidRPr="008717BD">
        <w:t>, lo que da lugar a abusos como el que retrató en un reportaje de investigación la televisión pública ARD infiltrándose en la cadena de montaje de Daimler, el fabricante de Mercedes-Benz.</w:t>
      </w:r>
    </w:p>
    <w:p w:rsidR="005C0018" w:rsidRPr="008717BD" w:rsidRDefault="005C0018" w:rsidP="005C0018">
      <w:pPr>
        <w:pStyle w:val="NormalWeb"/>
        <w:shd w:val="clear" w:color="auto" w:fill="FFFFFF"/>
        <w:spacing w:before="0" w:beforeAutospacing="0" w:after="360" w:afterAutospacing="0"/>
        <w:jc w:val="both"/>
      </w:pPr>
      <w:r w:rsidRPr="008717BD">
        <w:lastRenderedPageBreak/>
        <w:t>De los casi tres millones de parados, </w:t>
      </w:r>
      <w:r w:rsidRPr="003D3AA4">
        <w:rPr>
          <w:rStyle w:val="Textoennegrita"/>
          <w:b w:val="0"/>
        </w:rPr>
        <w:t>uno son desempleados de larga duración</w:t>
      </w:r>
      <w:r w:rsidRPr="008717BD">
        <w:t>, según los datos de la Agencia Federal de Empleo (BA). Mientras tanto, </w:t>
      </w:r>
      <w:r w:rsidRPr="003D3AA4">
        <w:rPr>
          <w:rStyle w:val="Textoennegrita"/>
          <w:b w:val="0"/>
        </w:rPr>
        <w:t>más de tres millones</w:t>
      </w:r>
      <w:r w:rsidRPr="008717BD">
        <w:rPr>
          <w:rStyle w:val="Textoennegrita"/>
        </w:rPr>
        <w:t> </w:t>
      </w:r>
      <w:r w:rsidRPr="008717BD">
        <w:t>de alemanes </w:t>
      </w:r>
      <w:r w:rsidRPr="003D3AA4">
        <w:rPr>
          <w:rStyle w:val="Textoennegrita"/>
          <w:b w:val="0"/>
        </w:rPr>
        <w:t>conjugan dos o más empleos simultáneamente</w:t>
      </w:r>
      <w:r w:rsidRPr="008717BD">
        <w:t>, según un estudio del Instituto para el Mercado Laboral y la Investigación del Trabajo (IAB). Además, ahora más del 25% de los alemanes trabaja en fin de semana, cuando en el año 2000 era algo más del 20%, según el Ministerio de Trabajo. El porcentaje de empleados con turno de noche también se ha incrementado de forma similar, hasta superar el 10%. Otro dato más: </w:t>
      </w:r>
      <w:r w:rsidRPr="003D3AA4">
        <w:rPr>
          <w:rStyle w:val="Textoennegrita"/>
          <w:b w:val="0"/>
        </w:rPr>
        <w:t>dos de cada tres asalariados</w:t>
      </w:r>
      <w:r w:rsidRPr="008717BD">
        <w:t> (la mayoría en puestos no cualificados del sector servicios) cobra actualmente menos en términos reales de lo que percibía hace 14 años, según estimaciones del DIW.</w:t>
      </w:r>
    </w:p>
    <w:p w:rsidR="005C0018" w:rsidRPr="008717BD" w:rsidRDefault="005C0018" w:rsidP="005C0018">
      <w:pPr>
        <w:pStyle w:val="NormalWeb"/>
        <w:shd w:val="clear" w:color="auto" w:fill="FFFFFF"/>
        <w:spacing w:before="0" w:beforeAutospacing="0" w:after="360" w:afterAutospacing="0"/>
        <w:jc w:val="both"/>
      </w:pPr>
      <w:r w:rsidRPr="008717BD">
        <w:t>La confluencia de todas estas tendencias ha provocad</w:t>
      </w:r>
      <w:r w:rsidR="00D71863">
        <w:t xml:space="preserve">o, como informaba </w:t>
      </w:r>
      <w:r w:rsidRPr="008717BD">
        <w:t>la televisión pública </w:t>
      </w:r>
      <w:r w:rsidRPr="00836A57">
        <w:rPr>
          <w:rStyle w:val="nfasis"/>
          <w:i w:val="0"/>
        </w:rPr>
        <w:t>ZDF</w:t>
      </w:r>
      <w:r w:rsidRPr="00836A57">
        <w:rPr>
          <w:i/>
        </w:rPr>
        <w:t>,</w:t>
      </w:r>
      <w:r w:rsidRPr="008717BD">
        <w:t xml:space="preserve"> que </w:t>
      </w:r>
      <w:r w:rsidRPr="003D3AA4">
        <w:rPr>
          <w:rStyle w:val="Textoennegrita"/>
          <w:b w:val="0"/>
        </w:rPr>
        <w:t>el número de bajas por agotamiento físico</w:t>
      </w:r>
      <w:r w:rsidRPr="008717BD">
        <w:t> haya pasado de 33,6 millones en 2001 a </w:t>
      </w:r>
      <w:r w:rsidRPr="003D3AA4">
        <w:rPr>
          <w:rStyle w:val="Textoennegrita"/>
          <w:b w:val="0"/>
        </w:rPr>
        <w:t>55,5 millones en 2010</w:t>
      </w:r>
      <w:r w:rsidRPr="008717BD">
        <w:t>, un repunte del 65%.</w:t>
      </w:r>
    </w:p>
    <w:p w:rsidR="005C0018" w:rsidRPr="008717BD" w:rsidRDefault="005C0018" w:rsidP="005C0018">
      <w:pPr>
        <w:pStyle w:val="NormalWeb"/>
        <w:shd w:val="clear" w:color="auto" w:fill="FFFFFF"/>
        <w:spacing w:before="0" w:beforeAutospacing="0" w:after="360" w:afterAutospacing="0"/>
        <w:jc w:val="both"/>
      </w:pPr>
      <w:r w:rsidRPr="008717BD">
        <w:t>Alrededor de 13 millones de alemanes, </w:t>
      </w:r>
      <w:r w:rsidRPr="003D3AA4">
        <w:rPr>
          <w:rStyle w:val="Textoennegrita"/>
          <w:b w:val="0"/>
        </w:rPr>
        <w:t>algo más del 16% de la población, vivía en 2013 en riesgo de caer en la pobreza</w:t>
      </w:r>
      <w:r w:rsidRPr="008717BD">
        <w:t>, según Destatis, que emplea estándares europeos para este cálculo. Las mujeres, los mayores y los niños eran los más afectados. </w:t>
      </w:r>
      <w:r w:rsidRPr="003D3AA4">
        <w:rPr>
          <w:rStyle w:val="Textoennegrita"/>
          <w:b w:val="0"/>
        </w:rPr>
        <w:t>Uno de cada cinco menores estaba en el umbral de la pobreza</w:t>
      </w:r>
      <w:r w:rsidRPr="008717BD">
        <w:t>. Lo llamativo es que esta tasa haya permanecido estable en los últimos cinco años, mientras Alemania disfrutaba de su “milagro” laboral y millones de personas se incorporaban al mercado de trabajo. De hecho, unos tres millones de trabajadores viven en el umbral de la pobreza.</w:t>
      </w:r>
    </w:p>
    <w:p w:rsidR="005C0018" w:rsidRPr="008717BD" w:rsidRDefault="005C0018" w:rsidP="005C0018">
      <w:pPr>
        <w:pStyle w:val="NormalWeb"/>
        <w:shd w:val="clear" w:color="auto" w:fill="FFFFFF"/>
        <w:spacing w:before="0" w:beforeAutospacing="0" w:after="360" w:afterAutospacing="0"/>
        <w:jc w:val="both"/>
      </w:pPr>
      <w:r w:rsidRPr="008717BD">
        <w:t>Junto al “milagro” laboral, otro de los motivos de orgullo de la política económica alemana es su dramática </w:t>
      </w:r>
      <w:r w:rsidRPr="003D3AA4">
        <w:rPr>
          <w:rStyle w:val="Textoennegrita"/>
          <w:b w:val="0"/>
        </w:rPr>
        <w:t>consolidación fiscal</w:t>
      </w:r>
      <w:r w:rsidRPr="008717BD">
        <w:t>. Animada por unas recaudaciones vía cotizaciones en máximos históricos y de unos tipos de interés en mínimos -incluso en valores negativos-, Alemania </w:t>
      </w:r>
      <w:r w:rsidRPr="003D3AA4">
        <w:rPr>
          <w:rStyle w:val="Textoennegrita"/>
          <w:b w:val="0"/>
        </w:rPr>
        <w:t>ha conseguido cuadrar sus cuentas incluso antes de lo que se propuso</w:t>
      </w:r>
      <w:r w:rsidRPr="008717BD">
        <w:t>. Desde 2012 el conjunto del presupuesto estatal (federación, Länder, municipios y caja de la seguridad social) registra superávit. El año que viene lo lograrán los del Gobierno federal, según el borrador ya aprobado. Pero, ¿a costa de qué? </w:t>
      </w:r>
      <w:r w:rsidRPr="003D3AA4">
        <w:rPr>
          <w:rStyle w:val="Textoennegrita"/>
          <w:b w:val="0"/>
        </w:rPr>
        <w:t>La inversión pública se ha derrumbado</w:t>
      </w:r>
      <w:r w:rsidRPr="008717BD">
        <w:t>. Si en los años 90 Alemania invertía el equivalente al 23% del PIB, ahora apenas alcanza el 17%, según cifras oficiales. Y la diferencia es, en cierta medida, consecuencia del ajuste público. Berlín se comprometió recientemente ante la OCDE a tratar de llegar al 20%, la media de este club de países industrializados.</w:t>
      </w:r>
    </w:p>
    <w:p w:rsidR="005C0018" w:rsidRPr="008717BD" w:rsidRDefault="005C0018" w:rsidP="005C0018">
      <w:pPr>
        <w:pStyle w:val="NormalWeb"/>
        <w:shd w:val="clear" w:color="auto" w:fill="FFFFFF"/>
        <w:spacing w:before="0" w:beforeAutospacing="0" w:after="360" w:afterAutospacing="0"/>
        <w:jc w:val="both"/>
      </w:pPr>
      <w:r w:rsidRPr="008717BD">
        <w:rPr>
          <w:rStyle w:val="Textoennegrita"/>
        </w:rPr>
        <w:t>¿El país más desigual de la eurozona?</w:t>
      </w:r>
    </w:p>
    <w:p w:rsidR="005C0018" w:rsidRPr="008717BD" w:rsidRDefault="005C0018" w:rsidP="005C0018">
      <w:pPr>
        <w:pStyle w:val="NormalWeb"/>
        <w:shd w:val="clear" w:color="auto" w:fill="FFFFFF"/>
        <w:spacing w:before="0" w:beforeAutospacing="0" w:after="360" w:afterAutospacing="0"/>
        <w:jc w:val="both"/>
      </w:pPr>
      <w:r w:rsidRPr="00D71863">
        <w:t>Cerrar el grifo público ha generado, a la larga, carencias que ya están saliendo a la luz. Alemania tiene problemas para cumplir, dentro del mandato de la OTAN, sus obligaciones para con los socios bálticos y reconoce dificultades logísticas en misiones internacionales, como el </w:t>
      </w:r>
      <w:hyperlink r:id="rId35" w:tgtFrame="_self" w:history="1">
        <w:r w:rsidRPr="00D71863">
          <w:rPr>
            <w:rStyle w:val="Hipervnculo"/>
            <w:bCs/>
            <w:color w:val="auto"/>
            <w:u w:val="none"/>
          </w:rPr>
          <w:t>traslado de material bélico al Kurdistán iraquí</w:t>
        </w:r>
      </w:hyperlink>
      <w:r w:rsidRPr="00D71863">
        <w:t> o de sanitarios al África Occidental </w:t>
      </w:r>
      <w:hyperlink r:id="rId36" w:tgtFrame="_self" w:history="1">
        <w:r w:rsidRPr="00D71863">
          <w:rPr>
            <w:rStyle w:val="Hipervnculo"/>
            <w:bCs/>
            <w:color w:val="auto"/>
            <w:u w:val="none"/>
          </w:rPr>
          <w:t>castigada por el ébola</w:t>
        </w:r>
      </w:hyperlink>
      <w:r w:rsidRPr="00D71863">
        <w:t>. </w:t>
      </w:r>
      <w:r w:rsidRPr="00D71863">
        <w:rPr>
          <w:rStyle w:val="Textoennegrita"/>
          <w:b w:val="0"/>
        </w:rPr>
        <w:t>Los expertos critican además el estado de infraestructuras de transporte internas</w:t>
      </w:r>
      <w:r w:rsidRPr="00D71863">
        <w:t xml:space="preserve">, claves para el comercio, como carreteras, puertos y trenes. En el último informe de otoño de los principales institutos económicos se abogaba por que Berlín aprovechase su “cómoda situación presupuestaria” para aplicar una mezcla de reducciones </w:t>
      </w:r>
      <w:r w:rsidRPr="008717BD">
        <w:t>fiscales e inversiones públicas. En su presentación, </w:t>
      </w:r>
      <w:r w:rsidRPr="003D3AA4">
        <w:rPr>
          <w:rStyle w:val="Textoennegrita"/>
          <w:b w:val="0"/>
        </w:rPr>
        <w:t>calificaron de ineficaz</w:t>
      </w:r>
      <w:r w:rsidRPr="008717BD">
        <w:t>, en términos económicos, </w:t>
      </w:r>
      <w:r w:rsidRPr="003D3AA4">
        <w:rPr>
          <w:rStyle w:val="Textoennegrita"/>
          <w:b w:val="0"/>
        </w:rPr>
        <w:t>el empeño de Merkel y Schäuble de alcanzar el “déficit cero” cuanto antes</w:t>
      </w:r>
      <w:r w:rsidRPr="008717BD">
        <w:t>. </w:t>
      </w:r>
    </w:p>
    <w:p w:rsidR="005C0018" w:rsidRPr="008717BD" w:rsidRDefault="005C0018" w:rsidP="005C0018">
      <w:pPr>
        <w:pStyle w:val="NormalWeb"/>
        <w:shd w:val="clear" w:color="auto" w:fill="FFFFFF"/>
        <w:spacing w:before="0" w:beforeAutospacing="0" w:after="360" w:afterAutospacing="0"/>
        <w:jc w:val="both"/>
      </w:pPr>
      <w:r w:rsidRPr="008717BD">
        <w:lastRenderedPageBreak/>
        <w:t>Merkel reconoció en un congreso de la patronal que la necesidad de nuevas inversiones en Alemania es “importante”, pero agregó que su Ejecutivo podía hacer poco más de lo que ya había planeado para la legislatura (7.000 millones de euros más que en la anterior) porque era prioritario mantener la estabilidad presupuestaria. A cambio, </w:t>
      </w:r>
      <w:r w:rsidRPr="003D3AA4">
        <w:rPr>
          <w:rStyle w:val="Textoennegrita"/>
          <w:b w:val="0"/>
        </w:rPr>
        <w:t>animó a los empresarios a sacar la billetera</w:t>
      </w:r>
      <w:r w:rsidRPr="008717BD">
        <w:t>. </w:t>
      </w:r>
    </w:p>
    <w:p w:rsidR="005C0018" w:rsidRPr="008717BD" w:rsidRDefault="005C0018" w:rsidP="005C0018">
      <w:pPr>
        <w:pStyle w:val="NormalWeb"/>
        <w:shd w:val="clear" w:color="auto" w:fill="FFFFFF"/>
        <w:spacing w:before="0" w:beforeAutospacing="0" w:after="360" w:afterAutospacing="0"/>
        <w:jc w:val="both"/>
      </w:pPr>
      <w:r w:rsidRPr="008717BD">
        <w:t>Sin embargo, las empresas alemanas han optado en los últimos años por </w:t>
      </w:r>
      <w:r w:rsidRPr="003D3AA4">
        <w:rPr>
          <w:rStyle w:val="Textoennegrita"/>
          <w:b w:val="0"/>
        </w:rPr>
        <w:t>invertir más en el extranjero que en su propio país</w:t>
      </w:r>
      <w:r w:rsidRPr="008717BD">
        <w:t>. Muchas han apostado por expandirse por las economías emergentes de Asia y América Latina, y los principales socios comerciales de Alemania. Y no por falta de dinero. Según la consultora Ernst &amp; Young, </w:t>
      </w:r>
      <w:r w:rsidRPr="003D3AA4">
        <w:rPr>
          <w:rStyle w:val="Textoennegrita"/>
          <w:b w:val="0"/>
        </w:rPr>
        <w:t>los gigantes que conforman el DAX 30</w:t>
      </w:r>
      <w:r w:rsidRPr="008717BD">
        <w:t>, el selectivo de referencia de la bolsa de Frankfurt con nombres como Bayer, Siemens, Allianz, Volkswagen o Deutsche Bank, </w:t>
      </w:r>
      <w:r w:rsidRPr="003D3AA4">
        <w:rPr>
          <w:rStyle w:val="Textoennegrita"/>
          <w:b w:val="0"/>
        </w:rPr>
        <w:t>obtuvieron beneficios récord</w:t>
      </w:r>
      <w:r w:rsidRPr="008717BD">
        <w:t> tanto en 2012 como en 2013. </w:t>
      </w:r>
    </w:p>
    <w:p w:rsidR="005C0018" w:rsidRPr="008717BD" w:rsidRDefault="005C0018" w:rsidP="005C0018">
      <w:pPr>
        <w:pStyle w:val="NormalWeb"/>
        <w:shd w:val="clear" w:color="auto" w:fill="FFFFFF"/>
        <w:spacing w:before="0" w:beforeAutospacing="0" w:after="360" w:afterAutospacing="0"/>
        <w:jc w:val="both"/>
      </w:pPr>
      <w:r w:rsidRPr="008717BD">
        <w:t>Así las cosas, el DIW pub</w:t>
      </w:r>
      <w:r w:rsidR="00D71863">
        <w:t xml:space="preserve">licaba </w:t>
      </w:r>
      <w:r w:rsidRPr="008717BD">
        <w:t>un estudio en el que alertaba de que Alemania se había convertido en </w:t>
      </w:r>
      <w:r w:rsidRPr="003D3AA4">
        <w:rPr>
          <w:rStyle w:val="Textoennegrita"/>
          <w:b w:val="0"/>
        </w:rPr>
        <w:t>el país más desigual de la eurozona</w:t>
      </w:r>
      <w:r w:rsidRPr="008717BD">
        <w:t>. Según sus cálculos, el índice Gini alemán se situaba en 2012 en el 0,78 (siendo el 0 la igualdad absoluta y el 1 la desigualdad máxima entre ciudadanos). El estudio indicaba también que la riqueza neta media de los alemanes era de 83.000 euros -sin cambios en los últimos diez años-, a pesar de que el 28% de las personas no tenía riquezas o incluso acumulaba deudas.</w:t>
      </w:r>
    </w:p>
    <w:p w:rsidR="005C0018" w:rsidRPr="00D71863" w:rsidRDefault="005C0018" w:rsidP="005C0018">
      <w:pPr>
        <w:shd w:val="clear" w:color="auto" w:fill="FFFFFF"/>
        <w:spacing w:line="240" w:lineRule="auto"/>
        <w:jc w:val="both"/>
        <w:rPr>
          <w:rFonts w:ascii="Times New Roman" w:hAnsi="Times New Roman" w:cs="Times New Roman"/>
          <w:sz w:val="24"/>
          <w:szCs w:val="24"/>
        </w:rPr>
      </w:pPr>
      <w:r w:rsidRPr="00D71863">
        <w:rPr>
          <w:rStyle w:val="Textoennegrita"/>
          <w:rFonts w:ascii="Times New Roman" w:hAnsi="Times New Roman" w:cs="Times New Roman"/>
          <w:sz w:val="24"/>
          <w:szCs w:val="24"/>
        </w:rPr>
        <w:t>La frontera que dejó el Muro</w:t>
      </w:r>
    </w:p>
    <w:p w:rsidR="005C0018" w:rsidRPr="008717BD" w:rsidRDefault="005C0018" w:rsidP="005C0018">
      <w:pPr>
        <w:pStyle w:val="NormalWeb"/>
        <w:shd w:val="clear" w:color="auto" w:fill="FFFFFF"/>
        <w:spacing w:before="0" w:beforeAutospacing="0" w:after="360" w:afterAutospacing="0"/>
        <w:jc w:val="both"/>
      </w:pPr>
      <w:r w:rsidRPr="008717BD">
        <w:t>Esta nueva división económica de Alemania no entiende de antiguas fronteras pero, 25 años después de la caída del Muro de Berlín, las sigue con cierta fidelidad. A día de hoy, dos de cada tres berlineses percibe diferencias entre el este y el oeste, según un estudio de la Fundación Hertie. Los territorios pertenecientes a la extinta República Democrática Alemana (RDA) son en general </w:t>
      </w:r>
      <w:r w:rsidRPr="003D3AA4">
        <w:rPr>
          <w:rStyle w:val="Textoennegrita"/>
          <w:b w:val="0"/>
        </w:rPr>
        <w:t>más pobres que los otros</w:t>
      </w:r>
      <w:r w:rsidRPr="008717BD">
        <w:rPr>
          <w:rStyle w:val="Textoennegrita"/>
        </w:rPr>
        <w:t> </w:t>
      </w:r>
      <w:r w:rsidRPr="00836A57">
        <w:rPr>
          <w:rStyle w:val="Textoennegrita"/>
          <w:b w:val="0"/>
          <w:i/>
        </w:rPr>
        <w:t>“</w:t>
      </w:r>
      <w:r w:rsidRPr="00836A57">
        <w:rPr>
          <w:rStyle w:val="nfasis"/>
          <w:bCs/>
          <w:i w:val="0"/>
        </w:rPr>
        <w:t>Länder”</w:t>
      </w:r>
      <w:r w:rsidRPr="00836A57">
        <w:rPr>
          <w:rStyle w:val="Textoennegrita"/>
          <w:i/>
        </w:rPr>
        <w:t>,</w:t>
      </w:r>
      <w:r w:rsidRPr="003D3AA4">
        <w:rPr>
          <w:rStyle w:val="Textoennegrita"/>
          <w:b w:val="0"/>
        </w:rPr>
        <w:t>menos productivos</w:t>
      </w:r>
      <w:r w:rsidRPr="008717BD">
        <w:t>, y tienen una mayor proporción de personas mayores y desempleadas.</w:t>
      </w:r>
    </w:p>
    <w:p w:rsidR="005C0018" w:rsidRPr="008717BD" w:rsidRDefault="005C0018" w:rsidP="005C0018">
      <w:pPr>
        <w:pStyle w:val="NormalWeb"/>
        <w:shd w:val="clear" w:color="auto" w:fill="FFFFFF"/>
        <w:spacing w:before="0" w:beforeAutospacing="0" w:after="360" w:afterAutospacing="0"/>
        <w:jc w:val="both"/>
      </w:pPr>
      <w:r w:rsidRPr="008717BD">
        <w:t>El último informe anual del Gobierno sobre la unidad alemana, presentado en octubre, recoge las “numerosas mejoras” acometidas en el este del país en dos décadas y media, pero reconoce que </w:t>
      </w:r>
      <w:r w:rsidRPr="003D3AA4">
        <w:rPr>
          <w:rStyle w:val="Textoennegrita"/>
          <w:b w:val="0"/>
        </w:rPr>
        <w:t>el elevado paro en los “nuevos” estados federados</w:t>
      </w:r>
      <w:r w:rsidRPr="003D3AA4">
        <w:rPr>
          <w:b/>
        </w:rPr>
        <w:t xml:space="preserve">, </w:t>
      </w:r>
      <w:r w:rsidRPr="003D3AA4">
        <w:t>los territorios orientales,</w:t>
      </w:r>
      <w:r w:rsidRPr="003D3AA4">
        <w:rPr>
          <w:b/>
        </w:rPr>
        <w:t> </w:t>
      </w:r>
      <w:r w:rsidRPr="003D3AA4">
        <w:rPr>
          <w:rStyle w:val="Textoennegrita"/>
          <w:b w:val="0"/>
        </w:rPr>
        <w:t>es un “problema acuciante”</w:t>
      </w:r>
      <w:r w:rsidRPr="008717BD">
        <w:t>. Asimismo, las estructuras económicas en ambas zonas son aún “notablemente distintas”. </w:t>
      </w:r>
    </w:p>
    <w:p w:rsidR="005C0018" w:rsidRPr="008717BD" w:rsidRDefault="005C0018" w:rsidP="005C0018">
      <w:pPr>
        <w:pStyle w:val="NormalWeb"/>
        <w:shd w:val="clear" w:color="auto" w:fill="FFFFFF"/>
        <w:spacing w:before="0" w:beforeAutospacing="0" w:after="360" w:afterAutospacing="0"/>
        <w:jc w:val="both"/>
      </w:pPr>
      <w:r w:rsidRPr="008717BD">
        <w:t>La tasa de desempleo en el este superaba al cierre de 2013 el 10%, según la BA, mientras que en el oeste se sitúa en el 6%. La producción industrial de los nuevos estados federados apenas alcanzó ese año los 195.300 millones, cuando en el oeste supuso 1,5 billones. El salario bruto medio en el oeste el año pasado fue de 47.410 euros, mientras el del este quedó en los 34.344 euros, según Destatis. Por último, la renta per cápita en los nuevos estados federados tocaba a principios de 2014 los 23.858 euros, mientras que en los antiguos ascendía hasta los 35.391. Casi un tercio menos, un cuarto de siglo después.</w:t>
      </w:r>
    </w:p>
    <w:p w:rsidR="005C0018" w:rsidRPr="008717BD" w:rsidRDefault="005C0018" w:rsidP="005C0018">
      <w:pPr>
        <w:pStyle w:val="NormalWeb"/>
        <w:shd w:val="clear" w:color="auto" w:fill="FFFFFF"/>
        <w:spacing w:before="0" w:beforeAutospacing="0" w:after="360" w:afterAutospacing="0"/>
        <w:jc w:val="both"/>
      </w:pPr>
      <w:r w:rsidRPr="008717BD">
        <w:t>Estas grandes </w:t>
      </w:r>
      <w:r w:rsidRPr="003D3AA4">
        <w:rPr>
          <w:rStyle w:val="Textoennegrita"/>
          <w:b w:val="0"/>
        </w:rPr>
        <w:t>diferencias económicas entre el este y el oeste se hacen visibles en casi todos los ámbitos de la vida</w:t>
      </w:r>
      <w:r w:rsidRPr="008717BD">
        <w:t>. Hasta en el fútbol. Si con la reunificación del país llegó una fusión entre iguales de las dos primeras ligas, en la actualidad sólo tres de los 36 equipos que componen la primera y segunda Bundesliga provienen de ciudades de la antigua RDA.</w:t>
      </w:r>
    </w:p>
    <w:p w:rsidR="005C0018" w:rsidRPr="00D71863" w:rsidRDefault="005C0018" w:rsidP="005C0018">
      <w:pPr>
        <w:pStyle w:val="NormalWeb"/>
        <w:shd w:val="clear" w:color="auto" w:fill="FFFFFF"/>
        <w:spacing w:before="0" w:beforeAutospacing="0" w:after="0" w:afterAutospacing="0"/>
        <w:jc w:val="both"/>
      </w:pPr>
      <w:r w:rsidRPr="00D71863">
        <w:lastRenderedPageBreak/>
        <w:t>Seguramente Fratzscher necesita algo más que un acertijo al comienzo de sus conferencias para transmitir la compleja realidad de la economía alemana, con sus luces y sombras. Dentro de este país, pero también más allá de sus fronteras. Sobre todo en lugares donde, desde hace unos años, se están </w:t>
      </w:r>
      <w:hyperlink r:id="rId37" w:tgtFrame="_self" w:history="1">
        <w:r w:rsidRPr="00D71863">
          <w:rPr>
            <w:rStyle w:val="Hipervnculo"/>
            <w:bCs/>
            <w:color w:val="auto"/>
            <w:u w:val="none"/>
          </w:rPr>
          <w:t>implementando unas reformas estructurales y unos ajustes</w:t>
        </w:r>
      </w:hyperlink>
      <w:r w:rsidRPr="00D71863">
        <w:t> presupuestarios que recuerdan, en cierto modo, los que vivió Alemania.</w:t>
      </w:r>
    </w:p>
    <w:p w:rsidR="005C0018" w:rsidRPr="008717BD" w:rsidRDefault="005C0018" w:rsidP="005C0018">
      <w:pPr>
        <w:pStyle w:val="NormalWeb"/>
        <w:shd w:val="clear" w:color="auto" w:fill="FFFFFF"/>
        <w:spacing w:after="360"/>
        <w:jc w:val="both"/>
        <w:rPr>
          <w:b/>
        </w:rPr>
      </w:pPr>
      <w:r w:rsidRPr="008717BD">
        <w:rPr>
          <w:b/>
        </w:rPr>
        <w:t>El riesgo de pobreza aumenta en Alemania</w:t>
      </w:r>
    </w:p>
    <w:p w:rsidR="005C0018" w:rsidRDefault="005C0018" w:rsidP="005C0018">
      <w:pPr>
        <w:pStyle w:val="NormalWeb"/>
        <w:shd w:val="clear" w:color="auto" w:fill="FFFFFF"/>
        <w:spacing w:after="360"/>
        <w:jc w:val="both"/>
      </w:pPr>
      <w:r>
        <w:t xml:space="preserve">Alemania acabó 2020 con un porcentaje de 18,5% de su población en riesgo de pobreza, un aumento de 3,7 puntos respecto a 2019, cuando el riesgo de pobreza fue del 14,8%. (Fuente: Expansión - últimos datos disponibles al </w:t>
      </w:r>
      <w:r w:rsidRPr="008717BD">
        <w:rPr>
          <w:b/>
        </w:rPr>
        <w:t>12/1/22</w:t>
      </w:r>
      <w:r>
        <w:t>)</w:t>
      </w:r>
    </w:p>
    <w:p w:rsidR="005C0018" w:rsidRDefault="005C0018" w:rsidP="005C0018">
      <w:pPr>
        <w:pStyle w:val="NormalWeb"/>
        <w:shd w:val="clear" w:color="auto" w:fill="FFFFFF"/>
        <w:spacing w:after="360"/>
        <w:jc w:val="both"/>
      </w:pPr>
      <w:r>
        <w:t>En total 15.165.000 de personas sufrieron riesgo de pobreza en Alemania en el último año.</w:t>
      </w:r>
    </w:p>
    <w:p w:rsidR="005C0018" w:rsidRDefault="005C0018" w:rsidP="005C0018">
      <w:pPr>
        <w:pStyle w:val="NormalWeb"/>
        <w:shd w:val="clear" w:color="auto" w:fill="FFFFFF"/>
        <w:spacing w:after="360"/>
        <w:jc w:val="both"/>
      </w:pPr>
      <w:r>
        <w:t>Se considera que están en riesgo de pobreza aquellas personas que viven en hogares cuya renta es inferior al 60% de la mediana de la renta de su país o territorio, es decir, cuyos ingresos están por debajo del llamado “Umbral de pobreza”.</w:t>
      </w:r>
    </w:p>
    <w:p w:rsidR="005C0018" w:rsidRDefault="005C0018" w:rsidP="005C0018">
      <w:pPr>
        <w:pStyle w:val="NormalWeb"/>
        <w:shd w:val="clear" w:color="auto" w:fill="FFFFFF"/>
        <w:spacing w:after="360"/>
        <w:jc w:val="both"/>
      </w:pPr>
      <w:r>
        <w:t>Actualmente, en Alemania la tasa de riesgo de pobreza entre las mujeres es algo mayor a la de los hombres</w:t>
      </w:r>
    </w:p>
    <w:p w:rsidR="005C0018" w:rsidRDefault="005C0018" w:rsidP="005C0018">
      <w:pPr>
        <w:pStyle w:val="NormalWeb"/>
        <w:shd w:val="clear" w:color="auto" w:fill="FFFFFF"/>
        <w:spacing w:after="360"/>
        <w:jc w:val="both"/>
      </w:pPr>
      <w:r>
        <w:t>Son los mayores de 65 los que mayor tasa de pobreza tienen, el 20,6% de ellos tienen unos ingresos inferiores a los del umbral de pobreza.</w:t>
      </w:r>
    </w:p>
    <w:p w:rsidR="005C0018" w:rsidRDefault="005C0018" w:rsidP="005C0018">
      <w:pPr>
        <w:pStyle w:val="NormalWeb"/>
        <w:shd w:val="clear" w:color="auto" w:fill="FFFFFF"/>
        <w:spacing w:after="360"/>
        <w:jc w:val="both"/>
      </w:pPr>
      <w:r>
        <w:t>Como ya hemos visto, se considera que están en riesgo de pobreza aquellas personas con unos ingresos inferiores al 60% de la mediana de los ingresos de la población. Ese 60% de la mediana es lo que llamamos umbral de pobreza.</w:t>
      </w:r>
    </w:p>
    <w:p w:rsidR="005C0018" w:rsidRDefault="005C0018" w:rsidP="005C0018">
      <w:pPr>
        <w:pStyle w:val="NormalWeb"/>
        <w:shd w:val="clear" w:color="auto" w:fill="FFFFFF"/>
        <w:spacing w:after="360"/>
        <w:jc w:val="both"/>
      </w:pPr>
      <w:r>
        <w:t>El umbral de pobreza en Alemania en 2020 fue de 14.076 € por persona, así pues cayó 33 € desde el año anterior, cuando el umbral de pobreza por persona fue de 14.109 €. Según los últimos datos, el umbral de pobreza por hogar, compuesto por dos adultos y dos menores de 14 años, en Alemania ha sido de 29.560 € euros.</w:t>
      </w:r>
    </w:p>
    <w:p w:rsidR="005C0018" w:rsidRDefault="005C0018" w:rsidP="005C0018">
      <w:pPr>
        <w:pStyle w:val="NormalWeb"/>
        <w:shd w:val="clear" w:color="auto" w:fill="FFFFFF"/>
        <w:spacing w:after="360"/>
        <w:jc w:val="both"/>
      </w:pPr>
      <w:r>
        <w:t>El umbral de pobreza es, al igual que la tasa de pobreza, un indicador del nivel de vida medio de la población. Cuanto mayor sea el umbral de pobreza, mayor es en principio el nivel de vida de una sociedad. Así pues, un incremento del umbral de pobreza, con un mantenimiento del riesgo de pobreza indica que el nivel de ingresos de la población general mejora y lo contrario ocurre si el umbral de pobreza disminuye.</w:t>
      </w:r>
    </w:p>
    <w:p w:rsidR="005C0018" w:rsidRDefault="005C0018" w:rsidP="005C0018">
      <w:pPr>
        <w:pStyle w:val="NormalWeb"/>
        <w:shd w:val="clear" w:color="auto" w:fill="FFFFFF"/>
        <w:spacing w:after="360"/>
        <w:jc w:val="both"/>
      </w:pPr>
      <w:r>
        <w:t>A continuación, en la primera tabla, puedes ver la evolución del umbral y la tasa de pobreza en Alemania. En las siguientes pestañas publicamos la evolución de la tasa de pobreza por sexo y edad.</w:t>
      </w:r>
    </w:p>
    <w:p w:rsidR="005C0018" w:rsidRDefault="005C0018" w:rsidP="005C0018">
      <w:pPr>
        <w:pStyle w:val="NormalWeb"/>
        <w:shd w:val="clear" w:color="auto" w:fill="FFFFFF"/>
        <w:spacing w:before="0" w:beforeAutospacing="0" w:after="360" w:afterAutospacing="0"/>
        <w:jc w:val="both"/>
      </w:pPr>
      <w:r>
        <w:t>Puedes ver el ranking de riesgo de pobreza de los distintos países clicando en Riesgo de pobreza de los países y ver toda la información económica de Alemania en Economía de Alemania.</w:t>
      </w:r>
    </w:p>
    <w:p w:rsidR="005C0018" w:rsidRPr="009C23C9" w:rsidRDefault="005C0018" w:rsidP="005C0018">
      <w:pPr>
        <w:pStyle w:val="NormalWeb"/>
        <w:shd w:val="clear" w:color="auto" w:fill="FFFFFF"/>
        <w:spacing w:before="0" w:beforeAutospacing="0" w:after="360" w:afterAutospacing="0"/>
        <w:jc w:val="both"/>
      </w:pPr>
      <w:r w:rsidRPr="008717BD">
        <w:rPr>
          <w:noProof/>
          <w:lang w:val="en-GB" w:eastAsia="zh-CN"/>
        </w:rPr>
        <w:lastRenderedPageBreak/>
        <w:drawing>
          <wp:inline distT="0" distB="0" distL="0" distR="0">
            <wp:extent cx="5727700" cy="2609850"/>
            <wp:effectExtent l="0" t="0" r="635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2611586"/>
                    </a:xfrm>
                    <a:prstGeom prst="rect">
                      <a:avLst/>
                    </a:prstGeom>
                  </pic:spPr>
                </pic:pic>
              </a:graphicData>
            </a:graphic>
          </wp:inline>
        </w:drawing>
      </w:r>
    </w:p>
    <w:p w:rsidR="005C0018" w:rsidRDefault="005C0018" w:rsidP="005C0018">
      <w:pPr>
        <w:pStyle w:val="NormalWeb"/>
        <w:shd w:val="clear" w:color="auto" w:fill="FFFFFF"/>
        <w:spacing w:before="0" w:beforeAutospacing="0" w:after="150" w:afterAutospacing="0"/>
        <w:jc w:val="both"/>
        <w:rPr>
          <w:rStyle w:val="Textoennegrita"/>
        </w:rPr>
      </w:pPr>
      <w:r w:rsidRPr="008717BD">
        <w:rPr>
          <w:rStyle w:val="Textoennegrita"/>
          <w:noProof/>
          <w:lang w:val="en-GB" w:eastAsia="zh-CN"/>
        </w:rPr>
        <w:drawing>
          <wp:inline distT="0" distB="0" distL="0" distR="0">
            <wp:extent cx="5730855" cy="2451100"/>
            <wp:effectExtent l="0" t="0" r="3810"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2451380"/>
                    </a:xfrm>
                    <a:prstGeom prst="rect">
                      <a:avLst/>
                    </a:prstGeom>
                  </pic:spPr>
                </pic:pic>
              </a:graphicData>
            </a:graphic>
          </wp:inline>
        </w:drawing>
      </w:r>
    </w:p>
    <w:p w:rsidR="00836A57" w:rsidRDefault="0058272F" w:rsidP="007953E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Nota: “</w:t>
      </w:r>
      <w:r w:rsidRPr="0058272F">
        <w:rPr>
          <w:rFonts w:ascii="Times New Roman" w:eastAsia="Times New Roman" w:hAnsi="Times New Roman" w:cs="Times New Roman"/>
          <w:b/>
          <w:sz w:val="24"/>
          <w:szCs w:val="24"/>
          <w:lang w:eastAsia="es-ES"/>
        </w:rPr>
        <w:t>para este</w:t>
      </w:r>
      <w:r>
        <w:rPr>
          <w:rFonts w:ascii="Times New Roman" w:eastAsia="Times New Roman" w:hAnsi="Times New Roman" w:cs="Times New Roman"/>
          <w:b/>
          <w:sz w:val="24"/>
          <w:szCs w:val="24"/>
          <w:lang w:eastAsia="es-ES"/>
        </w:rPr>
        <w:t xml:space="preserve"> viaje no hacían falta tantas alforjas”</w:t>
      </w:r>
    </w:p>
    <w:p w:rsidR="007953EE" w:rsidRPr="007953EE" w:rsidRDefault="007953EE" w:rsidP="007953E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7953EE">
        <w:rPr>
          <w:rFonts w:ascii="Times New Roman" w:eastAsia="Times New Roman" w:hAnsi="Times New Roman" w:cs="Times New Roman"/>
          <w:b/>
          <w:sz w:val="24"/>
          <w:szCs w:val="24"/>
          <w:lang w:eastAsia="es-ES"/>
        </w:rPr>
        <w:t>Los datos son cada día más evidentes. La Gran Recesión fue aprovechada por las élites de los países avanzados, básicamente rentistas, para llevar a cabo su particular ajuste de cuentas contra la inmensa mayoría de sus ciudadanos (ahora, en vías de subdesarrollo).</w:t>
      </w:r>
    </w:p>
    <w:p w:rsidR="007953EE" w:rsidRPr="007953EE" w:rsidRDefault="007953EE" w:rsidP="007953E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7953EE">
        <w:rPr>
          <w:rFonts w:ascii="Times New Roman" w:eastAsia="Times New Roman" w:hAnsi="Times New Roman" w:cs="Times New Roman"/>
          <w:b/>
          <w:sz w:val="24"/>
          <w:szCs w:val="24"/>
          <w:lang w:eastAsia="es-ES"/>
        </w:rPr>
        <w:t>La gran estafa del modelo neo-liberal (globalización, librecambio, deslocalización, financierización, desregulación, privatización), iniciado en la era Reagan-Thatcher, y llevado a cabo desde antes de  la Gran Recesión-2008, amplificado por el rescate de la banca, en los años sub-siguientes (socialización de las pérdidas, monetización de la deuda, represión financiera, privatización de las ganancias …), y con la grotesca implantación de una economía “lowcost”, en nombre de la competitividad, la productividad, la disrupción y el asociacionismo  (trabajos precarios, contratos basura, temporalidad, minijobs, contratos de cero horas, becarios eternos o cautivos de la pesadilla mortal “TheMagicRoundabout”, falsos autónomos…)hace imprescindible un debate público, abierto, profundo y crítico.</w:t>
      </w:r>
    </w:p>
    <w:p w:rsidR="007953EE" w:rsidRPr="007953EE" w:rsidRDefault="007953EE" w:rsidP="007953E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7953EE">
        <w:rPr>
          <w:rFonts w:ascii="Times New Roman" w:eastAsia="Times New Roman" w:hAnsi="Times New Roman" w:cs="Times New Roman"/>
          <w:b/>
          <w:sz w:val="24"/>
          <w:szCs w:val="24"/>
          <w:lang w:eastAsia="es-ES"/>
        </w:rPr>
        <w:t xml:space="preserve">Hay que examinar el inmenso fraude al que se han visto sometidos la mayoría de los ciudadanos de los países avanzados, muy especialmente los más jóvenes, sin futuro </w:t>
      </w:r>
      <w:r w:rsidRPr="007953EE">
        <w:rPr>
          <w:rFonts w:ascii="Times New Roman" w:eastAsia="Times New Roman" w:hAnsi="Times New Roman" w:cs="Times New Roman"/>
          <w:b/>
          <w:sz w:val="24"/>
          <w:szCs w:val="24"/>
          <w:lang w:eastAsia="es-ES"/>
        </w:rPr>
        <w:lastRenderedPageBreak/>
        <w:t>alguno.Las condiciones laborales y salariales de los más jóvenes están provocando un auténtico desplomeen la formación de las familias, la natalidad y la adquisición de vivienda por parte de este grupo. Una vida sin oficio ni beneficio, las medidas que se implementan parecen hacerse contra las generaciones futuras.</w:t>
      </w:r>
    </w:p>
    <w:p w:rsidR="00B45F93" w:rsidRDefault="007953EE" w:rsidP="007953E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7953EE">
        <w:rPr>
          <w:rFonts w:ascii="Times New Roman" w:eastAsia="Times New Roman" w:hAnsi="Times New Roman" w:cs="Times New Roman"/>
          <w:b/>
          <w:sz w:val="24"/>
          <w:szCs w:val="24"/>
          <w:lang w:eastAsia="es-ES"/>
        </w:rPr>
        <w:t>Hay que analizar las consecuencias finales de las decisiones de política económica tomadas, mediante un estudio riguroso. Ya no valen paños calientes, ni fuegos de artificio. En mi opinión, es necesario (y urgente) un cambio de rumbo radical. Espero y deseo que se pronuncien los “grandes bonetes” sobre la evolución creciente de la desigualdad. Se echan en falta informes académicos que no sean tan “políticamente correctos”. ¿Hay tantos estómagos agradecidos? ¿Cuántos le deben la cátedra universitaria, el Nobel, o las subvenciones de investigación</w:t>
      </w:r>
      <w:r w:rsidR="00F20BEE">
        <w:rPr>
          <w:rFonts w:ascii="Times New Roman" w:eastAsia="Times New Roman" w:hAnsi="Times New Roman" w:cs="Times New Roman"/>
          <w:b/>
          <w:sz w:val="24"/>
          <w:szCs w:val="24"/>
          <w:lang w:eastAsia="es-ES"/>
        </w:rPr>
        <w:t>,</w:t>
      </w:r>
      <w:r w:rsidRPr="007953EE">
        <w:rPr>
          <w:rFonts w:ascii="Times New Roman" w:eastAsia="Times New Roman" w:hAnsi="Times New Roman" w:cs="Times New Roman"/>
          <w:b/>
          <w:sz w:val="24"/>
          <w:szCs w:val="24"/>
          <w:lang w:eastAsia="es-ES"/>
        </w:rPr>
        <w:t xml:space="preserve"> al establishment? ¿Pueden hablar sobre aquello que el poder no quiere</w:t>
      </w:r>
      <w:r w:rsidR="00B45F93">
        <w:rPr>
          <w:rFonts w:ascii="Times New Roman" w:eastAsia="Times New Roman" w:hAnsi="Times New Roman" w:cs="Times New Roman"/>
          <w:b/>
          <w:sz w:val="24"/>
          <w:szCs w:val="24"/>
          <w:lang w:eastAsia="es-ES"/>
        </w:rPr>
        <w:t>?</w:t>
      </w:r>
    </w:p>
    <w:p w:rsidR="00B45F93" w:rsidRP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45F93">
        <w:rPr>
          <w:rFonts w:ascii="Times New Roman" w:eastAsia="Times New Roman" w:hAnsi="Times New Roman" w:cs="Times New Roman"/>
          <w:b/>
          <w:sz w:val="24"/>
          <w:szCs w:val="24"/>
          <w:lang w:eastAsia="es-ES"/>
        </w:rPr>
        <w:t xml:space="preserve">Pero, mientras los titiriteros mediáticos (y estómagos académicos agradecidos) siguen con el relato oficial de “conformidad” con el sentido de marcha, de “adaptación” ante la nueva economía, manipulando las estadísticas… </w:t>
      </w:r>
      <w:r>
        <w:rPr>
          <w:rFonts w:ascii="Times New Roman" w:eastAsia="Times New Roman" w:hAnsi="Times New Roman" w:cs="Times New Roman"/>
          <w:b/>
          <w:sz w:val="24"/>
          <w:szCs w:val="24"/>
          <w:lang w:eastAsia="es-ES"/>
        </w:rPr>
        <w:t>la OCDE publica un</w:t>
      </w:r>
      <w:r w:rsidRPr="00B45F93">
        <w:rPr>
          <w:rFonts w:ascii="Times New Roman" w:eastAsia="Times New Roman" w:hAnsi="Times New Roman" w:cs="Times New Roman"/>
          <w:b/>
          <w:sz w:val="24"/>
          <w:szCs w:val="24"/>
          <w:lang w:eastAsia="es-ES"/>
        </w:rPr>
        <w:t xml:space="preserve"> Informe:  </w:t>
      </w:r>
    </w:p>
    <w:p w:rsidR="00B45F93" w:rsidRP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45F93">
        <w:rPr>
          <w:rFonts w:ascii="Times New Roman" w:eastAsia="Times New Roman" w:hAnsi="Times New Roman" w:cs="Times New Roman"/>
          <w:b/>
          <w:sz w:val="24"/>
          <w:szCs w:val="24"/>
          <w:lang w:eastAsia="es-ES"/>
        </w:rPr>
        <w:t>A Broken Social Elevator? How to Promote Social Mobility (¿Un elevador social descompuesto? Cómo promover la movilidad social)  donde afirma que, considerando los actuales niveles de desigualdad y la movilidad intergeneracional de los ingresos, el niño de una familia pobre necesitaría por lo menos cinco generaciones para alcanzar un nivel medio de ingresos, en pro</w:t>
      </w:r>
      <w:r>
        <w:rPr>
          <w:rFonts w:ascii="Times New Roman" w:eastAsia="Times New Roman" w:hAnsi="Times New Roman" w:cs="Times New Roman"/>
          <w:b/>
          <w:sz w:val="24"/>
          <w:szCs w:val="24"/>
          <w:lang w:eastAsia="es-ES"/>
        </w:rPr>
        <w:t>medio en los países de la OCDE.</w:t>
      </w:r>
    </w:p>
    <w:p w:rsidR="00B45F93" w:rsidRP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45F93">
        <w:rPr>
          <w:rFonts w:ascii="Times New Roman" w:eastAsia="Times New Roman" w:hAnsi="Times New Roman" w:cs="Times New Roman"/>
          <w:b/>
          <w:sz w:val="24"/>
          <w:szCs w:val="24"/>
          <w:lang w:eastAsia="es-ES"/>
        </w:rPr>
        <w:t>Esto varía desde solo dos a tres generaciones en los países nórdicos a nueve o más generaciones en algunas economías emergentes. Uno de cada tres niños con un padre que percibe bajos ingresos también tendrá bajos ingresos, mientras que para la mayoría de las otras dos terceras partes, la movilidad ascendente se limit</w:t>
      </w:r>
      <w:r>
        <w:rPr>
          <w:rFonts w:ascii="Times New Roman" w:eastAsia="Times New Roman" w:hAnsi="Times New Roman" w:cs="Times New Roman"/>
          <w:b/>
          <w:sz w:val="24"/>
          <w:szCs w:val="24"/>
          <w:lang w:eastAsia="es-ES"/>
        </w:rPr>
        <w:t>a al grupo de ingresos próximo.</w:t>
      </w:r>
    </w:p>
    <w:p w:rsid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45F93">
        <w:rPr>
          <w:rFonts w:ascii="Times New Roman" w:eastAsia="Times New Roman" w:hAnsi="Times New Roman" w:cs="Times New Roman"/>
          <w:b/>
          <w:sz w:val="24"/>
          <w:szCs w:val="24"/>
          <w:lang w:eastAsia="es-ES"/>
        </w:rPr>
        <w:t>“Demasiadas personas sienten que se están rezagando y que sus hijos tienen muy pocas oportunidades de salir adelante; debemos asegurarnos de que todos tengan la oportunidad de triunfar, sobre todo los más desfavorecidos, y que el crecimiento se vuelva verdaderamente incluyente”, señala Gabriela Ramos, Directora de Gabinete de la OCDE</w:t>
      </w:r>
      <w:r>
        <w:rPr>
          <w:rFonts w:ascii="Times New Roman" w:eastAsia="Times New Roman" w:hAnsi="Times New Roman" w:cs="Times New Roman"/>
          <w:b/>
          <w:sz w:val="24"/>
          <w:szCs w:val="24"/>
          <w:lang w:eastAsia="es-ES"/>
        </w:rPr>
        <w:t>.</w:t>
      </w:r>
    </w:p>
    <w:p w:rsidR="00B45F93" w:rsidRP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45F93">
        <w:rPr>
          <w:rFonts w:ascii="Times New Roman" w:eastAsia="Times New Roman" w:hAnsi="Times New Roman" w:cs="Times New Roman"/>
          <w:b/>
          <w:sz w:val="24"/>
          <w:szCs w:val="24"/>
          <w:lang w:eastAsia="es-ES"/>
        </w:rPr>
        <w:t>La movilidad salarial fue una realidad para muchas personas nacidas entre 1955 y 1975 de padres con bajo nivel educativo, pero se estancó para los que nacieron después de 1975.</w:t>
      </w:r>
    </w:p>
    <w:p w:rsidR="00B45F93" w:rsidRP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45F93">
        <w:rPr>
          <w:rFonts w:ascii="Times New Roman" w:eastAsia="Times New Roman" w:hAnsi="Times New Roman" w:cs="Times New Roman"/>
          <w:b/>
          <w:sz w:val="24"/>
          <w:szCs w:val="24"/>
          <w:lang w:eastAsia="es-ES"/>
        </w:rPr>
        <w:t>Las perspectivas de movilidad salarial, entre las generaciones, suelen ser más desfavorables en los países donde la desigualdad en los ingresos es alta, y más favorables en los países con menos desigualdad.</w:t>
      </w:r>
    </w:p>
    <w:p w:rsidR="00B45F93" w:rsidRP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45F93">
        <w:rPr>
          <w:rFonts w:ascii="Times New Roman" w:eastAsia="Times New Roman" w:hAnsi="Times New Roman" w:cs="Times New Roman"/>
          <w:b/>
          <w:sz w:val="24"/>
          <w:szCs w:val="24"/>
          <w:lang w:eastAsia="es-ES"/>
        </w:rPr>
        <w:t>Aunque, todo hay que decirlo, el Fondo Monetario Internacional (FMI) ya había presentado en informe en abril de 2015 donde advertía de que el aumento de la brecha social en un país supone un freno para el crecimiento económico. Cuanto más concentrada está la riqueza en pocas manos, menor es el crecimiento de un país. La desigualdad merma expectativas y desincentiva l</w:t>
      </w:r>
      <w:r>
        <w:rPr>
          <w:rFonts w:ascii="Times New Roman" w:eastAsia="Times New Roman" w:hAnsi="Times New Roman" w:cs="Times New Roman"/>
          <w:b/>
          <w:sz w:val="24"/>
          <w:szCs w:val="24"/>
          <w:lang w:eastAsia="es-ES"/>
        </w:rPr>
        <w:t>a formación y la productividad.</w:t>
      </w:r>
    </w:p>
    <w:p w:rsidR="00B45F93" w:rsidRP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45F93">
        <w:rPr>
          <w:rFonts w:ascii="Times New Roman" w:eastAsia="Times New Roman" w:hAnsi="Times New Roman" w:cs="Times New Roman"/>
          <w:b/>
          <w:sz w:val="24"/>
          <w:szCs w:val="24"/>
          <w:lang w:eastAsia="es-ES"/>
        </w:rPr>
        <w:t xml:space="preserve">El FMI calculaba que si el 20% de la población más favorecida aumenta un punto porcentual la cuota de ingresos que acumulan, el aumento del PIB de un país es un 0,08% más bajo en los cinco años siguientes. En cambio, cuando el 20% más bajo de un </w:t>
      </w:r>
      <w:r w:rsidRPr="00B45F93">
        <w:rPr>
          <w:rFonts w:ascii="Times New Roman" w:eastAsia="Times New Roman" w:hAnsi="Times New Roman" w:cs="Times New Roman"/>
          <w:b/>
          <w:sz w:val="24"/>
          <w:szCs w:val="24"/>
          <w:lang w:eastAsia="es-ES"/>
        </w:rPr>
        <w:lastRenderedPageBreak/>
        <w:t>país gana un punto del pastel de los ingresos de un país, el</w:t>
      </w:r>
      <w:r>
        <w:rPr>
          <w:rFonts w:ascii="Times New Roman" w:eastAsia="Times New Roman" w:hAnsi="Times New Roman" w:cs="Times New Roman"/>
          <w:b/>
          <w:sz w:val="24"/>
          <w:szCs w:val="24"/>
          <w:lang w:eastAsia="es-ES"/>
        </w:rPr>
        <w:t xml:space="preserve"> crecimiento es un 0,38% mayor.</w:t>
      </w:r>
    </w:p>
    <w:p w:rsidR="00B45F93" w:rsidRP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45F93">
        <w:rPr>
          <w:rFonts w:ascii="Times New Roman" w:eastAsia="Times New Roman" w:hAnsi="Times New Roman" w:cs="Times New Roman"/>
          <w:b/>
          <w:sz w:val="24"/>
          <w:szCs w:val="24"/>
          <w:lang w:eastAsia="es-ES"/>
        </w:rPr>
        <w:t>Esta advertencia del FMI, fue reiterada en abril de 2017, reclamando políticas fiscales “más inclusivas” con el objetivo de reducir la desigualdad y denunciando que los ingresos del 1% más rico han experimentado un crecimiento anual “al menos tres veces mayor que el del resto de la población dur</w:t>
      </w:r>
      <w:r>
        <w:rPr>
          <w:rFonts w:ascii="Times New Roman" w:eastAsia="Times New Roman" w:hAnsi="Times New Roman" w:cs="Times New Roman"/>
          <w:b/>
          <w:sz w:val="24"/>
          <w:szCs w:val="24"/>
          <w:lang w:eastAsia="es-ES"/>
        </w:rPr>
        <w:t>ante los últimas tres décadas”.</w:t>
      </w:r>
    </w:p>
    <w:p w:rsidR="00B45F93" w:rsidRP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w:t>
      </w:r>
      <w:r w:rsidRPr="00B45F93">
        <w:rPr>
          <w:rFonts w:ascii="Times New Roman" w:eastAsia="Times New Roman" w:hAnsi="Times New Roman" w:cs="Times New Roman"/>
          <w:b/>
          <w:sz w:val="24"/>
          <w:szCs w:val="24"/>
          <w:lang w:eastAsia="es-ES"/>
        </w:rPr>
        <w:t>La política fiscal tiene un papel importante para asegurar que los beneficios del crecimiento se reparten más ampliamente entre la población”, destaca el informe fiscal del FMI, que indica que, en la mayoría de las economías avanzadas, la política fiscal ha sido cada vez “menos efectiva” en el desempeño de este papel d</w:t>
      </w:r>
      <w:r>
        <w:rPr>
          <w:rFonts w:ascii="Times New Roman" w:eastAsia="Times New Roman" w:hAnsi="Times New Roman" w:cs="Times New Roman"/>
          <w:b/>
          <w:sz w:val="24"/>
          <w:szCs w:val="24"/>
          <w:lang w:eastAsia="es-ES"/>
        </w:rPr>
        <w:t>urante los últimos veinte años.</w:t>
      </w:r>
    </w:p>
    <w:p w:rsidR="00B45F93" w:rsidRP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45F93">
        <w:rPr>
          <w:rFonts w:ascii="Times New Roman" w:eastAsia="Times New Roman" w:hAnsi="Times New Roman" w:cs="Times New Roman"/>
          <w:b/>
          <w:sz w:val="24"/>
          <w:szCs w:val="24"/>
          <w:lang w:eastAsia="es-ES"/>
        </w:rPr>
        <w:t>“La reducción de la generosidad de los beneficios sociales, junto a una carga tributaria menos progresiva han reducido la capacidad de la política monetaria para estrechar la disparidad en los ingresos desde mediados de los añ</w:t>
      </w:r>
      <w:r>
        <w:rPr>
          <w:rFonts w:ascii="Times New Roman" w:eastAsia="Times New Roman" w:hAnsi="Times New Roman" w:cs="Times New Roman"/>
          <w:b/>
          <w:sz w:val="24"/>
          <w:szCs w:val="24"/>
          <w:lang w:eastAsia="es-ES"/>
        </w:rPr>
        <w:t>os noventa”, agrega el informe.</w:t>
      </w:r>
    </w:p>
    <w:p w:rsidR="00B45F93" w:rsidRP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45F93">
        <w:rPr>
          <w:rFonts w:ascii="Times New Roman" w:eastAsia="Times New Roman" w:hAnsi="Times New Roman" w:cs="Times New Roman"/>
          <w:b/>
          <w:sz w:val="24"/>
          <w:szCs w:val="24"/>
          <w:lang w:eastAsia="es-ES"/>
        </w:rPr>
        <w:t>Además, el FMI advierte de que los “excesivos y crecientes” niveles de desigualdad e incertidumbre son “perjudiciales” para el bienestar y el crecimiento, por lo que propone mejorar la canalización de las ayudas a los hogares, instaurar un sistema fiscal más progresivo y mejorar el acceso al mercado laboral y a la sanidad pública en el marco de una s</w:t>
      </w:r>
      <w:r>
        <w:rPr>
          <w:rFonts w:ascii="Times New Roman" w:eastAsia="Times New Roman" w:hAnsi="Times New Roman" w:cs="Times New Roman"/>
          <w:b/>
          <w:sz w:val="24"/>
          <w:szCs w:val="24"/>
          <w:lang w:eastAsia="es-ES"/>
        </w:rPr>
        <w:t>erie de reformas estructurales.</w:t>
      </w:r>
    </w:p>
    <w:p w:rsidR="00B45F93" w:rsidRP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45F93">
        <w:rPr>
          <w:rFonts w:ascii="Times New Roman" w:eastAsia="Times New Roman" w:hAnsi="Times New Roman" w:cs="Times New Roman"/>
          <w:b/>
          <w:sz w:val="24"/>
          <w:szCs w:val="24"/>
          <w:lang w:eastAsia="es-ES"/>
        </w:rPr>
        <w:t>El Fondo Monetario Internacional (FMI), al que se le reprocha a menudo aumentar la desigualdad económica, en abril de 2018, vuelve a advertir sobre las consecuenc</w:t>
      </w:r>
      <w:r>
        <w:rPr>
          <w:rFonts w:ascii="Times New Roman" w:eastAsia="Times New Roman" w:hAnsi="Times New Roman" w:cs="Times New Roman"/>
          <w:b/>
          <w:sz w:val="24"/>
          <w:szCs w:val="24"/>
          <w:lang w:eastAsia="es-ES"/>
        </w:rPr>
        <w:t xml:space="preserve">ias negativas de dicha brecha. </w:t>
      </w:r>
    </w:p>
    <w:p w:rsid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45F93">
        <w:rPr>
          <w:rFonts w:ascii="Times New Roman" w:eastAsia="Times New Roman" w:hAnsi="Times New Roman" w:cs="Times New Roman"/>
          <w:b/>
          <w:sz w:val="24"/>
          <w:szCs w:val="24"/>
          <w:lang w:eastAsia="es-ES"/>
        </w:rPr>
        <w:t>Estos Informes (del FMI, y la OCDE) hacen que los defensores de la redistribución económica tengamos motivos para la esperanza: finalmente, la evidencia parece mostrar que la lucha contra la desigualdad no solo es ética o políticamente necesaria, sino también económicamente sensata.</w:t>
      </w:r>
    </w:p>
    <w:p w:rsidR="00B45F93" w:rsidRPr="00B45F93" w:rsidRDefault="00B45F93" w:rsidP="00B45F93">
      <w:pPr>
        <w:spacing w:after="0" w:line="240" w:lineRule="auto"/>
        <w:jc w:val="both"/>
        <w:textAlignment w:val="baseline"/>
        <w:rPr>
          <w:rFonts w:ascii="Times New Roman" w:hAnsi="Times New Roman"/>
          <w:b/>
          <w:sz w:val="24"/>
          <w:szCs w:val="24"/>
        </w:rPr>
      </w:pPr>
      <w:r w:rsidRPr="00B45F93">
        <w:rPr>
          <w:rFonts w:ascii="Times New Roman" w:hAnsi="Times New Roman"/>
          <w:b/>
          <w:sz w:val="24"/>
          <w:szCs w:val="24"/>
        </w:rPr>
        <w:t>“Si fuera así, entonces todas las personas razonables tendrían que estar a favor de una mayor redistribución”, diceHolgerStichnoth, coordinador del grupo de investigación International DistributionAnalyses en el Centro de Investigación Económica Europea (ZEW), en Mannheim.</w:t>
      </w:r>
    </w:p>
    <w:p w:rsidR="00B45F93" w:rsidRPr="00B45F93" w:rsidRDefault="00B45F93" w:rsidP="00B45F93">
      <w:pPr>
        <w:spacing w:after="0" w:line="240" w:lineRule="auto"/>
        <w:jc w:val="both"/>
        <w:textAlignment w:val="baseline"/>
        <w:rPr>
          <w:rFonts w:ascii="Times New Roman" w:hAnsi="Times New Roman"/>
          <w:b/>
          <w:sz w:val="24"/>
          <w:szCs w:val="24"/>
        </w:rPr>
      </w:pPr>
    </w:p>
    <w:p w:rsidR="00B45F93" w:rsidRPr="00B45F93" w:rsidRDefault="00B45F93" w:rsidP="00B45F93">
      <w:pPr>
        <w:spacing w:after="0" w:line="240" w:lineRule="auto"/>
        <w:jc w:val="both"/>
        <w:textAlignment w:val="baseline"/>
        <w:rPr>
          <w:rFonts w:ascii="Times New Roman" w:hAnsi="Times New Roman"/>
          <w:b/>
          <w:sz w:val="24"/>
          <w:szCs w:val="24"/>
        </w:rPr>
      </w:pPr>
      <w:r w:rsidRPr="00B45F93">
        <w:rPr>
          <w:rFonts w:ascii="Times New Roman" w:hAnsi="Times New Roman"/>
          <w:b/>
          <w:sz w:val="24"/>
          <w:szCs w:val="24"/>
        </w:rPr>
        <w:t>¿Sería demasiado bueno para ser verdad?</w:t>
      </w:r>
    </w:p>
    <w:p w:rsidR="00B45F93" w:rsidRPr="00B45F93" w:rsidRDefault="00B45F93" w:rsidP="00B45F93">
      <w:pPr>
        <w:spacing w:after="0" w:line="240" w:lineRule="auto"/>
        <w:jc w:val="both"/>
        <w:textAlignment w:val="baseline"/>
        <w:rPr>
          <w:rFonts w:ascii="Times New Roman" w:hAnsi="Times New Roman"/>
          <w:b/>
          <w:sz w:val="24"/>
          <w:szCs w:val="24"/>
        </w:rPr>
      </w:pPr>
    </w:p>
    <w:p w:rsidR="00B45F93" w:rsidRP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45F93">
        <w:rPr>
          <w:rFonts w:ascii="Times New Roman" w:eastAsia="Times New Roman" w:hAnsi="Times New Roman" w:cs="Times New Roman"/>
          <w:b/>
          <w:sz w:val="24"/>
          <w:szCs w:val="24"/>
          <w:lang w:eastAsia="es-ES"/>
        </w:rPr>
        <w:t xml:space="preserve">Ahora ya quedan menos (eso espero) que puedan negar la evidencia, que aparenten una ceguera voluntaria, que engañen, confundan, desorienten, despisten, manipulen, intoxiquen… con el fin de ocultar la verdad sobre el aumento de la desigualdad de los ingresos en las últimas décadas… que continúen intentando “empujar la soga”. </w:t>
      </w:r>
    </w:p>
    <w:p w:rsidR="00B45F93" w:rsidRP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45F93">
        <w:rPr>
          <w:rFonts w:ascii="Times New Roman" w:eastAsia="Times New Roman" w:hAnsi="Times New Roman" w:cs="Times New Roman"/>
          <w:b/>
          <w:sz w:val="24"/>
          <w:szCs w:val="24"/>
          <w:lang w:eastAsia="es-ES"/>
        </w:rPr>
        <w:t xml:space="preserve">Ahora ya quedan menos (eso espero) que puedan justificar esa “apropiación indebida” como un “hecho de la naturaleza”, como un “daño colateral” de la crisis, que se resolverá solo con la “lluvia fina” del crecimiento económico. Ya está claro, quiénes son los pocos que “ganan -casi- todo” y los muchos que “pierden -casi- todo”. </w:t>
      </w:r>
    </w:p>
    <w:p w:rsidR="00B45F93" w:rsidRPr="00B45F93" w:rsidRDefault="00B45F93" w:rsidP="00B45F9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45F93">
        <w:rPr>
          <w:rFonts w:ascii="Times New Roman" w:eastAsia="Times New Roman" w:hAnsi="Times New Roman" w:cs="Times New Roman"/>
          <w:b/>
          <w:sz w:val="24"/>
          <w:szCs w:val="24"/>
          <w:lang w:eastAsia="es-ES"/>
        </w:rPr>
        <w:t>Ahora ya quedan menos (eso espero) que puedan pensar que con la adicción al “like” y los “followers” en Instagram, alcanza para mantener a la juventud “anestesiada”, “sonámbula” “descerebrada”, “idiotizada”, “zombi”…</w:t>
      </w:r>
    </w:p>
    <w:p w:rsidR="001C678E" w:rsidRPr="00937E77" w:rsidRDefault="001C678E"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B01701">
        <w:rPr>
          <w:rFonts w:ascii="Times New Roman" w:eastAsia="Times New Roman" w:hAnsi="Times New Roman" w:cs="Times New Roman"/>
          <w:b/>
          <w:color w:val="FF0000"/>
          <w:sz w:val="24"/>
          <w:szCs w:val="24"/>
          <w:lang w:eastAsia="es-ES"/>
        </w:rPr>
        <w:lastRenderedPageBreak/>
        <w:t>2 - Entre la burocracia y la idiocia</w:t>
      </w:r>
    </w:p>
    <w:p w:rsidR="001C678E" w:rsidRDefault="001C678E"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La necesidad de actuar por consenso en la UE (unanimidad)</w:t>
      </w:r>
    </w:p>
    <w:p w:rsidR="0058272F" w:rsidRPr="00836A57" w:rsidRDefault="0058272F" w:rsidP="001C678E">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 xml:space="preserve">La </w:t>
      </w:r>
      <w:r w:rsidRPr="00836A57">
        <w:rPr>
          <w:rFonts w:ascii="Times New Roman" w:eastAsia="Times New Roman" w:hAnsi="Times New Roman" w:cs="Times New Roman"/>
          <w:sz w:val="24"/>
          <w:szCs w:val="24"/>
          <w:u w:val="single"/>
          <w:lang w:eastAsia="es-ES"/>
        </w:rPr>
        <w:t>unanimidad</w:t>
      </w:r>
      <w:r w:rsidRPr="00836A57">
        <w:rPr>
          <w:rFonts w:ascii="Times New Roman" w:eastAsia="Times New Roman" w:hAnsi="Times New Roman" w:cs="Times New Roman"/>
          <w:sz w:val="24"/>
          <w:szCs w:val="24"/>
          <w:lang w:eastAsia="es-ES"/>
        </w:rPr>
        <w:t>, en que todos los Estados miembros de la Unión Europea (UE) alcanzan un consenso, es una de las normas de votación aplicables al Consejo. El Consejo debe votar por unanimidad una serie de ámbitos políticos que los Estados miembros consideran sensibles.</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Los ámbitos políticos en que el Consejo actúa por unanimidad se encuentran descritos de forma exhaustiva en los Tratados.</w:t>
      </w:r>
    </w:p>
    <w:p w:rsidR="00F52CFB" w:rsidRPr="00836A57" w:rsidRDefault="00F52CFB" w:rsidP="00F52CFB">
      <w:pPr>
        <w:shd w:val="clear" w:color="auto" w:fill="FFFFFF"/>
        <w:spacing w:after="300" w:line="240" w:lineRule="auto"/>
        <w:jc w:val="both"/>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El Consejo debe votar por unanimidad una serie de </w:t>
      </w:r>
      <w:r w:rsidRPr="00836A57">
        <w:rPr>
          <w:rFonts w:ascii="Times New Roman" w:eastAsia="Times New Roman" w:hAnsi="Times New Roman" w:cs="Times New Roman"/>
          <w:bCs/>
          <w:sz w:val="24"/>
          <w:szCs w:val="24"/>
          <w:lang w:eastAsia="es-ES"/>
        </w:rPr>
        <w:t>asuntos que los Estados miembros consideran sensibles</w:t>
      </w:r>
      <w:r w:rsidRPr="00836A57">
        <w:rPr>
          <w:rFonts w:ascii="Times New Roman" w:eastAsia="Times New Roman" w:hAnsi="Times New Roman" w:cs="Times New Roman"/>
          <w:sz w:val="24"/>
          <w:szCs w:val="24"/>
          <w:lang w:eastAsia="es-ES"/>
        </w:rPr>
        <w:t>. Por ejemplo:</w:t>
      </w:r>
    </w:p>
    <w:p w:rsidR="00F52CFB" w:rsidRPr="00836A57" w:rsidRDefault="00F52CFB" w:rsidP="00F52CFB">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la política exterior y de seguridad común (con excepción de determinados casos claramente definidos que exigen la mayoría cualificada, por ejemplo los nombramientos de representantes especiales)</w:t>
      </w:r>
    </w:p>
    <w:p w:rsidR="00F52CFB" w:rsidRPr="00836A57" w:rsidRDefault="00F52CFB" w:rsidP="00F52CFB">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la ciudadanía (concesión de nuevos derechos a los ciudadanos de la UE)</w:t>
      </w:r>
    </w:p>
    <w:p w:rsidR="00F52CFB" w:rsidRPr="00836A57" w:rsidRDefault="00F52CFB" w:rsidP="00F52CFB">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la adhesión a la UE</w:t>
      </w:r>
    </w:p>
    <w:p w:rsidR="00F52CFB" w:rsidRPr="00836A57" w:rsidRDefault="00F52CFB" w:rsidP="00F52CFB">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la armonización de las legislaciones nacionales sobre fiscalidad indirecta</w:t>
      </w:r>
    </w:p>
    <w:p w:rsidR="00F52CFB" w:rsidRPr="00836A57" w:rsidRDefault="00F52CFB" w:rsidP="00F52CFB">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las finanzas de la UE (recursos propios, marco financiero plurianual)</w:t>
      </w:r>
    </w:p>
    <w:p w:rsidR="00F52CFB" w:rsidRPr="00836A57" w:rsidRDefault="00F52CFB" w:rsidP="00F52CFB">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determinadas disposiciones en el ámbito de la justicia y los asuntos de interior (fiscal europeo, Derecho de familia, cooperación policial operativa, etc.)</w:t>
      </w:r>
    </w:p>
    <w:p w:rsidR="00F52CFB" w:rsidRPr="00836A57" w:rsidRDefault="00F52CFB" w:rsidP="00F52CFB">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la armonización de las legislaciones nacionales en el ámbito de la seguridad social y de la protección social.</w:t>
      </w:r>
    </w:p>
    <w:p w:rsidR="00F52CFB" w:rsidRPr="00836A57" w:rsidRDefault="00F52CFB" w:rsidP="00F52CFB">
      <w:pPr>
        <w:shd w:val="clear" w:color="auto" w:fill="FFFFFF"/>
        <w:spacing w:after="300" w:line="240" w:lineRule="auto"/>
        <w:jc w:val="both"/>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Además, el Consejo debe votar por unanimidad para apartarse de las propuestas de la Comisión cuando la Comisión no pueda aceptar las modificaciones de su propuesta. Esta norma no se aplica a los actos que deba adoptar el Consejo por recomendaciones de la Comisión, por ejemplo los actos en el ámbito de la coordinación económica.</w:t>
      </w:r>
    </w:p>
    <w:p w:rsidR="00F52CFB" w:rsidRPr="00836A57" w:rsidRDefault="00F52CFB" w:rsidP="00F52CFB">
      <w:pPr>
        <w:shd w:val="clear" w:color="auto" w:fill="FFFFFF"/>
        <w:spacing w:after="300" w:line="240" w:lineRule="auto"/>
        <w:jc w:val="both"/>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En la votación por unanimidad, </w:t>
      </w:r>
      <w:r w:rsidRPr="00836A57">
        <w:rPr>
          <w:rFonts w:ascii="Times New Roman" w:eastAsia="Times New Roman" w:hAnsi="Times New Roman" w:cs="Times New Roman"/>
          <w:bCs/>
          <w:sz w:val="24"/>
          <w:szCs w:val="24"/>
          <w:lang w:eastAsia="es-ES"/>
        </w:rPr>
        <w:t>las abstenciones no impiden que se adopten las decisiones</w:t>
      </w:r>
      <w:r w:rsidRPr="00836A57">
        <w:rPr>
          <w:rFonts w:ascii="Times New Roman" w:eastAsia="Times New Roman" w:hAnsi="Times New Roman" w:cs="Times New Roman"/>
          <w:sz w:val="24"/>
          <w:szCs w:val="24"/>
          <w:lang w:eastAsia="es-ES"/>
        </w:rPr>
        <w:t>.</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El Acta Única Europea, firmada en 1986, modificó el Tratado de Roma para dar un nuevo impulso a la integración europea y completar el mercado interno. Redujo el número de ámbitos políticos en los que se exigía unanimidad para poder adoptar legislación.</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La última modificación de los Tratados se produjo con el Tratado de Lisboa. Cuando entró en vigor en 2009, se amplió el número de ámbitos políticos en los que se requiere mayoría cualificada en el Consejo.</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Ciertos ámbitos políticos considerados sensibles se siguen votando por unanimidad:</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la fiscalidad;</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la seguridad social y la protección social;</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la adhesión de nuevos Estados miembros de la UE;</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la política exterior y de seguridad común (PESC) de la UE, incluida la política común de seguridad y defensa (PCSD);</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la cooperación policial operativa entre los Estados miembros.</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lastRenderedPageBreak/>
        <w:t xml:space="preserve">Sin embargo, las </w:t>
      </w:r>
      <w:r w:rsidRPr="00836A57">
        <w:rPr>
          <w:rFonts w:ascii="Times New Roman" w:eastAsia="Times New Roman" w:hAnsi="Times New Roman" w:cs="Times New Roman"/>
          <w:sz w:val="24"/>
          <w:szCs w:val="24"/>
          <w:u w:val="single"/>
          <w:lang w:eastAsia="es-ES"/>
        </w:rPr>
        <w:t>cláusulas pasarela</w:t>
      </w:r>
      <w:r w:rsidRPr="00836A57">
        <w:rPr>
          <w:rFonts w:ascii="Times New Roman" w:eastAsia="Times New Roman" w:hAnsi="Times New Roman" w:cs="Times New Roman"/>
          <w:sz w:val="24"/>
          <w:szCs w:val="24"/>
          <w:lang w:eastAsia="es-ES"/>
        </w:rPr>
        <w:t>, que permiten excepciones al procedimiento legislativo inicialmente previsto por los Tratados, contemplan la posibilidad de sustituir los procedimientos con voto por unanimidad por una mayoría cualificada, o de cambiar los procedimientos de toma de decisiones aplicables a ámbitos concretos.</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Por ejemplo, las cláusulas pasarela pueden permitir al Consejo Europeo, por unanimidad, autorizar al Consejo que actúe por mayoría cualificada. Véase:</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artículo 48, apartado 7, del Tratado de la Unión Europea (TUE);</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artículo 31, apartado 3, del TUE (PESC);</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artículo 312, apartado 2, del Tratado de Funcionamie</w:t>
      </w:r>
      <w:r w:rsidR="00F52CFB" w:rsidRPr="00836A57">
        <w:rPr>
          <w:rFonts w:ascii="Times New Roman" w:eastAsia="Times New Roman" w:hAnsi="Times New Roman" w:cs="Times New Roman"/>
          <w:sz w:val="24"/>
          <w:szCs w:val="24"/>
          <w:lang w:eastAsia="es-ES"/>
        </w:rPr>
        <w:t>nto de la Unión Europea (TFUE) (</w:t>
      </w:r>
      <w:r w:rsidRPr="00836A57">
        <w:rPr>
          <w:rFonts w:ascii="Times New Roman" w:eastAsia="Times New Roman" w:hAnsi="Times New Roman" w:cs="Times New Roman"/>
          <w:sz w:val="24"/>
          <w:szCs w:val="24"/>
          <w:lang w:eastAsia="es-ES"/>
        </w:rPr>
        <w:t>marco financi</w:t>
      </w:r>
      <w:r w:rsidR="00F52CFB" w:rsidRPr="00836A57">
        <w:rPr>
          <w:rFonts w:ascii="Times New Roman" w:eastAsia="Times New Roman" w:hAnsi="Times New Roman" w:cs="Times New Roman"/>
          <w:sz w:val="24"/>
          <w:szCs w:val="24"/>
          <w:lang w:eastAsia="es-ES"/>
        </w:rPr>
        <w:t>ero indicativo plurianual (MFP))</w:t>
      </w:r>
      <w:r w:rsidRPr="00836A57">
        <w:rPr>
          <w:rFonts w:ascii="Times New Roman" w:eastAsia="Times New Roman" w:hAnsi="Times New Roman" w:cs="Times New Roman"/>
          <w:sz w:val="24"/>
          <w:szCs w:val="24"/>
          <w:lang w:eastAsia="es-ES"/>
        </w:rPr>
        <w:t>.</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Además, las cláusulas pasarela pueden permitir al Consejo de la Unión Europea, por unanimidad, decidir, previa consulta con el Parlamento Europeo, que el procedimiento legislativo ordinario sea aplicable en determinadas cuestiones. Por ejemplo:</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artículo 81, apartado, 3 del TFUE (Derecho de familia con repercusión transfronteriza);</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artículo 153, apartado 2, del TFUE (política social);</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artículo 192, apartado, 2 del TFUE (política medioambiental).</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 xml:space="preserve">Por último, las cláusulas pasarela pueden permitir al Consejo, por unanimidad, decidir </w:t>
      </w:r>
      <w:r w:rsidR="009C4C57" w:rsidRPr="00836A57">
        <w:rPr>
          <w:rFonts w:ascii="Times New Roman" w:eastAsia="Times New Roman" w:hAnsi="Times New Roman" w:cs="Times New Roman"/>
          <w:sz w:val="24"/>
          <w:szCs w:val="24"/>
          <w:lang w:eastAsia="es-ES"/>
        </w:rPr>
        <w:t>actuar por mayoría cualificada (</w:t>
      </w:r>
      <w:r w:rsidRPr="00836A57">
        <w:rPr>
          <w:rFonts w:ascii="Times New Roman" w:eastAsia="Times New Roman" w:hAnsi="Times New Roman" w:cs="Times New Roman"/>
          <w:sz w:val="24"/>
          <w:szCs w:val="24"/>
          <w:lang w:eastAsia="es-ES"/>
        </w:rPr>
        <w:t>artículo 333 del TF</w:t>
      </w:r>
      <w:r w:rsidR="009C4C57" w:rsidRPr="00836A57">
        <w:rPr>
          <w:rFonts w:ascii="Times New Roman" w:eastAsia="Times New Roman" w:hAnsi="Times New Roman" w:cs="Times New Roman"/>
          <w:sz w:val="24"/>
          <w:szCs w:val="24"/>
          <w:lang w:eastAsia="es-ES"/>
        </w:rPr>
        <w:t>UE (cooperaciones reforzadas))</w:t>
      </w:r>
      <w:r w:rsidRPr="00836A57">
        <w:rPr>
          <w:rFonts w:ascii="Times New Roman" w:eastAsia="Times New Roman" w:hAnsi="Times New Roman" w:cs="Times New Roman"/>
          <w:sz w:val="24"/>
          <w:szCs w:val="24"/>
          <w:lang w:eastAsia="es-ES"/>
        </w:rPr>
        <w:t>.</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También de conformidad con el artículo 293, apartado 1, del TFUE, en que el Consejo debe aprobar una propuesta de la Comisión, estas cláusulas pueden modificarla por unanimidad, con algunas excepciones.</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u w:val="single"/>
          <w:lang w:eastAsia="es-ES"/>
        </w:rPr>
      </w:pPr>
      <w:r w:rsidRPr="00836A57">
        <w:rPr>
          <w:rFonts w:ascii="Times New Roman" w:eastAsia="Times New Roman" w:hAnsi="Times New Roman" w:cs="Times New Roman"/>
          <w:sz w:val="24"/>
          <w:szCs w:val="24"/>
          <w:u w:val="single"/>
          <w:lang w:eastAsia="es-ES"/>
        </w:rPr>
        <w:t>Mayoría cualificada</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La mayoría cualificada (MC) es el número de votos que debe alcanzarse en el Consejo para que se adopte una decisión, cuando las deliberaciones se hacen sobre la base del artículo 16 del Tratado de la Unión Europea y del artículo 238 del Tratado de Funcionamiento de la Unión Europea. En el marco del procedimiento legislativo ordinario, el Consejo decide por MC, en codecisión con el Parlamento Europeo.</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El 1 de noviembre de 2014 se introdujo un nuevo procedimiento de votación por</w:t>
      </w:r>
      <w:r w:rsidR="007953EE" w:rsidRPr="00836A57">
        <w:rPr>
          <w:rFonts w:ascii="Times New Roman" w:eastAsia="Times New Roman" w:hAnsi="Times New Roman" w:cs="Times New Roman"/>
          <w:sz w:val="24"/>
          <w:szCs w:val="24"/>
          <w:lang w:eastAsia="es-ES"/>
        </w:rPr>
        <w:t xml:space="preserve"> MC denominado el principio de “doble mayoría”</w:t>
      </w:r>
      <w:r w:rsidRPr="00836A57">
        <w:rPr>
          <w:rFonts w:ascii="Times New Roman" w:eastAsia="Times New Roman" w:hAnsi="Times New Roman" w:cs="Times New Roman"/>
          <w:sz w:val="24"/>
          <w:szCs w:val="24"/>
          <w:lang w:eastAsia="es-ES"/>
        </w:rPr>
        <w:t>. En dicho procedimiento, cuando el Consejo se pronuncia sobre una propuesta de la Comisión o de la Alta Representante de la Unión para Asuntos Exteriores y Política de Seguridad, se alcanza la MC si se cumplen dos condiciones:</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el 55 % de los países de la Unión Europea (UE) vota a favor, es decir, dieciséis de veintiocho;</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la propuesta cuenta con el apoyo de países que representan al menos el 65 % de la población total de la UE.</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Cuando el Consejo se pronuncia sobre una propuesta que no ha realizado la Comisión o la Alta Representante, la decisión se adopta si:</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el 72 % de los votos de los países de la UE es a favor, y representan al menos el 65 % de la población de la UE.</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lastRenderedPageBreak/>
        <w:t>Hasta el 31 de marzo de 2017, cualquier país de la UE podrá solicitar que se tome una decisión con arreglo a la normativa en vigor antes del 1 de noviembre de 2014 (es decir, con arreglo a las normas establecidas en el Tratado de Niza).</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u w:val="single"/>
          <w:lang w:eastAsia="es-ES"/>
        </w:rPr>
      </w:pPr>
      <w:r w:rsidRPr="00836A57">
        <w:rPr>
          <w:rFonts w:ascii="Times New Roman" w:eastAsia="Times New Roman" w:hAnsi="Times New Roman" w:cs="Times New Roman"/>
          <w:sz w:val="24"/>
          <w:szCs w:val="24"/>
          <w:u w:val="single"/>
          <w:lang w:eastAsia="es-ES"/>
        </w:rPr>
        <w:t>Mayoría cualificada reforzada</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Cuando el Consejo actúa sin necesidad de una propuesta de la Comisión o del Alto Representante de la Unión para Asuntos Exteriores y Política de Seguridad (es decir, en el ámbito de la cooperación policial y judicial en materia penal), la mayoría cualificada debe estar constituida al menos por dos tercios de los países de la Unión Europea.</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Las disposiciones del Tratado de Lisboa relativas al voto por mayoría cualificada entraron en vigor el 1 de noviembre de 2014. Así, la mayoría cualificada reforzada está constituida por al menos el 72 % de los miembros del Consejo, que representan al 65 % de la población de la Unión.</w:t>
      </w:r>
    </w:p>
    <w:p w:rsidR="0058272F" w:rsidRPr="00836A57" w:rsidRDefault="0058272F" w:rsidP="0058272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36A57">
        <w:rPr>
          <w:rFonts w:ascii="Times New Roman" w:eastAsia="Times New Roman" w:hAnsi="Times New Roman" w:cs="Times New Roman"/>
          <w:sz w:val="24"/>
          <w:szCs w:val="24"/>
          <w:lang w:eastAsia="es-ES"/>
        </w:rPr>
        <w:t>Esta disposición refleja el concepto de que la Comisión es el garante del interés general. Cuando el Consejo toma una decisión sin que exista una propuesta por parte de la Comisión, el interés general está menos garantizado. Por consiguiente, es necesario reunir una mayoría más amplia que la ordinaria en favor de la propuesta en cuestión.</w:t>
      </w:r>
    </w:p>
    <w:p w:rsidR="00CA5407" w:rsidRDefault="00F52CFB" w:rsidP="0058272F">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937E77">
        <w:rPr>
          <w:rFonts w:ascii="Times New Roman" w:eastAsia="Times New Roman" w:hAnsi="Times New Roman" w:cs="Times New Roman"/>
          <w:b/>
          <w:sz w:val="24"/>
          <w:szCs w:val="24"/>
          <w:lang w:eastAsia="es-ES"/>
        </w:rPr>
        <w:t xml:space="preserve">Nota: </w:t>
      </w:r>
      <w:r w:rsidR="00937E77" w:rsidRPr="00937E77">
        <w:rPr>
          <w:rFonts w:ascii="Times New Roman" w:eastAsia="Times New Roman" w:hAnsi="Times New Roman" w:cs="Times New Roman"/>
          <w:b/>
          <w:sz w:val="24"/>
          <w:szCs w:val="24"/>
          <w:lang w:eastAsia="es-ES"/>
        </w:rPr>
        <w:t>L</w:t>
      </w:r>
      <w:r w:rsidR="004E4B3B" w:rsidRPr="00937E77">
        <w:rPr>
          <w:rFonts w:ascii="Times New Roman" w:eastAsia="Times New Roman" w:hAnsi="Times New Roman" w:cs="Times New Roman"/>
          <w:b/>
          <w:sz w:val="24"/>
          <w:szCs w:val="24"/>
          <w:lang w:eastAsia="es-ES"/>
        </w:rPr>
        <w:t>a experiencia de una “Comunidad de Vecinos”</w:t>
      </w:r>
    </w:p>
    <w:p w:rsidR="00164657" w:rsidRDefault="00937E77" w:rsidP="0058272F">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Cualquiera sabe lo difícil, por no decir imposible, que resulta intentar poner de acuerdo a los vecinos de un edificio de apartamentos. Las Asambleas se prolongan horas y horas, con discusiones interminables</w:t>
      </w:r>
      <w:r w:rsidR="00164657">
        <w:rPr>
          <w:rFonts w:ascii="Times New Roman" w:eastAsia="Times New Roman" w:hAnsi="Times New Roman" w:cs="Times New Roman"/>
          <w:b/>
          <w:sz w:val="24"/>
          <w:szCs w:val="24"/>
          <w:lang w:eastAsia="es-ES"/>
        </w:rPr>
        <w:t xml:space="preserve"> y estériles</w:t>
      </w:r>
      <w:r>
        <w:rPr>
          <w:rFonts w:ascii="Times New Roman" w:eastAsia="Times New Roman" w:hAnsi="Times New Roman" w:cs="Times New Roman"/>
          <w:b/>
          <w:sz w:val="24"/>
          <w:szCs w:val="24"/>
          <w:lang w:eastAsia="es-ES"/>
        </w:rPr>
        <w:t>, para llegar a votaciones por mayoría simple. Y eso que se trata de discutir sobre limpieza, residuos, ruido</w:t>
      </w:r>
      <w:r w:rsidR="00164657">
        <w:rPr>
          <w:rFonts w:ascii="Times New Roman" w:eastAsia="Times New Roman" w:hAnsi="Times New Roman" w:cs="Times New Roman"/>
          <w:b/>
          <w:sz w:val="24"/>
          <w:szCs w:val="24"/>
          <w:lang w:eastAsia="es-ES"/>
        </w:rPr>
        <w:t xml:space="preserve">s molestos, horario de portería, sueldo, seguridad, ingreso de proveedores, mantenimiento y obras menores. </w:t>
      </w:r>
    </w:p>
    <w:p w:rsidR="00F52CFB" w:rsidRDefault="00164657" w:rsidP="0058272F">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Ya no digamos si hay que resolver alguna “derrama” para acometer reformas u obras mayores. Ahí el debate se eterniza, afloran las rencillas, se cruzan acusaciones, surgen rencores antiguos, envidias, sospechas, y al final, las decisiones de postergan </w:t>
      </w:r>
      <w:r w:rsidR="00AC491F">
        <w:rPr>
          <w:rFonts w:ascii="Times New Roman" w:eastAsia="Times New Roman" w:hAnsi="Times New Roman" w:cs="Times New Roman"/>
          <w:b/>
          <w:sz w:val="24"/>
          <w:szCs w:val="24"/>
          <w:lang w:eastAsia="es-ES"/>
        </w:rPr>
        <w:t>sin plazo.</w:t>
      </w:r>
    </w:p>
    <w:p w:rsidR="00AC491F" w:rsidRDefault="00AC491F" w:rsidP="0058272F">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Y cuanto más grande es el edificio (con mayor cantidad de vecinos), peor</w:t>
      </w:r>
      <w:r w:rsidR="00801674">
        <w:rPr>
          <w:rFonts w:ascii="Times New Roman" w:eastAsia="Times New Roman" w:hAnsi="Times New Roman" w:cs="Times New Roman"/>
          <w:b/>
          <w:sz w:val="24"/>
          <w:szCs w:val="24"/>
          <w:lang w:eastAsia="es-ES"/>
        </w:rPr>
        <w:t xml:space="preserve"> es</w:t>
      </w:r>
      <w:r>
        <w:rPr>
          <w:rFonts w:ascii="Times New Roman" w:eastAsia="Times New Roman" w:hAnsi="Times New Roman" w:cs="Times New Roman"/>
          <w:b/>
          <w:sz w:val="24"/>
          <w:szCs w:val="24"/>
          <w:lang w:eastAsia="es-ES"/>
        </w:rPr>
        <w:t xml:space="preserve"> la cosa. Más complicadas las Asambleas y más complejo el proceso de decisión. A</w:t>
      </w:r>
      <w:r w:rsidR="00CE2927">
        <w:rPr>
          <w:rFonts w:ascii="Times New Roman" w:eastAsia="Times New Roman" w:hAnsi="Times New Roman" w:cs="Times New Roman"/>
          <w:b/>
          <w:sz w:val="24"/>
          <w:szCs w:val="24"/>
          <w:lang w:eastAsia="es-ES"/>
        </w:rPr>
        <w:t>l final</w:t>
      </w:r>
      <w:r w:rsidR="00F20BEE">
        <w:rPr>
          <w:rFonts w:ascii="Times New Roman" w:eastAsia="Times New Roman" w:hAnsi="Times New Roman" w:cs="Times New Roman"/>
          <w:b/>
          <w:sz w:val="24"/>
          <w:szCs w:val="24"/>
          <w:lang w:eastAsia="es-ES"/>
        </w:rPr>
        <w:t>,</w:t>
      </w:r>
      <w:r w:rsidR="00CE2927">
        <w:rPr>
          <w:rFonts w:ascii="Times New Roman" w:eastAsia="Times New Roman" w:hAnsi="Times New Roman" w:cs="Times New Roman"/>
          <w:b/>
          <w:sz w:val="24"/>
          <w:szCs w:val="24"/>
          <w:lang w:eastAsia="es-ES"/>
        </w:rPr>
        <w:t xml:space="preserve"> todos peleados, pidiendo la renuncia de la Comisión Directiva o amenazando con los juzgados</w:t>
      </w:r>
      <w:r>
        <w:rPr>
          <w:rFonts w:ascii="Times New Roman" w:eastAsia="Times New Roman" w:hAnsi="Times New Roman" w:cs="Times New Roman"/>
          <w:b/>
          <w:sz w:val="24"/>
          <w:szCs w:val="24"/>
          <w:lang w:eastAsia="es-ES"/>
        </w:rPr>
        <w:t>.</w:t>
      </w:r>
    </w:p>
    <w:p w:rsidR="00CE2927" w:rsidRDefault="00AC491F" w:rsidP="0058272F">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Este “ejemplo de cabotaje”</w:t>
      </w:r>
      <w:r w:rsidR="00CE2927">
        <w:rPr>
          <w:rFonts w:ascii="Times New Roman" w:eastAsia="Times New Roman" w:hAnsi="Times New Roman" w:cs="Times New Roman"/>
          <w:b/>
          <w:sz w:val="24"/>
          <w:szCs w:val="24"/>
          <w:lang w:eastAsia="es-ES"/>
        </w:rPr>
        <w:t xml:space="preserve">, me recuerda la opinión de Don Manuel Fraga Iribarne (ex ministro de Franco y ex presidente de Galicia) cuando decía que en España había 17 Comunidades Autónomas, todas cabreadas, </w:t>
      </w:r>
      <w:r w:rsidR="00801674">
        <w:rPr>
          <w:rFonts w:ascii="Times New Roman" w:eastAsia="Times New Roman" w:hAnsi="Times New Roman" w:cs="Times New Roman"/>
          <w:b/>
          <w:sz w:val="24"/>
          <w:szCs w:val="24"/>
          <w:lang w:eastAsia="es-ES"/>
        </w:rPr>
        <w:t xml:space="preserve">solo </w:t>
      </w:r>
      <w:r w:rsidR="00CE2927">
        <w:rPr>
          <w:rFonts w:ascii="Times New Roman" w:eastAsia="Times New Roman" w:hAnsi="Times New Roman" w:cs="Times New Roman"/>
          <w:b/>
          <w:sz w:val="24"/>
          <w:szCs w:val="24"/>
          <w:lang w:eastAsia="es-ES"/>
        </w:rPr>
        <w:t>unidas por la bandera del Corte Inglés.</w:t>
      </w:r>
    </w:p>
    <w:p w:rsidR="00CE2927" w:rsidRDefault="00CE2927" w:rsidP="0058272F">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Pues imaginen ustedes, las dificultades que puede haber para poner de acuerdo (unanimidad) a 27 países miembro de la Unión Europea (que en un tiempo serán varios más), a la hora de resolver cuestiones geoestratégicas, políticas, económicas, sociales, militares, medioambientales, educativas, sanitarias, energéticas, alimenticias… </w:t>
      </w:r>
    </w:p>
    <w:p w:rsidR="00E644C8" w:rsidRDefault="00CE2927" w:rsidP="0058272F">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Palos en la rueda, chantajes, sabotajes, cuentas pendientes, </w:t>
      </w:r>
      <w:r w:rsidR="00E644C8">
        <w:rPr>
          <w:rFonts w:ascii="Times New Roman" w:eastAsia="Times New Roman" w:hAnsi="Times New Roman" w:cs="Times New Roman"/>
          <w:b/>
          <w:sz w:val="24"/>
          <w:szCs w:val="24"/>
          <w:lang w:eastAsia="es-ES"/>
        </w:rPr>
        <w:t>chicanas, egos insufribles, afán de protagonismo, populismo, intereses electorales, cortoplacismo, mediocridad, viejos rencores, memoria histórica, diferencias culturales, religiosas, económicas… un cúmulo de posturas e intereses diversos que complica, demora</w:t>
      </w:r>
      <w:r w:rsidR="00801674">
        <w:rPr>
          <w:rFonts w:ascii="Times New Roman" w:eastAsia="Times New Roman" w:hAnsi="Times New Roman" w:cs="Times New Roman"/>
          <w:b/>
          <w:sz w:val="24"/>
          <w:szCs w:val="24"/>
          <w:lang w:eastAsia="es-ES"/>
        </w:rPr>
        <w:t>,</w:t>
      </w:r>
      <w:r w:rsidR="00E644C8">
        <w:rPr>
          <w:rFonts w:ascii="Times New Roman" w:eastAsia="Times New Roman" w:hAnsi="Times New Roman" w:cs="Times New Roman"/>
          <w:b/>
          <w:sz w:val="24"/>
          <w:szCs w:val="24"/>
          <w:lang w:eastAsia="es-ES"/>
        </w:rPr>
        <w:t xml:space="preserve"> o imposibilita</w:t>
      </w:r>
      <w:r w:rsidR="00801674">
        <w:rPr>
          <w:rFonts w:ascii="Times New Roman" w:eastAsia="Times New Roman" w:hAnsi="Times New Roman" w:cs="Times New Roman"/>
          <w:b/>
          <w:sz w:val="24"/>
          <w:szCs w:val="24"/>
          <w:lang w:eastAsia="es-ES"/>
        </w:rPr>
        <w:t>,</w:t>
      </w:r>
      <w:r w:rsidR="00E644C8">
        <w:rPr>
          <w:rFonts w:ascii="Times New Roman" w:eastAsia="Times New Roman" w:hAnsi="Times New Roman" w:cs="Times New Roman"/>
          <w:b/>
          <w:sz w:val="24"/>
          <w:szCs w:val="24"/>
          <w:lang w:eastAsia="es-ES"/>
        </w:rPr>
        <w:t xml:space="preserve"> las decisiones. Una situación que es aprovechada (y nunca para bien) por terceros países.</w:t>
      </w:r>
    </w:p>
    <w:p w:rsidR="00AC491F" w:rsidRDefault="00E644C8" w:rsidP="0058272F">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E644C8">
        <w:rPr>
          <w:rFonts w:ascii="Times New Roman" w:eastAsia="Times New Roman" w:hAnsi="Times New Roman" w:cs="Times New Roman"/>
          <w:b/>
          <w:sz w:val="24"/>
          <w:szCs w:val="24"/>
          <w:lang w:eastAsia="es-ES"/>
        </w:rPr>
        <w:t>Descoordinación, lentitud y divisiones lastran la</w:t>
      </w:r>
      <w:r>
        <w:rPr>
          <w:rFonts w:ascii="Times New Roman" w:eastAsia="Times New Roman" w:hAnsi="Times New Roman" w:cs="Times New Roman"/>
          <w:b/>
          <w:sz w:val="24"/>
          <w:szCs w:val="24"/>
          <w:lang w:eastAsia="es-ES"/>
        </w:rPr>
        <w:t>s</w:t>
      </w:r>
      <w:r w:rsidRPr="00E644C8">
        <w:rPr>
          <w:rFonts w:ascii="Times New Roman" w:eastAsia="Times New Roman" w:hAnsi="Times New Roman" w:cs="Times New Roman"/>
          <w:b/>
          <w:sz w:val="24"/>
          <w:szCs w:val="24"/>
          <w:lang w:eastAsia="es-ES"/>
        </w:rPr>
        <w:t xml:space="preserve"> respuesta</w:t>
      </w:r>
      <w:r>
        <w:rPr>
          <w:rFonts w:ascii="Times New Roman" w:eastAsia="Times New Roman" w:hAnsi="Times New Roman" w:cs="Times New Roman"/>
          <w:b/>
          <w:sz w:val="24"/>
          <w:szCs w:val="24"/>
          <w:lang w:eastAsia="es-ES"/>
        </w:rPr>
        <w:t xml:space="preserve">s de la Unión Europea. </w:t>
      </w:r>
    </w:p>
    <w:p w:rsidR="001C678E" w:rsidRDefault="001C678E" w:rsidP="001C678E">
      <w:pPr>
        <w:shd w:val="clear" w:color="auto" w:fill="FFFFFF"/>
        <w:spacing w:line="240" w:lineRule="auto"/>
        <w:jc w:val="both"/>
        <w:textAlignment w:val="baseline"/>
        <w:rPr>
          <w:rFonts w:ascii="Times New Roman" w:hAnsi="Times New Roman" w:cs="Times New Roman"/>
          <w:b/>
          <w:sz w:val="24"/>
          <w:szCs w:val="24"/>
        </w:rPr>
      </w:pPr>
      <w:r w:rsidRPr="008C1FB8">
        <w:rPr>
          <w:rFonts w:ascii="Times New Roman" w:eastAsia="Times New Roman" w:hAnsi="Times New Roman" w:cs="Times New Roman"/>
          <w:b/>
          <w:sz w:val="24"/>
          <w:szCs w:val="24"/>
          <w:lang w:eastAsia="es-ES"/>
        </w:rPr>
        <w:lastRenderedPageBreak/>
        <w:t>El</w:t>
      </w:r>
      <w:r>
        <w:rPr>
          <w:rFonts w:ascii="Times New Roman" w:eastAsia="Times New Roman" w:hAnsi="Times New Roman" w:cs="Times New Roman"/>
          <w:b/>
          <w:sz w:val="24"/>
          <w:szCs w:val="24"/>
          <w:lang w:eastAsia="es-ES"/>
        </w:rPr>
        <w:t xml:space="preserve"> desesperante</w:t>
      </w:r>
      <w:r w:rsidRPr="008C1FB8">
        <w:rPr>
          <w:rFonts w:ascii="Times New Roman" w:eastAsia="Times New Roman" w:hAnsi="Times New Roman" w:cs="Times New Roman"/>
          <w:b/>
          <w:sz w:val="24"/>
          <w:szCs w:val="24"/>
          <w:lang w:eastAsia="es-ES"/>
        </w:rPr>
        <w:t xml:space="preserve"> “gradualismo” de la Comisión Europea</w:t>
      </w:r>
      <w:r w:rsidRPr="00CF71B8">
        <w:rPr>
          <w:rFonts w:ascii="Times New Roman" w:eastAsia="Times New Roman" w:hAnsi="Times New Roman" w:cs="Times New Roman"/>
          <w:b/>
          <w:sz w:val="24"/>
          <w:szCs w:val="24"/>
          <w:lang w:eastAsia="es-ES"/>
        </w:rPr>
        <w:t>(</w:t>
      </w:r>
      <w:r w:rsidRPr="00CF71B8">
        <w:rPr>
          <w:rFonts w:ascii="Times New Roman" w:hAnsi="Times New Roman" w:cs="Times New Roman"/>
          <w:b/>
          <w:sz w:val="24"/>
          <w:szCs w:val="24"/>
        </w:rPr>
        <w:t>el coste geopolítico de postergar a mañana las decisiones de hoy)</w:t>
      </w:r>
    </w:p>
    <w:p w:rsidR="00A72681" w:rsidRDefault="00A72681" w:rsidP="001C678E">
      <w:pPr>
        <w:shd w:val="clear" w:color="auto" w:fill="FFFFFF"/>
        <w:spacing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El proceso de toma de decisión</w:t>
      </w:r>
    </w:p>
    <w:p w:rsidR="00F52CFB" w:rsidRPr="00A72681" w:rsidRDefault="00F52CFB" w:rsidP="00F52CFB">
      <w:pPr>
        <w:pStyle w:val="NormalWeb"/>
        <w:spacing w:before="0" w:beforeAutospacing="0" w:after="300" w:afterAutospacing="0"/>
        <w:jc w:val="both"/>
        <w:textAlignment w:val="baseline"/>
      </w:pPr>
      <w:r w:rsidRPr="00A72681">
        <w:t>La Unión Europea es una organización en la que los Estados han cedido parte de su soberanía. Cuenta con un sistema institucional propio en el que se toman decisiones en todas aquellas competencias que le confieren los Tratados.</w:t>
      </w:r>
    </w:p>
    <w:p w:rsidR="00F52CFB" w:rsidRPr="00A72681" w:rsidRDefault="00F52CFB" w:rsidP="00F52CFB">
      <w:pPr>
        <w:pStyle w:val="NormalWeb"/>
        <w:spacing w:before="0" w:beforeAutospacing="0" w:after="300" w:afterAutospacing="0"/>
        <w:jc w:val="both"/>
        <w:textAlignment w:val="baseline"/>
      </w:pPr>
      <w:r w:rsidRPr="00A72681">
        <w:t>Por regla general, en el sistema institucional de la Unión Europea toda decisión parte de una proposición de la Comisión. En efecto, ella e</w:t>
      </w:r>
      <w:r w:rsidR="004E4B3B" w:rsidRPr="00A72681">
        <w:t>s la que posee la capacidad de “iniciativa legislativa”</w:t>
      </w:r>
      <w:r w:rsidRPr="00A72681">
        <w:t xml:space="preserve"> de la Unión. Generalmente, sin propuesta de la Comisión no se podrían tomar decisiones. Aun así, el resto de las Instituciones (Parlamento, Consejo) pueden sugerir a la Comisión que lance una proposición concreta. El Tratado Constitu</w:t>
      </w:r>
      <w:r w:rsidR="004E4B3B" w:rsidRPr="00A72681">
        <w:t>cional va más allá y recoge la “iniciativa legislativa popular”</w:t>
      </w:r>
      <w:r w:rsidRPr="00A72681">
        <w:t>.</w:t>
      </w:r>
    </w:p>
    <w:p w:rsidR="00F52CFB" w:rsidRPr="00A72681" w:rsidRDefault="00F52CFB" w:rsidP="00F52CFB">
      <w:pPr>
        <w:pStyle w:val="NormalWeb"/>
        <w:spacing w:before="0" w:beforeAutospacing="0" w:after="300" w:afterAutospacing="0"/>
        <w:jc w:val="both"/>
        <w:textAlignment w:val="baseline"/>
      </w:pPr>
      <w:r w:rsidRPr="00A72681">
        <w:t>Una vez lanzada la proposición, esta suele ser examinada por las dos instituciones que disponen del poder legislativo: el Consejo y el Parlamento son los que, en la mayoría de los casos, finalmente aprueban y adoptan los actos.</w:t>
      </w:r>
    </w:p>
    <w:p w:rsidR="00F52CFB" w:rsidRPr="00A72681" w:rsidRDefault="00F52CFB" w:rsidP="00F52CFB">
      <w:pPr>
        <w:pStyle w:val="NormalWeb"/>
        <w:spacing w:before="0" w:beforeAutospacing="0" w:after="300" w:afterAutospacing="0"/>
        <w:jc w:val="both"/>
        <w:textAlignment w:val="baseline"/>
      </w:pPr>
      <w:r w:rsidRPr="00A72681">
        <w:t>En el ámbito de la PESC y la cooperación policial y judicial en materia penal la iniciativa es compartida por la Comisión y los Estados miembros y el Parlamento es simplemente informado de las decisiones.</w:t>
      </w:r>
    </w:p>
    <w:p w:rsidR="00F52CFB" w:rsidRPr="00A72681" w:rsidRDefault="00F52CFB" w:rsidP="00F52CFB">
      <w:pPr>
        <w:pStyle w:val="NormalWeb"/>
        <w:spacing w:before="0" w:beforeAutospacing="0" w:after="300" w:afterAutospacing="0"/>
        <w:jc w:val="both"/>
        <w:textAlignment w:val="baseline"/>
      </w:pPr>
      <w:r w:rsidRPr="00A72681">
        <w:t xml:space="preserve">El Consejo representa el interés de los Estados. La naturaleza de la Unión Europea hace que sobre esta institución recaiga la mayoría de las decisiones. </w:t>
      </w:r>
      <w:r w:rsidR="004E4B3B" w:rsidRPr="00A72681">
        <w:t>Aun</w:t>
      </w:r>
      <w:r w:rsidRPr="00A72681">
        <w:t xml:space="preserve"> asícon los sucesivos Tratados de la Unión, el Parlamento ha ido ampliando su poder legislativo y ya se puede afirmar que constituye un segundo poder legislativo junto con el Consejo.</w:t>
      </w:r>
    </w:p>
    <w:p w:rsidR="00F52CFB" w:rsidRPr="00A72681" w:rsidRDefault="00F52CFB" w:rsidP="00F52CFB">
      <w:pPr>
        <w:pStyle w:val="NormalWeb"/>
        <w:spacing w:before="0" w:beforeAutospacing="0" w:after="300" w:afterAutospacing="0"/>
        <w:jc w:val="both"/>
        <w:textAlignment w:val="baseline"/>
      </w:pPr>
      <w:r w:rsidRPr="00A72681">
        <w:t>En el artículo 14 del Tratado de la Unión Europea, según la modificación del Tratado de Lisboa, se da un paso más, puesto que “El Parlamento Europeo ejercerá conjuntamente con el Consejo la función legislativa y la función presupuestaria, (...)”.</w:t>
      </w:r>
    </w:p>
    <w:p w:rsidR="00F52CFB" w:rsidRPr="00A72681" w:rsidRDefault="00F52CFB" w:rsidP="00F52CFB">
      <w:pPr>
        <w:pStyle w:val="NormalWeb"/>
        <w:spacing w:before="0" w:beforeAutospacing="0" w:after="300" w:afterAutospacing="0"/>
        <w:jc w:val="both"/>
        <w:textAlignment w:val="baseline"/>
      </w:pPr>
      <w:r w:rsidRPr="00A72681">
        <w:t>El Tratado prevé diversos procedimientos en los que el papel del Consej</w:t>
      </w:r>
      <w:r w:rsidR="00A72681">
        <w:t xml:space="preserve">o y el Parlamento es diferente. </w:t>
      </w:r>
      <w:r w:rsidRPr="00A72681">
        <w:t>Este procedimiento prevé que el Consejo consulte al Parlamento y tome sus puntos de vista en consideración. Sin embargo, aquél no queda vinculado por la posición del Parlamento sino sólo por la obligación de consultarlo. No obstante, si el Consejo no solicita una consulta al Parlamento Europeo, puede ser sancionable.</w:t>
      </w:r>
    </w:p>
    <w:p w:rsidR="00F52CFB" w:rsidRPr="00A72681" w:rsidRDefault="00F52CFB" w:rsidP="00F52CFB">
      <w:pPr>
        <w:pStyle w:val="NormalWeb"/>
        <w:spacing w:before="0" w:beforeAutospacing="0" w:after="300" w:afterAutospacing="0"/>
        <w:jc w:val="both"/>
        <w:textAlignment w:val="baseline"/>
      </w:pPr>
      <w:r w:rsidRPr="00A72681">
        <w:t xml:space="preserve">En este procedimiento es el Consejo el que tiene mayor poder y era el que más se utilizaba en los orígenes de la Comunidad Europea. </w:t>
      </w:r>
      <w:r w:rsidR="004E4B3B" w:rsidRPr="00A72681">
        <w:t>Aun</w:t>
      </w:r>
      <w:r w:rsidRPr="00A72681">
        <w:t xml:space="preserve"> así, el Parlamento ha ido ganando espacio y ha conseguido que la utilización de este tipo de procedimiento se haya limitado cada vez más.</w:t>
      </w:r>
    </w:p>
    <w:p w:rsidR="00F52CFB" w:rsidRPr="00A72681" w:rsidRDefault="00F52CFB" w:rsidP="00F52CFB">
      <w:pPr>
        <w:pStyle w:val="NormalWeb"/>
        <w:spacing w:before="0" w:beforeAutospacing="0" w:after="300" w:afterAutospacing="0"/>
        <w:jc w:val="both"/>
        <w:textAlignment w:val="baseline"/>
      </w:pPr>
      <w:r w:rsidRPr="00A72681">
        <w:t>Se suele utilizar para asuntos de agricultura, fiscalidad, competencia, aproximación de legislación y asuntos del espacio de libertad y justicia.</w:t>
      </w:r>
    </w:p>
    <w:p w:rsidR="00F52CFB" w:rsidRPr="00A72681" w:rsidRDefault="00F52CFB" w:rsidP="00F52CFB">
      <w:pPr>
        <w:pStyle w:val="NormalWeb"/>
        <w:spacing w:before="0" w:beforeAutospacing="0" w:after="300" w:afterAutospacing="0"/>
        <w:jc w:val="both"/>
        <w:textAlignment w:val="baseline"/>
      </w:pPr>
      <w:r w:rsidRPr="00A72681">
        <w:t>Especificado en el artículo 252 del Tratado CE fue instituido por el Acta Única Europea en 1986. Este procedimiento da al Parlamento una mayor posibilidad de influir en el pro</w:t>
      </w:r>
      <w:r w:rsidR="004E4B3B" w:rsidRPr="00A72681">
        <w:t>ceso legislativo gracias a una “doble lectura”</w:t>
      </w:r>
      <w:r w:rsidRPr="00A72681">
        <w:t xml:space="preserve"> de las propuestas legislativas de la Comisión. Este fue el procedimiento más utilizado para la consecución del Mercado Único.</w:t>
      </w:r>
      <w:r w:rsidRPr="00A72681">
        <w:br/>
      </w:r>
      <w:r w:rsidRPr="00A72681">
        <w:lastRenderedPageBreak/>
        <w:t xml:space="preserve">El Tratado de Maastricht amplió aún más los ámbitos de aplicación. </w:t>
      </w:r>
      <w:r w:rsidR="004E4B3B" w:rsidRPr="00A72681">
        <w:t>Aun</w:t>
      </w:r>
      <w:r w:rsidRPr="00A72681">
        <w:t xml:space="preserve"> así, el Tratado de </w:t>
      </w:r>
      <w:r w:rsidR="004E4B3B" w:rsidRPr="00A72681">
        <w:t>Ámsterdam</w:t>
      </w:r>
      <w:r w:rsidRPr="00A72681">
        <w:t xml:space="preserve"> redujo su ámbito de aplicación en beneficio de otro procedimiento (codecisión) mucho más favorable al Parlamento Europeo. Desde la entrada en vigor del Tratado de </w:t>
      </w:r>
      <w:r w:rsidR="004E4B3B" w:rsidRPr="00A72681">
        <w:t>Ámsterdam</w:t>
      </w:r>
      <w:r w:rsidRPr="00A72681">
        <w:t xml:space="preserve"> este procedimiento sólo se aplica en ciertos aspectos vinculados con la Unión Económica y Monetaria. Con el Tratado de Lisboa se redirigen dichas decisiones al procedimiento de codecisión, de consulta o de dictamen conforme.</w:t>
      </w:r>
    </w:p>
    <w:p w:rsidR="00F52CFB" w:rsidRPr="00A72681" w:rsidRDefault="00F52CFB" w:rsidP="00F52CFB">
      <w:pPr>
        <w:pStyle w:val="NormalWeb"/>
        <w:spacing w:before="0" w:beforeAutospacing="0" w:after="300" w:afterAutospacing="0"/>
        <w:jc w:val="both"/>
        <w:textAlignment w:val="baseline"/>
      </w:pPr>
      <w:r w:rsidRPr="00A72681">
        <w:t>Fue instituido por el Tratado de Maastricht en el artículo 251 del Tratado de la Comunidad Europea. Este procedimiento da poder al Parlamento Europeo para aprobar las disposiciones conjuntamente con el Consejo, o lo que es lo mismo, el Consejo y el Parlamento Europeo comparten la iniciativa legislativa de la U</w:t>
      </w:r>
      <w:r w:rsidR="004E4B3B" w:rsidRPr="00A72681">
        <w:t>nión. Se basa en un sistema de “tres lecturas”</w:t>
      </w:r>
      <w:r w:rsidRPr="00A72681">
        <w:t>, y es necesaria la aprobación del Parlamento Europeo por mayoría cualificada. El Consejo podrá cambiar la norma adoptada por el Parlamento Europeo mediante unanimidad.</w:t>
      </w:r>
    </w:p>
    <w:p w:rsidR="00F52CFB" w:rsidRPr="00A72681" w:rsidRDefault="00F52CFB" w:rsidP="00F52CFB">
      <w:pPr>
        <w:pStyle w:val="NormalWeb"/>
        <w:spacing w:before="0" w:beforeAutospacing="0" w:after="300" w:afterAutospacing="0"/>
        <w:jc w:val="both"/>
        <w:textAlignment w:val="baseline"/>
      </w:pPr>
      <w:r w:rsidRPr="00A72681">
        <w:t>Este procedimiento de toma de decisiones se utiliza en ámbitos como la no discriminación, investigación, cooperación aduanera, libre circulación de trabajadores y seguridad social de éstos, derecho de establecimiento, transporte en el mercado interior, empleo, cultura, salud, educación, protección del consumidor, medio ambiente, prevención y lucha contra el fraude, redes transeuropeas, etc.</w:t>
      </w:r>
    </w:p>
    <w:p w:rsidR="00F52CFB" w:rsidRPr="00A72681" w:rsidRDefault="00F52CFB" w:rsidP="00F52CFB">
      <w:pPr>
        <w:pStyle w:val="NormalWeb"/>
        <w:spacing w:before="0" w:beforeAutospacing="0" w:after="300" w:afterAutospacing="0"/>
        <w:jc w:val="both"/>
        <w:textAlignment w:val="baseline"/>
      </w:pPr>
      <w:r w:rsidRPr="00A72681">
        <w:t xml:space="preserve">El Tratado de Maastricht reforzó así el poder legislativo del Parlamento en muchas materias. El Tratado de </w:t>
      </w:r>
      <w:r w:rsidR="004E4B3B" w:rsidRPr="00A72681">
        <w:t>Ámsterdam</w:t>
      </w:r>
      <w:r w:rsidRPr="00A72681">
        <w:t xml:space="preserve"> amplió aún más el ámbito de aplicación del procedimiento además de hacerlo mucho más simple y transparente y poniendo en un mismo plano de igualdad al Consejo y al Parlamento. El Tratado de Niza permite que el procedimiento de codecisión se utilice en la mayoría de los casos. El Tratado de Lisboa aumenta el ámbito de aplicación de este procedimiento que denomina “procedimiento legislativo ordinario”.</w:t>
      </w:r>
    </w:p>
    <w:p w:rsidR="00F52CFB" w:rsidRPr="00A72681" w:rsidRDefault="00F52CFB" w:rsidP="00F52CFB">
      <w:pPr>
        <w:pStyle w:val="NormalWeb"/>
        <w:spacing w:before="0" w:beforeAutospacing="0" w:after="300" w:afterAutospacing="0"/>
        <w:jc w:val="both"/>
        <w:textAlignment w:val="baseline"/>
      </w:pPr>
      <w:r w:rsidRPr="00A72681">
        <w:t>Fue introducido por el Acta Única Europea. Este procedimiento implica que el Consejo debe obtener la aprobación del Parlamento Europeo para que se tomen determinadas decisiones de primera importancia: adhesión de nuevos miembros, ciertos acuerdos internacionales etc. En este caso, el Parlamento Europeo no puede modificar una propuesta; sólo aceptarla o rechazarla por mayoría absoluta.</w:t>
      </w:r>
    </w:p>
    <w:p w:rsidR="00F52CFB" w:rsidRPr="00A72681" w:rsidRDefault="00F52CFB" w:rsidP="00F52CFB">
      <w:pPr>
        <w:pStyle w:val="NormalWeb"/>
        <w:spacing w:before="0" w:beforeAutospacing="0" w:after="300" w:afterAutospacing="0"/>
        <w:jc w:val="both"/>
        <w:textAlignment w:val="baseline"/>
      </w:pPr>
      <w:r w:rsidRPr="00A72681">
        <w:t xml:space="preserve">El Tratado de </w:t>
      </w:r>
      <w:r w:rsidR="004E4B3B" w:rsidRPr="00A72681">
        <w:t>Ámsterdam</w:t>
      </w:r>
      <w:r w:rsidRPr="00A72681">
        <w:t xml:space="preserve"> lo extendió en el caso de las sanciones aplicables a violaciones graves y persistentes de los derechos fundamentales por parte de un Estado miembro.</w:t>
      </w:r>
    </w:p>
    <w:p w:rsidR="00F52CFB" w:rsidRPr="00A72681" w:rsidRDefault="00F52CFB" w:rsidP="00F52CFB">
      <w:pPr>
        <w:pStyle w:val="NormalWeb"/>
        <w:spacing w:before="0" w:beforeAutospacing="0" w:after="300" w:afterAutospacing="0"/>
        <w:jc w:val="both"/>
        <w:textAlignment w:val="baseline"/>
      </w:pPr>
      <w:r w:rsidRPr="00A72681">
        <w:t>En el seno del Consejo, la toma de decisiones también sigue una lógica temática. Según el tema que se trate el Consejo tomará sus decisiones por mayoría simple, mayoría cualificada o bien unanimidad.</w:t>
      </w:r>
    </w:p>
    <w:p w:rsidR="00F52CFB" w:rsidRPr="00A72681" w:rsidRDefault="00F52CFB" w:rsidP="00F52CFB">
      <w:pPr>
        <w:pStyle w:val="NormalWeb"/>
        <w:spacing w:before="0" w:beforeAutospacing="0" w:after="300" w:afterAutospacing="0"/>
        <w:jc w:val="both"/>
        <w:textAlignment w:val="baseline"/>
      </w:pPr>
      <w:r w:rsidRPr="00A72681">
        <w:t>La mayoría simple es la modalidad de voto que se utiliza por defecto, es decir, si el tratado no indica lo contrario el Consejo tomará sus decisiones por mayoría simple. En la práctica, esta modalidad se utiliza en contadas ocasiones como en las cuestiones de procedimiento.</w:t>
      </w:r>
    </w:p>
    <w:p w:rsidR="00F52CFB" w:rsidRPr="00A72681" w:rsidRDefault="00F52CFB" w:rsidP="00F52CFB">
      <w:pPr>
        <w:pStyle w:val="NormalWeb"/>
        <w:spacing w:before="0" w:beforeAutospacing="0" w:after="300" w:afterAutospacing="0"/>
        <w:jc w:val="both"/>
        <w:textAlignment w:val="baseline"/>
      </w:pPr>
      <w:r w:rsidRPr="00A72681">
        <w:t>La mayoría cualificada es la modalidad que más se utiliza. En ella, los Estados tienen un número de votos asignado de manera ponderada teniendo en cuenta aspectos de población, poder económico, político etc.</w:t>
      </w:r>
    </w:p>
    <w:p w:rsidR="00F52CFB" w:rsidRPr="00A72681" w:rsidRDefault="00F52CFB" w:rsidP="00F52CFB">
      <w:pPr>
        <w:pStyle w:val="NormalWeb"/>
        <w:spacing w:before="0" w:beforeAutospacing="0" w:after="300" w:afterAutospacing="0"/>
        <w:jc w:val="both"/>
        <w:textAlignment w:val="baseline"/>
      </w:pPr>
      <w:r w:rsidRPr="00A72681">
        <w:lastRenderedPageBreak/>
        <w:t>La mayoría cualificada se utiliza en cuestiones relacionadas con el Mercado Único, Competencia, Agricultura, Transportes, Medio Ambiente etc.</w:t>
      </w:r>
    </w:p>
    <w:p w:rsidR="00F52CFB" w:rsidRPr="00A72681" w:rsidRDefault="00F52CFB" w:rsidP="00F52CFB">
      <w:pPr>
        <w:pStyle w:val="NormalWeb"/>
        <w:spacing w:before="0" w:beforeAutospacing="0" w:after="300" w:afterAutospacing="0"/>
        <w:jc w:val="both"/>
        <w:textAlignment w:val="baseline"/>
      </w:pPr>
      <w:r w:rsidRPr="00A72681">
        <w:t>Otro tipo de decisiones se toman por unanimidad como la fiscalidad, ciertos aspectos de la seguridad social etc. También se utiliza para realizar cualquier cambio en la propuesta de la Comisión. La utilización de la unanimidad implica la posibilidad de veto, cosa que ralentiza el proceso de toma de decisiones.</w:t>
      </w:r>
    </w:p>
    <w:p w:rsidR="00F52CFB" w:rsidRPr="00A72681" w:rsidRDefault="00F52CFB" w:rsidP="00F52CFB">
      <w:pPr>
        <w:pStyle w:val="NormalWeb"/>
        <w:spacing w:before="0" w:beforeAutospacing="0" w:after="300" w:afterAutospacing="0"/>
        <w:jc w:val="both"/>
        <w:textAlignment w:val="baseline"/>
      </w:pPr>
      <w:r w:rsidRPr="00A72681">
        <w:t>Las diferentes revisiones de los Tratados han ido ampliando la posibilidad de utilizar la mayoría cualificada. El Tratado de Niza amplía aún más este campo y al mismo tiempo modifica la ponderación de los votos en el seno del Consejo ante las nuevas ampliaciones, introduciendo un nuevo sistema de mayoría cualificada.</w:t>
      </w:r>
    </w:p>
    <w:p w:rsidR="00F52CFB" w:rsidRPr="00A72681" w:rsidRDefault="00F52CFB" w:rsidP="00A72681">
      <w:pPr>
        <w:pStyle w:val="NormalWeb"/>
        <w:spacing w:before="0" w:beforeAutospacing="0" w:after="300" w:afterAutospacing="0"/>
        <w:jc w:val="both"/>
        <w:textAlignment w:val="baseline"/>
      </w:pPr>
      <w:r w:rsidRPr="00A72681">
        <w:t>En una Declaración aneja al Tratado de Niza se ha fijado la posición común de los Estados miembros en las Conferencias de adhesión sobre los votos que se concederán a cada uno de los Estados candidatos a medida que vayan ingresando en la Unión. La distribución de votos es la siguiente:</w:t>
      </w:r>
    </w:p>
    <w:tbl>
      <w:tblPr>
        <w:tblW w:w="0" w:type="auto"/>
        <w:tblCellMar>
          <w:left w:w="0" w:type="dxa"/>
          <w:right w:w="0" w:type="dxa"/>
        </w:tblCellMar>
        <w:tblLook w:val="04A0"/>
      </w:tblPr>
      <w:tblGrid>
        <w:gridCol w:w="1734"/>
        <w:gridCol w:w="5085"/>
      </w:tblGrid>
      <w:tr w:rsidR="00F52CFB" w:rsidRPr="00A72681" w:rsidTr="00F52CFB">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rPr>
                <w:b/>
                <w:bCs/>
              </w:rPr>
            </w:pPr>
            <w:r w:rsidRPr="00A72681">
              <w:rPr>
                <w:b/>
                <w:bCs/>
              </w:rPr>
              <w:t>Número de votos</w:t>
            </w:r>
          </w:p>
        </w:tc>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rPr>
                <w:b/>
                <w:bCs/>
              </w:rPr>
            </w:pPr>
            <w:r w:rsidRPr="00A72681">
              <w:rPr>
                <w:b/>
                <w:bCs/>
              </w:rPr>
              <w:t>Estado/s</w:t>
            </w:r>
          </w:p>
        </w:tc>
      </w:tr>
      <w:tr w:rsidR="00F52CFB" w:rsidRPr="00A72681" w:rsidTr="00F52CFB">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29 votos</w:t>
            </w:r>
          </w:p>
        </w:tc>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Alemania, Francia, Italia, Reino Unido</w:t>
            </w:r>
          </w:p>
        </w:tc>
      </w:tr>
      <w:tr w:rsidR="00F52CFB" w:rsidRPr="00A72681" w:rsidTr="00F52CFB">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27 votos</w:t>
            </w:r>
          </w:p>
        </w:tc>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España, Polonia</w:t>
            </w:r>
          </w:p>
        </w:tc>
      </w:tr>
      <w:tr w:rsidR="00F52CFB" w:rsidRPr="00A72681" w:rsidTr="00F52CFB">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14 votos</w:t>
            </w:r>
          </w:p>
        </w:tc>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Rumanía</w:t>
            </w:r>
          </w:p>
        </w:tc>
      </w:tr>
      <w:tr w:rsidR="00F52CFB" w:rsidRPr="00A72681" w:rsidTr="00F52CFB">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13 votos</w:t>
            </w:r>
          </w:p>
        </w:tc>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Países Bajos</w:t>
            </w:r>
          </w:p>
        </w:tc>
      </w:tr>
      <w:tr w:rsidR="00F52CFB" w:rsidRPr="00A72681" w:rsidTr="00F52CFB">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12 votos</w:t>
            </w:r>
          </w:p>
        </w:tc>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Grecia, República Checa, Bélgica, Hungría, Portugal</w:t>
            </w:r>
          </w:p>
        </w:tc>
      </w:tr>
      <w:tr w:rsidR="00F52CFB" w:rsidRPr="00A72681" w:rsidTr="00F52CFB">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10 votos</w:t>
            </w:r>
          </w:p>
        </w:tc>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Suecia, Bulgaria, Austria</w:t>
            </w:r>
          </w:p>
        </w:tc>
      </w:tr>
      <w:tr w:rsidR="00F52CFB" w:rsidRPr="00A72681" w:rsidTr="00F52CFB">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7 votos</w:t>
            </w:r>
          </w:p>
        </w:tc>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Eslovaquia, Dinamarca, Finlandia, Irlanda, Lituania</w:t>
            </w:r>
          </w:p>
        </w:tc>
      </w:tr>
      <w:tr w:rsidR="00F52CFB" w:rsidRPr="00A72681" w:rsidTr="00F52CFB">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4 votos</w:t>
            </w:r>
          </w:p>
        </w:tc>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Letonia, Eslovenia, Estonia, Chipre, Luxemburgo</w:t>
            </w:r>
          </w:p>
        </w:tc>
      </w:tr>
      <w:tr w:rsidR="00F52CFB" w:rsidRPr="00A72681" w:rsidTr="00F52CFB">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3 votos</w:t>
            </w:r>
          </w:p>
        </w:tc>
        <w:tc>
          <w:tcPr>
            <w:tcW w:w="0" w:type="auto"/>
            <w:tcBorders>
              <w:top w:val="nil"/>
              <w:left w:val="nil"/>
              <w:bottom w:val="nil"/>
              <w:right w:val="nil"/>
            </w:tcBorders>
            <w:vAlign w:val="bottom"/>
            <w:hideMark/>
          </w:tcPr>
          <w:p w:rsidR="00F52CFB" w:rsidRPr="00A72681" w:rsidRDefault="00F52CFB" w:rsidP="00A72681">
            <w:pPr>
              <w:pStyle w:val="NormalWeb"/>
              <w:spacing w:before="0" w:beforeAutospacing="0" w:after="300" w:afterAutospacing="0"/>
              <w:jc w:val="both"/>
              <w:textAlignment w:val="baseline"/>
            </w:pPr>
            <w:r w:rsidRPr="00A72681">
              <w:t>Malta</w:t>
            </w:r>
          </w:p>
        </w:tc>
      </w:tr>
    </w:tbl>
    <w:p w:rsidR="00F52CFB" w:rsidRPr="00A72681" w:rsidRDefault="00F52CFB" w:rsidP="00F52CFB">
      <w:pPr>
        <w:pStyle w:val="NormalWeb"/>
        <w:spacing w:before="0" w:beforeAutospacing="0" w:after="300" w:afterAutospacing="0"/>
        <w:jc w:val="both"/>
        <w:textAlignment w:val="baseline"/>
      </w:pPr>
      <w:r w:rsidRPr="00A72681">
        <w:t>En total hay distribuidos 345 v</w:t>
      </w:r>
      <w:r w:rsidR="00A72681">
        <w:t xml:space="preserve">otos entre 27 Estados miembros. </w:t>
      </w:r>
      <w:r w:rsidRPr="00A72681">
        <w:t>A partir del día 1 de enero de 2007 con la entrada a la Unión de Bulgaria y Rumanía, la mayoría cualificada será de 255 votos como mínimo (lo que equivale a un porcentaje del 73.9%).​ </w:t>
      </w:r>
    </w:p>
    <w:p w:rsidR="00F52CFB" w:rsidRPr="00A72681" w:rsidRDefault="00F52CFB" w:rsidP="00F52CFB">
      <w:pPr>
        <w:pStyle w:val="NormalWeb"/>
        <w:spacing w:before="0" w:beforeAutospacing="0" w:after="300" w:afterAutospacing="0"/>
        <w:jc w:val="both"/>
        <w:textAlignment w:val="baseline"/>
      </w:pPr>
      <w:r w:rsidRPr="00A72681">
        <w:t>Con el Tratado de Lisboa, el sistema de votación combina dos factores: el voto y la población. Así, para conseguir la mayoría cualificada en el Consejo, deben coincidir dos factores:</w:t>
      </w:r>
    </w:p>
    <w:p w:rsidR="00F52CFB" w:rsidRPr="00A72681" w:rsidRDefault="00F52CFB" w:rsidP="00F52CFB">
      <w:pPr>
        <w:pStyle w:val="NormalWeb"/>
        <w:numPr>
          <w:ilvl w:val="0"/>
          <w:numId w:val="5"/>
        </w:numPr>
        <w:spacing w:before="0" w:beforeAutospacing="0" w:after="0" w:afterAutospacing="0"/>
        <w:ind w:left="450"/>
        <w:jc w:val="both"/>
        <w:textAlignment w:val="baseline"/>
      </w:pPr>
      <w:r w:rsidRPr="00A72681">
        <w:t>que la mitad de los Estados voten a favor;  </w:t>
      </w:r>
    </w:p>
    <w:p w:rsidR="00F52CFB" w:rsidRPr="00A72681" w:rsidRDefault="00F52CFB" w:rsidP="00F52CFB">
      <w:pPr>
        <w:pStyle w:val="NormalWeb"/>
        <w:numPr>
          <w:ilvl w:val="0"/>
          <w:numId w:val="5"/>
        </w:numPr>
        <w:spacing w:before="0" w:beforeAutospacing="0" w:after="0" w:afterAutospacing="0"/>
        <w:ind w:left="450"/>
        <w:jc w:val="both"/>
        <w:textAlignment w:val="baseline"/>
      </w:pPr>
      <w:r w:rsidRPr="00A72681">
        <w:t>que esos Estados contengan al 65% de la población europea.​</w:t>
      </w:r>
    </w:p>
    <w:p w:rsidR="004E4B3B" w:rsidRDefault="004E4B3B" w:rsidP="004E4B3B">
      <w:pPr>
        <w:pStyle w:val="NormalWeb"/>
        <w:spacing w:before="0" w:beforeAutospacing="0" w:after="0" w:afterAutospacing="0"/>
        <w:ind w:left="90"/>
        <w:jc w:val="both"/>
        <w:textAlignment w:val="baseline"/>
      </w:pPr>
    </w:p>
    <w:p w:rsidR="004E4B3B" w:rsidRPr="00801674" w:rsidRDefault="004E4B3B" w:rsidP="00801674">
      <w:pPr>
        <w:pStyle w:val="NormalWeb"/>
        <w:spacing w:before="0" w:beforeAutospacing="0" w:after="0" w:afterAutospacing="0"/>
        <w:jc w:val="both"/>
        <w:textAlignment w:val="baseline"/>
        <w:rPr>
          <w:b/>
        </w:rPr>
      </w:pPr>
      <w:r w:rsidRPr="00801674">
        <w:rPr>
          <w:b/>
        </w:rPr>
        <w:lastRenderedPageBreak/>
        <w:t xml:space="preserve">Nota: burocracia, pesadez, lentitud, chantajes, intereses cruzados, caballos de Troya, gradualismo extenuante, </w:t>
      </w:r>
      <w:r w:rsidR="005B122F" w:rsidRPr="00801674">
        <w:rPr>
          <w:b/>
        </w:rPr>
        <w:t>para acabar yendo</w:t>
      </w:r>
      <w:r w:rsidRPr="00801674">
        <w:rPr>
          <w:b/>
        </w:rPr>
        <w:t xml:space="preserve"> siempre por detrás de lo</w:t>
      </w:r>
      <w:r w:rsidR="00CA5407">
        <w:rPr>
          <w:b/>
        </w:rPr>
        <w:t>s acontecimientos</w:t>
      </w:r>
    </w:p>
    <w:p w:rsidR="005B122F" w:rsidRDefault="005B122F" w:rsidP="004E4B3B">
      <w:pPr>
        <w:pStyle w:val="NormalWeb"/>
        <w:spacing w:before="0" w:beforeAutospacing="0" w:after="0" w:afterAutospacing="0"/>
        <w:ind w:left="90"/>
        <w:jc w:val="both"/>
        <w:textAlignment w:val="baseline"/>
        <w:rPr>
          <w:b/>
          <w:color w:val="FF0000"/>
        </w:rPr>
      </w:pPr>
    </w:p>
    <w:p w:rsidR="005B122F" w:rsidRPr="005F156F" w:rsidRDefault="005F156F" w:rsidP="005B122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5B122F" w:rsidRPr="005F156F">
        <w:rPr>
          <w:rFonts w:ascii="Times New Roman" w:hAnsi="Times New Roman" w:cs="Times New Roman"/>
          <w:sz w:val="24"/>
          <w:szCs w:val="24"/>
        </w:rPr>
        <w:t>La posibilidad de cerrar el grifo de gas para castigar a Rusia está desatando el pánico en los países más dependientes del mismo y poniendo en peligro la unidad en la Unión Europea en las sanciones frente a Putin. En este contexto en el que algunos países como Hungría han llegado al punto de admitir públicamente que aceptarían pagar en rublos el gas, desentendiéndose del plan del “Club de los 27”, el primer ministro italiano, Mario Draghi ha propuesto cambiar la legislación comunitaria para que las decisiones de política exterior se puedan imponer con mayorías y no por unanimidad</w:t>
      </w:r>
      <w:r>
        <w:rPr>
          <w:rFonts w:ascii="Times New Roman" w:hAnsi="Times New Roman" w:cs="Times New Roman"/>
          <w:sz w:val="24"/>
          <w:szCs w:val="24"/>
        </w:rPr>
        <w:t>”..</w:t>
      </w:r>
      <w:r w:rsidR="005B122F" w:rsidRPr="005F156F">
        <w:rPr>
          <w:rFonts w:ascii="Times New Roman" w:hAnsi="Times New Roman" w:cs="Times New Roman"/>
          <w:sz w:val="24"/>
          <w:szCs w:val="24"/>
        </w:rPr>
        <w:t>. (</w:t>
      </w:r>
      <w:r w:rsidR="005B122F" w:rsidRPr="005F156F">
        <w:rPr>
          <w:rFonts w:ascii="Times New Roman" w:hAnsi="Times New Roman" w:cs="Times New Roman"/>
          <w:sz w:val="24"/>
          <w:szCs w:val="24"/>
          <w:u w:val="single"/>
        </w:rPr>
        <w:t>Draghi propone acabar con la unanimidad en la UE en pleno cisma por las sanciones a Rusia</w:t>
      </w:r>
      <w:r>
        <w:rPr>
          <w:rFonts w:ascii="Times New Roman" w:hAnsi="Times New Roman" w:cs="Times New Roman"/>
          <w:sz w:val="24"/>
          <w:szCs w:val="24"/>
        </w:rPr>
        <w:t xml:space="preserve"> - </w:t>
      </w:r>
      <w:r w:rsidR="005B122F" w:rsidRPr="005F156F">
        <w:rPr>
          <w:rFonts w:ascii="Times New Roman" w:hAnsi="Times New Roman" w:cs="Times New Roman"/>
          <w:sz w:val="24"/>
          <w:szCs w:val="24"/>
        </w:rPr>
        <w:t xml:space="preserve">El Economista - </w:t>
      </w:r>
      <w:r w:rsidR="005B122F" w:rsidRPr="005F156F">
        <w:rPr>
          <w:rFonts w:ascii="Times New Roman" w:hAnsi="Times New Roman" w:cs="Times New Roman"/>
          <w:b/>
          <w:sz w:val="24"/>
          <w:szCs w:val="24"/>
        </w:rPr>
        <w:t>3/5/22</w:t>
      </w:r>
      <w:r w:rsidR="005B122F" w:rsidRPr="005F156F">
        <w:rPr>
          <w:rFonts w:ascii="Times New Roman" w:hAnsi="Times New Roman" w:cs="Times New Roman"/>
          <w:sz w:val="24"/>
          <w:szCs w:val="24"/>
        </w:rPr>
        <w:t>)</w:t>
      </w:r>
    </w:p>
    <w:p w:rsidR="005B122F" w:rsidRPr="00906BF1" w:rsidRDefault="005B122F" w:rsidP="005B122F">
      <w:pPr>
        <w:spacing w:line="240" w:lineRule="auto"/>
        <w:jc w:val="both"/>
        <w:rPr>
          <w:rFonts w:ascii="Times New Roman" w:hAnsi="Times New Roman" w:cs="Times New Roman"/>
          <w:sz w:val="24"/>
          <w:szCs w:val="24"/>
        </w:rPr>
      </w:pPr>
      <w:r w:rsidRPr="00906BF1">
        <w:rPr>
          <w:rFonts w:ascii="Times New Roman" w:hAnsi="Times New Roman" w:cs="Times New Roman"/>
          <w:sz w:val="24"/>
          <w:szCs w:val="24"/>
        </w:rPr>
        <w:t>“Debemos superar este principio de unanimidad que conduce a una lógica de vetos cruzados”, afirmó el primer ministro. “Hay que avanzar a una toma de decisiones por mayoría cualificada” si los países quieren tener “una Europa capaz de tomar decisiones oportunas y que sea más creíble frente a sus ciudadanos y frente al mundo”.</w:t>
      </w:r>
    </w:p>
    <w:p w:rsidR="005B122F" w:rsidRPr="005F156F" w:rsidRDefault="005B122F" w:rsidP="005B122F">
      <w:pPr>
        <w:spacing w:line="240" w:lineRule="auto"/>
        <w:jc w:val="both"/>
        <w:rPr>
          <w:rFonts w:ascii="Times New Roman" w:hAnsi="Times New Roman" w:cs="Times New Roman"/>
          <w:b/>
          <w:sz w:val="24"/>
          <w:szCs w:val="24"/>
        </w:rPr>
      </w:pPr>
      <w:r w:rsidRPr="005F156F">
        <w:rPr>
          <w:rFonts w:ascii="Times New Roman" w:hAnsi="Times New Roman" w:cs="Times New Roman"/>
          <w:b/>
          <w:sz w:val="24"/>
          <w:szCs w:val="24"/>
        </w:rPr>
        <w:t>Recientemente Rusia detuvo el envío de gas a Polonia y Bulgaria debido a que ambos países se negaron a aceptar el pago en rublos del mismo. En ese momento saltaron todas las alarmas y diversas empresas mostraron su disposición a pagar en la moneda local rusa. Sin embargo, las mayores dudas fueron las de Hungría, que rompió la unidad en la UE y acató la exigencia del Kremlin de pagar en rublos.</w:t>
      </w:r>
    </w:p>
    <w:p w:rsidR="005B122F" w:rsidRPr="005F156F" w:rsidRDefault="005B122F" w:rsidP="005B122F">
      <w:pPr>
        <w:spacing w:line="240" w:lineRule="auto"/>
        <w:jc w:val="both"/>
        <w:rPr>
          <w:rFonts w:ascii="Times New Roman" w:hAnsi="Times New Roman" w:cs="Times New Roman"/>
          <w:b/>
          <w:sz w:val="24"/>
          <w:szCs w:val="24"/>
        </w:rPr>
      </w:pPr>
      <w:r w:rsidRPr="005F156F">
        <w:rPr>
          <w:rFonts w:ascii="Times New Roman" w:hAnsi="Times New Roman" w:cs="Times New Roman"/>
          <w:b/>
          <w:sz w:val="24"/>
          <w:szCs w:val="24"/>
        </w:rPr>
        <w:t>Los países más dependientes del gas ruso como Alemania, Austria o Eslovaquia, se han mostrado reticentes a apoyar un embargo masivo sobre el gas y el petróleo ruso y, con el veto de Viktor Orb</w:t>
      </w:r>
      <w:r w:rsidR="00254497">
        <w:rPr>
          <w:rFonts w:ascii="Times New Roman" w:hAnsi="Times New Roman" w:cs="Times New Roman"/>
          <w:b/>
          <w:sz w:val="24"/>
          <w:szCs w:val="24"/>
        </w:rPr>
        <w:t>á</w:t>
      </w:r>
      <w:r w:rsidRPr="005F156F">
        <w:rPr>
          <w:rFonts w:ascii="Times New Roman" w:hAnsi="Times New Roman" w:cs="Times New Roman"/>
          <w:b/>
          <w:sz w:val="24"/>
          <w:szCs w:val="24"/>
        </w:rPr>
        <w:t>n, el cisma en Europa parece servido. Los ministros de energía del Viejo Continente, en este contexto, están reunidos para solucionar este asunto y lanzar una batería de nuevas sanciones. Pero ya son varias las voces que, frente al problema de la unanimidad, piden que la UE avance hacía un nuevo sistema de mayorías que permitan que esta clase de situaciones se resuelvan con mayor rapidez.</w:t>
      </w:r>
    </w:p>
    <w:p w:rsidR="005B122F" w:rsidRPr="005F156F" w:rsidRDefault="005B122F" w:rsidP="005B122F">
      <w:pPr>
        <w:spacing w:line="240" w:lineRule="auto"/>
        <w:jc w:val="both"/>
        <w:rPr>
          <w:rFonts w:ascii="Times New Roman" w:hAnsi="Times New Roman" w:cs="Times New Roman"/>
          <w:b/>
          <w:sz w:val="24"/>
          <w:szCs w:val="24"/>
        </w:rPr>
      </w:pPr>
      <w:r w:rsidRPr="005F156F">
        <w:rPr>
          <w:rFonts w:ascii="Times New Roman" w:hAnsi="Times New Roman" w:cs="Times New Roman"/>
          <w:b/>
          <w:sz w:val="24"/>
          <w:szCs w:val="24"/>
        </w:rPr>
        <w:t>La Unión Europea intenta resolver las últimas reticencias en su seno para sancionar el petróleo ruso como represalia a los cortes en el suministro de gas a Polonia y Bulgaria, después de que estos dos países se negaran a pagar sus compras en rublos. En una reunión extraordinaria de ministros de Energía, los gobiernos de Alemania y de Austria, hasta ahora reacios, expresaron su disponibilidad a adoptar un nuevo paquete de sanciones que incluya el crudo procedente de Moscú, dejando a Hungría como único país que todavía lo rechaza.</w:t>
      </w:r>
    </w:p>
    <w:p w:rsidR="005B122F" w:rsidRPr="005F156F" w:rsidRDefault="005B122F" w:rsidP="005B122F">
      <w:pPr>
        <w:spacing w:line="240" w:lineRule="auto"/>
        <w:jc w:val="both"/>
        <w:rPr>
          <w:rFonts w:ascii="Times New Roman" w:hAnsi="Times New Roman" w:cs="Times New Roman"/>
          <w:b/>
          <w:sz w:val="24"/>
          <w:szCs w:val="24"/>
        </w:rPr>
      </w:pPr>
      <w:r w:rsidRPr="005F156F">
        <w:rPr>
          <w:rFonts w:ascii="Times New Roman" w:hAnsi="Times New Roman" w:cs="Times New Roman"/>
          <w:b/>
          <w:sz w:val="24"/>
          <w:szCs w:val="24"/>
        </w:rPr>
        <w:t>“Austria está dispuesta a apoyar un embargo de petróleo de forma consecuente si la Comisión y los Estados miembros así lo deciden. Estamos preparados, puedo decirlo”, afirmó la ministra austríaca de Energía, Leonore Gewessler. En la misma línea, el alemán Robert Habeck subrayó que, “tras dos meses de trabajo”, su país “no está en contra de una prohibición al petróleo de Rusia” y, aunque reconoció que “no hay tiempo” para evitar que una sanción así provoque un problema “local” en una refinería que utiliza exclusivamente crudo ruso, enfatizó que “no golpeará a la economía en su conjunto”.</w:t>
      </w:r>
    </w:p>
    <w:p w:rsidR="005B122F" w:rsidRPr="005F156F" w:rsidRDefault="005B122F" w:rsidP="005B122F">
      <w:pPr>
        <w:spacing w:line="240" w:lineRule="auto"/>
        <w:jc w:val="both"/>
        <w:rPr>
          <w:rFonts w:ascii="Times New Roman" w:hAnsi="Times New Roman" w:cs="Times New Roman"/>
          <w:b/>
          <w:sz w:val="24"/>
          <w:szCs w:val="24"/>
        </w:rPr>
      </w:pPr>
      <w:r w:rsidRPr="005F156F">
        <w:rPr>
          <w:rFonts w:ascii="Times New Roman" w:hAnsi="Times New Roman" w:cs="Times New Roman"/>
          <w:b/>
          <w:sz w:val="24"/>
          <w:szCs w:val="24"/>
        </w:rPr>
        <w:t xml:space="preserve">Sí precisó Habeck la necesidad de que la sanción al petróleo de Moscú sea gradual para acometer “preparaciones técnicas”, al tiempo que advirtió de que “otros países pueden tener problemas” más graves si se adoptara una medida así. El movimiento de Berlín y de Viena deja a Budapest como la única capital del club que todavía mantiene </w:t>
      </w:r>
      <w:r w:rsidRPr="005F156F">
        <w:rPr>
          <w:rFonts w:ascii="Times New Roman" w:hAnsi="Times New Roman" w:cs="Times New Roman"/>
          <w:b/>
          <w:sz w:val="24"/>
          <w:szCs w:val="24"/>
        </w:rPr>
        <w:lastRenderedPageBreak/>
        <w:t>abiertamente su veto a que las sanciones europeas -que deben ser aprobadas por unanimidad- incluyan el petróleo y el gas procedentes de Rusia, según expresó en la red social Twitter el portavoz del primer ministro, Viktor Orbán. Y eso a pesar de que el Gobierno polaco, su principal socio en el bloque, exigió una mayor contundencia contra Moscú en respuesta a los cortes en el suministro de gas a su país y a Bulgaria.</w:t>
      </w:r>
    </w:p>
    <w:p w:rsidR="005B122F" w:rsidRPr="005F156F" w:rsidRDefault="005B122F" w:rsidP="005B122F">
      <w:pPr>
        <w:spacing w:line="240" w:lineRule="auto"/>
        <w:jc w:val="both"/>
        <w:rPr>
          <w:rFonts w:ascii="Times New Roman" w:hAnsi="Times New Roman" w:cs="Times New Roman"/>
          <w:b/>
          <w:sz w:val="24"/>
          <w:szCs w:val="24"/>
        </w:rPr>
      </w:pPr>
      <w:r w:rsidRPr="005F156F">
        <w:rPr>
          <w:rFonts w:ascii="Times New Roman" w:hAnsi="Times New Roman" w:cs="Times New Roman"/>
          <w:b/>
          <w:sz w:val="24"/>
          <w:szCs w:val="24"/>
        </w:rPr>
        <w:t xml:space="preserve">“Ya tenemos el carbón, ahora es el momento del petróleo y el siguiente paso es el gas. La mejor opción es que vayan juntos”, enfatizó la ministra polaca de Clima y Medioambiente, Anna Moskwa. </w:t>
      </w:r>
    </w:p>
    <w:p w:rsidR="005B122F" w:rsidRPr="005F156F" w:rsidRDefault="005B122F" w:rsidP="005B122F">
      <w:pPr>
        <w:spacing w:line="240" w:lineRule="auto"/>
        <w:jc w:val="both"/>
        <w:rPr>
          <w:rFonts w:ascii="Times New Roman" w:hAnsi="Times New Roman" w:cs="Times New Roman"/>
          <w:b/>
          <w:sz w:val="24"/>
          <w:szCs w:val="24"/>
        </w:rPr>
      </w:pPr>
      <w:r w:rsidRPr="005F156F">
        <w:rPr>
          <w:rFonts w:ascii="Times New Roman" w:hAnsi="Times New Roman" w:cs="Times New Roman"/>
          <w:b/>
          <w:sz w:val="24"/>
          <w:szCs w:val="24"/>
        </w:rPr>
        <w:t>Según el Centro de Investigación sobre Energía y Aire Limpio (CREA), la Unión Europea ha comprado más de 47.400 millones de euros en productos energéticos a Rusia desde la invasión de Ucrania (19.700 millones en petróleo, 27.000 millones en gas y 780 mil</w:t>
      </w:r>
      <w:r w:rsidR="00A72681">
        <w:rPr>
          <w:rFonts w:ascii="Times New Roman" w:hAnsi="Times New Roman" w:cs="Times New Roman"/>
          <w:b/>
          <w:sz w:val="24"/>
          <w:szCs w:val="24"/>
        </w:rPr>
        <w:t xml:space="preserve">lones en carbón). </w:t>
      </w:r>
      <w:r w:rsidRPr="005F156F">
        <w:rPr>
          <w:rFonts w:ascii="Times New Roman" w:hAnsi="Times New Roman" w:cs="Times New Roman"/>
          <w:b/>
          <w:sz w:val="24"/>
          <w:szCs w:val="24"/>
        </w:rPr>
        <w:t>Aunque el posible veto al petróleo ruso domina el debate energético en Bruselas, los ministros de Energía de los Veintisiete se reunieron para hablar de gas, tras los cortes unilaterales de Gazprom.</w:t>
      </w:r>
    </w:p>
    <w:p w:rsidR="005B122F" w:rsidRPr="005F156F" w:rsidRDefault="005B122F" w:rsidP="005B122F">
      <w:pPr>
        <w:spacing w:line="240" w:lineRule="auto"/>
        <w:jc w:val="both"/>
        <w:rPr>
          <w:rFonts w:ascii="Times New Roman" w:hAnsi="Times New Roman" w:cs="Times New Roman"/>
          <w:b/>
          <w:sz w:val="24"/>
          <w:szCs w:val="24"/>
        </w:rPr>
      </w:pPr>
      <w:r w:rsidRPr="005F156F">
        <w:rPr>
          <w:rFonts w:ascii="Times New Roman" w:hAnsi="Times New Roman" w:cs="Times New Roman"/>
          <w:b/>
          <w:sz w:val="24"/>
          <w:szCs w:val="24"/>
        </w:rPr>
        <w:t>La Comisión Europea, Varsovia y Sofía aseguran que “no hay riesgo inmediato” ni para las empresas ni para los consumidores polacos y búlgaros y, a medio plazo, Polonia podrá recibir gas de Lituania y Bulgaria de Grecia. Pero la decisión de Gazprom “es un punto de inflexión en la actual crisis”, según la comisaria, que no descarta que Moscú pueda ordenar un corte de gas a toda la UE de cara a la mitad fría del año. Las reservas subterráneas de los Estados miembros, que la Comisión quiere que lleguen al 80 % antes del próximo otoño, están actualmente al 32 % “y creciendo”.</w:t>
      </w:r>
    </w:p>
    <w:p w:rsidR="005B122F" w:rsidRPr="005F156F" w:rsidRDefault="005B122F" w:rsidP="005B122F">
      <w:pPr>
        <w:spacing w:line="240" w:lineRule="auto"/>
        <w:jc w:val="both"/>
        <w:rPr>
          <w:rFonts w:ascii="Times New Roman" w:hAnsi="Times New Roman" w:cs="Times New Roman"/>
          <w:b/>
          <w:sz w:val="24"/>
          <w:szCs w:val="24"/>
        </w:rPr>
      </w:pPr>
      <w:r w:rsidRPr="005F156F">
        <w:rPr>
          <w:rFonts w:ascii="Times New Roman" w:hAnsi="Times New Roman" w:cs="Times New Roman"/>
          <w:b/>
          <w:sz w:val="24"/>
          <w:szCs w:val="24"/>
        </w:rPr>
        <w:t>Pero Bruselas -y Moscú- sabe que con almacenes y diversificación no bastará. “No podemos reemplazar 165.000 millones de metros cúbicos de gas con otros proveedores”, reconoció Simson, quien indicó que habrá que apoyarse en las renovables y el hidrógeno y recordó que a finales de mayo la Comisión presentará los detalles de su plan para acelerar la desconexión de la energía rusa.</w:t>
      </w:r>
    </w:p>
    <w:p w:rsidR="005B122F" w:rsidRPr="005F156F" w:rsidRDefault="005B122F" w:rsidP="005B122F">
      <w:pPr>
        <w:spacing w:line="240" w:lineRule="auto"/>
        <w:jc w:val="both"/>
        <w:rPr>
          <w:rFonts w:ascii="Times New Roman" w:hAnsi="Times New Roman" w:cs="Times New Roman"/>
          <w:b/>
          <w:sz w:val="24"/>
          <w:szCs w:val="24"/>
        </w:rPr>
      </w:pPr>
      <w:r w:rsidRPr="005F156F">
        <w:rPr>
          <w:rFonts w:ascii="Times New Roman" w:hAnsi="Times New Roman" w:cs="Times New Roman"/>
          <w:b/>
          <w:sz w:val="24"/>
          <w:szCs w:val="24"/>
        </w:rPr>
        <w:t>También a finales de mayo, el Kremlin quiere que los importadores europeos se sometan al nuevo sistema de pagos de Rusia, que exige que los compradores abran una cuenta en euros y otra en rublos en Gazprombank. Bruselas insiste en que las empresas europeas no pueden acceder a pagar en rublos porque esa maniobra implicaría al Banco Central de Rusia, sostendría su divisa y supondría “una violación de las sanciones” a Moscú.</w:t>
      </w:r>
    </w:p>
    <w:p w:rsidR="005B122F" w:rsidRDefault="005B122F" w:rsidP="005B122F">
      <w:pPr>
        <w:spacing w:line="240" w:lineRule="auto"/>
        <w:jc w:val="both"/>
        <w:rPr>
          <w:rFonts w:ascii="Times New Roman" w:hAnsi="Times New Roman" w:cs="Times New Roman"/>
          <w:b/>
          <w:sz w:val="24"/>
          <w:szCs w:val="24"/>
        </w:rPr>
      </w:pPr>
      <w:r w:rsidRPr="005F156F">
        <w:rPr>
          <w:rFonts w:ascii="Times New Roman" w:hAnsi="Times New Roman" w:cs="Times New Roman"/>
          <w:b/>
          <w:sz w:val="24"/>
          <w:szCs w:val="24"/>
        </w:rPr>
        <w:t>Pero las compañías exigen más claridad y Bruselas, que dice no tener información de que ninguna empresa europea haya accedido a esos pagos, se ha comprometido a publicar “en los próximos días” nuevas orientaciones para que los importadores sepan cómo pueden comprarle legalmente energía a la Rusia de Vladimir Putin.</w:t>
      </w:r>
    </w:p>
    <w:p w:rsidR="005F156F" w:rsidRPr="002C4C0D" w:rsidRDefault="005F156F" w:rsidP="005F156F">
      <w:pPr>
        <w:spacing w:line="240" w:lineRule="auto"/>
        <w:jc w:val="both"/>
        <w:rPr>
          <w:rFonts w:ascii="Times New Roman" w:hAnsi="Times New Roman" w:cs="Times New Roman"/>
          <w:b/>
          <w:sz w:val="24"/>
          <w:szCs w:val="24"/>
        </w:rPr>
      </w:pPr>
      <w:r w:rsidRPr="002C4C0D">
        <w:rPr>
          <w:rFonts w:ascii="Times New Roman" w:hAnsi="Times New Roman" w:cs="Times New Roman"/>
          <w:b/>
          <w:sz w:val="24"/>
          <w:szCs w:val="24"/>
        </w:rPr>
        <w:t>Como suele ocurrir con la UE, hay demasiados actores implicados en la toma de decisiones, por lo que es prácticamente imposible determinar quién es responsable de qué. La Comisión lleva a cabo las negociaciones, pero bajo el control de un comité de representantes de los Estados miembros, recreando así los problemas de coordinación que cualquier decisión centralizada pudiera evitar.</w:t>
      </w:r>
    </w:p>
    <w:p w:rsidR="002C4C0D" w:rsidRPr="002C4C0D" w:rsidRDefault="005F156F" w:rsidP="005F156F">
      <w:pPr>
        <w:spacing w:line="240" w:lineRule="auto"/>
        <w:jc w:val="both"/>
        <w:rPr>
          <w:rFonts w:ascii="Times New Roman" w:hAnsi="Times New Roman" w:cs="Times New Roman"/>
          <w:b/>
          <w:sz w:val="24"/>
          <w:szCs w:val="24"/>
        </w:rPr>
      </w:pPr>
      <w:r w:rsidRPr="002C4C0D">
        <w:rPr>
          <w:rFonts w:ascii="Times New Roman" w:hAnsi="Times New Roman" w:cs="Times New Roman"/>
          <w:b/>
          <w:sz w:val="24"/>
          <w:szCs w:val="24"/>
        </w:rPr>
        <w:t xml:space="preserve">Además, los negociadores de la UE pierden un tiempo precioso resistiendo a las comprensibles peticiones de las partes interesadas (países miembro, empresas, grupos de presión).Una curiosa incoherencia que impregna todas las negociaciones. </w:t>
      </w:r>
    </w:p>
    <w:p w:rsidR="005F156F" w:rsidRPr="002C4C0D" w:rsidRDefault="005F156F" w:rsidP="005F156F">
      <w:pPr>
        <w:spacing w:line="240" w:lineRule="auto"/>
        <w:jc w:val="both"/>
        <w:rPr>
          <w:rFonts w:ascii="Times New Roman" w:hAnsi="Times New Roman" w:cs="Times New Roman"/>
          <w:b/>
          <w:sz w:val="24"/>
          <w:szCs w:val="24"/>
        </w:rPr>
      </w:pPr>
      <w:r w:rsidRPr="002C4C0D">
        <w:rPr>
          <w:rFonts w:ascii="Times New Roman" w:hAnsi="Times New Roman" w:cs="Times New Roman"/>
          <w:b/>
          <w:sz w:val="24"/>
          <w:szCs w:val="24"/>
        </w:rPr>
        <w:lastRenderedPageBreak/>
        <w:t>Tampoco se</w:t>
      </w:r>
      <w:r w:rsidR="002C4C0D" w:rsidRPr="002C4C0D">
        <w:rPr>
          <w:rFonts w:ascii="Times New Roman" w:hAnsi="Times New Roman" w:cs="Times New Roman"/>
          <w:b/>
          <w:sz w:val="24"/>
          <w:szCs w:val="24"/>
        </w:rPr>
        <w:t xml:space="preserve"> pueden asegurar </w:t>
      </w:r>
      <w:r w:rsidRPr="002C4C0D">
        <w:rPr>
          <w:rFonts w:ascii="Times New Roman" w:hAnsi="Times New Roman" w:cs="Times New Roman"/>
          <w:b/>
          <w:sz w:val="24"/>
          <w:szCs w:val="24"/>
        </w:rPr>
        <w:t>ca</w:t>
      </w:r>
      <w:r w:rsidR="002C4C0D" w:rsidRPr="002C4C0D">
        <w:rPr>
          <w:rFonts w:ascii="Times New Roman" w:hAnsi="Times New Roman" w:cs="Times New Roman"/>
          <w:b/>
          <w:sz w:val="24"/>
          <w:szCs w:val="24"/>
        </w:rPr>
        <w:t xml:space="preserve">lendarios vinculantes en contratos y </w:t>
      </w:r>
      <w:r w:rsidRPr="002C4C0D">
        <w:rPr>
          <w:rFonts w:ascii="Times New Roman" w:hAnsi="Times New Roman" w:cs="Times New Roman"/>
          <w:b/>
          <w:sz w:val="24"/>
          <w:szCs w:val="24"/>
        </w:rPr>
        <w:t>desar</w:t>
      </w:r>
      <w:r w:rsidR="002C4C0D" w:rsidRPr="002C4C0D">
        <w:rPr>
          <w:rFonts w:ascii="Times New Roman" w:hAnsi="Times New Roman" w:cs="Times New Roman"/>
          <w:b/>
          <w:sz w:val="24"/>
          <w:szCs w:val="24"/>
        </w:rPr>
        <w:t xml:space="preserve">rolladores: “estimados”, “mejores esfuerzos”, poca información, falta de medidas correctoras, falta de sanciones por incumplimiento… Todo este causa estupor, pérdida de eficiencia y confianza. </w:t>
      </w:r>
    </w:p>
    <w:p w:rsidR="002C4C0D" w:rsidRPr="002C4C0D" w:rsidRDefault="005F156F" w:rsidP="002C4C0D">
      <w:pPr>
        <w:spacing w:line="240" w:lineRule="auto"/>
        <w:jc w:val="both"/>
        <w:rPr>
          <w:rFonts w:ascii="Times New Roman" w:hAnsi="Times New Roman" w:cs="Times New Roman"/>
          <w:b/>
          <w:sz w:val="24"/>
          <w:szCs w:val="24"/>
        </w:rPr>
      </w:pPr>
      <w:r w:rsidRPr="002C4C0D">
        <w:rPr>
          <w:rFonts w:ascii="Times New Roman" w:hAnsi="Times New Roman" w:cs="Times New Roman"/>
          <w:b/>
          <w:sz w:val="24"/>
          <w:szCs w:val="24"/>
        </w:rPr>
        <w:t>La existencia de demasiados actores implicados en</w:t>
      </w:r>
      <w:r w:rsidR="002C4C0D" w:rsidRPr="002C4C0D">
        <w:rPr>
          <w:rFonts w:ascii="Times New Roman" w:hAnsi="Times New Roman" w:cs="Times New Roman"/>
          <w:b/>
          <w:sz w:val="24"/>
          <w:szCs w:val="24"/>
        </w:rPr>
        <w:t xml:space="preserve"> la toma de decisiones lastra cualquier</w:t>
      </w:r>
      <w:r w:rsidRPr="002C4C0D">
        <w:rPr>
          <w:rFonts w:ascii="Times New Roman" w:hAnsi="Times New Roman" w:cs="Times New Roman"/>
          <w:b/>
          <w:sz w:val="24"/>
          <w:szCs w:val="24"/>
        </w:rPr>
        <w:t xml:space="preserve"> campaña</w:t>
      </w:r>
      <w:r w:rsidR="002C4C0D" w:rsidRPr="002C4C0D">
        <w:rPr>
          <w:rFonts w:ascii="Times New Roman" w:hAnsi="Times New Roman" w:cs="Times New Roman"/>
          <w:b/>
          <w:sz w:val="24"/>
          <w:szCs w:val="24"/>
        </w:rPr>
        <w:t>. La estructura de la UE no es adecuada para una acción ejecutiva ágil, y sus mecanismos de toma de decisiones excesivamente complicados son un obstáculo para la responsabilidad. Mientras esto siga siendo así, las crisis seguirán impactando con especial virulencia en Europa.</w:t>
      </w:r>
    </w:p>
    <w:p w:rsidR="005F156F" w:rsidRDefault="002C4C0D" w:rsidP="005F156F">
      <w:pPr>
        <w:spacing w:line="240" w:lineRule="auto"/>
        <w:jc w:val="both"/>
        <w:rPr>
          <w:rFonts w:ascii="Times New Roman" w:hAnsi="Times New Roman" w:cs="Times New Roman"/>
          <w:b/>
          <w:sz w:val="24"/>
          <w:szCs w:val="24"/>
        </w:rPr>
      </w:pPr>
      <w:r w:rsidRPr="00AA21B2">
        <w:rPr>
          <w:rFonts w:ascii="Times New Roman" w:hAnsi="Times New Roman" w:cs="Times New Roman"/>
          <w:b/>
          <w:sz w:val="24"/>
          <w:szCs w:val="24"/>
        </w:rPr>
        <w:t>La necesidad de unanimidad en el Consejo Europeo ralentiza la toma de decisiones y hace de la Unión Europea un gigante burocrático que llega tarde en muchos asuntos. Algunos Estados miembros son partidarios de acabar con ella, pero se encuentran con la oposición de otros, para los que es su única protección.</w:t>
      </w:r>
    </w:p>
    <w:p w:rsidR="00AA21B2" w:rsidRDefault="00AA21B2" w:rsidP="005F156F">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unanimidad se ha convertido en un freno: alarga la toma de decisiones y provoca que la Unión Europea camine demasiado lento. Esto hace que</w:t>
      </w:r>
      <w:r w:rsidRPr="00AA21B2">
        <w:rPr>
          <w:rFonts w:ascii="Times New Roman" w:hAnsi="Times New Roman" w:cs="Times New Roman"/>
          <w:b/>
          <w:sz w:val="24"/>
          <w:szCs w:val="24"/>
        </w:rPr>
        <w:t xml:space="preserve"> el bloque </w:t>
      </w:r>
      <w:r>
        <w:rPr>
          <w:rFonts w:ascii="Times New Roman" w:hAnsi="Times New Roman" w:cs="Times New Roman"/>
          <w:b/>
          <w:sz w:val="24"/>
          <w:szCs w:val="24"/>
        </w:rPr>
        <w:t>“no está donde quiere estar” en</w:t>
      </w:r>
      <w:r w:rsidRPr="00AA21B2">
        <w:rPr>
          <w:rFonts w:ascii="Times New Roman" w:hAnsi="Times New Roman" w:cs="Times New Roman"/>
          <w:b/>
          <w:sz w:val="24"/>
          <w:szCs w:val="24"/>
        </w:rPr>
        <w:t xml:space="preserve"> su</w:t>
      </w:r>
      <w:r>
        <w:rPr>
          <w:rFonts w:ascii="Times New Roman" w:hAnsi="Times New Roman" w:cs="Times New Roman"/>
          <w:b/>
          <w:sz w:val="24"/>
          <w:szCs w:val="24"/>
        </w:rPr>
        <w:t xml:space="preserve">s programas, y deba realizar </w:t>
      </w:r>
      <w:r w:rsidRPr="00AA21B2">
        <w:rPr>
          <w:rFonts w:ascii="Times New Roman" w:hAnsi="Times New Roman" w:cs="Times New Roman"/>
          <w:b/>
          <w:sz w:val="24"/>
          <w:szCs w:val="24"/>
        </w:rPr>
        <w:t>esfuerzos</w:t>
      </w:r>
      <w:r>
        <w:rPr>
          <w:rFonts w:ascii="Times New Roman" w:hAnsi="Times New Roman" w:cs="Times New Roman"/>
          <w:b/>
          <w:sz w:val="24"/>
          <w:szCs w:val="24"/>
        </w:rPr>
        <w:t xml:space="preserve"> de urgencia (siempre por detrás de los acontecimientos) para “acelerar” los</w:t>
      </w:r>
      <w:r w:rsidRPr="00AA21B2">
        <w:rPr>
          <w:rFonts w:ascii="Times New Roman" w:hAnsi="Times New Roman" w:cs="Times New Roman"/>
          <w:b/>
          <w:sz w:val="24"/>
          <w:szCs w:val="24"/>
        </w:rPr>
        <w:t xml:space="preserve"> proceso</w:t>
      </w:r>
      <w:r>
        <w:rPr>
          <w:rFonts w:ascii="Times New Roman" w:hAnsi="Times New Roman" w:cs="Times New Roman"/>
          <w:b/>
          <w:sz w:val="24"/>
          <w:szCs w:val="24"/>
        </w:rPr>
        <w:t>s necesarios (lo más posible)</w:t>
      </w:r>
      <w:r w:rsidRPr="00AA21B2">
        <w:rPr>
          <w:rFonts w:ascii="Times New Roman" w:hAnsi="Times New Roman" w:cs="Times New Roman"/>
          <w:b/>
          <w:sz w:val="24"/>
          <w:szCs w:val="24"/>
        </w:rPr>
        <w:t>.</w:t>
      </w:r>
    </w:p>
    <w:p w:rsidR="00D03891" w:rsidRDefault="00AA21B2" w:rsidP="005F156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Esta falencia se puso en evidencia durante la crisis sanitaria (2020) y actualmente con la crisis de abastecimientos y </w:t>
      </w:r>
      <w:r w:rsidR="00D03891">
        <w:rPr>
          <w:rFonts w:ascii="Times New Roman" w:hAnsi="Times New Roman" w:cs="Times New Roman"/>
          <w:b/>
          <w:sz w:val="24"/>
          <w:szCs w:val="24"/>
        </w:rPr>
        <w:t>recursos energéticos (2022). Llegando tarde, mal y con mayores costos.</w:t>
      </w:r>
    </w:p>
    <w:p w:rsidR="00AA21B2" w:rsidRDefault="00D03891" w:rsidP="005F156F">
      <w:pPr>
        <w:spacing w:line="240" w:lineRule="auto"/>
        <w:jc w:val="both"/>
        <w:rPr>
          <w:rFonts w:ascii="Times New Roman" w:hAnsi="Times New Roman" w:cs="Times New Roman"/>
          <w:b/>
          <w:sz w:val="24"/>
          <w:szCs w:val="24"/>
        </w:rPr>
      </w:pPr>
      <w:r w:rsidRPr="00D03891">
        <w:rPr>
          <w:rFonts w:ascii="Times New Roman" w:hAnsi="Times New Roman" w:cs="Times New Roman"/>
          <w:b/>
          <w:sz w:val="24"/>
          <w:szCs w:val="24"/>
        </w:rPr>
        <w:t>Más allá de los problemas logísticos,</w:t>
      </w:r>
      <w:r>
        <w:rPr>
          <w:rFonts w:ascii="Times New Roman" w:hAnsi="Times New Roman" w:cs="Times New Roman"/>
          <w:b/>
          <w:sz w:val="24"/>
          <w:szCs w:val="24"/>
        </w:rPr>
        <w:t xml:space="preserve"> y económicos, estos fallos procedimentales se</w:t>
      </w:r>
      <w:r w:rsidRPr="00D03891">
        <w:rPr>
          <w:rFonts w:ascii="Times New Roman" w:hAnsi="Times New Roman" w:cs="Times New Roman"/>
          <w:b/>
          <w:sz w:val="24"/>
          <w:szCs w:val="24"/>
        </w:rPr>
        <w:t xml:space="preserve"> enfrentan </w:t>
      </w:r>
      <w:r>
        <w:rPr>
          <w:rFonts w:ascii="Times New Roman" w:hAnsi="Times New Roman" w:cs="Times New Roman"/>
          <w:b/>
          <w:sz w:val="24"/>
          <w:szCs w:val="24"/>
        </w:rPr>
        <w:t xml:space="preserve">a </w:t>
      </w:r>
      <w:r w:rsidRPr="00D03891">
        <w:rPr>
          <w:rFonts w:ascii="Times New Roman" w:hAnsi="Times New Roman" w:cs="Times New Roman"/>
          <w:b/>
          <w:sz w:val="24"/>
          <w:szCs w:val="24"/>
        </w:rPr>
        <w:t>un probl</w:t>
      </w:r>
      <w:r>
        <w:rPr>
          <w:rFonts w:ascii="Times New Roman" w:hAnsi="Times New Roman" w:cs="Times New Roman"/>
          <w:b/>
          <w:sz w:val="24"/>
          <w:szCs w:val="24"/>
        </w:rPr>
        <w:t>ema mayor: el escepticismo de los ciudadanos (la pérdida de confianza en las instituciones europeas)</w:t>
      </w:r>
      <w:r w:rsidRPr="00D03891">
        <w:rPr>
          <w:rFonts w:ascii="Times New Roman" w:hAnsi="Times New Roman" w:cs="Times New Roman"/>
          <w:b/>
          <w:sz w:val="24"/>
          <w:szCs w:val="24"/>
        </w:rPr>
        <w:t>.</w:t>
      </w:r>
    </w:p>
    <w:p w:rsidR="00D03891" w:rsidRDefault="00D03891" w:rsidP="005F156F">
      <w:pPr>
        <w:spacing w:line="240" w:lineRule="auto"/>
        <w:jc w:val="both"/>
        <w:rPr>
          <w:rFonts w:ascii="Times New Roman" w:hAnsi="Times New Roman" w:cs="Times New Roman"/>
          <w:b/>
          <w:sz w:val="24"/>
          <w:szCs w:val="24"/>
        </w:rPr>
      </w:pPr>
      <w:r w:rsidRPr="00D03891">
        <w:rPr>
          <w:rFonts w:ascii="Times New Roman" w:hAnsi="Times New Roman" w:cs="Times New Roman"/>
          <w:b/>
          <w:sz w:val="24"/>
          <w:szCs w:val="24"/>
        </w:rPr>
        <w:t>El gran reto al que nos enfrentamos es que la mayoría de los problemas que surgen en nuestro entorno necesitan de respuestas inmediatas y coordinadas y esto es algo que no estamos consiguiendo.</w:t>
      </w:r>
    </w:p>
    <w:p w:rsidR="00D03891" w:rsidRDefault="00D03891" w:rsidP="005F156F">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Unión Europea e</w:t>
      </w:r>
      <w:r w:rsidRPr="00D03891">
        <w:rPr>
          <w:rFonts w:ascii="Times New Roman" w:hAnsi="Times New Roman" w:cs="Times New Roman"/>
          <w:b/>
          <w:sz w:val="24"/>
          <w:szCs w:val="24"/>
        </w:rPr>
        <w:t>s lenta tomando decisiones y debido a esto está perdiendo fuerza y credibilidad frente a otros actores internacionales.</w:t>
      </w:r>
      <w:r>
        <w:rPr>
          <w:rFonts w:ascii="Times New Roman" w:hAnsi="Times New Roman" w:cs="Times New Roman"/>
          <w:b/>
          <w:sz w:val="24"/>
          <w:szCs w:val="24"/>
        </w:rPr>
        <w:t xml:space="preserve"> La Unión Europea</w:t>
      </w:r>
      <w:r w:rsidRPr="00D03891">
        <w:rPr>
          <w:rFonts w:ascii="Times New Roman" w:hAnsi="Times New Roman" w:cs="Times New Roman"/>
          <w:b/>
          <w:sz w:val="24"/>
          <w:szCs w:val="24"/>
        </w:rPr>
        <w:t xml:space="preserve"> lleva mucho tiempo lidiando con este sistema de votación el cual ha ralentizado, paralizado o incluso impedido la realización de una </w:t>
      </w:r>
      <w:r>
        <w:rPr>
          <w:rFonts w:ascii="Times New Roman" w:hAnsi="Times New Roman" w:cs="Times New Roman"/>
          <w:b/>
          <w:sz w:val="24"/>
          <w:szCs w:val="24"/>
        </w:rPr>
        <w:t>actuación conjunta y clara en casos de urgencia o importancia estratégica.</w:t>
      </w:r>
    </w:p>
    <w:p w:rsidR="00D03891" w:rsidRDefault="00D03891" w:rsidP="005F156F">
      <w:pPr>
        <w:spacing w:line="240" w:lineRule="auto"/>
        <w:jc w:val="both"/>
        <w:rPr>
          <w:rFonts w:ascii="Times New Roman" w:hAnsi="Times New Roman" w:cs="Times New Roman"/>
          <w:b/>
          <w:sz w:val="24"/>
          <w:szCs w:val="24"/>
        </w:rPr>
      </w:pPr>
      <w:r>
        <w:rPr>
          <w:rFonts w:ascii="Times New Roman" w:hAnsi="Times New Roman" w:cs="Times New Roman"/>
          <w:b/>
          <w:sz w:val="24"/>
          <w:szCs w:val="24"/>
        </w:rPr>
        <w:t>A</w:t>
      </w:r>
      <w:r w:rsidRPr="00D03891">
        <w:rPr>
          <w:rFonts w:ascii="Times New Roman" w:hAnsi="Times New Roman" w:cs="Times New Roman"/>
          <w:b/>
          <w:sz w:val="24"/>
          <w:szCs w:val="24"/>
        </w:rPr>
        <w:t>demás, este sistema hace que se ponga de manifiesto las divisiones entre los diferentes Estados Miembros que impiden la capacidad colectiva de actuar, incluso sobre aquellas cuestiones que tratan asuntos relacionados con los prin</w:t>
      </w:r>
      <w:r w:rsidR="00A72681">
        <w:rPr>
          <w:rFonts w:ascii="Times New Roman" w:hAnsi="Times New Roman" w:cs="Times New Roman"/>
          <w:b/>
          <w:sz w:val="24"/>
          <w:szCs w:val="24"/>
        </w:rPr>
        <w:t>cipios fundacionales de la UE</w:t>
      </w:r>
      <w:r w:rsidRPr="00D03891">
        <w:rPr>
          <w:rFonts w:ascii="Times New Roman" w:hAnsi="Times New Roman" w:cs="Times New Roman"/>
          <w:b/>
          <w:sz w:val="24"/>
          <w:szCs w:val="24"/>
        </w:rPr>
        <w:t>. Para hacer frente a esta situación y conseguir el consenso de los 27 Estados miembros, las posibles medidas de actuación que se presentan en un principio suelen rebajarse, y muchísimo, y el impacto que en un principio se quería tener se ve deteriorando considerablemente. Esto, sumado al largo tiempo que requiere lograr la unanimidad, es la razón por la que la UE no suele ser un actor relevante en Política Exterior.</w:t>
      </w:r>
    </w:p>
    <w:p w:rsidR="00A72681" w:rsidRPr="00AA21B2" w:rsidRDefault="00A72681" w:rsidP="005F156F">
      <w:pPr>
        <w:spacing w:line="240" w:lineRule="auto"/>
        <w:jc w:val="both"/>
        <w:rPr>
          <w:rFonts w:ascii="Times New Roman" w:hAnsi="Times New Roman" w:cs="Times New Roman"/>
          <w:b/>
          <w:sz w:val="24"/>
          <w:szCs w:val="24"/>
        </w:rPr>
      </w:pPr>
      <w:r>
        <w:rPr>
          <w:rFonts w:ascii="Times New Roman" w:hAnsi="Times New Roman" w:cs="Times New Roman"/>
          <w:b/>
          <w:sz w:val="24"/>
          <w:szCs w:val="24"/>
        </w:rPr>
        <w:t>E</w:t>
      </w:r>
      <w:r w:rsidRPr="00A72681">
        <w:rPr>
          <w:rFonts w:ascii="Times New Roman" w:hAnsi="Times New Roman" w:cs="Times New Roman"/>
          <w:b/>
          <w:sz w:val="24"/>
          <w:szCs w:val="24"/>
        </w:rPr>
        <w:t>s necesario dotar a las instituciones de unos instrumentos que les permitan ser más ágiles y tener más poder de decisión, consiguiendo así, tener una sola voz como actor internacional para tener mayor peso frente a otras potencias. La mayoría cualifi</w:t>
      </w:r>
      <w:r>
        <w:rPr>
          <w:rFonts w:ascii="Times New Roman" w:hAnsi="Times New Roman" w:cs="Times New Roman"/>
          <w:b/>
          <w:sz w:val="24"/>
          <w:szCs w:val="24"/>
        </w:rPr>
        <w:t>cada, es un mecanismo urgente y necesario que la UE debe adoptar</w:t>
      </w:r>
      <w:r w:rsidR="00867604">
        <w:rPr>
          <w:rFonts w:ascii="Times New Roman" w:hAnsi="Times New Roman" w:cs="Times New Roman"/>
          <w:b/>
          <w:sz w:val="24"/>
          <w:szCs w:val="24"/>
        </w:rPr>
        <w:t>, en estos tiempos difíciles.</w:t>
      </w:r>
    </w:p>
    <w:p w:rsidR="001C678E" w:rsidRDefault="001C678E"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0E3409">
        <w:rPr>
          <w:rFonts w:ascii="Times New Roman" w:eastAsia="Times New Roman" w:hAnsi="Times New Roman" w:cs="Times New Roman"/>
          <w:b/>
          <w:sz w:val="24"/>
          <w:szCs w:val="24"/>
          <w:lang w:eastAsia="es-ES"/>
        </w:rPr>
        <w:lastRenderedPageBreak/>
        <w:t>El fracaso del “appeasement”</w:t>
      </w:r>
      <w:r>
        <w:rPr>
          <w:rFonts w:ascii="Times New Roman" w:eastAsia="Times New Roman" w:hAnsi="Times New Roman" w:cs="Times New Roman"/>
          <w:b/>
          <w:sz w:val="24"/>
          <w:szCs w:val="24"/>
          <w:lang w:eastAsia="es-ES"/>
        </w:rPr>
        <w:t xml:space="preserve"> germano (política de apaciguamiento frente Rusia)</w:t>
      </w:r>
    </w:p>
    <w:p w:rsidR="006E5AE2" w:rsidRPr="00801674" w:rsidRDefault="00801674" w:rsidP="006E5AE2">
      <w:pPr>
        <w:pStyle w:val="bbc-bm53ic"/>
        <w:shd w:val="clear" w:color="auto" w:fill="FDFDFD"/>
        <w:spacing w:after="0"/>
        <w:jc w:val="both"/>
      </w:pPr>
      <w:r w:rsidRPr="00801674">
        <w:t>¿E</w:t>
      </w:r>
      <w:r w:rsidR="006E5AE2" w:rsidRPr="00801674">
        <w:t>stá despertando Alemania</w:t>
      </w:r>
      <w:r>
        <w:t xml:space="preserve"> (la superpotencia ingenua)</w:t>
      </w:r>
      <w:r w:rsidR="006E5AE2" w:rsidRPr="00801674">
        <w:t xml:space="preserve"> al nuevo orden mundial</w:t>
      </w:r>
      <w:r w:rsidRPr="00801674">
        <w:t xml:space="preserve">? </w:t>
      </w:r>
    </w:p>
    <w:p w:rsidR="006E5AE2" w:rsidRPr="00801674" w:rsidRDefault="006E5AE2" w:rsidP="006E5AE2">
      <w:pPr>
        <w:pStyle w:val="bbc-bm53ic"/>
        <w:shd w:val="clear" w:color="auto" w:fill="FDFDFD"/>
        <w:spacing w:after="0"/>
        <w:jc w:val="both"/>
      </w:pPr>
      <w:r w:rsidRPr="00801674">
        <w:t>Consternación, decepción y también enfado por la propia “ingenuidad”. La invasión rusa en Ucrania ha sacudido los cimientos de la política exterior de Alemania hasta el punto de que es posible que esté cambiando, para siempre, algunas de sus coordenadas más claras. La guerra iniciada por Vladimir Putin es también un fracaso de la diplomacia germana, que apostó hasta última hora por la buena voluntad del Kremlin. Y un fiasco a mayor escala para la tradicional política de apaciguamiento de Berlín, hasta ahora siempre preocupada por atender y respetar las sensibilidades de Moscú. Los golpes de realidad han echado por la borda viejas convicciones políticas forjadas en la Alemania de la posguerra. La gran potencia europea, tumbada en el diván geopolítico. Este cambio de paradigma se empezaba intuir en las primeras palabras públicas del canciller alemán, el socialdemócrata Olaf</w:t>
      </w:r>
      <w:r w:rsidR="00801674" w:rsidRPr="00801674">
        <w:t xml:space="preserve"> Scholz. </w:t>
      </w:r>
      <w:r w:rsidRPr="00801674">
        <w:t>Tanto por su tono sombrío y resoluto, como por todo aquello que no dijo. “Para esto no hay justificación. Esta es la guerra de Putin”, dijo Scholz en Berlín en una breve comparecencia de poco más de tres minutos en la que por primera vez no habló de diplomacia, sino de impulsar duras sanciones conjuntas contra Rusia.</w:t>
      </w:r>
    </w:p>
    <w:p w:rsidR="006E5AE2" w:rsidRPr="00801674" w:rsidRDefault="006E5AE2" w:rsidP="006E5AE2">
      <w:pPr>
        <w:pStyle w:val="bbc-bm53ic"/>
        <w:shd w:val="clear" w:color="auto" w:fill="FDFDFD"/>
        <w:spacing w:after="0"/>
        <w:jc w:val="both"/>
      </w:pPr>
      <w:r w:rsidRPr="00801674">
        <w:t>“El objetivo de las sanciones es dejarle claro a la cúpula rusa que va a pagar un amargo precio por esta agresión. Va a quedar claro que Putin cometió un grave error con su guerra”, agregó. La dureza de Scholz con su homólogo ruso dejaba atrás así la era de los intentos de apaciguamiento de su predecesora, Angela Merkel, en sus numerosas visitas al Kremlin entre 2005 y 2021, y enterraba definitivamente la época del abierto compadreo del excanciller y compañero de partido Gerhard Schröder -quien ahora es uno de los miembros del consejo de dirección de la gigante paraestatal rusa Gazprom-. Pero el fracaso de la diplomacia alemana lo encarna también e</w:t>
      </w:r>
      <w:r w:rsidR="00801674" w:rsidRPr="00801674">
        <w:t xml:space="preserve">l mismo Scholz, quien en </w:t>
      </w:r>
      <w:r w:rsidRPr="00801674">
        <w:t>días</w:t>
      </w:r>
      <w:r w:rsidR="00801674" w:rsidRPr="00801674">
        <w:t xml:space="preserve"> anteriores</w:t>
      </w:r>
      <w:r w:rsidRPr="00801674">
        <w:t xml:space="preserve"> visitó el Kremlin siguiendo los pasos del presidente francés, Emmanuel Macron, para intentar convencer a Putin de no empezar una guerra. Todo fue en vano. “A posteriori”, la puesta en escena de las conversaciones con los líderes de Francia y Alemania, así como los supuestos gestos del Kremlin al ordenar un repliegue de tropas rusas en Bielorrusia el mismo día en que Scholz desembarcaba en Moscú, parecen hoy una mofa de Putin.</w:t>
      </w:r>
    </w:p>
    <w:p w:rsidR="006E5AE2" w:rsidRPr="00801674" w:rsidRDefault="006E5AE2" w:rsidP="006E5AE2">
      <w:pPr>
        <w:pStyle w:val="bbc-bm53ic"/>
        <w:shd w:val="clear" w:color="auto" w:fill="FDFDFD"/>
        <w:spacing w:after="0"/>
        <w:jc w:val="both"/>
      </w:pPr>
      <w:r w:rsidRPr="00801674">
        <w:t xml:space="preserve">En ese momento, algunos observadores vieron aún con algo de esperanza la iniciativa diplomática de Scholz. Pero ahora reina en la opinión pública germana una convicción generalizada de que Berlín necesita redefinir sus posturas por la llegada de una nueva era para Europa y para el orden político mundial. “Nos hemos despertado en un mundo distinto”, avisaba la ministra de Exteriores, la “verde” Annalena Baerbock. “Si </w:t>
      </w:r>
      <w:r w:rsidR="00801674" w:rsidRPr="00801674">
        <w:t>no les salimos al frente ahora (a los rusos)</w:t>
      </w:r>
      <w:r w:rsidRPr="00801674">
        <w:t xml:space="preserve"> de forma decidida, pagaremos un precio aún más alto”, agregó. Más cruda fue incluso la reacción de Annegret Kramp-Karrenbauer, exministra de Defensa de Merkel y exlíder de la conservadora CDU, el partido de gobierno por excelencia en la Alemania de la posguerra. “Estoy furiosa con nosotros mismos por nuestro fracaso histórico. Después de (los conflictos en) Georgia, Crimea y el Donbás, no preparamos nada que pudiese contener de verdad a Putin”, escribió Kramp-Karrenbauer en Twitter. Sus palabras eran un ajuste de cuentas general con la política del “appeasement”, del apaciguamiento frente a Rusia.</w:t>
      </w:r>
    </w:p>
    <w:p w:rsidR="006E5AE2" w:rsidRDefault="006E5AE2" w:rsidP="006E5AE2">
      <w:pPr>
        <w:pStyle w:val="bbc-bm53ic"/>
        <w:shd w:val="clear" w:color="auto" w:fill="FDFDFD"/>
        <w:spacing w:after="0"/>
        <w:jc w:val="both"/>
      </w:pPr>
      <w:r>
        <w:t>El fracaso del “appeasement”</w:t>
      </w:r>
    </w:p>
    <w:p w:rsidR="006E5AE2" w:rsidRDefault="006E5AE2" w:rsidP="006E5AE2">
      <w:pPr>
        <w:pStyle w:val="bbc-bm53ic"/>
        <w:shd w:val="clear" w:color="auto" w:fill="FDFDFD"/>
        <w:spacing w:after="0"/>
        <w:jc w:val="both"/>
      </w:pPr>
      <w:r>
        <w:t xml:space="preserve">Este despertar a regañadientes es visible también en la coalición de gobierno, tanto en las filas de los socialdemócratas -históricamente defensoras de la línea rusófila de diálogo con el </w:t>
      </w:r>
      <w:r>
        <w:lastRenderedPageBreak/>
        <w:t xml:space="preserve">Kremlin-, como entre Los Verdes -abanderados del pacifismo alemán y de la política de no entregar armas a Ucrania-. “El ataque de Putin a Ucrania representa un profundo cambio”, señaló el jefe de la bancada socialdemócrata en el Bundestag, Rolf Mützenich, una de las voces que más abogaba hasta ahora por el diálogo. “El presidente de Rusia es un criminal de guerra”, agregó Mützenich con dureza en un comunicado difundido por su bancada.  </w:t>
      </w:r>
    </w:p>
    <w:p w:rsidR="006E5AE2" w:rsidRDefault="006E5AE2" w:rsidP="006E5AE2">
      <w:pPr>
        <w:pStyle w:val="bbc-bm53ic"/>
        <w:shd w:val="clear" w:color="auto" w:fill="FDFDFD"/>
        <w:spacing w:after="0"/>
        <w:jc w:val="both"/>
      </w:pPr>
      <w:r w:rsidRPr="00801674">
        <w:t>Una de las reflexiones más claras sobre el cambio de paradigma la hizo otro político “verde”, Robert Habeck, actual ministro de Economía y vicecanciller. “En retrospectiva hay que decir (...) que fuimos muy ingenuos. Occidente, Europa, Alemania”, enumeró Habeck en una entrevista con la televisión pública.</w:t>
      </w:r>
      <w:r>
        <w:t xml:space="preserve"> Horas antes del comienzo de la invasión rusa, también había formulado de forma aún difusa cuáles son los nuevos retos para Alemania, entre ellos el de reducir su dependencia del gas ruso e incluso el de reforzar la capacidad militar, un tema particularmente espinoso para cualquier Gobierno germano.</w:t>
      </w:r>
    </w:p>
    <w:p w:rsidR="006E5AE2" w:rsidRDefault="006E5AE2" w:rsidP="006E5AE2">
      <w:pPr>
        <w:pStyle w:val="bbc-bm53ic"/>
        <w:shd w:val="clear" w:color="auto" w:fill="FDFDFD"/>
        <w:spacing w:after="0"/>
        <w:jc w:val="both"/>
      </w:pPr>
      <w:r>
        <w:t>“Estamos viviendo una profunda ruptura en la política alemana, en la política europea y en la política transatlántica”, dijo Habeck durante una tertulia televisiva en la noche del miércoles. Esto fuerza una “reorientación por completo del sector energético, del rumbo de la economía, también de la capacidad de las Fuerzas Armadas alemanas y de la relación transatlántica”, vaticinó. El mayor compromiso para financiar la alianza militar de la OTAN, en particular de potencias económicas continentales como Alemania, es una vieja exigencia de Estados Unidos.</w:t>
      </w:r>
    </w:p>
    <w:p w:rsidR="006E5AE2" w:rsidRDefault="006E5AE2" w:rsidP="006E5AE2">
      <w:pPr>
        <w:pStyle w:val="bbc-bm53ic"/>
        <w:shd w:val="clear" w:color="auto" w:fill="FDFDFD"/>
        <w:spacing w:after="0"/>
        <w:jc w:val="both"/>
      </w:pPr>
      <w:r>
        <w:t>La posibilidad de un aumento de la capacidad militar alemana, como sugería Habeck, no se asoma aún en el debate público y parece, “a priori”, difícil de impulsar en Alemania, un país marcado por un robusto movimiento pacifista tras el trauma de la Segunda Guerra Mundial. Algo que ha marcado la política exterior alemana hasta extremos insospechados. “Aquí vuestro recordatorio de que los alemanes han estado debatiendo la adquisición de drones armados durante décadas y todavía no tienen ninguno porque piensan que los drones son malvados. Estáis mirando a un país entero que ha decidido ser débil”, reflexionó Marcel Dirsus, profesor de ciencia política en el Instituto de Política de Seguridad de la Universidad de Kiel, en su cuenta de Twitter. “Si a los alemanes les ha llevado décadas comprar drones armados pese a que son obviamente útiles y perfectamente compatibles con los valores occidentales, ¿qué esperanza hay de que tengan un pensamiento estratégico y un liderazgo europeo más amplio? Es deprimente”, agregó. Sí vuelven a oírse, en cambio, las exigencias de que Berlín reconsidere su posición de no enviar armas a Ucrania, después de las recientes burlas del alcalde de Kiev, Vitali Klitschko, sobre la exigua ayuda militar alemana de 5.000 cascos. “¿Qué es lo siguiente que va a enviar Alemania como apoyo? ¿Almohadas?”, ironizó el regidor.</w:t>
      </w:r>
    </w:p>
    <w:p w:rsidR="00801674" w:rsidRDefault="006E5AE2" w:rsidP="006E5AE2">
      <w:pPr>
        <w:pStyle w:val="bbc-bm53ic"/>
        <w:shd w:val="clear" w:color="auto" w:fill="FDFDFD"/>
        <w:spacing w:after="0"/>
        <w:jc w:val="both"/>
      </w:pPr>
      <w:r>
        <w:t>“Yo me oponía al envío de armas para mantener abiertos los canales de comunicación con Rusia”, señaló el diputado conservador Norbert Rö</w:t>
      </w:r>
      <w:r w:rsidR="00801674">
        <w:t xml:space="preserve">ttgen, aspirante </w:t>
      </w:r>
      <w:r>
        <w:t xml:space="preserve">a asumir el liderazgo de la CDU. “Eso se acabó. Ahora se trata de defensa. Tenemos que entregar a Ucrania las armas que podamos poner a disposición”. Röttgen es miembro del Comité de Exteriores del Bundestag, un gremio que él mismo presidió hasta 2020, y que podría ser clave para un eventual apoyo de la Cámara al suministro de armamento a Ucrania. Y aunque el actual líder de los conservadores, Friedrich Merz, ya se había pronunciado a favor del envío de armas defensivas, el cambio de opinión de Röttgen podría reflejar además un posible nuevo ánimo en la opinión pública alemana. </w:t>
      </w:r>
    </w:p>
    <w:p w:rsidR="00801674" w:rsidRDefault="00801674" w:rsidP="006E5AE2">
      <w:pPr>
        <w:pStyle w:val="bbc-bm53ic"/>
        <w:shd w:val="clear" w:color="auto" w:fill="FDFDFD"/>
        <w:spacing w:after="0"/>
        <w:jc w:val="both"/>
      </w:pPr>
    </w:p>
    <w:p w:rsidR="006E5AE2" w:rsidRDefault="006E5AE2" w:rsidP="006E5AE2">
      <w:pPr>
        <w:pStyle w:val="bbc-bm53ic"/>
        <w:shd w:val="clear" w:color="auto" w:fill="FDFDFD"/>
        <w:spacing w:after="0"/>
        <w:jc w:val="both"/>
      </w:pPr>
      <w:r>
        <w:lastRenderedPageBreak/>
        <w:t>Otro paradigma energético</w:t>
      </w:r>
    </w:p>
    <w:p w:rsidR="006E5AE2" w:rsidRPr="00801674" w:rsidRDefault="006E5AE2" w:rsidP="006E5AE2">
      <w:pPr>
        <w:pStyle w:val="bbc-bm53ic"/>
        <w:shd w:val="clear" w:color="auto" w:fill="FDFDFD"/>
        <w:spacing w:after="0"/>
        <w:jc w:val="both"/>
      </w:pPr>
      <w:r w:rsidRPr="00801674">
        <w:t>En la capital alemana preocupa, por lo demás, el impacto que pueda tener la ofensiva rusa en su economía, especialmente en el suministro energético -Alemania importa el 55% del gas desde Rusia, según datos del Ministerio de Economía</w:t>
      </w:r>
      <w:r w:rsidR="00801674" w:rsidRPr="00801674">
        <w:t xml:space="preserve"> (febrero 2022)</w:t>
      </w:r>
      <w:r w:rsidRPr="00801674">
        <w:t>-. Pese a ello, Habeck aseguró que están preparados para afrontar un recorte e incluso una suspensión total del suministro ruso debido a las sanciones. “Vamos a tener que comprar más gas, pero también carbón, en otros países”, señaló el ministro. El político ecologista calificó además con más claridad que nunca el suministro energético como un “asunto estratégico y geopolítico” crucial para Alemania, pocos días después de que el Gobierno suspendiese la entrada en funcionamiento de Nord Stream 2, el gasoducto que une directamente Rusia y Alemania.</w:t>
      </w:r>
    </w:p>
    <w:p w:rsidR="006E5AE2" w:rsidRDefault="006E5AE2" w:rsidP="006E5AE2">
      <w:pPr>
        <w:pStyle w:val="bbc-bm53ic"/>
        <w:shd w:val="clear" w:color="auto" w:fill="FDFDFD"/>
        <w:spacing w:after="0"/>
        <w:jc w:val="both"/>
      </w:pPr>
      <w:r>
        <w:t>El cambio de paradigma alemán se había reflejado ya de forma clara en la suspensión de Nord Stream 2, que Berlín calificaba hasta hace poco como un proyecto meramente económico. Fue el propio Habeck quien admitió hace unos días que el gasoducto no podía ser visto sin tener en cuenta aspectos geopolíticos, como la dependencia energética de Rusia. Toda una novedad para el discurso oficial alemán, en un momento en el que el Gobierno asegura que lleva semanas preparándose para una nueva era en su diplomacia. Su primer reto: abandonar la “ingenuidad” del diálogo a toda costa y plantarle cara a Putin.</w:t>
      </w:r>
    </w:p>
    <w:p w:rsidR="006B2E70" w:rsidRPr="009C4C57" w:rsidRDefault="006B2E70" w:rsidP="006B2E70">
      <w:pPr>
        <w:spacing w:line="240" w:lineRule="auto"/>
        <w:jc w:val="both"/>
        <w:rPr>
          <w:rFonts w:ascii="Times New Roman" w:hAnsi="Times New Roman" w:cs="Times New Roman"/>
          <w:b/>
          <w:sz w:val="24"/>
          <w:szCs w:val="24"/>
        </w:rPr>
      </w:pPr>
      <w:r w:rsidRPr="009C4C57">
        <w:rPr>
          <w:rFonts w:ascii="Times New Roman" w:hAnsi="Times New Roman" w:cs="Times New Roman"/>
          <w:b/>
          <w:sz w:val="24"/>
          <w:szCs w:val="24"/>
        </w:rPr>
        <w:t xml:space="preserve">Alemania (“Cuesta abajo”): entre “la vergüenza de haber sido y el dolor de ya no ser” </w:t>
      </w:r>
    </w:p>
    <w:p w:rsidR="006B2E70" w:rsidRPr="009C4C57" w:rsidRDefault="006B2E70" w:rsidP="006B2E70">
      <w:pPr>
        <w:pStyle w:val="NormalWeb"/>
        <w:spacing w:after="0"/>
        <w:jc w:val="both"/>
        <w:textAlignment w:val="baseline"/>
        <w:rPr>
          <w:b/>
        </w:rPr>
      </w:pPr>
      <w:r w:rsidRPr="009C4C57">
        <w:rPr>
          <w:b/>
        </w:rPr>
        <w:t xml:space="preserve">Esto es la guerra (de Putin)… </w:t>
      </w:r>
    </w:p>
    <w:p w:rsidR="006B2E70" w:rsidRDefault="006B2E70" w:rsidP="006B2E70">
      <w:pPr>
        <w:pStyle w:val="NormalWeb"/>
        <w:spacing w:after="0"/>
        <w:jc w:val="both"/>
        <w:textAlignment w:val="baseline"/>
      </w:pPr>
      <w:r w:rsidRPr="007C1731">
        <w:t>El embargo al petróleo y al gas de Putin costaría un 3% del PIB europeo pero haría caer un 40% el de Rusia</w:t>
      </w:r>
      <w:r>
        <w:t xml:space="preserve">. (El Español - </w:t>
      </w:r>
      <w:r w:rsidRPr="00752AFE">
        <w:rPr>
          <w:b/>
        </w:rPr>
        <w:t>1/4/22</w:t>
      </w:r>
      <w:r>
        <w:t>)</w:t>
      </w:r>
    </w:p>
    <w:p w:rsidR="006B2E70" w:rsidRDefault="006B2E70" w:rsidP="006B2E70">
      <w:pPr>
        <w:spacing w:line="240" w:lineRule="auto"/>
        <w:jc w:val="both"/>
        <w:rPr>
          <w:rFonts w:ascii="Times New Roman" w:eastAsia="Times New Roman" w:hAnsi="Times New Roman" w:cs="Times New Roman"/>
          <w:sz w:val="24"/>
          <w:szCs w:val="24"/>
          <w:lang w:eastAsia="es-ES"/>
        </w:rPr>
      </w:pPr>
      <w:r w:rsidRPr="009615CA">
        <w:rPr>
          <w:rFonts w:ascii="Times New Roman" w:eastAsia="Times New Roman" w:hAnsi="Times New Roman" w:cs="Times New Roman"/>
          <w:sz w:val="24"/>
          <w:szCs w:val="24"/>
          <w:lang w:eastAsia="es-ES"/>
        </w:rPr>
        <w:t>Desde que comenzó la invasión de Ucrania, y la UE lanzó cuatro paquetes de sanciones</w:t>
      </w:r>
      <w:r>
        <w:rPr>
          <w:rFonts w:ascii="Times New Roman" w:eastAsia="Times New Roman" w:hAnsi="Times New Roman" w:cs="Times New Roman"/>
          <w:sz w:val="24"/>
          <w:szCs w:val="24"/>
          <w:lang w:eastAsia="es-ES"/>
        </w:rPr>
        <w:t xml:space="preserve"> al régimen de Vladímir Putin, “</w:t>
      </w:r>
      <w:r w:rsidRPr="009615CA">
        <w:rPr>
          <w:rFonts w:ascii="Times New Roman" w:eastAsia="Times New Roman" w:hAnsi="Times New Roman" w:cs="Times New Roman"/>
          <w:sz w:val="24"/>
          <w:szCs w:val="24"/>
          <w:lang w:eastAsia="es-ES"/>
        </w:rPr>
        <w:t>hay un aguje</w:t>
      </w:r>
      <w:r>
        <w:rPr>
          <w:rFonts w:ascii="Times New Roman" w:eastAsia="Times New Roman" w:hAnsi="Times New Roman" w:cs="Times New Roman"/>
          <w:sz w:val="24"/>
          <w:szCs w:val="24"/>
          <w:lang w:eastAsia="es-ES"/>
        </w:rPr>
        <w:t>ro enorme que las hace inútiles”, explican los expertos: “</w:t>
      </w:r>
      <w:r w:rsidRPr="009615CA">
        <w:rPr>
          <w:rFonts w:ascii="Times New Roman" w:eastAsia="Times New Roman" w:hAnsi="Times New Roman" w:cs="Times New Roman"/>
          <w:sz w:val="24"/>
          <w:szCs w:val="24"/>
          <w:lang w:eastAsia="es-ES"/>
        </w:rPr>
        <w:t>Cada día, le mandamos más de 700 millones de euros, más de 23.000 millones ha recaudado ya. Y con ese dinero que le damos, fin</w:t>
      </w:r>
      <w:r>
        <w:rPr>
          <w:rFonts w:ascii="Times New Roman" w:eastAsia="Times New Roman" w:hAnsi="Times New Roman" w:cs="Times New Roman"/>
          <w:sz w:val="24"/>
          <w:szCs w:val="24"/>
          <w:lang w:eastAsia="es-ES"/>
        </w:rPr>
        <w:t>ancia la devastación de Ucrania”</w:t>
      </w:r>
      <w:r w:rsidRPr="009615CA">
        <w:rPr>
          <w:rFonts w:ascii="Times New Roman" w:eastAsia="Times New Roman" w:hAnsi="Times New Roman" w:cs="Times New Roman"/>
          <w:sz w:val="24"/>
          <w:szCs w:val="24"/>
          <w:lang w:eastAsia="es-ES"/>
        </w:rPr>
        <w:t>.</w:t>
      </w:r>
    </w:p>
    <w:p w:rsidR="006B2E70" w:rsidRPr="008B6BB9" w:rsidRDefault="006B2E70" w:rsidP="006B2E70">
      <w:pPr>
        <w:pStyle w:val="NormalWeb"/>
        <w:spacing w:after="0"/>
        <w:jc w:val="both"/>
        <w:textAlignment w:val="baseline"/>
        <w:rPr>
          <w:b/>
        </w:rPr>
      </w:pPr>
      <w:r w:rsidRPr="008B6BB9">
        <w:rPr>
          <w:b/>
        </w:rPr>
        <w:t xml:space="preserve">Y esta es la forma en que la UE la pierde (ante Putin)… por </w:t>
      </w:r>
      <w:r w:rsidR="00CA5407">
        <w:rPr>
          <w:b/>
        </w:rPr>
        <w:t>“</w:t>
      </w:r>
      <w:r w:rsidRPr="008B6BB9">
        <w:rPr>
          <w:b/>
        </w:rPr>
        <w:t>incomparecencia</w:t>
      </w:r>
      <w:r w:rsidR="00CA5407">
        <w:rPr>
          <w:b/>
        </w:rPr>
        <w:t>”</w:t>
      </w:r>
    </w:p>
    <w:p w:rsidR="006B2E70" w:rsidRDefault="00906BF1" w:rsidP="006B2E70">
      <w:pPr>
        <w:pStyle w:val="NormalWeb"/>
        <w:spacing w:after="0"/>
        <w:jc w:val="both"/>
        <w:textAlignment w:val="baseline"/>
      </w:pPr>
      <w:r>
        <w:t>La “Ostpolitik”</w:t>
      </w:r>
      <w:r w:rsidR="006B2E70">
        <w:t xml:space="preserve"> alemana ha durado 50 años: una intensa colaboración con la URSS y la Federación Rusa que neutraliza ahora a la primera economía de la UE. (El Confidencial - </w:t>
      </w:r>
      <w:r w:rsidR="006B2E70" w:rsidRPr="009615CA">
        <w:rPr>
          <w:b/>
        </w:rPr>
        <w:t>31/3/22</w:t>
      </w:r>
      <w:r w:rsidR="006B2E70">
        <w:t>)</w:t>
      </w:r>
    </w:p>
    <w:p w:rsidR="006B2E70" w:rsidRDefault="006B2E70" w:rsidP="006B2E70">
      <w:pPr>
        <w:pStyle w:val="NormalWeb"/>
        <w:spacing w:after="0"/>
        <w:jc w:val="both"/>
        <w:textAlignment w:val="baseline"/>
      </w:pPr>
      <w:r>
        <w:t>La República Federal de Alemania -ya unificada- constituye una rémora para la adopción del embargo energético a la Federación Rusa, que sería la medida decisiva para cortocircuitar la criminal invasión de Putin a Ucrania y convierte al país en determinante para el conjunto de la UE al ser su primera economía. Paga Alemania y pagan la Unión Europea y la OTAN la “Ostpolitik” que inauguró entre 1969 y 1974 el canciller socialdemócrata Willy Brandt. Al contrario que Konrad Adenauer, Brandt creyó que la Alemania occidental debía abrirse a reconocer las fronteras establecidas en el Este de Europa tras la II Guerra Mundial y aceptar la división del país bajo el principio de “una nación y dos Estados”. Y establecer con la URSS relaciones de colaboración.</w:t>
      </w:r>
    </w:p>
    <w:p w:rsidR="006B2E70" w:rsidRDefault="006B2E70" w:rsidP="006B2E70">
      <w:pPr>
        <w:pStyle w:val="NormalWeb"/>
        <w:spacing w:after="0"/>
        <w:jc w:val="both"/>
        <w:textAlignment w:val="baseline"/>
      </w:pPr>
    </w:p>
    <w:p w:rsidR="006B2E70" w:rsidRPr="008B6BB9" w:rsidRDefault="006B2E70" w:rsidP="006B2E70">
      <w:pPr>
        <w:pStyle w:val="NormalWeb"/>
        <w:spacing w:after="0"/>
        <w:jc w:val="both"/>
        <w:textAlignment w:val="baseline"/>
        <w:rPr>
          <w:b/>
        </w:rPr>
      </w:pPr>
      <w:r w:rsidRPr="008B6BB9">
        <w:rPr>
          <w:b/>
        </w:rPr>
        <w:lastRenderedPageBreak/>
        <w:t>La conjura de los necios (las amistades peligrosas): hay de todos los países y de todos los partidos</w:t>
      </w:r>
    </w:p>
    <w:p w:rsidR="006B2E70" w:rsidRPr="008B6BB9" w:rsidRDefault="006B2E70" w:rsidP="006B2E70">
      <w:pPr>
        <w:pStyle w:val="NormalWeb"/>
        <w:spacing w:after="0"/>
        <w:jc w:val="both"/>
        <w:textAlignment w:val="baseline"/>
      </w:pPr>
      <w:r w:rsidRPr="008B6BB9">
        <w:t>“Grandes figuras de la política europea ejercían de colaboradores de excepción en instituciones económicas rusas, mafiosas de Estado como es sabido. No es sólo Gerhard Schröder, el hombre de Gran Gaseoducto que llenaría Alemania y Europa entera de energía putinesca. Estaba el expresidente de la República francesa, Nicolas Sarkozy y quien fuera la gran esperanza de la izquierda gala hasta que se le cruzó una limpiadora en Nueva York, Dominique Strauss-Kahn, consejero de inversiones de los Fondos Soberanos de Rusia. También ex jefes de gobierno como los austriacos Kern y Schüssel, y los finlandeses Aho y Lipponen, y hasta Matteo Renzi, primer ministro de Italia con el Partido Democrático para aglutinar un gobierno incorrupto. No podían faltar exministros británicos como el de Energía, Gregory Barker o el de Hacienda George Osborne…Todos se han apresurado a retirarse del negocio”, escribe Gregorio Morán (</w:t>
      </w:r>
      <w:r w:rsidRPr="008B6BB9">
        <w:rPr>
          <w:u w:val="single"/>
        </w:rPr>
        <w:t>Retratos sobre la guerra de Ucrania</w:t>
      </w:r>
      <w:r w:rsidRPr="008B6BB9">
        <w:t xml:space="preserve"> - Vozpópuli - </w:t>
      </w:r>
      <w:r w:rsidRPr="008B6BB9">
        <w:rPr>
          <w:b/>
        </w:rPr>
        <w:t>2/4/22</w:t>
      </w:r>
      <w:r w:rsidRPr="008B6BB9">
        <w:t>)</w:t>
      </w:r>
    </w:p>
    <w:p w:rsidR="00534BAD" w:rsidRPr="00534BAD" w:rsidRDefault="006B2E70" w:rsidP="006E5AE2">
      <w:pPr>
        <w:pStyle w:val="bbc-bm53ic"/>
        <w:shd w:val="clear" w:color="auto" w:fill="FDFDFD"/>
        <w:spacing w:after="0"/>
        <w:jc w:val="both"/>
        <w:rPr>
          <w:b/>
        </w:rPr>
      </w:pPr>
      <w:r>
        <w:rPr>
          <w:b/>
        </w:rPr>
        <w:t>Alemania (“Nueva era”): ¿está dispuesta a abandonar cierta</w:t>
      </w:r>
      <w:r w:rsidR="00534BAD" w:rsidRPr="00534BAD">
        <w:rPr>
          <w:b/>
        </w:rPr>
        <w:t>“ingenuidad”</w:t>
      </w:r>
      <w:r>
        <w:rPr>
          <w:b/>
        </w:rPr>
        <w:t xml:space="preserve"> cómoda, y algunas sospechosas </w:t>
      </w:r>
      <w:r w:rsidR="00534BAD" w:rsidRPr="00534BAD">
        <w:rPr>
          <w:b/>
        </w:rPr>
        <w:t>“amistades peligrosas”</w:t>
      </w:r>
      <w:r w:rsidR="0015319A">
        <w:rPr>
          <w:b/>
        </w:rPr>
        <w:t>?</w:t>
      </w:r>
    </w:p>
    <w:p w:rsidR="006E5AE2" w:rsidRPr="00534BAD" w:rsidRDefault="00534BAD" w:rsidP="006E5AE2">
      <w:pPr>
        <w:spacing w:line="240" w:lineRule="auto"/>
        <w:jc w:val="both"/>
        <w:rPr>
          <w:rFonts w:ascii="Times New Roman" w:hAnsi="Times New Roman" w:cs="Times New Roman"/>
          <w:sz w:val="24"/>
          <w:szCs w:val="24"/>
        </w:rPr>
      </w:pPr>
      <w:r w:rsidRPr="00534BAD">
        <w:rPr>
          <w:rFonts w:ascii="Times New Roman" w:hAnsi="Times New Roman" w:cs="Times New Roman"/>
          <w:sz w:val="24"/>
          <w:szCs w:val="24"/>
        </w:rPr>
        <w:t>El 27/3/22</w:t>
      </w:r>
      <w:r w:rsidR="006E5AE2" w:rsidRPr="00534BAD">
        <w:rPr>
          <w:rFonts w:ascii="Times New Roman" w:hAnsi="Times New Roman" w:cs="Times New Roman"/>
          <w:sz w:val="24"/>
          <w:szCs w:val="24"/>
        </w:rPr>
        <w:t xml:space="preserve"> el canciller alemán, el socialdemócrata Olaf Scholz, habló de un “cambio de era” en Alemania con el anuncio de envío de armas a Ucrania, el compromiso de rearmar el país ante futuras amenazas y también cambios en la política energética, centrada en los últimos años en las tecnologías verdes y con una altísima dependencia del gas ruso.</w:t>
      </w:r>
    </w:p>
    <w:p w:rsidR="006E5AE2" w:rsidRPr="00534BAD" w:rsidRDefault="006E5AE2" w:rsidP="006E5AE2">
      <w:pPr>
        <w:spacing w:line="240" w:lineRule="auto"/>
        <w:jc w:val="both"/>
        <w:rPr>
          <w:rFonts w:ascii="Times New Roman" w:hAnsi="Times New Roman" w:cs="Times New Roman"/>
          <w:sz w:val="24"/>
          <w:szCs w:val="24"/>
        </w:rPr>
      </w:pPr>
      <w:r w:rsidRPr="00534BAD">
        <w:rPr>
          <w:rFonts w:ascii="Times New Roman" w:hAnsi="Times New Roman" w:cs="Times New Roman"/>
          <w:sz w:val="24"/>
          <w:szCs w:val="24"/>
        </w:rPr>
        <w:t>En esa “nueva era” el excanciller alemán Gerhard Schroeder se ha convertido en el símbolo de los errores que el país ha cometido hasta aquí y en el blanco de las críticas políticas y mediáticas, con el que fuera su partido a la cabeza. El SPD trata de cortar lazos con el ex mandatario, cuya íntima amistad con Vladimir Putin desde su etapa en el gobierno es bien conocida y que hace sólo unos días proyectaba su entrada en el consejo de Gazprom. Ahora, los medios se lamentan por lo que sigue cobrando del erario público pese a sus negocios privados, la CDU habla de “bochorno” y los socialistas reniegan de él.</w:t>
      </w:r>
    </w:p>
    <w:p w:rsidR="006E5AE2" w:rsidRPr="00534BAD" w:rsidRDefault="006E5AE2" w:rsidP="006E5AE2">
      <w:pPr>
        <w:spacing w:line="240" w:lineRule="auto"/>
        <w:jc w:val="both"/>
        <w:rPr>
          <w:rFonts w:ascii="Times New Roman" w:hAnsi="Times New Roman" w:cs="Times New Roman"/>
          <w:sz w:val="24"/>
          <w:szCs w:val="24"/>
        </w:rPr>
      </w:pPr>
      <w:r w:rsidRPr="00534BAD">
        <w:rPr>
          <w:rFonts w:ascii="Times New Roman" w:hAnsi="Times New Roman" w:cs="Times New Roman"/>
          <w:sz w:val="24"/>
          <w:szCs w:val="24"/>
        </w:rPr>
        <w:t>Schroeder, que presidió el país entre 1998 y 2005, es en la actualidad presidente del comité de accionistas de Nord Stream y del consejo de administración de Nord Stream 2, miembro del consejo de vigilancia del consorcio energético ruso Rosneft y aspira a formar parte del consejo de vigilancia de Gazprom en junio. Al mismo tiempo, como destacaba este martes el Hannoverische Allgemeine Zeitung, cobra 7.062 euros mensualmente de las arcas públicas como excanciller. Además, la oficina de representación personal de que disfruta con trabajadores públicos a su servicio cuesta 407.000 euros al año. Al mismo tiempo, el diario estima que por su cargo en Rosneft recibe 600.000 euros al año, mientras que de Nord Stream recibe 250.000 euros anuales. Su fortuna ascendería a 20 millones de euros.</w:t>
      </w:r>
    </w:p>
    <w:p w:rsidR="006E5AE2" w:rsidRPr="0095668D" w:rsidRDefault="00534BAD" w:rsidP="006E5A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prensa germana recordaba </w:t>
      </w:r>
      <w:r w:rsidR="006E5AE2" w:rsidRPr="0095668D">
        <w:rPr>
          <w:rFonts w:ascii="Times New Roman" w:hAnsi="Times New Roman" w:cs="Times New Roman"/>
          <w:sz w:val="24"/>
          <w:szCs w:val="24"/>
        </w:rPr>
        <w:t>cómo es íntimo amigo de Putin desde su et</w:t>
      </w:r>
      <w:r>
        <w:rPr>
          <w:rFonts w:ascii="Times New Roman" w:hAnsi="Times New Roman" w:cs="Times New Roman"/>
          <w:sz w:val="24"/>
          <w:szCs w:val="24"/>
        </w:rPr>
        <w:t>apa en el poder y cómo continúan</w:t>
      </w:r>
      <w:r w:rsidR="006E5AE2" w:rsidRPr="0095668D">
        <w:rPr>
          <w:rFonts w:ascii="Times New Roman" w:hAnsi="Times New Roman" w:cs="Times New Roman"/>
          <w:sz w:val="24"/>
          <w:szCs w:val="24"/>
        </w:rPr>
        <w:t xml:space="preserve"> en estrecho contacto: en los últimos años Putin se han intercambiado invitaciones a cumpleaños y fiestas, tanto en Alemania como en Rusia. Causó una enorme polémica la gran fiesta que le preparó el ruso en San </w:t>
      </w:r>
      <w:r w:rsidR="006E5AE2">
        <w:rPr>
          <w:rFonts w:ascii="Times New Roman" w:hAnsi="Times New Roman" w:cs="Times New Roman"/>
          <w:sz w:val="24"/>
          <w:szCs w:val="24"/>
        </w:rPr>
        <w:t>Petersburgo al cumplir 70 años.</w:t>
      </w:r>
    </w:p>
    <w:p w:rsidR="006E5AE2" w:rsidRPr="0095668D" w:rsidRDefault="006E5AE2" w:rsidP="006E5AE2">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Los medios también comentan sus declaraciones más recientes defendiendo a Rusia y minimizando la posibilidad de una invasión hasta hace muy poco. Indignó que se refiriera a lo q</w:t>
      </w:r>
      <w:r>
        <w:rPr>
          <w:rFonts w:ascii="Times New Roman" w:hAnsi="Times New Roman" w:cs="Times New Roman"/>
          <w:sz w:val="24"/>
          <w:szCs w:val="24"/>
        </w:rPr>
        <w:t>ue estaba ocurriendo como un “ruido de sables”</w:t>
      </w:r>
      <w:r w:rsidRPr="0095668D">
        <w:rPr>
          <w:rFonts w:ascii="Times New Roman" w:hAnsi="Times New Roman" w:cs="Times New Roman"/>
          <w:sz w:val="24"/>
          <w:szCs w:val="24"/>
        </w:rPr>
        <w:t xml:space="preserve"> lanzado desde Ucrania y que justificara los movimientos de tropas rusas en la frontera como reacción a las actividades de la OTAN en el Báltico. Incluso criticó al nuevo ministro de Exteriores alemán por haber pasado por </w:t>
      </w:r>
      <w:r w:rsidRPr="0095668D">
        <w:rPr>
          <w:rFonts w:ascii="Times New Roman" w:hAnsi="Times New Roman" w:cs="Times New Roman"/>
          <w:sz w:val="24"/>
          <w:szCs w:val="24"/>
        </w:rPr>
        <w:lastRenderedPageBreak/>
        <w:t xml:space="preserve">Kiev en su camino hacia Moscú para </w:t>
      </w:r>
      <w:r>
        <w:rPr>
          <w:rFonts w:ascii="Times New Roman" w:hAnsi="Times New Roman" w:cs="Times New Roman"/>
          <w:sz w:val="24"/>
          <w:szCs w:val="24"/>
        </w:rPr>
        <w:t>reunirse con su homólogo ruso. “Quizás debería haberse evitado” pero “</w:t>
      </w:r>
      <w:r w:rsidRPr="0095668D">
        <w:rPr>
          <w:rFonts w:ascii="Times New Roman" w:hAnsi="Times New Roman" w:cs="Times New Roman"/>
          <w:sz w:val="24"/>
          <w:szCs w:val="24"/>
        </w:rPr>
        <w:t>ca</w:t>
      </w:r>
      <w:r>
        <w:rPr>
          <w:rFonts w:ascii="Times New Roman" w:hAnsi="Times New Roman" w:cs="Times New Roman"/>
          <w:sz w:val="24"/>
          <w:szCs w:val="24"/>
        </w:rPr>
        <w:t>da cual tiene su estilo”, dijo.</w:t>
      </w:r>
    </w:p>
    <w:p w:rsidR="006E5AE2" w:rsidRPr="0095668D" w:rsidRDefault="006E5AE2" w:rsidP="006E5AE2">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La oposi</w:t>
      </w:r>
      <w:r>
        <w:rPr>
          <w:rFonts w:ascii="Times New Roman" w:hAnsi="Times New Roman" w:cs="Times New Roman"/>
          <w:sz w:val="24"/>
          <w:szCs w:val="24"/>
        </w:rPr>
        <w:t>ción lleva semanas hablando de “vergüenza”</w:t>
      </w:r>
      <w:r w:rsidRPr="0095668D">
        <w:rPr>
          <w:rFonts w:ascii="Times New Roman" w:hAnsi="Times New Roman" w:cs="Times New Roman"/>
          <w:sz w:val="24"/>
          <w:szCs w:val="24"/>
        </w:rPr>
        <w:t xml:space="preserve"> por declaraciones como estas y tras la invasión rusa las críticas se han multiplicado. También su propio equipo le ha abandonado: según el Hannoverische Allgemeine Zeitung, cuatro de sus colaboradores, entre ellos el jefe de su oficina, Albrecht Funk, dejaron sus cargos por su ambigüedad con Rusia. El mismo diario señala que Funk le habría pedido que renunciara a su futuro cargo en Gazprom.</w:t>
      </w:r>
    </w:p>
    <w:p w:rsidR="006E5AE2" w:rsidRPr="0095668D" w:rsidRDefault="006E5AE2" w:rsidP="006E5AE2">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El padre del Nord Stream</w:t>
      </w:r>
    </w:p>
    <w:p w:rsidR="006E5AE2" w:rsidRPr="00236371" w:rsidRDefault="006E5AE2" w:rsidP="006E5AE2">
      <w:pPr>
        <w:spacing w:line="240" w:lineRule="auto"/>
        <w:jc w:val="both"/>
        <w:rPr>
          <w:rFonts w:ascii="Times New Roman" w:hAnsi="Times New Roman" w:cs="Times New Roman"/>
          <w:sz w:val="24"/>
          <w:szCs w:val="24"/>
        </w:rPr>
      </w:pPr>
      <w:r w:rsidRPr="00236371">
        <w:rPr>
          <w:rFonts w:ascii="Times New Roman" w:hAnsi="Times New Roman" w:cs="Times New Roman"/>
          <w:sz w:val="24"/>
          <w:szCs w:val="24"/>
        </w:rPr>
        <w:t>La polémica actual se entiende mejor recordando el papel esencial que ha tenido Schroeder en la deriva de la política energética alemana primero como canciller y luego como lobbista. Desde el poder, el socialdemócrata fue clave para el nacimiento del Nord Stream 2, el nuevo gasoducto para llevar gas ruso hasta el país que Scholz ha decidido ahora paralizar cuando sólo faltaba un paso para su puesta en marcha y tras una inversión de 11.000 millones de dólares de un consorcio controlado al 50% por la rusa Gazprom.</w:t>
      </w:r>
    </w:p>
    <w:p w:rsidR="006E5AE2" w:rsidRPr="0095668D" w:rsidRDefault="006E5AE2" w:rsidP="006E5AE2">
      <w:pPr>
        <w:spacing w:line="240" w:lineRule="auto"/>
        <w:jc w:val="both"/>
        <w:rPr>
          <w:rFonts w:ascii="Times New Roman" w:hAnsi="Times New Roman" w:cs="Times New Roman"/>
          <w:sz w:val="24"/>
          <w:szCs w:val="24"/>
        </w:rPr>
      </w:pPr>
      <w:r w:rsidRPr="00236371">
        <w:rPr>
          <w:rFonts w:ascii="Times New Roman" w:hAnsi="Times New Roman" w:cs="Times New Roman"/>
          <w:sz w:val="24"/>
          <w:szCs w:val="24"/>
        </w:rPr>
        <w:t>Schroeder respaldó como canciller primero la construcción del Nord Stream 1, el gasoducto que permitiría recibir gas ruso a través del Báltico sin atravesar Ucrania y luego el Nord Stream 2, construido en paralelo y cuya puesta en marcha supondría doblar la capacidad de importación.</w:t>
      </w:r>
      <w:r w:rsidRPr="0095668D">
        <w:rPr>
          <w:rFonts w:ascii="Times New Roman" w:hAnsi="Times New Roman" w:cs="Times New Roman"/>
          <w:sz w:val="24"/>
          <w:szCs w:val="24"/>
        </w:rPr>
        <w:t xml:space="preserve"> En 2005, asistió a la firma junto a Putin del acuerdo entre Gazprom y las alemanas Wintershall y E.ON. Ese mismo año perdió las elecciones frente a Merkel y sólo un mes más tarde, en diciembre, se incorporó como consejero del consorcio al frente del Nord Stream, algo que en su día le costó duras críticas de la oposición, aunque su partido decidió defenderlo en</w:t>
      </w:r>
      <w:r>
        <w:rPr>
          <w:rFonts w:ascii="Times New Roman" w:hAnsi="Times New Roman" w:cs="Times New Roman"/>
          <w:sz w:val="24"/>
          <w:szCs w:val="24"/>
        </w:rPr>
        <w:t xml:space="preserve"> su paso a la “esfera privada”.</w:t>
      </w:r>
    </w:p>
    <w:p w:rsidR="006E5AE2" w:rsidRPr="0095668D" w:rsidRDefault="006E5AE2" w:rsidP="006E5AE2">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Mientras las obras suscitaban rechazo en Polonia, Finlandia o Estados Unidos por el aumento de la dependencia energética de Rusia, la sucesora de Schroeder, Angela M</w:t>
      </w:r>
      <w:r>
        <w:rPr>
          <w:rFonts w:ascii="Times New Roman" w:hAnsi="Times New Roman" w:cs="Times New Roman"/>
          <w:sz w:val="24"/>
          <w:szCs w:val="24"/>
        </w:rPr>
        <w:t>erkel, decidió seguir adelante.</w:t>
      </w:r>
    </w:p>
    <w:p w:rsidR="006E5AE2" w:rsidRPr="009A2397" w:rsidRDefault="006E5AE2" w:rsidP="006E5AE2">
      <w:pPr>
        <w:spacing w:line="240" w:lineRule="auto"/>
        <w:jc w:val="both"/>
        <w:rPr>
          <w:rFonts w:ascii="Times New Roman" w:hAnsi="Times New Roman" w:cs="Times New Roman"/>
          <w:sz w:val="24"/>
          <w:szCs w:val="24"/>
        </w:rPr>
      </w:pPr>
      <w:r w:rsidRPr="00236371">
        <w:rPr>
          <w:rFonts w:ascii="Times New Roman" w:hAnsi="Times New Roman" w:cs="Times New Roman"/>
          <w:sz w:val="24"/>
          <w:szCs w:val="24"/>
        </w:rPr>
        <w:t>En paralelo, Schroeder también fue el “padre” de la decisión alemana de prescindir de la energía nuclear con la firma de la Atomgesetz en 2000 que apostaba por reducir la vida útil de las centrales nucleares a 32 años y no abrir ninguna más.</w:t>
      </w:r>
      <w:r w:rsidRPr="0095668D">
        <w:rPr>
          <w:rFonts w:ascii="Times New Roman" w:hAnsi="Times New Roman" w:cs="Times New Roman"/>
          <w:sz w:val="24"/>
          <w:szCs w:val="24"/>
        </w:rPr>
        <w:t xml:space="preserve"> Aunque Merkel en un primer momento apostó por volver a prolongar su vida útil, tras el terremoto de Fukushima y las presiones verdes decidió dar marcha atrás: ahora, sólo hay tres centrales nucleares en marcha en Alemania y está previsto que se cierren a finales de este mismo año.</w:t>
      </w:r>
    </w:p>
    <w:p w:rsidR="008B6BB9" w:rsidRDefault="00B622CE" w:rsidP="008B6BB9">
      <w:pPr>
        <w:rPr>
          <w:rFonts w:ascii="Times New Roman" w:hAnsi="Times New Roman" w:cs="Times New Roman"/>
          <w:b/>
          <w:sz w:val="24"/>
          <w:szCs w:val="24"/>
        </w:rPr>
      </w:pPr>
      <w:r>
        <w:rPr>
          <w:rFonts w:ascii="Times New Roman" w:hAnsi="Times New Roman" w:cs="Times New Roman"/>
          <w:b/>
          <w:sz w:val="24"/>
          <w:szCs w:val="24"/>
        </w:rPr>
        <w:t>Nota (I)</w:t>
      </w:r>
      <w:r w:rsidR="008B6BB9">
        <w:rPr>
          <w:rFonts w:ascii="Times New Roman" w:hAnsi="Times New Roman" w:cs="Times New Roman"/>
          <w:b/>
          <w:sz w:val="24"/>
          <w:szCs w:val="24"/>
        </w:rPr>
        <w:t>: L</w:t>
      </w:r>
      <w:r w:rsidR="008B6BB9" w:rsidRPr="0071269A">
        <w:rPr>
          <w:rFonts w:ascii="Times New Roman" w:hAnsi="Times New Roman" w:cs="Times New Roman"/>
          <w:b/>
          <w:sz w:val="24"/>
          <w:szCs w:val="24"/>
        </w:rPr>
        <w:t xml:space="preserve">as </w:t>
      </w:r>
      <w:r w:rsidR="008B6BB9">
        <w:rPr>
          <w:rFonts w:ascii="Times New Roman" w:hAnsi="Times New Roman" w:cs="Times New Roman"/>
          <w:b/>
          <w:sz w:val="24"/>
          <w:szCs w:val="24"/>
        </w:rPr>
        <w:t>“</w:t>
      </w:r>
      <w:r w:rsidR="008B6BB9" w:rsidRPr="0071269A">
        <w:rPr>
          <w:rFonts w:ascii="Times New Roman" w:hAnsi="Times New Roman" w:cs="Times New Roman"/>
          <w:b/>
          <w:sz w:val="24"/>
          <w:szCs w:val="24"/>
        </w:rPr>
        <w:t>hipotecas</w:t>
      </w:r>
      <w:r w:rsidR="008B6BB9">
        <w:rPr>
          <w:rFonts w:ascii="Times New Roman" w:hAnsi="Times New Roman" w:cs="Times New Roman"/>
          <w:b/>
          <w:sz w:val="24"/>
          <w:szCs w:val="24"/>
        </w:rPr>
        <w:t>”</w:t>
      </w:r>
      <w:r w:rsidR="008B6BB9" w:rsidRPr="0071269A">
        <w:rPr>
          <w:rFonts w:ascii="Times New Roman" w:hAnsi="Times New Roman" w:cs="Times New Roman"/>
          <w:b/>
          <w:sz w:val="24"/>
          <w:szCs w:val="24"/>
        </w:rPr>
        <w:t xml:space="preserve"> alemanas</w:t>
      </w:r>
      <w:r w:rsidR="008B6BB9">
        <w:rPr>
          <w:rFonts w:ascii="Times New Roman" w:hAnsi="Times New Roman" w:cs="Times New Roman"/>
          <w:b/>
          <w:sz w:val="24"/>
          <w:szCs w:val="24"/>
        </w:rPr>
        <w:t xml:space="preserve"> que lastran a la Unión Europea </w:t>
      </w:r>
    </w:p>
    <w:p w:rsidR="008B6BB9" w:rsidRDefault="008B6BB9" w:rsidP="006B2E70">
      <w:pPr>
        <w:spacing w:line="240" w:lineRule="auto"/>
        <w:jc w:val="both"/>
        <w:rPr>
          <w:rFonts w:ascii="Times New Roman" w:hAnsi="Times New Roman" w:cs="Times New Roman"/>
          <w:sz w:val="24"/>
          <w:szCs w:val="24"/>
        </w:rPr>
      </w:pPr>
      <w:r w:rsidRPr="008B6BB9">
        <w:rPr>
          <w:rFonts w:ascii="Times New Roman" w:hAnsi="Times New Roman" w:cs="Times New Roman"/>
          <w:sz w:val="24"/>
          <w:szCs w:val="24"/>
        </w:rPr>
        <w:t xml:space="preserve">En un </w:t>
      </w:r>
      <w:r w:rsidRPr="006B2E70">
        <w:rPr>
          <w:rFonts w:ascii="Times New Roman" w:hAnsi="Times New Roman" w:cs="Times New Roman"/>
          <w:b/>
          <w:sz w:val="24"/>
          <w:szCs w:val="24"/>
        </w:rPr>
        <w:t>Paper anterior</w:t>
      </w:r>
      <w:r>
        <w:rPr>
          <w:rFonts w:ascii="Times New Roman" w:hAnsi="Times New Roman" w:cs="Times New Roman"/>
          <w:sz w:val="24"/>
          <w:szCs w:val="24"/>
        </w:rPr>
        <w:t xml:space="preserve"> publicado el </w:t>
      </w:r>
      <w:r w:rsidRPr="006B2E70">
        <w:rPr>
          <w:rFonts w:ascii="Times New Roman" w:hAnsi="Times New Roman" w:cs="Times New Roman"/>
          <w:b/>
          <w:sz w:val="24"/>
          <w:szCs w:val="24"/>
        </w:rPr>
        <w:t>15/6/22</w:t>
      </w:r>
      <w:r>
        <w:rPr>
          <w:rFonts w:ascii="Times New Roman" w:hAnsi="Times New Roman" w:cs="Times New Roman"/>
          <w:sz w:val="24"/>
          <w:szCs w:val="24"/>
        </w:rPr>
        <w:t xml:space="preserve">, desarrollé con amplitud este tema, por lo que remito al lector interesado a ese documento.Solo señalo el temario para destacar las “coincidencias” (agravantes) que limitan y condicionan el devenir de la Unión Europea. </w:t>
      </w:r>
    </w:p>
    <w:p w:rsidR="00B622CE" w:rsidRPr="008B6BB9" w:rsidRDefault="00B622CE" w:rsidP="008B6BB9">
      <w:pPr>
        <w:jc w:val="both"/>
        <w:rPr>
          <w:rFonts w:ascii="Times New Roman" w:hAnsi="Times New Roman" w:cs="Times New Roman"/>
          <w:sz w:val="24"/>
          <w:szCs w:val="24"/>
        </w:rPr>
      </w:pPr>
      <w:r>
        <w:rPr>
          <w:rFonts w:ascii="Times New Roman" w:hAnsi="Times New Roman" w:cs="Times New Roman"/>
          <w:sz w:val="24"/>
          <w:szCs w:val="24"/>
        </w:rPr>
        <w:t>(…)</w:t>
      </w:r>
    </w:p>
    <w:p w:rsidR="008B6BB9" w:rsidRPr="00CA5407" w:rsidRDefault="008B6BB9" w:rsidP="008B6BB9">
      <w:pPr>
        <w:spacing w:line="240" w:lineRule="auto"/>
        <w:jc w:val="both"/>
        <w:rPr>
          <w:rFonts w:ascii="Times New Roman" w:hAnsi="Times New Roman" w:cs="Times New Roman"/>
          <w:sz w:val="24"/>
          <w:szCs w:val="24"/>
        </w:rPr>
      </w:pPr>
      <w:r w:rsidRPr="00CA5407">
        <w:rPr>
          <w:rFonts w:ascii="Times New Roman" w:hAnsi="Times New Roman" w:cs="Times New Roman"/>
          <w:sz w:val="24"/>
          <w:szCs w:val="24"/>
        </w:rPr>
        <w:t>En este caso, deseo hacer un repaso de las principales “hipotecas” alemanas, que afectan a la Unión Europea, y aún están pendientes de resolución. Ese “muro” que, después de 30 años de la caída del Muro de Berlín, aún no se han animado a demoler, o franquear.</w:t>
      </w:r>
    </w:p>
    <w:p w:rsidR="008B6BB9" w:rsidRPr="00CA5407" w:rsidRDefault="008B6BB9" w:rsidP="008B6BB9">
      <w:pPr>
        <w:spacing w:line="240" w:lineRule="auto"/>
        <w:jc w:val="both"/>
        <w:rPr>
          <w:rFonts w:ascii="Times New Roman" w:hAnsi="Times New Roman" w:cs="Times New Roman"/>
          <w:sz w:val="24"/>
          <w:szCs w:val="24"/>
        </w:rPr>
      </w:pPr>
      <w:r w:rsidRPr="00CA5407">
        <w:rPr>
          <w:rFonts w:ascii="Times New Roman" w:hAnsi="Times New Roman" w:cs="Times New Roman"/>
          <w:sz w:val="24"/>
          <w:szCs w:val="24"/>
        </w:rPr>
        <w:t xml:space="preserve">Mientras, la Unión Europea, “está sola, y espera”… Sin Alemania, la Unión Europea es un proyecto de integración regional “imposible”; con Alemania a “medio gas”, como hasta ahora, el proyecto queda “incapacitado” (cojo, precario, impotente, debilitado, insignificante, </w:t>
      </w:r>
      <w:r w:rsidRPr="00CA5407">
        <w:rPr>
          <w:rFonts w:ascii="Times New Roman" w:hAnsi="Times New Roman" w:cs="Times New Roman"/>
          <w:sz w:val="24"/>
          <w:szCs w:val="24"/>
        </w:rPr>
        <w:lastRenderedPageBreak/>
        <w:t xml:space="preserve">irrelevante, frágil, vulnerable, o poco competitivo); y con una Alemania (supremacista), con reminiscencias del pasado, el proyecto se volvería “fallido”, por involución. </w:t>
      </w:r>
    </w:p>
    <w:p w:rsidR="008B6BB9" w:rsidRPr="00CA5407" w:rsidRDefault="008B6BB9" w:rsidP="008B6BB9">
      <w:pPr>
        <w:spacing w:line="240" w:lineRule="auto"/>
        <w:jc w:val="both"/>
        <w:rPr>
          <w:rFonts w:ascii="Times New Roman" w:hAnsi="Times New Roman" w:cs="Times New Roman"/>
          <w:sz w:val="24"/>
          <w:szCs w:val="24"/>
        </w:rPr>
      </w:pPr>
      <w:r w:rsidRPr="00CA5407">
        <w:rPr>
          <w:rFonts w:ascii="Times New Roman" w:hAnsi="Times New Roman" w:cs="Times New Roman"/>
          <w:sz w:val="24"/>
          <w:szCs w:val="24"/>
        </w:rPr>
        <w:t>Con el liderazgo pleno, y una acción decida de Alemania, la Unión Europea puede vivir un renacimiento importantísimo, tanto de su poder político, como de su capacidad comercial, industrial, cultural y arquitectónica. Con una posición estratégica que la convertiría en una potencia media con mayores posibilidades de influir en los acontecimientos mundiales.</w:t>
      </w:r>
    </w:p>
    <w:p w:rsidR="008B6BB9" w:rsidRPr="00CA5407" w:rsidRDefault="008B6BB9" w:rsidP="008B6BB9">
      <w:pPr>
        <w:spacing w:line="240" w:lineRule="auto"/>
        <w:jc w:val="both"/>
        <w:rPr>
          <w:rFonts w:ascii="Times New Roman" w:hAnsi="Times New Roman" w:cs="Times New Roman"/>
          <w:sz w:val="24"/>
          <w:szCs w:val="24"/>
        </w:rPr>
      </w:pPr>
      <w:r w:rsidRPr="00CA5407">
        <w:rPr>
          <w:rFonts w:ascii="Times New Roman" w:hAnsi="Times New Roman" w:cs="Times New Roman"/>
          <w:sz w:val="24"/>
          <w:szCs w:val="24"/>
        </w:rPr>
        <w:t>La que sigue es la lista de los asuntos a debate (sin orden de importancia, o cronológico):</w:t>
      </w:r>
    </w:p>
    <w:p w:rsidR="008B6BB9" w:rsidRPr="00CA5407" w:rsidRDefault="008B6BB9" w:rsidP="008B6BB9">
      <w:pPr>
        <w:spacing w:line="240" w:lineRule="auto"/>
        <w:jc w:val="both"/>
        <w:rPr>
          <w:rFonts w:ascii="Times New Roman" w:hAnsi="Times New Roman" w:cs="Times New Roman"/>
          <w:sz w:val="24"/>
          <w:szCs w:val="24"/>
        </w:rPr>
      </w:pPr>
      <w:r w:rsidRPr="00CA5407">
        <w:rPr>
          <w:rFonts w:ascii="Times New Roman" w:hAnsi="Times New Roman" w:cs="Times New Roman"/>
          <w:sz w:val="24"/>
          <w:szCs w:val="24"/>
        </w:rPr>
        <w:t>1 - El proveedor ruso (gasoducto Rusia - Alemania)</w:t>
      </w:r>
    </w:p>
    <w:p w:rsidR="008B6BB9" w:rsidRPr="00CA5407" w:rsidRDefault="008B6BB9" w:rsidP="008B6BB9">
      <w:pPr>
        <w:spacing w:line="240" w:lineRule="auto"/>
        <w:jc w:val="both"/>
        <w:rPr>
          <w:rFonts w:ascii="Times New Roman" w:hAnsi="Times New Roman" w:cs="Times New Roman"/>
          <w:sz w:val="24"/>
          <w:szCs w:val="24"/>
        </w:rPr>
      </w:pPr>
      <w:r w:rsidRPr="00CA5407">
        <w:rPr>
          <w:rFonts w:ascii="Times New Roman" w:hAnsi="Times New Roman" w:cs="Times New Roman"/>
          <w:sz w:val="24"/>
          <w:szCs w:val="24"/>
        </w:rPr>
        <w:t>2 - El cliente chino (venta de automóviles a China)</w:t>
      </w:r>
    </w:p>
    <w:p w:rsidR="008B6BB9" w:rsidRPr="00CA5407" w:rsidRDefault="008B6BB9" w:rsidP="008B6BB9">
      <w:pPr>
        <w:spacing w:line="240" w:lineRule="auto"/>
        <w:jc w:val="both"/>
        <w:rPr>
          <w:rFonts w:ascii="Times New Roman" w:hAnsi="Times New Roman" w:cs="Times New Roman"/>
          <w:sz w:val="24"/>
          <w:szCs w:val="24"/>
        </w:rPr>
      </w:pPr>
      <w:r w:rsidRPr="00CA5407">
        <w:rPr>
          <w:rFonts w:ascii="Times New Roman" w:hAnsi="Times New Roman" w:cs="Times New Roman"/>
          <w:sz w:val="24"/>
          <w:szCs w:val="24"/>
        </w:rPr>
        <w:t>3 - El complejo verde y la energía nuclear (ser más ecologistas que nadie)</w:t>
      </w:r>
    </w:p>
    <w:p w:rsidR="008B6BB9" w:rsidRPr="00CA5407" w:rsidRDefault="008B6BB9" w:rsidP="008B6BB9">
      <w:pPr>
        <w:spacing w:line="240" w:lineRule="auto"/>
        <w:jc w:val="both"/>
        <w:rPr>
          <w:rFonts w:ascii="Times New Roman" w:hAnsi="Times New Roman" w:cs="Times New Roman"/>
          <w:sz w:val="24"/>
          <w:szCs w:val="24"/>
        </w:rPr>
      </w:pPr>
      <w:r w:rsidRPr="00CA5407">
        <w:rPr>
          <w:rFonts w:ascii="Times New Roman" w:hAnsi="Times New Roman" w:cs="Times New Roman"/>
          <w:sz w:val="24"/>
          <w:szCs w:val="24"/>
        </w:rPr>
        <w:t>4 - Excesiva tolerancia con la inmigración ilegal (musulmanes, africanos, ex soviéticos)</w:t>
      </w:r>
    </w:p>
    <w:p w:rsidR="008B6BB9" w:rsidRPr="00CA5407" w:rsidRDefault="008B6BB9" w:rsidP="008B6BB9">
      <w:pPr>
        <w:spacing w:line="240" w:lineRule="auto"/>
        <w:jc w:val="both"/>
        <w:rPr>
          <w:rFonts w:ascii="Times New Roman" w:hAnsi="Times New Roman" w:cs="Times New Roman"/>
          <w:sz w:val="24"/>
          <w:szCs w:val="24"/>
        </w:rPr>
      </w:pPr>
      <w:r w:rsidRPr="00CA5407">
        <w:rPr>
          <w:rFonts w:ascii="Times New Roman" w:hAnsi="Times New Roman" w:cs="Times New Roman"/>
          <w:sz w:val="24"/>
          <w:szCs w:val="24"/>
        </w:rPr>
        <w:t xml:space="preserve">5 - El miedo de parecer demasiado grande y liderar la Unión Europea </w:t>
      </w:r>
    </w:p>
    <w:p w:rsidR="008B6BB9" w:rsidRPr="00CA5407" w:rsidRDefault="008B6BB9" w:rsidP="008B6BB9">
      <w:pPr>
        <w:spacing w:line="240" w:lineRule="auto"/>
        <w:jc w:val="both"/>
        <w:rPr>
          <w:rFonts w:ascii="Times New Roman" w:hAnsi="Times New Roman" w:cs="Times New Roman"/>
          <w:sz w:val="24"/>
          <w:szCs w:val="24"/>
        </w:rPr>
      </w:pPr>
      <w:r w:rsidRPr="00CA5407">
        <w:rPr>
          <w:rFonts w:ascii="Times New Roman" w:hAnsi="Times New Roman" w:cs="Times New Roman"/>
          <w:sz w:val="24"/>
          <w:szCs w:val="24"/>
        </w:rPr>
        <w:t>6 - El miedo a crear un ejército europeo (post OTAN)</w:t>
      </w:r>
    </w:p>
    <w:p w:rsidR="008B6BB9" w:rsidRPr="00CA5407" w:rsidRDefault="008B6BB9" w:rsidP="008B6BB9">
      <w:pPr>
        <w:spacing w:line="240" w:lineRule="auto"/>
        <w:jc w:val="both"/>
        <w:rPr>
          <w:rFonts w:ascii="Times New Roman" w:hAnsi="Times New Roman" w:cs="Times New Roman"/>
          <w:sz w:val="24"/>
          <w:szCs w:val="24"/>
        </w:rPr>
      </w:pPr>
      <w:r w:rsidRPr="00CA5407">
        <w:rPr>
          <w:rFonts w:ascii="Times New Roman" w:hAnsi="Times New Roman" w:cs="Times New Roman"/>
          <w:sz w:val="24"/>
          <w:szCs w:val="24"/>
        </w:rPr>
        <w:t>7 - Haber abandonado el Modelo Renano (adopción del modelo anglosajón)</w:t>
      </w:r>
    </w:p>
    <w:p w:rsidR="008B6BB9" w:rsidRPr="00CA5407" w:rsidRDefault="008B6BB9" w:rsidP="008B6BB9">
      <w:pPr>
        <w:spacing w:line="240" w:lineRule="auto"/>
        <w:jc w:val="both"/>
        <w:rPr>
          <w:rFonts w:ascii="Times New Roman" w:hAnsi="Times New Roman" w:cs="Times New Roman"/>
          <w:sz w:val="24"/>
          <w:szCs w:val="24"/>
        </w:rPr>
      </w:pPr>
      <w:r w:rsidRPr="00CA5407">
        <w:rPr>
          <w:rFonts w:ascii="Times New Roman" w:hAnsi="Times New Roman" w:cs="Times New Roman"/>
          <w:sz w:val="24"/>
          <w:szCs w:val="24"/>
        </w:rPr>
        <w:t>8 - Continuar abonando la deuda de guerra (dependencia moral de los EEUU)</w:t>
      </w:r>
    </w:p>
    <w:p w:rsidR="008B6BB9" w:rsidRPr="00CA5407" w:rsidRDefault="008B6BB9" w:rsidP="008B6BB9">
      <w:pPr>
        <w:spacing w:line="240" w:lineRule="auto"/>
        <w:jc w:val="both"/>
        <w:rPr>
          <w:rFonts w:ascii="Times New Roman" w:hAnsi="Times New Roman" w:cs="Times New Roman"/>
          <w:sz w:val="24"/>
          <w:szCs w:val="24"/>
        </w:rPr>
      </w:pPr>
      <w:r w:rsidRPr="00CA5407">
        <w:rPr>
          <w:rFonts w:ascii="Times New Roman" w:hAnsi="Times New Roman" w:cs="Times New Roman"/>
          <w:sz w:val="24"/>
          <w:szCs w:val="24"/>
        </w:rPr>
        <w:t>9 - Sostener el multilateralismo (alta participación del comercio exterior extra regional)</w:t>
      </w:r>
    </w:p>
    <w:p w:rsidR="008B6BB9" w:rsidRPr="00CA5407" w:rsidRDefault="008B6BB9" w:rsidP="008B6BB9">
      <w:pPr>
        <w:spacing w:line="240" w:lineRule="auto"/>
        <w:jc w:val="both"/>
        <w:rPr>
          <w:rFonts w:ascii="Times New Roman" w:hAnsi="Times New Roman" w:cs="Times New Roman"/>
          <w:sz w:val="24"/>
          <w:szCs w:val="24"/>
        </w:rPr>
      </w:pPr>
      <w:r w:rsidRPr="00CA5407">
        <w:rPr>
          <w:rFonts w:ascii="Times New Roman" w:hAnsi="Times New Roman" w:cs="Times New Roman"/>
          <w:sz w:val="24"/>
          <w:szCs w:val="24"/>
        </w:rPr>
        <w:t>10 - La vergüenza de haber sido (pasado nazi), y el dolor de ya no ser (líder de la UE)</w:t>
      </w:r>
    </w:p>
    <w:p w:rsidR="00B622CE" w:rsidRPr="00CA5407" w:rsidRDefault="008B6BB9" w:rsidP="008B6BB9">
      <w:pPr>
        <w:spacing w:line="240" w:lineRule="auto"/>
        <w:jc w:val="both"/>
        <w:rPr>
          <w:rFonts w:ascii="Times New Roman" w:hAnsi="Times New Roman" w:cs="Times New Roman"/>
          <w:color w:val="000000"/>
          <w:sz w:val="24"/>
          <w:szCs w:val="24"/>
        </w:rPr>
      </w:pPr>
      <w:r w:rsidRPr="00CA5407">
        <w:rPr>
          <w:rFonts w:ascii="Times New Roman" w:hAnsi="Times New Roman" w:cs="Times New Roman"/>
          <w:sz w:val="24"/>
          <w:szCs w:val="24"/>
        </w:rPr>
        <w:t xml:space="preserve">Anexo: </w:t>
      </w:r>
      <w:r w:rsidRPr="00CA5407">
        <w:rPr>
          <w:rFonts w:ascii="Times New Roman" w:hAnsi="Times New Roman" w:cs="Times New Roman"/>
          <w:color w:val="000000"/>
          <w:sz w:val="24"/>
          <w:szCs w:val="24"/>
        </w:rPr>
        <w:t>sobre las hipotecas “subprime” (Aeropuerto de Berlín. Integración incompleta RDA)</w:t>
      </w:r>
    </w:p>
    <w:p w:rsidR="008B6BB9" w:rsidRDefault="00B622CE" w:rsidP="008B6BB9">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p>
    <w:p w:rsidR="00B622CE" w:rsidRPr="00B622CE" w:rsidRDefault="00B622CE" w:rsidP="008B6BB9">
      <w:pPr>
        <w:spacing w:line="240" w:lineRule="auto"/>
        <w:jc w:val="both"/>
        <w:rPr>
          <w:rFonts w:ascii="Times New Roman" w:hAnsi="Times New Roman" w:cs="Times New Roman"/>
          <w:b/>
          <w:sz w:val="24"/>
          <w:szCs w:val="24"/>
        </w:rPr>
      </w:pPr>
      <w:r w:rsidRPr="00B622CE">
        <w:rPr>
          <w:rFonts w:ascii="Times New Roman" w:hAnsi="Times New Roman" w:cs="Times New Roman"/>
          <w:b/>
          <w:color w:val="000000"/>
          <w:sz w:val="24"/>
          <w:szCs w:val="24"/>
        </w:rPr>
        <w:t>Nota (II)</w:t>
      </w:r>
      <w:r>
        <w:rPr>
          <w:rFonts w:ascii="Times New Roman" w:hAnsi="Times New Roman" w:cs="Times New Roman"/>
          <w:b/>
          <w:color w:val="000000"/>
          <w:sz w:val="24"/>
          <w:szCs w:val="24"/>
        </w:rPr>
        <w:t>: ¿Quién le pone el cascabel al gato?</w:t>
      </w:r>
    </w:p>
    <w:p w:rsidR="00B622CE" w:rsidRPr="00B622CE" w:rsidRDefault="00B622CE" w:rsidP="00B622CE">
      <w:pPr>
        <w:spacing w:line="240" w:lineRule="auto"/>
        <w:jc w:val="both"/>
        <w:rPr>
          <w:rFonts w:ascii="Times New Roman" w:hAnsi="Times New Roman" w:cs="Times New Roman"/>
          <w:b/>
          <w:sz w:val="24"/>
          <w:szCs w:val="24"/>
        </w:rPr>
      </w:pPr>
      <w:r w:rsidRPr="00B622CE">
        <w:rPr>
          <w:rFonts w:ascii="Times New Roman" w:hAnsi="Times New Roman" w:cs="Times New Roman"/>
          <w:b/>
          <w:sz w:val="24"/>
          <w:szCs w:val="24"/>
        </w:rPr>
        <w:t>Alemania financia la guerra de Putin ¿Qué pasa si Alemania boicotea la energía rusa?</w:t>
      </w:r>
    </w:p>
    <w:p w:rsidR="00B622CE" w:rsidRPr="00B622CE" w:rsidRDefault="00B622CE" w:rsidP="00B622CE">
      <w:pPr>
        <w:spacing w:line="240" w:lineRule="auto"/>
        <w:jc w:val="both"/>
        <w:rPr>
          <w:rFonts w:ascii="Times New Roman" w:hAnsi="Times New Roman" w:cs="Times New Roman"/>
          <w:b/>
          <w:sz w:val="24"/>
          <w:szCs w:val="24"/>
        </w:rPr>
      </w:pPr>
      <w:r w:rsidRPr="00B622CE">
        <w:rPr>
          <w:rFonts w:ascii="Times New Roman" w:hAnsi="Times New Roman" w:cs="Times New Roman"/>
          <w:b/>
          <w:sz w:val="24"/>
          <w:szCs w:val="24"/>
        </w:rPr>
        <w:t>Aunque hay un impulso creciente detrás de una iniciativa europea para embargar la energía rusa en respuesta a la guerra de ese país en Ucrania, Alemania sigue siendo un obstáculo importante. Pero, contrariamente a las afirmaciones de los líderes políticos y empresariales alemanes, los costos de poner fin a las importaciones de energía rusa probablemente serían manejables.</w:t>
      </w:r>
    </w:p>
    <w:p w:rsidR="00B622CE" w:rsidRPr="00B622CE" w:rsidRDefault="00B622CE" w:rsidP="00B622CE">
      <w:pPr>
        <w:spacing w:line="240" w:lineRule="auto"/>
        <w:jc w:val="both"/>
        <w:rPr>
          <w:rFonts w:ascii="Times New Roman" w:hAnsi="Times New Roman" w:cs="Times New Roman"/>
          <w:b/>
          <w:sz w:val="24"/>
          <w:szCs w:val="24"/>
        </w:rPr>
      </w:pPr>
      <w:r w:rsidRPr="00B622CE">
        <w:rPr>
          <w:rFonts w:ascii="Times New Roman" w:hAnsi="Times New Roman" w:cs="Times New Roman"/>
          <w:b/>
          <w:sz w:val="24"/>
          <w:szCs w:val="24"/>
        </w:rPr>
        <w:t>Desde que el presidente ruso, Vladimir Putin, lanzó su invasión de Ucrania, el gobierno alemán ha estado bajo una presión creciente para unirse a un embargo europeo propuesto sobre la energía rusa. La creencia generalizada es que detener la guerra de Rusia requerirá cortar su financiación, que llega en forma de miles de millones de dólares en pagos por exportaciones de petróleo y gas.</w:t>
      </w:r>
    </w:p>
    <w:p w:rsidR="00B622CE" w:rsidRPr="00B622CE" w:rsidRDefault="00B622CE" w:rsidP="00B622CE">
      <w:pPr>
        <w:spacing w:line="240" w:lineRule="auto"/>
        <w:jc w:val="both"/>
        <w:rPr>
          <w:rFonts w:ascii="Times New Roman" w:hAnsi="Times New Roman" w:cs="Times New Roman"/>
          <w:b/>
          <w:sz w:val="24"/>
          <w:szCs w:val="24"/>
        </w:rPr>
      </w:pPr>
      <w:r w:rsidRPr="00B622CE">
        <w:rPr>
          <w:rFonts w:ascii="Times New Roman" w:hAnsi="Times New Roman" w:cs="Times New Roman"/>
          <w:b/>
          <w:sz w:val="24"/>
          <w:szCs w:val="24"/>
        </w:rPr>
        <w:t>El gobierno alemán se opone a un embargo energético, y el ministro de Economía, Robert Habeck, argumenta que provocaría desempleo masivo, pobreza y malestar social generalizado. Pero, ¿son válidas estas preocupaciones?</w:t>
      </w:r>
    </w:p>
    <w:p w:rsidR="00B622CE" w:rsidRPr="00B622CE" w:rsidRDefault="00B622CE" w:rsidP="00B622CE">
      <w:pPr>
        <w:spacing w:line="240" w:lineRule="auto"/>
        <w:jc w:val="both"/>
        <w:rPr>
          <w:rFonts w:ascii="Times New Roman" w:hAnsi="Times New Roman" w:cs="Times New Roman"/>
          <w:b/>
          <w:sz w:val="24"/>
          <w:szCs w:val="24"/>
        </w:rPr>
      </w:pPr>
      <w:r w:rsidRPr="00B622CE">
        <w:rPr>
          <w:rFonts w:ascii="Times New Roman" w:hAnsi="Times New Roman" w:cs="Times New Roman"/>
          <w:b/>
          <w:sz w:val="24"/>
          <w:szCs w:val="24"/>
        </w:rPr>
        <w:t xml:space="preserve">Sin duda, Alemania depende en gran medida de la energía rusa. Obtiene el 55% de su gas, el 34% de su petróleo y el 26% de su carbón de Rusia. </w:t>
      </w:r>
    </w:p>
    <w:p w:rsidR="00B622CE" w:rsidRPr="00B622CE" w:rsidRDefault="00B622CE" w:rsidP="00B622CE">
      <w:pPr>
        <w:spacing w:line="240" w:lineRule="auto"/>
        <w:jc w:val="both"/>
        <w:rPr>
          <w:rFonts w:ascii="Times New Roman" w:hAnsi="Times New Roman" w:cs="Times New Roman"/>
          <w:b/>
          <w:sz w:val="24"/>
          <w:szCs w:val="24"/>
        </w:rPr>
      </w:pPr>
      <w:r w:rsidRPr="00B622CE">
        <w:rPr>
          <w:rFonts w:ascii="Times New Roman" w:hAnsi="Times New Roman" w:cs="Times New Roman"/>
          <w:b/>
          <w:sz w:val="24"/>
          <w:szCs w:val="24"/>
        </w:rPr>
        <w:lastRenderedPageBreak/>
        <w:t>Pero encontrar sustitutos para el petróleo y el carbón ruso no sería particularmente difícil…</w:t>
      </w:r>
    </w:p>
    <w:p w:rsidR="00B622CE" w:rsidRPr="00B622CE" w:rsidRDefault="00B622CE" w:rsidP="00B622CE">
      <w:pPr>
        <w:spacing w:line="240" w:lineRule="auto"/>
        <w:jc w:val="both"/>
        <w:rPr>
          <w:rFonts w:ascii="Times New Roman" w:hAnsi="Times New Roman" w:cs="Times New Roman"/>
          <w:b/>
          <w:sz w:val="24"/>
          <w:szCs w:val="24"/>
        </w:rPr>
      </w:pPr>
      <w:r w:rsidRPr="00B622CE">
        <w:rPr>
          <w:rFonts w:ascii="Times New Roman" w:hAnsi="Times New Roman" w:cs="Times New Roman"/>
          <w:b/>
          <w:sz w:val="24"/>
          <w:szCs w:val="24"/>
        </w:rPr>
        <w:t>Guerra en un mundo que representa nada</w:t>
      </w:r>
    </w:p>
    <w:p w:rsidR="00B622CE" w:rsidRPr="00B622CE" w:rsidRDefault="00B622CE" w:rsidP="00B622CE">
      <w:pPr>
        <w:spacing w:line="240" w:lineRule="auto"/>
        <w:jc w:val="both"/>
        <w:rPr>
          <w:rFonts w:ascii="Times New Roman" w:hAnsi="Times New Roman" w:cs="Times New Roman"/>
          <w:b/>
          <w:sz w:val="24"/>
          <w:szCs w:val="24"/>
        </w:rPr>
      </w:pPr>
      <w:r w:rsidRPr="00B622CE">
        <w:rPr>
          <w:rFonts w:ascii="Times New Roman" w:hAnsi="Times New Roman" w:cs="Times New Roman"/>
          <w:b/>
          <w:sz w:val="24"/>
          <w:szCs w:val="24"/>
        </w:rPr>
        <w:t>El motor de guerra de Vladimir Putin está siendo sostenido no solo por los pagos europeos por el petróleo y el gas rusos, sino también por una clase cómplice de “lumpen-burguesía” motivada únicamente por las trampas de la riqueza material. Los ucranianos, y todos los demás, están aprendiendo por las malas cómo el capitalismo global triunfa sobre la democracia y los derechos humanos.</w:t>
      </w:r>
    </w:p>
    <w:p w:rsidR="00B622CE" w:rsidRPr="00B622CE" w:rsidRDefault="00B622CE" w:rsidP="00B622CE">
      <w:pPr>
        <w:spacing w:line="240" w:lineRule="auto"/>
        <w:jc w:val="both"/>
        <w:rPr>
          <w:rFonts w:ascii="Times New Roman" w:hAnsi="Times New Roman" w:cs="Times New Roman"/>
          <w:b/>
          <w:sz w:val="24"/>
          <w:szCs w:val="24"/>
        </w:rPr>
      </w:pPr>
      <w:r w:rsidRPr="00B622CE">
        <w:rPr>
          <w:rFonts w:ascii="Times New Roman" w:hAnsi="Times New Roman" w:cs="Times New Roman"/>
          <w:b/>
          <w:sz w:val="24"/>
          <w:szCs w:val="24"/>
        </w:rPr>
        <w:t>Los llamados oligarcas en Rusia y otros países excomunistas son una contraparte burguesa de lo que Marx llamó el lumpen-proletariado: una cohorte irreflexiva susceptible de manipulación política porque sus miembros no tienen conciencia de clase o potencial revolucionario propio. Sin embargo, a diferencia del proletariado, la lumpen-burguesía que surgió en estos países a partir de finales de la década de 1980 controla el capital -mucho- gracias a la salvaje “privatización” de los activos estatales.</w:t>
      </w:r>
    </w:p>
    <w:p w:rsidR="00B622CE" w:rsidRPr="00B622CE" w:rsidRDefault="00B622CE" w:rsidP="00B622CE">
      <w:pPr>
        <w:spacing w:line="240" w:lineRule="auto"/>
        <w:jc w:val="both"/>
        <w:rPr>
          <w:rFonts w:ascii="Times New Roman" w:hAnsi="Times New Roman" w:cs="Times New Roman"/>
          <w:b/>
          <w:sz w:val="24"/>
          <w:szCs w:val="24"/>
        </w:rPr>
      </w:pPr>
      <w:r w:rsidRPr="00B622CE">
        <w:rPr>
          <w:rFonts w:ascii="Times New Roman" w:hAnsi="Times New Roman" w:cs="Times New Roman"/>
          <w:b/>
          <w:sz w:val="24"/>
          <w:szCs w:val="24"/>
        </w:rPr>
        <w:t>Un caso ejemplar es el de Rok Snežič, colaborador y amigo del primer ministro de derecha de Eslovenia, Janez Janša. Como “asesor fiscal independiente”, Snežič ayuda a las empresas eslovenas a cambiar su domicilio en la jurisdicción de impuestos más bajos de la República Srpska (la parte serbia de Bosnia y Herzegovina). Aparentemente no tiene posesiones privadas y ha borrado sus propias facturas de impuestos anteriores al declararse en bancarrota.</w:t>
      </w:r>
    </w:p>
    <w:p w:rsidR="00B622CE" w:rsidRDefault="00B622CE" w:rsidP="00B622CE">
      <w:pPr>
        <w:spacing w:line="240" w:lineRule="auto"/>
        <w:jc w:val="both"/>
        <w:rPr>
          <w:rFonts w:ascii="Times New Roman" w:hAnsi="Times New Roman" w:cs="Times New Roman"/>
          <w:b/>
          <w:sz w:val="24"/>
          <w:szCs w:val="24"/>
        </w:rPr>
      </w:pPr>
      <w:r w:rsidRPr="00B622CE">
        <w:rPr>
          <w:rFonts w:ascii="Times New Roman" w:hAnsi="Times New Roman" w:cs="Times New Roman"/>
          <w:b/>
          <w:sz w:val="24"/>
          <w:szCs w:val="24"/>
        </w:rPr>
        <w:t>Sin embargo, Snežič también se pasea en autos nuevos de lujo y tiene los medios para pagar anuncios publicitarios gigantes. Es empleado oficial de una empresa propiedad de su esposa, donde recibe un salario mensual de 37.362 euros (40.346 dólares) en efectivo…</w:t>
      </w:r>
    </w:p>
    <w:p w:rsidR="00F0551F" w:rsidRDefault="009C4C57" w:rsidP="00B622CE">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culpabilidad del empresariado alemán (por abandonar el Modelo Renano)</w:t>
      </w:r>
    </w:p>
    <w:p w:rsidR="00F0551F" w:rsidRDefault="00F0551F" w:rsidP="00B622CE">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empresarios alemanes, nunca, pero nunca jamás, tendrán la picardía, astucia, sagacidad, creatividad, dinámica, avidez, codicia, falta de escrúpulos, avaricia, inmoralidad, falta de piedad, mezquindad, miserabilidad, arrogancia, fatuidad… de los empresarios anglosajones (norteamericanos o ingleses).</w:t>
      </w:r>
    </w:p>
    <w:p w:rsidR="00F0551F" w:rsidRDefault="00F0551F" w:rsidP="00B622CE">
      <w:pPr>
        <w:spacing w:line="240" w:lineRule="auto"/>
        <w:jc w:val="both"/>
        <w:rPr>
          <w:rFonts w:ascii="Times New Roman" w:hAnsi="Times New Roman" w:cs="Times New Roman"/>
          <w:b/>
          <w:sz w:val="24"/>
          <w:szCs w:val="24"/>
        </w:rPr>
      </w:pPr>
      <w:r>
        <w:rPr>
          <w:rFonts w:ascii="Times New Roman" w:hAnsi="Times New Roman" w:cs="Times New Roman"/>
          <w:b/>
          <w:sz w:val="24"/>
          <w:szCs w:val="24"/>
        </w:rPr>
        <w:t>Si se trata del negocio bancario (Deutsche Bank), cuando hacen trampas, los descubren.</w:t>
      </w:r>
    </w:p>
    <w:p w:rsidR="00F0551F" w:rsidRDefault="00F0551F" w:rsidP="00B622CE">
      <w:pPr>
        <w:spacing w:line="240" w:lineRule="auto"/>
        <w:jc w:val="both"/>
        <w:rPr>
          <w:rFonts w:ascii="Times New Roman" w:hAnsi="Times New Roman" w:cs="Times New Roman"/>
          <w:b/>
          <w:sz w:val="24"/>
          <w:szCs w:val="24"/>
        </w:rPr>
      </w:pPr>
      <w:r>
        <w:rPr>
          <w:rFonts w:ascii="Times New Roman" w:hAnsi="Times New Roman" w:cs="Times New Roman"/>
          <w:b/>
          <w:sz w:val="24"/>
          <w:szCs w:val="24"/>
        </w:rPr>
        <w:t>Si se trata de la industria automotor (</w:t>
      </w:r>
      <w:r w:rsidRPr="00F0551F">
        <w:rPr>
          <w:rFonts w:ascii="Times New Roman" w:hAnsi="Times New Roman" w:cs="Times New Roman"/>
          <w:b/>
          <w:sz w:val="24"/>
          <w:szCs w:val="24"/>
        </w:rPr>
        <w:t>Volkswagen</w:t>
      </w:r>
      <w:r>
        <w:rPr>
          <w:rFonts w:ascii="Times New Roman" w:hAnsi="Times New Roman" w:cs="Times New Roman"/>
          <w:b/>
          <w:sz w:val="24"/>
          <w:szCs w:val="24"/>
        </w:rPr>
        <w:t>), cuando hacen trampas, los pillan.</w:t>
      </w:r>
    </w:p>
    <w:p w:rsidR="00271626" w:rsidRDefault="00271626" w:rsidP="00B622CE">
      <w:pPr>
        <w:spacing w:line="240" w:lineRule="auto"/>
        <w:jc w:val="both"/>
        <w:rPr>
          <w:rFonts w:ascii="Times New Roman" w:hAnsi="Times New Roman" w:cs="Times New Roman"/>
          <w:b/>
          <w:sz w:val="24"/>
          <w:szCs w:val="24"/>
        </w:rPr>
      </w:pPr>
      <w:r>
        <w:rPr>
          <w:rFonts w:ascii="Times New Roman" w:hAnsi="Times New Roman" w:cs="Times New Roman"/>
          <w:b/>
          <w:sz w:val="24"/>
          <w:szCs w:val="24"/>
        </w:rPr>
        <w:t>Si se trata de dar sobornos a grandes clientes (Siemens), estalla el escándalo.</w:t>
      </w:r>
    </w:p>
    <w:p w:rsidR="00271626" w:rsidRDefault="00271626" w:rsidP="00B622CE">
      <w:pPr>
        <w:spacing w:line="240" w:lineRule="auto"/>
        <w:jc w:val="both"/>
        <w:rPr>
          <w:rFonts w:ascii="Times New Roman" w:hAnsi="Times New Roman" w:cs="Times New Roman"/>
          <w:b/>
          <w:sz w:val="24"/>
          <w:szCs w:val="24"/>
        </w:rPr>
      </w:pPr>
      <w:r>
        <w:rPr>
          <w:rFonts w:ascii="Times New Roman" w:hAnsi="Times New Roman" w:cs="Times New Roman"/>
          <w:b/>
          <w:sz w:val="24"/>
          <w:szCs w:val="24"/>
        </w:rPr>
        <w:t>Si se trata de cometer fraude fiscal (Cum-Ex), se descubre la ilegalidad.</w:t>
      </w:r>
    </w:p>
    <w:p w:rsidR="00271626" w:rsidRDefault="00F0551F" w:rsidP="00B622CE">
      <w:pPr>
        <w:spacing w:line="240" w:lineRule="auto"/>
        <w:jc w:val="both"/>
        <w:rPr>
          <w:rFonts w:ascii="Times New Roman" w:hAnsi="Times New Roman" w:cs="Times New Roman"/>
          <w:b/>
          <w:sz w:val="24"/>
          <w:szCs w:val="24"/>
        </w:rPr>
      </w:pPr>
      <w:r>
        <w:rPr>
          <w:rFonts w:ascii="Times New Roman" w:hAnsi="Times New Roman" w:cs="Times New Roman"/>
          <w:b/>
          <w:sz w:val="24"/>
          <w:szCs w:val="24"/>
        </w:rPr>
        <w:t>Siempre van por detrás de los empresarios anglosajones, siempre llegan tarde. No son “sistémicos”, no tienen poder para “</w:t>
      </w:r>
      <w:r w:rsidR="005D63E0">
        <w:rPr>
          <w:rFonts w:ascii="Times New Roman" w:hAnsi="Times New Roman" w:cs="Times New Roman"/>
          <w:b/>
          <w:sz w:val="24"/>
          <w:szCs w:val="24"/>
        </w:rPr>
        <w:t>socia</w:t>
      </w:r>
      <w:r>
        <w:rPr>
          <w:rFonts w:ascii="Times New Roman" w:hAnsi="Times New Roman" w:cs="Times New Roman"/>
          <w:b/>
          <w:sz w:val="24"/>
          <w:szCs w:val="24"/>
        </w:rPr>
        <w:t>lizar” las pérdidas, tienen un lastre (estado de bienestar europeo) que les resta competitividad internacional</w:t>
      </w:r>
      <w:r w:rsidR="00271626">
        <w:rPr>
          <w:rFonts w:ascii="Times New Roman" w:hAnsi="Times New Roman" w:cs="Times New Roman"/>
          <w:b/>
          <w:sz w:val="24"/>
          <w:szCs w:val="24"/>
        </w:rPr>
        <w:t xml:space="preserve"> (plomo en las alas).</w:t>
      </w:r>
    </w:p>
    <w:p w:rsidR="009C4C57" w:rsidRDefault="00271626" w:rsidP="009C4C5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En definitiva, aunque los empresarios alemanes </w:t>
      </w:r>
      <w:r w:rsidR="005D63E0">
        <w:rPr>
          <w:rFonts w:ascii="Times New Roman" w:hAnsi="Times New Roman" w:cs="Times New Roman"/>
          <w:b/>
          <w:sz w:val="24"/>
          <w:szCs w:val="24"/>
        </w:rPr>
        <w:t>no quieran ser buenos ciudadanos (honrados</w:t>
      </w:r>
      <w:r>
        <w:rPr>
          <w:rFonts w:ascii="Times New Roman" w:hAnsi="Times New Roman" w:cs="Times New Roman"/>
          <w:b/>
          <w:sz w:val="24"/>
          <w:szCs w:val="24"/>
        </w:rPr>
        <w:t>)</w:t>
      </w:r>
      <w:r w:rsidR="005D63E0">
        <w:rPr>
          <w:rFonts w:ascii="Times New Roman" w:hAnsi="Times New Roman" w:cs="Times New Roman"/>
          <w:b/>
          <w:sz w:val="24"/>
          <w:szCs w:val="24"/>
        </w:rPr>
        <w:t>, nunca podrán alcanzar</w:t>
      </w:r>
      <w:r>
        <w:rPr>
          <w:rFonts w:ascii="Times New Roman" w:hAnsi="Times New Roman" w:cs="Times New Roman"/>
          <w:b/>
          <w:sz w:val="24"/>
          <w:szCs w:val="24"/>
        </w:rPr>
        <w:t xml:space="preserve"> el nivel de “maldad”</w:t>
      </w:r>
      <w:r w:rsidR="005D63E0">
        <w:rPr>
          <w:rFonts w:ascii="Times New Roman" w:hAnsi="Times New Roman" w:cs="Times New Roman"/>
          <w:b/>
          <w:sz w:val="24"/>
          <w:szCs w:val="24"/>
        </w:rPr>
        <w:t xml:space="preserve"> (deshonestidad) </w:t>
      </w:r>
      <w:r>
        <w:rPr>
          <w:rFonts w:ascii="Times New Roman" w:hAnsi="Times New Roman" w:cs="Times New Roman"/>
          <w:b/>
          <w:sz w:val="24"/>
          <w:szCs w:val="24"/>
        </w:rPr>
        <w:t xml:space="preserve">de los empresarios </w:t>
      </w:r>
      <w:r w:rsidR="005D63E0">
        <w:rPr>
          <w:rFonts w:ascii="Times New Roman" w:hAnsi="Times New Roman" w:cs="Times New Roman"/>
          <w:b/>
          <w:sz w:val="24"/>
          <w:szCs w:val="24"/>
        </w:rPr>
        <w:t>anglo</w:t>
      </w:r>
      <w:r>
        <w:rPr>
          <w:rFonts w:ascii="Times New Roman" w:hAnsi="Times New Roman" w:cs="Times New Roman"/>
          <w:b/>
          <w:sz w:val="24"/>
          <w:szCs w:val="24"/>
        </w:rPr>
        <w:t xml:space="preserve">sajones. Y pierden </w:t>
      </w:r>
      <w:r w:rsidR="00BC170D">
        <w:rPr>
          <w:rFonts w:ascii="Times New Roman" w:hAnsi="Times New Roman" w:cs="Times New Roman"/>
          <w:b/>
          <w:sz w:val="24"/>
          <w:szCs w:val="24"/>
        </w:rPr>
        <w:t xml:space="preserve">en </w:t>
      </w:r>
      <w:r>
        <w:rPr>
          <w:rFonts w:ascii="Times New Roman" w:hAnsi="Times New Roman" w:cs="Times New Roman"/>
          <w:b/>
          <w:sz w:val="24"/>
          <w:szCs w:val="24"/>
        </w:rPr>
        <w:t>la batalla de</w:t>
      </w:r>
      <w:r w:rsidR="005D63E0">
        <w:rPr>
          <w:rFonts w:ascii="Times New Roman" w:hAnsi="Times New Roman" w:cs="Times New Roman"/>
          <w:b/>
          <w:sz w:val="24"/>
          <w:szCs w:val="24"/>
        </w:rPr>
        <w:t xml:space="preserve"> la rentabilidad corporativa, los bonus, participaciones accionarias, fondos de pensiones, y otros beneficios preferentes.  </w:t>
      </w:r>
    </w:p>
    <w:p w:rsidR="00BC170D" w:rsidRDefault="001C678E" w:rsidP="00BC170D">
      <w:pPr>
        <w:spacing w:line="240" w:lineRule="auto"/>
        <w:jc w:val="both"/>
        <w:rPr>
          <w:rFonts w:ascii="Times New Roman" w:hAnsi="Times New Roman" w:cs="Times New Roman"/>
          <w:b/>
          <w:sz w:val="24"/>
          <w:szCs w:val="24"/>
        </w:rPr>
      </w:pPr>
      <w:r w:rsidRPr="00B01701">
        <w:rPr>
          <w:rFonts w:ascii="Times New Roman" w:eastAsia="Times New Roman" w:hAnsi="Times New Roman" w:cs="Times New Roman"/>
          <w:b/>
          <w:color w:val="FF0000"/>
          <w:sz w:val="24"/>
          <w:szCs w:val="24"/>
          <w:lang w:eastAsia="es-ES"/>
        </w:rPr>
        <w:lastRenderedPageBreak/>
        <w:t xml:space="preserve">3 - Salvando el planeta en solitario (la </w:t>
      </w:r>
      <w:r w:rsidR="00CA5407">
        <w:rPr>
          <w:rFonts w:ascii="Times New Roman" w:eastAsia="Times New Roman" w:hAnsi="Times New Roman" w:cs="Times New Roman"/>
          <w:b/>
          <w:color w:val="FF0000"/>
          <w:sz w:val="24"/>
          <w:szCs w:val="24"/>
          <w:lang w:eastAsia="es-ES"/>
        </w:rPr>
        <w:t>“</w:t>
      </w:r>
      <w:r w:rsidRPr="00B01701">
        <w:rPr>
          <w:rFonts w:ascii="Times New Roman" w:eastAsia="Times New Roman" w:hAnsi="Times New Roman" w:cs="Times New Roman"/>
          <w:b/>
          <w:color w:val="FF0000"/>
          <w:sz w:val="24"/>
          <w:szCs w:val="24"/>
          <w:lang w:eastAsia="es-ES"/>
        </w:rPr>
        <w:t>taxonomía</w:t>
      </w:r>
      <w:r w:rsidR="00CA5407">
        <w:rPr>
          <w:rFonts w:ascii="Times New Roman" w:eastAsia="Times New Roman" w:hAnsi="Times New Roman" w:cs="Times New Roman"/>
          <w:b/>
          <w:color w:val="FF0000"/>
          <w:sz w:val="24"/>
          <w:szCs w:val="24"/>
          <w:lang w:eastAsia="es-ES"/>
        </w:rPr>
        <w:t>”</w:t>
      </w:r>
      <w:r w:rsidRPr="00B01701">
        <w:rPr>
          <w:rFonts w:ascii="Times New Roman" w:eastAsia="Times New Roman" w:hAnsi="Times New Roman" w:cs="Times New Roman"/>
          <w:b/>
          <w:color w:val="FF0000"/>
          <w:sz w:val="24"/>
          <w:szCs w:val="24"/>
          <w:lang w:eastAsia="es-ES"/>
        </w:rPr>
        <w:t xml:space="preserve"> de los idiotas)</w:t>
      </w:r>
    </w:p>
    <w:p w:rsidR="00470AAD" w:rsidRPr="00BC170D" w:rsidRDefault="001C678E" w:rsidP="00BC170D">
      <w:pPr>
        <w:spacing w:line="240" w:lineRule="auto"/>
        <w:jc w:val="both"/>
        <w:rPr>
          <w:rFonts w:ascii="Times New Roman" w:hAnsi="Times New Roman" w:cs="Times New Roman"/>
          <w:b/>
          <w:sz w:val="24"/>
          <w:szCs w:val="24"/>
        </w:rPr>
      </w:pPr>
      <w:r w:rsidRPr="00440577">
        <w:rPr>
          <w:rFonts w:ascii="Times New Roman" w:eastAsia="Times New Roman" w:hAnsi="Times New Roman" w:cs="Times New Roman"/>
          <w:b/>
          <w:sz w:val="24"/>
          <w:szCs w:val="24"/>
          <w:lang w:eastAsia="es-ES"/>
        </w:rPr>
        <w:t>Teñidos de verde, b</w:t>
      </w:r>
      <w:r>
        <w:rPr>
          <w:rFonts w:ascii="Times New Roman" w:eastAsia="Times New Roman" w:hAnsi="Times New Roman" w:cs="Times New Roman"/>
          <w:b/>
          <w:sz w:val="24"/>
          <w:szCs w:val="24"/>
          <w:lang w:eastAsia="es-ES"/>
        </w:rPr>
        <w:t>ajo  la influencia de la secta “climatérica”</w:t>
      </w:r>
      <w:r w:rsidRPr="00440577">
        <w:rPr>
          <w:rFonts w:ascii="Times New Roman" w:eastAsia="Times New Roman" w:hAnsi="Times New Roman" w:cs="Times New Roman"/>
          <w:b/>
          <w:sz w:val="24"/>
          <w:szCs w:val="24"/>
          <w:lang w:eastAsia="es-ES"/>
        </w:rPr>
        <w:t xml:space="preserve"> de Greta Thunberg</w:t>
      </w:r>
    </w:p>
    <w:p w:rsidR="005C6109" w:rsidRDefault="005C6109"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2016 - COP22 dixit (el Top 10 de los </w:t>
      </w:r>
      <w:r w:rsidR="00BC170D">
        <w:rPr>
          <w:rFonts w:ascii="Times New Roman" w:eastAsia="Times New Roman" w:hAnsi="Times New Roman" w:cs="Times New Roman"/>
          <w:b/>
          <w:sz w:val="24"/>
          <w:szCs w:val="24"/>
          <w:lang w:eastAsia="es-ES"/>
        </w:rPr>
        <w:t>“</w:t>
      </w:r>
      <w:r>
        <w:rPr>
          <w:rFonts w:ascii="Times New Roman" w:eastAsia="Times New Roman" w:hAnsi="Times New Roman" w:cs="Times New Roman"/>
          <w:b/>
          <w:sz w:val="24"/>
          <w:szCs w:val="24"/>
          <w:lang w:eastAsia="es-ES"/>
        </w:rPr>
        <w:t>calentadores</w:t>
      </w:r>
      <w:r w:rsidR="00BC170D">
        <w:rPr>
          <w:rFonts w:ascii="Times New Roman" w:eastAsia="Times New Roman" w:hAnsi="Times New Roman" w:cs="Times New Roman"/>
          <w:b/>
          <w:sz w:val="24"/>
          <w:szCs w:val="24"/>
          <w:lang w:eastAsia="es-ES"/>
        </w:rPr>
        <w:t>”</w:t>
      </w:r>
      <w:r>
        <w:rPr>
          <w:rFonts w:ascii="Times New Roman" w:eastAsia="Times New Roman" w:hAnsi="Times New Roman" w:cs="Times New Roman"/>
          <w:b/>
          <w:sz w:val="24"/>
          <w:szCs w:val="24"/>
          <w:lang w:eastAsia="es-ES"/>
        </w:rPr>
        <w:t xml:space="preserve"> del planeta)</w:t>
      </w:r>
    </w:p>
    <w:p w:rsidR="00470AAD" w:rsidRDefault="00470AAD" w:rsidP="00470AAD">
      <w:pPr>
        <w:spacing w:line="240" w:lineRule="auto"/>
        <w:jc w:val="both"/>
        <w:textAlignment w:val="baseline"/>
        <w:rPr>
          <w:rStyle w:val="agencia"/>
          <w:rFonts w:ascii="Times New Roman" w:hAnsi="Times New Roman" w:cs="Times New Roman"/>
          <w:sz w:val="24"/>
          <w:szCs w:val="24"/>
        </w:rPr>
      </w:pPr>
      <w:r>
        <w:rPr>
          <w:rStyle w:val="agencia"/>
          <w:rFonts w:ascii="Times New Roman" w:hAnsi="Times New Roman" w:cs="Times New Roman"/>
          <w:sz w:val="24"/>
          <w:szCs w:val="24"/>
        </w:rPr>
        <w:t>El empleo de combustibles fósiles en la industria y la expansión del comercio internacional tiene su reverso de la moneda: más polución y más muertes asociadas a la emisión de gases contaminantes.</w:t>
      </w:r>
    </w:p>
    <w:p w:rsidR="00470AAD" w:rsidRDefault="00470AAD" w:rsidP="00470AAD">
      <w:pPr>
        <w:spacing w:line="240" w:lineRule="auto"/>
        <w:jc w:val="both"/>
        <w:textAlignment w:val="baseline"/>
        <w:rPr>
          <w:rStyle w:val="agencia"/>
          <w:rFonts w:ascii="Times New Roman" w:hAnsi="Times New Roman" w:cs="Times New Roman"/>
          <w:sz w:val="24"/>
          <w:szCs w:val="24"/>
        </w:rPr>
      </w:pPr>
      <w:r>
        <w:rPr>
          <w:rStyle w:val="agencia"/>
          <w:rFonts w:ascii="Times New Roman" w:hAnsi="Times New Roman" w:cs="Times New Roman"/>
          <w:sz w:val="24"/>
          <w:szCs w:val="24"/>
        </w:rPr>
        <w:t>Naciones</w:t>
      </w:r>
      <w:r w:rsidR="005C6109">
        <w:rPr>
          <w:rStyle w:val="agencia"/>
          <w:rFonts w:ascii="Times New Roman" w:hAnsi="Times New Roman" w:cs="Times New Roman"/>
          <w:sz w:val="24"/>
          <w:szCs w:val="24"/>
        </w:rPr>
        <w:t xml:space="preserve"> Unidas advertía </w:t>
      </w:r>
      <w:r>
        <w:rPr>
          <w:rStyle w:val="agencia"/>
          <w:rFonts w:ascii="Times New Roman" w:hAnsi="Times New Roman" w:cs="Times New Roman"/>
          <w:sz w:val="24"/>
          <w:szCs w:val="24"/>
        </w:rPr>
        <w:t>con motivo de la cumbre sobre el cambio climático (COP22), que se celebra</w:t>
      </w:r>
      <w:r w:rsidR="005C6109">
        <w:rPr>
          <w:rStyle w:val="agencia"/>
          <w:rFonts w:ascii="Times New Roman" w:hAnsi="Times New Roman" w:cs="Times New Roman"/>
          <w:sz w:val="24"/>
          <w:szCs w:val="24"/>
        </w:rPr>
        <w:t xml:space="preserve">ba en Marrakech en </w:t>
      </w:r>
      <w:r>
        <w:rPr>
          <w:rStyle w:val="agencia"/>
          <w:rFonts w:ascii="Times New Roman" w:hAnsi="Times New Roman" w:cs="Times New Roman"/>
          <w:sz w:val="24"/>
          <w:szCs w:val="24"/>
        </w:rPr>
        <w:t>noviembre</w:t>
      </w:r>
      <w:r w:rsidR="005C6109">
        <w:rPr>
          <w:rStyle w:val="agencia"/>
          <w:rFonts w:ascii="Times New Roman" w:hAnsi="Times New Roman" w:cs="Times New Roman"/>
          <w:sz w:val="24"/>
          <w:szCs w:val="24"/>
        </w:rPr>
        <w:t xml:space="preserve"> de 2016</w:t>
      </w:r>
      <w:r>
        <w:rPr>
          <w:rStyle w:val="agencia"/>
          <w:rFonts w:ascii="Times New Roman" w:hAnsi="Times New Roman" w:cs="Times New Roman"/>
          <w:sz w:val="24"/>
          <w:szCs w:val="24"/>
        </w:rPr>
        <w:t xml:space="preserve"> que las emisiones pasarán de los 12.000 millones actuales a los 14.000 millones de toneladas por encima de lo necesario en 2030 para mantener en calentamiento global dentro de los objetivos comprometidos.</w:t>
      </w:r>
    </w:p>
    <w:p w:rsidR="00470AAD" w:rsidRDefault="005C6109" w:rsidP="00470AAD">
      <w:pPr>
        <w:spacing w:line="240" w:lineRule="auto"/>
        <w:jc w:val="both"/>
        <w:textAlignment w:val="baseline"/>
        <w:rPr>
          <w:rStyle w:val="agencia"/>
          <w:rFonts w:ascii="Times New Roman" w:hAnsi="Times New Roman" w:cs="Times New Roman"/>
          <w:sz w:val="24"/>
          <w:szCs w:val="24"/>
        </w:rPr>
      </w:pPr>
      <w:r>
        <w:rPr>
          <w:rStyle w:val="agencia"/>
          <w:rFonts w:ascii="Times New Roman" w:hAnsi="Times New Roman" w:cs="Times New Roman"/>
          <w:sz w:val="24"/>
          <w:szCs w:val="24"/>
        </w:rPr>
        <w:t xml:space="preserve">Según los </w:t>
      </w:r>
      <w:r w:rsidR="00470AAD">
        <w:rPr>
          <w:rStyle w:val="agencia"/>
          <w:rFonts w:ascii="Times New Roman" w:hAnsi="Times New Roman" w:cs="Times New Roman"/>
          <w:sz w:val="24"/>
          <w:szCs w:val="24"/>
        </w:rPr>
        <w:t>datos</w:t>
      </w:r>
      <w:r w:rsidR="00354289">
        <w:rPr>
          <w:rStyle w:val="agencia"/>
          <w:rFonts w:ascii="Times New Roman" w:hAnsi="Times New Roman" w:cs="Times New Roman"/>
          <w:sz w:val="24"/>
          <w:szCs w:val="24"/>
        </w:rPr>
        <w:t xml:space="preserve"> (disponibles en noviembre 2016</w:t>
      </w:r>
      <w:r>
        <w:rPr>
          <w:rStyle w:val="agencia"/>
          <w:rFonts w:ascii="Times New Roman" w:hAnsi="Times New Roman" w:cs="Times New Roman"/>
          <w:sz w:val="24"/>
          <w:szCs w:val="24"/>
        </w:rPr>
        <w:t>)</w:t>
      </w:r>
      <w:r w:rsidR="00470AAD">
        <w:rPr>
          <w:rStyle w:val="agencia"/>
          <w:rFonts w:ascii="Times New Roman" w:hAnsi="Times New Roman" w:cs="Times New Roman"/>
          <w:sz w:val="24"/>
          <w:szCs w:val="24"/>
        </w:rPr>
        <w:t xml:space="preserve"> de la Organización Mundial de la Salud (OMS),el </w:t>
      </w:r>
      <w:r>
        <w:rPr>
          <w:rStyle w:val="agencia"/>
          <w:rFonts w:ascii="Times New Roman" w:hAnsi="Times New Roman" w:cs="Times New Roman"/>
          <w:sz w:val="24"/>
          <w:szCs w:val="24"/>
        </w:rPr>
        <w:t>92% de la población mundial vivía</w:t>
      </w:r>
      <w:r w:rsidR="00470AAD">
        <w:rPr>
          <w:rStyle w:val="agencia"/>
          <w:rFonts w:ascii="Times New Roman" w:hAnsi="Times New Roman" w:cs="Times New Roman"/>
          <w:sz w:val="24"/>
          <w:szCs w:val="24"/>
        </w:rPr>
        <w:t xml:space="preserve"> en zonas en las que la contaminación atmosférica supera los límites recomendados para proteger la salud.</w:t>
      </w:r>
    </w:p>
    <w:p w:rsidR="00470AAD" w:rsidRDefault="00470AAD" w:rsidP="00470AAD">
      <w:pPr>
        <w:spacing w:line="240" w:lineRule="auto"/>
        <w:jc w:val="both"/>
        <w:textAlignment w:val="baseline"/>
        <w:rPr>
          <w:rStyle w:val="agencia"/>
          <w:rFonts w:ascii="Times New Roman" w:hAnsi="Times New Roman" w:cs="Times New Roman"/>
          <w:sz w:val="24"/>
          <w:szCs w:val="24"/>
        </w:rPr>
      </w:pPr>
      <w:r>
        <w:rPr>
          <w:rStyle w:val="agencia"/>
          <w:rFonts w:ascii="Times New Roman" w:hAnsi="Times New Roman" w:cs="Times New Roman"/>
          <w:sz w:val="24"/>
          <w:szCs w:val="24"/>
        </w:rPr>
        <w:t>Algunas partes de África, Europa del Este, India, Ch</w:t>
      </w:r>
      <w:r w:rsidR="005C6109">
        <w:rPr>
          <w:rStyle w:val="agencia"/>
          <w:rFonts w:ascii="Times New Roman" w:hAnsi="Times New Roman" w:cs="Times New Roman"/>
          <w:sz w:val="24"/>
          <w:szCs w:val="24"/>
        </w:rPr>
        <w:t>ina y Oriente Próximo concentraban</w:t>
      </w:r>
      <w:r>
        <w:rPr>
          <w:rStyle w:val="agencia"/>
          <w:rFonts w:ascii="Times New Roman" w:hAnsi="Times New Roman" w:cs="Times New Roman"/>
          <w:sz w:val="24"/>
          <w:szCs w:val="24"/>
        </w:rPr>
        <w:t xml:space="preserve"> las mayores emisiones de CO2, y el 94% de las muertes asociadas a la contaminación del aire se dan en economías emergentes o países en vías de desarrollo, que concentran también las estadísticas de mortalidad por esta causa.</w:t>
      </w:r>
    </w:p>
    <w:p w:rsidR="00470AAD" w:rsidRDefault="00470AAD" w:rsidP="00470AAD">
      <w:pPr>
        <w:spacing w:line="240" w:lineRule="auto"/>
        <w:jc w:val="both"/>
        <w:textAlignment w:val="baseline"/>
        <w:rPr>
          <w:rStyle w:val="agencia"/>
          <w:rFonts w:ascii="Times New Roman" w:hAnsi="Times New Roman" w:cs="Times New Roman"/>
          <w:sz w:val="24"/>
          <w:szCs w:val="24"/>
        </w:rPr>
      </w:pPr>
      <w:r>
        <w:rPr>
          <w:rStyle w:val="agencia"/>
          <w:rFonts w:ascii="Times New Roman" w:hAnsi="Times New Roman" w:cs="Times New Roman"/>
          <w:sz w:val="24"/>
          <w:szCs w:val="24"/>
        </w:rPr>
        <w:t>El ranking elaborado por Datosmacro.com destaca</w:t>
      </w:r>
      <w:r w:rsidR="005C6109">
        <w:rPr>
          <w:rStyle w:val="agencia"/>
          <w:rFonts w:ascii="Times New Roman" w:hAnsi="Times New Roman" w:cs="Times New Roman"/>
          <w:sz w:val="24"/>
          <w:szCs w:val="24"/>
        </w:rPr>
        <w:t>ba</w:t>
      </w:r>
      <w:r>
        <w:rPr>
          <w:rStyle w:val="agencia"/>
          <w:rFonts w:ascii="Times New Roman" w:hAnsi="Times New Roman" w:cs="Times New Roman"/>
          <w:sz w:val="24"/>
          <w:szCs w:val="24"/>
        </w:rPr>
        <w:t xml:space="preserve"> diez naciones en el mundo por sus niveles de emisiones</w:t>
      </w:r>
      <w:r w:rsidR="005C6109">
        <w:rPr>
          <w:rStyle w:val="agencia"/>
          <w:rFonts w:ascii="Times New Roman" w:hAnsi="Times New Roman" w:cs="Times New Roman"/>
          <w:sz w:val="24"/>
          <w:szCs w:val="24"/>
        </w:rPr>
        <w:t xml:space="preserve"> de C02 a la atmósfera. China era</w:t>
      </w:r>
      <w:r>
        <w:rPr>
          <w:rStyle w:val="agencia"/>
          <w:rFonts w:ascii="Times New Roman" w:hAnsi="Times New Roman" w:cs="Times New Roman"/>
          <w:sz w:val="24"/>
          <w:szCs w:val="24"/>
        </w:rPr>
        <w:t xml:space="preserve"> el país</w:t>
      </w:r>
      <w:r w:rsidR="005C6109">
        <w:rPr>
          <w:rStyle w:val="agencia"/>
          <w:rFonts w:ascii="Times New Roman" w:hAnsi="Times New Roman" w:cs="Times New Roman"/>
          <w:sz w:val="24"/>
          <w:szCs w:val="24"/>
        </w:rPr>
        <w:t xml:space="preserve"> más contaminante, al que seguían</w:t>
      </w:r>
      <w:r>
        <w:rPr>
          <w:rStyle w:val="agencia"/>
          <w:rFonts w:ascii="Times New Roman" w:hAnsi="Times New Roman" w:cs="Times New Roman"/>
          <w:sz w:val="24"/>
          <w:szCs w:val="24"/>
        </w:rPr>
        <w:t xml:space="preserve"> Estados Unidos, India, Rusia, Japón, Alemania, Irán, Corea del Sur, Canadá y Brasil.</w:t>
      </w:r>
    </w:p>
    <w:p w:rsidR="00470AAD" w:rsidRDefault="00470AAD" w:rsidP="00470AAD">
      <w:pPr>
        <w:spacing w:line="240" w:lineRule="auto"/>
        <w:jc w:val="both"/>
        <w:textAlignment w:val="baseline"/>
        <w:rPr>
          <w:rStyle w:val="agencia"/>
          <w:rFonts w:ascii="Times New Roman" w:hAnsi="Times New Roman" w:cs="Times New Roman"/>
          <w:sz w:val="24"/>
          <w:szCs w:val="24"/>
        </w:rPr>
      </w:pPr>
      <w:r>
        <w:rPr>
          <w:rStyle w:val="agencia"/>
          <w:rFonts w:ascii="Times New Roman" w:hAnsi="Times New Roman" w:cs="Times New Roman"/>
          <w:sz w:val="24"/>
          <w:szCs w:val="24"/>
        </w:rPr>
        <w:t>El protocolo de Kioto de la Convención Marco de las Naciones Unidas sobre el Cambio Climático (CMNUCC) establece la reducción de las emisiones en los países firmantes. La UE, que es responsable aproximadamente del 25% de las emisiones de gases invernadero, se ha comprometido a reducir sus emisiones en un 8% de media; un 7% en el caso de Estados Unidos; Japón, un 6% mientras que Rusia, Nueva Zelanda y Ucrania deben a mantener sus emisiones en los mismos niveles que estaban en 1990. Según un informe de la Agencia Internacional de la Energía, Georgia encabezaba en 2012 la lista de los países con mayor mortalidad asociada a la contaminación ambiental, con casi 300 muertes por cada 100.000 habitantes, seguida de Cerca por Bulgaria y China.</w:t>
      </w:r>
    </w:p>
    <w:p w:rsidR="00470AAD" w:rsidRDefault="00470AAD" w:rsidP="00470AAD">
      <w:pPr>
        <w:spacing w:line="240" w:lineRule="auto"/>
        <w:jc w:val="both"/>
        <w:textAlignment w:val="baseline"/>
        <w:rPr>
          <w:rStyle w:val="agencia"/>
          <w:rFonts w:ascii="Times New Roman" w:hAnsi="Times New Roman" w:cs="Times New Roman"/>
          <w:sz w:val="24"/>
          <w:szCs w:val="24"/>
        </w:rPr>
      </w:pPr>
      <w:r>
        <w:rPr>
          <w:rStyle w:val="agencia"/>
          <w:rFonts w:ascii="Times New Roman" w:hAnsi="Times New Roman" w:cs="Times New Roman"/>
          <w:sz w:val="24"/>
          <w:szCs w:val="24"/>
        </w:rPr>
        <w:t>Europa: Aire limpio, aire sucio</w:t>
      </w:r>
    </w:p>
    <w:p w:rsidR="00470AAD" w:rsidRDefault="00470AAD" w:rsidP="00470AAD">
      <w:pPr>
        <w:spacing w:line="240" w:lineRule="auto"/>
        <w:jc w:val="both"/>
        <w:textAlignment w:val="baseline"/>
        <w:rPr>
          <w:rStyle w:val="agencia"/>
          <w:rFonts w:ascii="Times New Roman" w:hAnsi="Times New Roman" w:cs="Times New Roman"/>
          <w:sz w:val="24"/>
          <w:szCs w:val="24"/>
        </w:rPr>
      </w:pPr>
      <w:r>
        <w:rPr>
          <w:rStyle w:val="agencia"/>
          <w:rFonts w:ascii="Times New Roman" w:hAnsi="Times New Roman" w:cs="Times New Roman"/>
          <w:sz w:val="24"/>
          <w:szCs w:val="24"/>
        </w:rPr>
        <w:t>Fuera de la “zona de peligro”, el aire más limpio lo disfruta</w:t>
      </w:r>
      <w:r w:rsidR="005C6109">
        <w:rPr>
          <w:rStyle w:val="agencia"/>
          <w:rFonts w:ascii="Times New Roman" w:hAnsi="Times New Roman" w:cs="Times New Roman"/>
          <w:sz w:val="24"/>
          <w:szCs w:val="24"/>
        </w:rPr>
        <w:t>ba</w:t>
      </w:r>
      <w:r>
        <w:rPr>
          <w:rStyle w:val="agencia"/>
          <w:rFonts w:ascii="Times New Roman" w:hAnsi="Times New Roman" w:cs="Times New Roman"/>
          <w:sz w:val="24"/>
          <w:szCs w:val="24"/>
        </w:rPr>
        <w:t>n, paradójicamente, grandes territorios de países que encabezan la lista mundial de los más contaminantes, como Estados Unidos y Canadá, así como vastas zonas de Australia, Nueva Zelanda y Escandinavia. En cambio, gran parte de los europeos está respirando aire sucio cada día, situación que compromete a los habitantes de algunas zonas en concreto, como por ejemplo, el norte de Italia.</w:t>
      </w:r>
    </w:p>
    <w:p w:rsidR="00470AAD" w:rsidRPr="00470AAD" w:rsidRDefault="00470AAD" w:rsidP="00470AAD">
      <w:pPr>
        <w:pStyle w:val="Ttulo2"/>
        <w:spacing w:before="345" w:after="173"/>
        <w:jc w:val="both"/>
        <w:textAlignment w:val="baseline"/>
        <w:rPr>
          <w:rFonts w:ascii="Times New Roman" w:hAnsi="Times New Roman" w:cs="Times New Roman"/>
          <w:b w:val="0"/>
          <w:color w:val="auto"/>
          <w:sz w:val="24"/>
          <w:szCs w:val="24"/>
        </w:rPr>
      </w:pPr>
      <w:r w:rsidRPr="00470AAD">
        <w:rPr>
          <w:rFonts w:ascii="Times New Roman" w:hAnsi="Times New Roman" w:cs="Times New Roman"/>
          <w:b w:val="0"/>
          <w:color w:val="auto"/>
          <w:sz w:val="24"/>
          <w:szCs w:val="24"/>
        </w:rPr>
        <w:t>El caso paradigmático de China</w:t>
      </w:r>
    </w:p>
    <w:p w:rsidR="00470AAD" w:rsidRDefault="00470AAD" w:rsidP="00470AAD">
      <w:pPr>
        <w:pStyle w:val="NormalWeb"/>
        <w:spacing w:before="0" w:beforeAutospacing="0" w:after="300" w:afterAutospacing="0"/>
        <w:jc w:val="both"/>
        <w:textAlignment w:val="baseline"/>
      </w:pPr>
      <w:r>
        <w:t xml:space="preserve">Abastecer a los países desarrollados de enormes cantidades de productos a bajo coste ha terminado pasando factura a la salud medioambiental del planeta entero: En China, la industria de tan sólo cinco </w:t>
      </w:r>
      <w:r w:rsidR="005C6109">
        <w:t xml:space="preserve">provincias del país </w:t>
      </w:r>
      <w:r w:rsidR="00906BF1">
        <w:t>emitían</w:t>
      </w:r>
      <w:r>
        <w:t xml:space="preserve"> más dióxido de carbono que la de cualquier otro lugar en el mundo.</w:t>
      </w:r>
    </w:p>
    <w:p w:rsidR="00470AAD" w:rsidRDefault="00470AAD" w:rsidP="00470AAD">
      <w:pPr>
        <w:pStyle w:val="NormalWeb"/>
        <w:spacing w:before="0" w:beforeAutospacing="0" w:after="300" w:afterAutospacing="0"/>
        <w:jc w:val="both"/>
        <w:textAlignment w:val="baseline"/>
      </w:pPr>
      <w:r>
        <w:lastRenderedPageBreak/>
        <w:t>Las chimeneas de Pekín, la neblina densa de la periferia industrial y los miles de transeún</w:t>
      </w:r>
      <w:r w:rsidR="005C6109">
        <w:t>tes caminando con mascarilla eran</w:t>
      </w:r>
      <w:r>
        <w:t xml:space="preserve"> una imagen icónica de la contaminación planetaria: la segunda potencia económica del mundo se ha</w:t>
      </w:r>
      <w:r w:rsidR="005C6109">
        <w:t>bía</w:t>
      </w:r>
      <w:r>
        <w:t xml:space="preserve"> ganado la reputación de tener el aire más contaminado del planeta, fundamentalmente por las emisiones de C02 fruto del uso del empleo de combustibles fósiles como el carbón como principal materia prima en la industria manufacturera.</w:t>
      </w:r>
    </w:p>
    <w:p w:rsidR="00470AAD" w:rsidRDefault="00470AAD" w:rsidP="00470AAD">
      <w:pPr>
        <w:pStyle w:val="NormalWeb"/>
        <w:spacing w:before="0" w:beforeAutospacing="0" w:after="300" w:afterAutospacing="0"/>
        <w:jc w:val="both"/>
        <w:textAlignment w:val="baseline"/>
      </w:pPr>
      <w:r>
        <w:t>Así, la quema del carbón y las emisiones de alta intensidad (emisiones por unidad de valor económico) se centra</w:t>
      </w:r>
      <w:r w:rsidR="005C6109">
        <w:t>ba</w:t>
      </w:r>
      <w:r>
        <w:t xml:space="preserve"> en algunas provincias y sectores industriales concretos: las trituradoras de acero, procesadores de minerales y plantas petroquímicas de Guizhou, Mongolia Interior, Ningxia, Yunnan y Shanxi son las industrias más “sucias” del país.</w:t>
      </w:r>
    </w:p>
    <w:p w:rsidR="00470AAD" w:rsidRDefault="00470AAD" w:rsidP="00470AAD">
      <w:pPr>
        <w:pStyle w:val="NormalWeb"/>
        <w:spacing w:before="0" w:beforeAutospacing="0" w:after="300" w:afterAutospacing="0"/>
        <w:jc w:val="both"/>
        <w:textAlignment w:val="baseline"/>
      </w:pPr>
      <w:r>
        <w:t>La contribución anual de emisiones de dióxido de carbon</w:t>
      </w:r>
      <w:r w:rsidR="00354289">
        <w:t>o de las exportaciones chinas era</w:t>
      </w:r>
      <w:r>
        <w:t xml:space="preserve"> mucho mayor en China que la de Japón o Alemania, debido, fundamentalmente, a su modelo industrial. Los produ</w:t>
      </w:r>
      <w:r w:rsidR="00354289">
        <w:t>ctos manufacturados chinos estaban</w:t>
      </w:r>
      <w:r>
        <w:t xml:space="preserve"> asociados a emisiones de dióxido de carbono, mucho</w:t>
      </w:r>
      <w:r w:rsidR="00354289">
        <w:t xml:space="preserve"> mayores que los que se fabricaban</w:t>
      </w:r>
      <w:r>
        <w:t xml:space="preserve"> en cualquier otro lugar del mundo.</w:t>
      </w:r>
    </w:p>
    <w:p w:rsidR="00470AAD" w:rsidRDefault="00354289" w:rsidP="00470AAD">
      <w:pPr>
        <w:pStyle w:val="NormalWeb"/>
        <w:spacing w:before="0" w:beforeAutospacing="0" w:after="300" w:afterAutospacing="0"/>
        <w:jc w:val="both"/>
        <w:textAlignment w:val="baseline"/>
      </w:pPr>
      <w:r>
        <w:t xml:space="preserve">En otros países, </w:t>
      </w:r>
      <w:r w:rsidR="00470AAD">
        <w:t>la situación ha</w:t>
      </w:r>
      <w:r>
        <w:t>bía</w:t>
      </w:r>
      <w:r w:rsidR="00470AAD">
        <w:t xml:space="preserve"> ido a peor. En India, la tercera potencia e</w:t>
      </w:r>
      <w:r>
        <w:t>conómica asiática, se concentraban</w:t>
      </w:r>
      <w:r w:rsidR="00470AAD">
        <w:t xml:space="preserve"> 13 de las 20 ciudades más contaminantes del mundo, destacando entre todas, Nueva Delhi.</w:t>
      </w:r>
    </w:p>
    <w:p w:rsidR="00470AAD" w:rsidRPr="00470AAD" w:rsidRDefault="00470AAD" w:rsidP="00470AAD">
      <w:pPr>
        <w:pStyle w:val="Ttulo2"/>
        <w:spacing w:before="345" w:after="173"/>
        <w:jc w:val="both"/>
        <w:textAlignment w:val="baseline"/>
        <w:rPr>
          <w:rFonts w:ascii="Times New Roman" w:hAnsi="Times New Roman" w:cs="Times New Roman"/>
          <w:b w:val="0"/>
          <w:color w:val="auto"/>
          <w:sz w:val="24"/>
          <w:szCs w:val="24"/>
        </w:rPr>
      </w:pPr>
      <w:r w:rsidRPr="00470AAD">
        <w:rPr>
          <w:rFonts w:ascii="Times New Roman" w:hAnsi="Times New Roman" w:cs="Times New Roman"/>
          <w:b w:val="0"/>
          <w:color w:val="auto"/>
          <w:sz w:val="24"/>
          <w:szCs w:val="24"/>
        </w:rPr>
        <w:t>El comercio global, fuente de contaminación mundial</w:t>
      </w:r>
    </w:p>
    <w:p w:rsidR="00470AAD" w:rsidRDefault="00470AAD" w:rsidP="00470AAD">
      <w:pPr>
        <w:pStyle w:val="NormalWeb"/>
        <w:spacing w:before="0" w:beforeAutospacing="0" w:after="300" w:afterAutospacing="0"/>
        <w:jc w:val="both"/>
        <w:textAlignment w:val="baseline"/>
      </w:pPr>
      <w:r>
        <w:t>Al crecimiento chino se ha unido el desarrollo del comercio internacional, lo que ha</w:t>
      </w:r>
      <w:r w:rsidR="00354289">
        <w:t>bía</w:t>
      </w:r>
      <w:r>
        <w:t xml:space="preserve"> hecho crecer las emisiones de dióxido de carbono al mayor ritmo experimentado en toda la historia de la humanidad, según explican los expertos en un análisis publicado en la revista “Nature Climate Change”.</w:t>
      </w:r>
    </w:p>
    <w:p w:rsidR="00470AAD" w:rsidRDefault="00470AAD" w:rsidP="00470AAD">
      <w:pPr>
        <w:pStyle w:val="NormalWeb"/>
        <w:spacing w:before="0" w:beforeAutospacing="0" w:after="300" w:afterAutospacing="0"/>
        <w:jc w:val="both"/>
        <w:textAlignment w:val="baseline"/>
      </w:pPr>
      <w:r>
        <w:t>Concretamente, las exportacion</w:t>
      </w:r>
      <w:r w:rsidR="00354289">
        <w:t xml:space="preserve">es de los países emergentes </w:t>
      </w:r>
      <w:r>
        <w:t>han</w:t>
      </w:r>
      <w:r w:rsidR="00354289">
        <w:t xml:space="preserve"> terminado conduciendo</w:t>
      </w:r>
      <w:r>
        <w:t xml:space="preserve"> a un gran dilema: ¿es eficiente y deseable que continúe, tal como está, el desarrollo de los mercados emergentes enfocado a la exportación de mercancías baratas?</w:t>
      </w:r>
    </w:p>
    <w:p w:rsidR="00470AAD" w:rsidRPr="00354289" w:rsidRDefault="00470AAD" w:rsidP="00354289">
      <w:pPr>
        <w:pStyle w:val="NormalWeb"/>
        <w:spacing w:before="0" w:beforeAutospacing="0" w:after="300" w:afterAutospacing="0"/>
        <w:jc w:val="both"/>
        <w:textAlignment w:val="baseline"/>
      </w:pPr>
      <w:r>
        <w:t>En términos económicos es positivo que los países emergentes crezcan gracias al comercio internacional, pero si los principales indicadores de desarrollo dependen fundamentalmente de la exportación de manufa</w:t>
      </w:r>
      <w:r w:rsidR="00354289">
        <w:t>cturas, empiezan los problemas.</w:t>
      </w:r>
    </w:p>
    <w:p w:rsidR="00470AAD" w:rsidRDefault="00470AAD" w:rsidP="00470AAD">
      <w:pPr>
        <w:pStyle w:val="NormalWeb"/>
        <w:spacing w:before="0" w:beforeAutospacing="0" w:after="300" w:afterAutospacing="0"/>
        <w:jc w:val="both"/>
        <w:textAlignment w:val="baseline"/>
      </w:pPr>
      <w:r>
        <w:t xml:space="preserve">“Fabricar un producto en países emergentes es ahora mucho más barato que en cualquier otro país del mundo y se exportan a todos los rincones del planeta, pero esto es así gracias a la industria intensiva que </w:t>
      </w:r>
      <w:r w:rsidR="00354289">
        <w:t>se abastece de carbón”, explicaban</w:t>
      </w:r>
      <w:r>
        <w:t xml:space="preserve"> los expertos.</w:t>
      </w:r>
    </w:p>
    <w:p w:rsidR="00470AAD" w:rsidRDefault="00470AAD" w:rsidP="00470AAD">
      <w:pPr>
        <w:pStyle w:val="NormalWeb"/>
        <w:spacing w:before="0" w:beforeAutospacing="0" w:after="300" w:afterAutospacing="0"/>
        <w:jc w:val="both"/>
        <w:textAlignment w:val="baseline"/>
      </w:pPr>
      <w:r>
        <w:t>La economía china ha</w:t>
      </w:r>
      <w:r w:rsidR="00354289">
        <w:t>bía</w:t>
      </w:r>
      <w:r>
        <w:t xml:space="preserve"> crecido por el fuerte consumo d</w:t>
      </w:r>
      <w:r w:rsidR="00354289">
        <w:t>e esta materia prima, que suponía</w:t>
      </w:r>
      <w:r>
        <w:t xml:space="preserve"> dos terceras partes del consumo de energía primaria en este país para abastecer de electri</w:t>
      </w:r>
      <w:r w:rsidR="00354289">
        <w:t xml:space="preserve">cidad a la industria, lo que </w:t>
      </w:r>
      <w:r>
        <w:t>lleva</w:t>
      </w:r>
      <w:r w:rsidR="00354289">
        <w:t>ba</w:t>
      </w:r>
      <w:r>
        <w:t xml:space="preserve"> a un aumento exponencial de las emisiones de CO2. En consecuencia, el</w:t>
      </w:r>
      <w:r w:rsidR="00354289">
        <w:t xml:space="preserve"> impacto medioambiental adquiría</w:t>
      </w:r>
      <w:r>
        <w:t xml:space="preserve"> una dimensión planetaria</w:t>
      </w:r>
      <w:r w:rsidR="00354289">
        <w:t>: el comercio internacional hacía</w:t>
      </w:r>
      <w:r>
        <w:t xml:space="preserve"> crecer las emisiones.</w:t>
      </w:r>
    </w:p>
    <w:p w:rsidR="00470AAD" w:rsidRDefault="00354289" w:rsidP="00470AAD">
      <w:pPr>
        <w:pStyle w:val="NormalWeb"/>
        <w:spacing w:before="0" w:beforeAutospacing="0" w:after="300" w:afterAutospacing="0"/>
        <w:jc w:val="both"/>
        <w:textAlignment w:val="baseline"/>
      </w:pPr>
      <w:r>
        <w:t>Los investigadores creían</w:t>
      </w:r>
      <w:r w:rsidR="00470AAD">
        <w:t xml:space="preserve"> que</w:t>
      </w:r>
      <w:r>
        <w:t xml:space="preserve"> los países desarrollados tenían</w:t>
      </w:r>
      <w:r w:rsidR="00470AAD">
        <w:t xml:space="preserve"> el deber de aliviar la contaminación que produce la quema del carbón ayudando a desarrollar otros procesos </w:t>
      </w:r>
      <w:r w:rsidR="00470AAD">
        <w:lastRenderedPageBreak/>
        <w:t>industriales en estas áreas concretas. “Este análisis puede ayudar a aprobar políticas chinas en internacionales para promover prácticas menos contaminantes”.</w:t>
      </w:r>
    </w:p>
    <w:p w:rsidR="00470AAD" w:rsidRDefault="00354289" w:rsidP="00470AAD">
      <w:pPr>
        <w:pStyle w:val="NormalWeb"/>
        <w:spacing w:before="0" w:beforeAutospacing="0" w:after="300" w:afterAutospacing="0"/>
        <w:jc w:val="both"/>
        <w:textAlignment w:val="baseline"/>
      </w:pPr>
      <w:r>
        <w:t>“</w:t>
      </w:r>
      <w:r w:rsidR="00470AAD">
        <w:t>Si sabemos cuál es el origen de esas emisiones que afectan a escala global, también se nos presenta una oportunidad única para dirigir una solución al problema e invertir en mejores tecnologías de producción que reduzcan los niveles de contaminación, además de reducir el v</w:t>
      </w:r>
      <w:r>
        <w:t>olumen de mercancías exportadas”</w:t>
      </w:r>
      <w:r w:rsidR="00470AAD">
        <w:t>, subraya</w:t>
      </w:r>
      <w:r>
        <w:t>ba</w:t>
      </w:r>
      <w:r w:rsidR="00470AAD">
        <w:t>n.</w:t>
      </w:r>
    </w:p>
    <w:p w:rsidR="00470AAD" w:rsidRDefault="00470AAD" w:rsidP="00470AAD">
      <w:pPr>
        <w:pStyle w:val="NormalWeb"/>
        <w:spacing w:before="0" w:beforeAutospacing="0" w:after="300" w:afterAutospacing="0"/>
        <w:jc w:val="both"/>
        <w:textAlignment w:val="baseline"/>
        <w:rPr>
          <w:b/>
        </w:rPr>
      </w:pPr>
      <w:r>
        <w:rPr>
          <w:b/>
        </w:rPr>
        <w:t xml:space="preserve">2020 - Cuando ya no se puede negar la evidencia (“acomplejados” vs. “aprovechados”) </w:t>
      </w:r>
    </w:p>
    <w:p w:rsidR="00470AAD" w:rsidRPr="00CA5407" w:rsidRDefault="00470AAD" w:rsidP="00470AAD">
      <w:pPr>
        <w:spacing w:line="240" w:lineRule="auto"/>
        <w:jc w:val="both"/>
        <w:rPr>
          <w:rFonts w:ascii="Times New Roman" w:hAnsi="Times New Roman" w:cs="Times New Roman"/>
          <w:sz w:val="24"/>
          <w:szCs w:val="24"/>
          <w:u w:val="single"/>
        </w:rPr>
      </w:pPr>
      <w:r w:rsidRPr="00CA5407">
        <w:rPr>
          <w:rFonts w:ascii="Times New Roman" w:hAnsi="Times New Roman" w:cs="Times New Roman"/>
          <w:sz w:val="24"/>
          <w:szCs w:val="24"/>
          <w:u w:val="single"/>
        </w:rPr>
        <w:t>Top 5 países más contaminantes (¿sostenibilidad para todos?)</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Las emisiones de gases de efecto invernadero de origen humano son el principal motivo del cambio climático. Sus efectos en el calentamiento global son devastadores y cada vez se hace más urgente reducir estas emisiones para frenar la presión que el hombre ejerce sobre el planeta. La situación es tan crítica que la Agencia Internacional de la Energía (AIE) ha tasado en un aumento del 130 % las emisiones para 2050 si continuamos sin poner remedio.</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Los países más contaminantes parecen concienciados en reducir sus emisiones pero, a pesar de acuerdos como el Acuerdo de París, estas emisiones de dióxido de carbono siguen aumentando. En mayor o menos medida, casi todos los países del planeta son responsables del alto nivel de contaminación global, pero hay cinco que destacan por encima del resto. A continuación te los mostramos:</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Estos son los 5 países más contaminantes del planeta. </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1. China (30 %)</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El país más poblado del mundo posee un enorme mercado de exportaciones, lo que ha hecho crecer a su industria hasta convertirse en un serio peligro para el planeta. Sólo en las cinco provincias que aglutina la mayoría de estas industrias emiten más dióxido que cualquier otro país del mundo. Como consecuencia, Pekín ha vivido en los últimos años constantes alertas rojas en cuestiones medioambientales.</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2. Estados Unidos (15 %)</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Se trata de la primera potencia industrial y comercial del mundo. Pese a que en los últimos tiempos ha venido liderando las iniciativas más importantes para combatir el cambio climático, en la práctica la gran mayoría se han mostrado insuficientes. Sus niveles de polución no se circunscriben exclusivamente a las grandes ciudades, sino que muchas áreas rurales están comenzando a notar también las consecuencias de la contaminación.</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3. India (7 %)</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Catorce de las quince ciudades más contaminadas del mundo están, según la Organización Mundial de la Salud, en India. El país tiene desde 1981 una ley que protege el aire, pero la quema de combustibles fósiles ha crecido significativamente y como consecuencia ocupa la tercera posición en el ranking de países más contaminantes del mundo.</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4. Rusia (5 %)</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país más extenso del mundo aparece en este ranking por su alta dependencia de productos como el petróleo, el carbón, el gas y los combustibles fósiles. Además, en las últimas décadas </w:t>
      </w:r>
      <w:r>
        <w:rPr>
          <w:rFonts w:ascii="Times New Roman" w:hAnsi="Times New Roman" w:cs="Times New Roman"/>
          <w:sz w:val="24"/>
          <w:szCs w:val="24"/>
        </w:rPr>
        <w:lastRenderedPageBreak/>
        <w:t>ha vivido varias situaciones de emergencia ambiental y también son importantes sus niveles de deforestación y de caza de especies animales.</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5. Japón (4 %)</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En último lugar aparece la otra gran potencia asiática después de China. Japón es el mayor consumidor de combustibles fósiles del mundo y el quinto máximo emisor de gases de efecto invernadero. Esta circunstancia se debe a su nivel de desarrollo urbanístico y a una industria poco responsable con el entorno natural.</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(Fuentes: ACNUR, Banco Mundial y The Times of India)</w:t>
      </w:r>
    </w:p>
    <w:p w:rsidR="00470AAD" w:rsidRDefault="0086070A" w:rsidP="00470AAD">
      <w:pPr>
        <w:spacing w:line="240" w:lineRule="auto"/>
        <w:jc w:val="both"/>
        <w:rPr>
          <w:rFonts w:ascii="Times New Roman" w:hAnsi="Times New Roman" w:cs="Times New Roman"/>
          <w:sz w:val="24"/>
          <w:szCs w:val="24"/>
        </w:rPr>
      </w:pPr>
      <w:r w:rsidRPr="0028167D">
        <w:rPr>
          <w:rFonts w:ascii="Times New Roman" w:hAnsi="Times New Roman" w:cs="Times New Roman"/>
          <w:b/>
          <w:sz w:val="24"/>
          <w:szCs w:val="24"/>
        </w:rPr>
        <w:t>2021</w:t>
      </w:r>
      <w:r>
        <w:rPr>
          <w:rFonts w:ascii="Times New Roman" w:hAnsi="Times New Roman" w:cs="Times New Roman"/>
          <w:sz w:val="24"/>
          <w:szCs w:val="24"/>
        </w:rPr>
        <w:t xml:space="preserve"> - </w:t>
      </w:r>
      <w:r w:rsidRPr="0086070A">
        <w:rPr>
          <w:rFonts w:ascii="Times New Roman" w:hAnsi="Times New Roman" w:cs="Times New Roman"/>
          <w:b/>
          <w:sz w:val="24"/>
          <w:szCs w:val="24"/>
        </w:rPr>
        <w:t>L</w:t>
      </w:r>
      <w:r w:rsidR="00470AAD" w:rsidRPr="0086070A">
        <w:rPr>
          <w:rFonts w:ascii="Times New Roman" w:hAnsi="Times New Roman" w:cs="Times New Roman"/>
          <w:b/>
          <w:sz w:val="24"/>
          <w:szCs w:val="24"/>
        </w:rPr>
        <w:t>os países más cont</w:t>
      </w:r>
      <w:r w:rsidRPr="0086070A">
        <w:rPr>
          <w:rFonts w:ascii="Times New Roman" w:hAnsi="Times New Roman" w:cs="Times New Roman"/>
          <w:b/>
          <w:sz w:val="24"/>
          <w:szCs w:val="24"/>
        </w:rPr>
        <w:t xml:space="preserve">aminantes y </w:t>
      </w:r>
      <w:r>
        <w:rPr>
          <w:rFonts w:ascii="Times New Roman" w:hAnsi="Times New Roman" w:cs="Times New Roman"/>
          <w:b/>
          <w:sz w:val="24"/>
          <w:szCs w:val="24"/>
        </w:rPr>
        <w:t>su grado de compromiso con el cambio climático</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¿Cuáles son los países más contaminantes en cuanto a emisiones de gases de efecto invernadero (GEI) y a qué se han comprometido para reducirlas? ¿Cómo puede afectar la crisis del coronavirus a la lucha contra el cambio climático? ¿Qué medidas son realmente necesarias para hacer frente a la cri</w:t>
      </w:r>
      <w:r w:rsidR="0086070A">
        <w:rPr>
          <w:rFonts w:ascii="Times New Roman" w:hAnsi="Times New Roman" w:cs="Times New Roman"/>
          <w:sz w:val="24"/>
          <w:szCs w:val="24"/>
        </w:rPr>
        <w:t xml:space="preserve">sis climática? </w:t>
      </w:r>
    </w:p>
    <w:p w:rsidR="0086070A" w:rsidRDefault="0086070A" w:rsidP="00470AAD">
      <w:pPr>
        <w:spacing w:line="240" w:lineRule="auto"/>
        <w:jc w:val="both"/>
        <w:rPr>
          <w:rFonts w:ascii="Times New Roman" w:hAnsi="Times New Roman" w:cs="Times New Roman"/>
          <w:sz w:val="24"/>
          <w:szCs w:val="24"/>
        </w:rPr>
      </w:pPr>
      <w:r>
        <w:rPr>
          <w:noProof/>
          <w:lang w:val="en-GB" w:eastAsia="zh-CN"/>
        </w:rPr>
        <w:drawing>
          <wp:inline distT="0" distB="0" distL="0" distR="0">
            <wp:extent cx="5073650" cy="2863850"/>
            <wp:effectExtent l="0" t="0" r="0" b="0"/>
            <wp:docPr id="4" name="Imagen 4" descr="paises mas contaminantes del mundo: emisiones C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descr="paises mas contaminantes del mundo: emisiones CO2"/>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73650" cy="2863850"/>
                    </a:xfrm>
                    <a:prstGeom prst="rect">
                      <a:avLst/>
                    </a:prstGeom>
                    <a:noFill/>
                    <a:ln>
                      <a:noFill/>
                    </a:ln>
                  </pic:spPr>
                </pic:pic>
              </a:graphicData>
            </a:graphic>
          </wp:inline>
        </w:drawing>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países más contaminantes del mundo, en términos de emisiones de gases de efecto invernadero (GEI), son, en este orden: China, Estados Unidos (EEUU), los 28 países miembros de la Unión Europea (UE-28), India, Rusia y Japón. Así lo señala el Informe de la Brecha de Emisiones 2019 (Emissions Gap Report) del Programa de Naciones Unidas para el Medio Ambiente (PNUMA). </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Esta clasificación se viene manteniendo desde hace varios años. Según la base de datos de la Comisión Europea (EDGAR), los países del mundo con mayores emisiones de GEI en 2015 fueron, en términos absolutos:</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China (26,6%)</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EEUU (13,1%)</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UE-28 (9,2%)</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India (6,8%)</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Rusia (4,5%)</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Japón (2,8%)</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A qué se han comprometido contra el cambio climático (y qué están haciendo)</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En la Conferencia de Naciones Unidas sobre el Clima celebrada en la capital francesa en diciembre de 2015 (COP21), 195 países firmaron el primer acuerdo vinculante mundial para luchar contra el cambio climático. El objetivo del Acuerdo de París es limitar el aumento de la temperatura media mundial a 1,5°C sobre los niveles preindustriales, con el objetivo a largo plazo de</w:t>
      </w:r>
      <w:r w:rsidR="00CA5407">
        <w:rPr>
          <w:rFonts w:ascii="Times New Roman" w:hAnsi="Times New Roman" w:cs="Times New Roman"/>
          <w:sz w:val="24"/>
          <w:szCs w:val="24"/>
        </w:rPr>
        <w:t xml:space="preserve"> mantenerla muy por debajo de 2</w:t>
      </w:r>
      <w:r>
        <w:rPr>
          <w:rFonts w:ascii="Times New Roman" w:hAnsi="Times New Roman" w:cs="Times New Roman"/>
          <w:sz w:val="24"/>
          <w:szCs w:val="24"/>
        </w:rPr>
        <w:t>°C. Los compromisos adquiridos por los países se denominan Contribuciones Determinadas a Nivel Nacional (NDC por sus siglas en inglés).</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A pesar de ello, “los compromisos adquiridos por los países no son suficientes y no estamos logrando los objetivos hacia el Acuerdo de París en absoluto”, subraya Alevgul Sorman, experta en transición energética y justicia del BC3, citando dos referencias:</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Climate Action Tracker: recopila datos a nivel internacional para evaluar, de forma científica e independiente, si los países están en la senda de cumplir el Acuerdo de París. Según sus datos más recientes, casi ningún país es compatible con los 1,5°C, y ningún país resulta un modelo ejemplar. </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Informe de la Brecha de Emisiones 2019: Indica que el mundo se dirige a un aumento de temperatura de 3,2°C, con las naciones del G20 representando el 78% de todas las emisiones. Los países deben hacer un refuerzo importante en cuanto a sus NDC, tres veces para lograr el objetivo de debajo de 2°C y más de cinco veces para lograr el objetivo de 1,5°C.</w:t>
      </w:r>
    </w:p>
    <w:p w:rsidR="00470AAD" w:rsidRDefault="0028167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Los expertos</w:t>
      </w:r>
      <w:r w:rsidR="00470AAD">
        <w:rPr>
          <w:rFonts w:ascii="Times New Roman" w:hAnsi="Times New Roman" w:cs="Times New Roman"/>
          <w:sz w:val="24"/>
          <w:szCs w:val="24"/>
        </w:rPr>
        <w:t xml:space="preserve"> señala</w:t>
      </w:r>
      <w:r>
        <w:rPr>
          <w:rFonts w:ascii="Times New Roman" w:hAnsi="Times New Roman" w:cs="Times New Roman"/>
          <w:sz w:val="24"/>
          <w:szCs w:val="24"/>
        </w:rPr>
        <w:t>n</w:t>
      </w:r>
      <w:r w:rsidR="00470AAD">
        <w:rPr>
          <w:rFonts w:ascii="Times New Roman" w:hAnsi="Times New Roman" w:cs="Times New Roman"/>
          <w:sz w:val="24"/>
          <w:szCs w:val="24"/>
        </w:rPr>
        <w:t xml:space="preserve"> que, a nivel global, con las políticas vigentes en todo el mundo, las emisiones totales en 2030 serían de 60 GtCO2eq (gigatoneladas de CO2 equivalente). Es necesario que las emisiones anuales sean en 2030 entre 18 GtCO2e menos (si queremos limitar el calentamiento del planeta a 2ºC) y 35 GtCO2e menos (para lograr un aumento de solo el 1,5ºC).</w:t>
      </w:r>
    </w:p>
    <w:p w:rsidR="00470AAD" w:rsidRDefault="00470AAD" w:rsidP="00470AAD">
      <w:pPr>
        <w:spacing w:line="240" w:lineRule="auto"/>
        <w:jc w:val="both"/>
        <w:rPr>
          <w:rFonts w:ascii="Times New Roman" w:hAnsi="Times New Roman" w:cs="Times New Roman"/>
          <w:sz w:val="24"/>
          <w:szCs w:val="24"/>
        </w:rPr>
      </w:pPr>
      <w:r>
        <w:rPr>
          <w:noProof/>
          <w:lang w:val="en-GB" w:eastAsia="zh-CN"/>
        </w:rPr>
        <w:drawing>
          <wp:inline distT="0" distB="0" distL="0" distR="0">
            <wp:extent cx="5276850" cy="2959100"/>
            <wp:effectExtent l="0" t="0" r="0" b="0"/>
            <wp:docPr id="6" name="Imagen 6" descr="mapa paises mas contamin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descr="mapa paises mas contaminantes"/>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6850" cy="2959100"/>
                    </a:xfrm>
                    <a:prstGeom prst="rect">
                      <a:avLst/>
                    </a:prstGeom>
                    <a:noFill/>
                    <a:ln>
                      <a:noFill/>
                    </a:ln>
                  </pic:spPr>
                </pic:pic>
              </a:graphicData>
            </a:graphic>
          </wp:inline>
        </w:drawing>
      </w:r>
    </w:p>
    <w:p w:rsidR="0028167D" w:rsidRDefault="0028167D" w:rsidP="00470AAD">
      <w:pPr>
        <w:spacing w:line="240" w:lineRule="auto"/>
        <w:jc w:val="both"/>
        <w:rPr>
          <w:rFonts w:ascii="Times New Roman" w:hAnsi="Times New Roman" w:cs="Times New Roman"/>
          <w:sz w:val="24"/>
          <w:szCs w:val="24"/>
        </w:rPr>
      </w:pP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Los 10 países que más contaminan el planeta</w:t>
      </w:r>
      <w:r w:rsidR="00BC170D">
        <w:rPr>
          <w:rFonts w:ascii="Times New Roman" w:hAnsi="Times New Roman" w:cs="Times New Roman"/>
          <w:sz w:val="24"/>
          <w:szCs w:val="24"/>
          <w:u w:val="single"/>
        </w:rPr>
        <w:t xml:space="preserve"> según Forbes</w:t>
      </w:r>
      <w:r>
        <w:rPr>
          <w:rFonts w:ascii="Times New Roman" w:hAnsi="Times New Roman" w:cs="Times New Roman"/>
          <w:sz w:val="24"/>
          <w:szCs w:val="24"/>
        </w:rPr>
        <w:t xml:space="preserve"> (Forbes - </w:t>
      </w:r>
      <w:r>
        <w:rPr>
          <w:rFonts w:ascii="Times New Roman" w:hAnsi="Times New Roman" w:cs="Times New Roman"/>
          <w:b/>
          <w:sz w:val="24"/>
          <w:szCs w:val="24"/>
        </w:rPr>
        <w:t>24/4/21</w:t>
      </w:r>
      <w:r>
        <w:rPr>
          <w:rFonts w:ascii="Times New Roman" w:hAnsi="Times New Roman" w:cs="Times New Roman"/>
          <w:sz w:val="24"/>
          <w:szCs w:val="24"/>
        </w:rPr>
        <w:t>)</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actividad humana ha aumentado la temperatura del planeta con consecuencias severas para el ambiente. </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Ningún país escapa del calentamiento global. Sus efectos son cada vez más extremos: mayor número de huracanes, deshielos agresivos, sequías, incendios violentos fuera de temporada son algunas de las consecuencias de la incesante actividad humana.</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Como parte de la conmemoración del Día de la Tierra, realizamos un conteo de los países que más ensucian el aire del planeta, pero primero, un breve resumen para entender esta problemática.</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Cada año, el aumento de la temperatura desplaza a dos millones de personas hacia otros territorios, mata a 1,600 personas por inc</w:t>
      </w:r>
      <w:r w:rsidR="0028167D">
        <w:rPr>
          <w:rFonts w:ascii="Times New Roman" w:hAnsi="Times New Roman" w:cs="Times New Roman"/>
          <w:sz w:val="24"/>
          <w:szCs w:val="24"/>
        </w:rPr>
        <w:t>endios forestales y ocasiona 49.</w:t>
      </w:r>
      <w:r>
        <w:rPr>
          <w:rFonts w:ascii="Times New Roman" w:hAnsi="Times New Roman" w:cs="Times New Roman"/>
          <w:sz w:val="24"/>
          <w:szCs w:val="24"/>
        </w:rPr>
        <w:t>000 millones de dólares en pérdidas, según las últimas cifras disponibles de la Organización de las Naciones Unidas (ONU).</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El aumento de la temperatura mundial comenzó con la revolución industrial y se agudizó durante el Siglo XX con la quema de combustibles fósiles, como el carbón y petróleo. Los gases resultantes de estas actividades bloquean el calor que irradia la tierra a la atmósfera e impiden su escape. A este fenómeno se le conoce como “efecto invernadero”.</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Los gases que se quedan casi de forma permanente en la atmósfera y no responden física o químicamente a los cambios de temperatura se describen como “forzantes”, explica en su sitio web la Administración Nacional de Aeronáutica y el Espacio (NASA, por sus siglas en inglés).</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El gas más importante detrás del calentamiento global y la contaminación ambiental es el dióxido de carbono (CO2), aunque otros gases de efecto invernadero relevantes son el metano, óxido nitroso y clorfluorocarbonos.</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Algunos gobiernos, principalmente el del presidente estadounidense George W. Bush, incluso implementaron una estrategia de comunicación para suavizar el problema llamándolo “cambio climático”.</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Para reducir las consecuencias, los países han hecho compromisos para reducir sus emisiones contaminantes, como el Acuerdo de París y evitar que la temperatura del planeta aumente 2 grados Celsius (°C).</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El top 10 de la contaminación</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China, Estados Unidos, India y Rusia son los países que más contaminan, pues emiten 55% del CO2 mundial. Te compartimos el ranking completo a continuación.</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últimos datos disponibles reflejan </w:t>
      </w:r>
      <w:r w:rsidR="00586092">
        <w:rPr>
          <w:rFonts w:ascii="Times New Roman" w:hAnsi="Times New Roman" w:cs="Times New Roman"/>
          <w:sz w:val="24"/>
          <w:szCs w:val="24"/>
        </w:rPr>
        <w:t>que las emisiones globales de CO</w:t>
      </w:r>
      <w:r>
        <w:rPr>
          <w:rFonts w:ascii="Times New Roman" w:hAnsi="Times New Roman" w:cs="Times New Roman"/>
          <w:sz w:val="24"/>
          <w:szCs w:val="24"/>
        </w:rPr>
        <w:t>2 derivados de la quema de combustibles fósiles y procesos aumentaron 1% en 2019, la mitad del repunte anual del año anterior, para un total de 38,000 millones de toneladas métricas.</w:t>
      </w:r>
    </w:p>
    <w:p w:rsidR="00470AAD" w:rsidRDefault="00470AAD" w:rsidP="00470AAD">
      <w:pPr>
        <w:spacing w:line="240" w:lineRule="auto"/>
        <w:jc w:val="both"/>
        <w:rPr>
          <w:rFonts w:ascii="Times New Roman" w:hAnsi="Times New Roman" w:cs="Times New Roman"/>
          <w:sz w:val="24"/>
          <w:szCs w:val="24"/>
        </w:rPr>
      </w:pPr>
      <w:r>
        <w:rPr>
          <w:rFonts w:ascii="Times New Roman" w:hAnsi="Times New Roman" w:cs="Times New Roman"/>
          <w:sz w:val="24"/>
          <w:szCs w:val="24"/>
        </w:rPr>
        <w:t>El documento de la Comisión Europea aglutina las emisiones de CO2 de la generación eléctrica, combustiones industriales, de edificios, transporte, minería, agricultura, principalmente.</w:t>
      </w:r>
    </w:p>
    <w:p w:rsidR="00470AAD" w:rsidRDefault="00470AAD" w:rsidP="00470AAD">
      <w:pPr>
        <w:spacing w:line="240" w:lineRule="auto"/>
        <w:jc w:val="both"/>
        <w:rPr>
          <w:rFonts w:ascii="Times New Roman" w:hAnsi="Times New Roman" w:cs="Times New Roman"/>
          <w:sz w:val="24"/>
          <w:szCs w:val="24"/>
        </w:rPr>
      </w:pPr>
    </w:p>
    <w:p w:rsidR="00470AAD" w:rsidRDefault="00470AAD" w:rsidP="00470AAD">
      <w:pPr>
        <w:spacing w:line="240" w:lineRule="auto"/>
        <w:jc w:val="both"/>
        <w:rPr>
          <w:rFonts w:ascii="Times New Roman" w:hAnsi="Times New Roman" w:cs="Times New Roman"/>
          <w:sz w:val="24"/>
          <w:szCs w:val="24"/>
        </w:rPr>
      </w:pPr>
      <w:r>
        <w:rPr>
          <w:noProof/>
          <w:lang w:val="en-GB" w:eastAsia="zh-CN"/>
        </w:rPr>
        <w:lastRenderedPageBreak/>
        <w:drawing>
          <wp:inline distT="0" distB="0" distL="0" distR="0">
            <wp:extent cx="5734050" cy="5734050"/>
            <wp:effectExtent l="0" t="0" r="0" b="0"/>
            <wp:docPr id="2" name="Imagen 2" descr="https://cdn.forbes.com.mx/2021/04/paises-que-mas-contaminan-1024x1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descr="https://cdn.forbes.com.mx/2021/04/paises-que-mas-contaminan-1024x1024.png"/>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5734050"/>
                    </a:xfrm>
                    <a:prstGeom prst="rect">
                      <a:avLst/>
                    </a:prstGeom>
                    <a:noFill/>
                    <a:ln>
                      <a:noFill/>
                    </a:ln>
                  </pic:spPr>
                </pic:pic>
              </a:graphicData>
            </a:graphic>
          </wp:inline>
        </w:drawing>
      </w:r>
    </w:p>
    <w:p w:rsidR="00470AAD" w:rsidRDefault="00470AAD" w:rsidP="00470AAD">
      <w:pPr>
        <w:pStyle w:val="NormalWeb"/>
        <w:jc w:val="both"/>
      </w:pPr>
      <w:r>
        <w:t>¿Es capaz de la humanidad de evitar que l</w:t>
      </w:r>
      <w:r w:rsidR="0028167D">
        <w:t>a Tierra se caliente más de 1,5</w:t>
      </w:r>
      <w:r>
        <w:t xml:space="preserve">ºC por encima de los niveles de mediados del siglo XIX? Se trata de la pregunta del millón de la emergencia climática que nos azota. ¿Podremos? Y, en el caso de que parezca viable el objetivo. ¿Lo haremos, o se trata de una misión imposible? Un informe de la ONU sobre el objetivo climático de reducción de las emisiones a nivel global por parte de todos los países del mundo se torna una “misión imposible” para la organización. Un resumen ejecutivo del informe especial de la ONU sobre la limitación del calentamiento global a 1,5 grados Celsius subraya la rapidez con la que el calentamiento global ha superado los intentos de la humanidad por domarlo, y describe opciones crudas; y todas ellas requieren un cambio de imagen de la economía global, para evitar los peores estragos del cambio climático. “A menos que se produzcan reducciones inmediatas de las emisiones, limitar el calentamiento a 1.5°C o incluso a 2°C estará fuera de nuestro alcance” El documento de unas 4.000 páginas de extensión, desarrollado por el Grupo Intergubernamental de Expertos sobre el Cambio Climático (IPCC, por sus siglas en inglés) de Naciones Unidas -elaborado por 200 científicos de 60 países-, versa sobre el análisis de más de 14.000 artículos científicos; sin duda, el más completo hasta la fecha. El escenario más preocupante del informe es que, según las </w:t>
      </w:r>
      <w:r>
        <w:lastRenderedPageBreak/>
        <w:t>conclusiones de los científicos, las emisiones continuas de gases de efecto invernadero podrían superar un límite clave de la temperatura global mucho antes de lo que habíamos vaticinado anteriormente: sería en poco más de una década.</w:t>
      </w:r>
    </w:p>
    <w:p w:rsidR="00470AAD" w:rsidRDefault="00470AAD" w:rsidP="00470AAD">
      <w:pPr>
        <w:pStyle w:val="NormalWeb"/>
        <w:jc w:val="both"/>
      </w:pPr>
      <w:r>
        <w:t>¿Es imposible llegar al objetivo?</w:t>
      </w:r>
    </w:p>
    <w:p w:rsidR="00470AAD" w:rsidRDefault="00470AAD" w:rsidP="00470AAD">
      <w:pPr>
        <w:pStyle w:val="NormalWeb"/>
        <w:jc w:val="both"/>
      </w:pPr>
      <w:r>
        <w:t>Los principales científicos del mundo han llegado a la conclusión de que aún estamos a tiempo de evitar los peores efectos del cambio climático, pero debemos actuar ya. Se nos acaba el tiempo. Las temperaturas están ascendiendo a un ritmo incluso superior al que se creía, de ahí que el umbral de temperaturas pueda superar una cifra para la que no haya vuelta atrás. Algo que puede suceder “hasta una década antes de lo que creíamos”, dicta el informe. “A menos que se produzcan reducciones inmediatas, rápidas y a gran escala de las emisiones de CO₂ y otros gases de efecto invernadero, limitar el calentamiento a 1.5°C o incluso a 2°C estará fuera de nuestro alcance”, declaró el panel de expertos del IPCC en un comunicado de prensa.</w:t>
      </w:r>
    </w:p>
    <w:p w:rsidR="00470AAD" w:rsidRDefault="00470AAD" w:rsidP="00470AAD">
      <w:pPr>
        <w:pStyle w:val="NormalWeb"/>
        <w:jc w:val="both"/>
      </w:pPr>
      <w:r>
        <w:t>Y es que la actividad humana está cambiando el clima a un ritmo sin precedentes. Nuestra influencia ha calentado la atmósfera, los océanos y la tierra. Esto solo está conduciendo a que las olas de calor sean cada vez más extremas, las sequías y las inundaciones sean más frecuentes y que nos encaminemos a romper un límite de temperatura clave en la próxima década. Esto “significa que el mundo alcanzará un grado y medio de calentamiento mucho antes de lo esperado, posiblemente a mediados de 2034”, dice el informe. Los datos no mienten: la humanidad ha emitido ya 2.400 millones de toneladas de CO₂ desde 1850, y solo podemos filtrar otras 400.000 millones de toneladas para tener un 66% de posibilidades de</w:t>
      </w:r>
      <w:r w:rsidR="0037067C">
        <w:t xml:space="preserve"> mantenernos en la cifra de 1,5</w:t>
      </w:r>
      <w:r>
        <w:t>ºC. La tendencia al calentamiento continuará en nuestro futuro próximo, porque el clima de la Tierra tarda mucho en adaptarse a los cambios de su presupuesto energético, como resultado del aumento de las concentraciones de gases de efecto invernadero. Además, si las emisiones de dióxido de carbono se redujeran a cero mañana mismo, el cambio climático continuará durante siglos porque los gases de efecto invernadero que ya están en la atmósfera tienen una vida útil de cientos y miles de años.</w:t>
      </w:r>
    </w:p>
    <w:p w:rsidR="00470AAD" w:rsidRDefault="00470AAD" w:rsidP="00470AAD">
      <w:pPr>
        <w:pStyle w:val="NormalWeb"/>
        <w:jc w:val="both"/>
      </w:pPr>
      <w:r>
        <w:t>Un escenario bastante negro</w:t>
      </w:r>
    </w:p>
    <w:p w:rsidR="00470AAD" w:rsidRDefault="00470AAD" w:rsidP="00470AAD">
      <w:pPr>
        <w:pStyle w:val="NormalWeb"/>
        <w:jc w:val="both"/>
      </w:pPr>
      <w:r>
        <w:t>En todos los escenarios de emisiones considerados en el informe, todos los objetivos de reducción se romperán este siglo a menos que se produzcan recortes significativos en las emisiones de carbono. ¿Qué propuestas plantean? Las soluciones propuestas por los científicos incluyen el uso de tecnología limpia, la captura y almacenamiento de carbono o la plantación de árboles.</w:t>
      </w:r>
    </w:p>
    <w:p w:rsidR="00470AAD" w:rsidRDefault="00470AAD" w:rsidP="00470AAD">
      <w:pPr>
        <w:pStyle w:val="NormalWeb"/>
        <w:jc w:val="both"/>
      </w:pPr>
      <w:r>
        <w:t>¿Cuál será la respuesta de nuestros líderes y políticos después de leer el informe del IPCC? Los líderes mundiales están bajo una tremenda presión para cumplir las promesas hechas en la COP21 de París (Francia), de ahí que en la COP26, que se celebrará en Glasgow, Escocia, a finales de este año (del 1 al 12 de noviembre de 2021), no deberíamos esperar ningún compromiso firme de ellos para salvar el mundo. ¿O quizá sí? Estamos todos en el mismo barco, así que este desafío nos afecta a todos y nos afecta ahora, por lo que es hora de tomar cartas en el asunto. Por ejemplo, el modelo climático muestra que al proteger los ecosistemas naturales y eliminar por completo la deforestación en la década de 2030, podemos mantener la integridad de los sumideros de carbono que son tan vitales para reequilibrar nuestro sistema climático global. Es solo uno de los pilares fundamentales de este cambio tan necesario.</w:t>
      </w:r>
    </w:p>
    <w:p w:rsidR="0028167D" w:rsidRDefault="00470AAD" w:rsidP="00470AAD">
      <w:pPr>
        <w:pStyle w:val="NormalWeb"/>
        <w:jc w:val="both"/>
        <w:rPr>
          <w:b/>
        </w:rPr>
      </w:pPr>
      <w:r>
        <w:rPr>
          <w:b/>
        </w:rPr>
        <w:lastRenderedPageBreak/>
        <w:t>Nota</w:t>
      </w:r>
      <w:r w:rsidR="0028167D">
        <w:rPr>
          <w:b/>
        </w:rPr>
        <w:t xml:space="preserve"> (I)</w:t>
      </w:r>
      <w:r>
        <w:rPr>
          <w:b/>
        </w:rPr>
        <w:t xml:space="preserve">: </w:t>
      </w:r>
      <w:r w:rsidR="00BC170D">
        <w:rPr>
          <w:b/>
        </w:rPr>
        <w:t>“</w:t>
      </w:r>
      <w:r w:rsidR="00CA22C8">
        <w:rPr>
          <w:b/>
        </w:rPr>
        <w:t>Que cada Santo aguante su vela</w:t>
      </w:r>
      <w:r w:rsidR="00BC170D">
        <w:rPr>
          <w:b/>
        </w:rPr>
        <w:t>”</w:t>
      </w:r>
      <w:r w:rsidR="00CA22C8">
        <w:rPr>
          <w:b/>
        </w:rPr>
        <w:t xml:space="preserve"> (¿misión imposible?)</w:t>
      </w:r>
    </w:p>
    <w:p w:rsidR="00470AAD" w:rsidRDefault="00CA22C8" w:rsidP="00470AAD">
      <w:pPr>
        <w:pStyle w:val="NormalWeb"/>
        <w:jc w:val="both"/>
        <w:rPr>
          <w:b/>
        </w:rPr>
      </w:pPr>
      <w:r>
        <w:rPr>
          <w:b/>
        </w:rPr>
        <w:t>D</w:t>
      </w:r>
      <w:r w:rsidR="00470AAD">
        <w:rPr>
          <w:b/>
        </w:rPr>
        <w:t>e lo visto y leído, hasta el momento, me llama la atención el diferente grado de daño climático que causan los países (para el caso, la Unión Europea, los Estados Unidos, o la República Popular China), frente al nivel de compromiso alcanzado (consenso), la unidad de criterio lograda (homogeneidad), el nivel de exigencias conseguido (reducción demostrable, penalización por daño, o el pago compensatorio).</w:t>
      </w:r>
    </w:p>
    <w:p w:rsidR="00470AAD" w:rsidRDefault="00470AAD" w:rsidP="00470AAD">
      <w:pPr>
        <w:pStyle w:val="NormalWeb"/>
        <w:jc w:val="both"/>
        <w:rPr>
          <w:b/>
        </w:rPr>
      </w:pPr>
      <w:r>
        <w:rPr>
          <w:b/>
        </w:rPr>
        <w:t>Da toda la impresión que el nivel de requerimiento en cada caso (no proporcional, no equitativo y no perentorio) está directamente vinculado con el “complejo” de culpa ambiental que siente la población de cada país (o región), del nivel de “plasticidad” (mejor decir, cobardía, inseguridad, debilidad, timidez, miedo) de sus dirigentes políticos, a la hora de defender los intereses nacionales, a riesgo de ser acusados de indiferentes, displicentes, o irresponsables, con las causas del cambio climático, y de la capacidad de influencia de los sectores económicos para no perder competitividad.</w:t>
      </w:r>
    </w:p>
    <w:p w:rsidR="00470AAD" w:rsidRDefault="00470AAD" w:rsidP="00470AAD">
      <w:pPr>
        <w:pStyle w:val="NormalWeb"/>
        <w:jc w:val="both"/>
        <w:rPr>
          <w:b/>
        </w:rPr>
      </w:pPr>
      <w:r>
        <w:rPr>
          <w:b/>
        </w:rPr>
        <w:t>Creo que en el caso de la Unión Europea, la elevada conciencia ecológica de la población (complejo de culpa), la evidente debilidad de sus dirigentes políticos (altamente dependientes de las encuestas de opinión, y demasiado temerosos de las penas de telediario), así como la falta de peso específico de las grandes corporaciones (para defender sus intereses, ante la competencia internacional, que no tiene, o no cumple similares exigencias medioambientales), genera un “coctel” de responsabilidad ineficaz.</w:t>
      </w:r>
    </w:p>
    <w:p w:rsidR="00470AAD" w:rsidRDefault="00470AAD" w:rsidP="00470AAD">
      <w:pPr>
        <w:pStyle w:val="NormalWeb"/>
        <w:jc w:val="both"/>
        <w:rPr>
          <w:b/>
        </w:rPr>
      </w:pPr>
      <w:r>
        <w:rPr>
          <w:b/>
        </w:rPr>
        <w:t>En el caso de los Estados Unidos, me animo a decir que el “coctel” de irresponsabilidad colectivo (en este caso favorable a sus intereses, aunque provoque daño climático), está representado por un sentimiento social de indiferencia, individualismo, y consumismo, por una actitud pasiva (o de resistencia) por parte del gobierno, y por una avaricia, codicia, y cortoplacismo imperturbable, por parte de las grandes empresas.</w:t>
      </w:r>
    </w:p>
    <w:p w:rsidR="00470AAD" w:rsidRDefault="00470AAD" w:rsidP="00470AAD">
      <w:pPr>
        <w:pStyle w:val="NormalWeb"/>
        <w:jc w:val="both"/>
        <w:rPr>
          <w:b/>
        </w:rPr>
      </w:pPr>
      <w:r>
        <w:rPr>
          <w:b/>
        </w:rPr>
        <w:t>La posición de China (el mayor causante del daño climático), es la de intoxicar, y no pagar. Con atrevimiento, intrigas, e insensatez, abusan o incumplen los acuerdos internacionales. Y lo más lamentable, es que ni la UE, ni EEUU, hacen reclamo alguno.</w:t>
      </w:r>
    </w:p>
    <w:p w:rsidR="0028167D" w:rsidRPr="0028167D" w:rsidRDefault="0028167D" w:rsidP="0028167D">
      <w:pPr>
        <w:pStyle w:val="NormalWeb"/>
        <w:jc w:val="both"/>
        <w:rPr>
          <w:b/>
        </w:rPr>
      </w:pPr>
      <w:r w:rsidRPr="0028167D">
        <w:rPr>
          <w:b/>
        </w:rPr>
        <w:t>Nota</w:t>
      </w:r>
      <w:r>
        <w:rPr>
          <w:b/>
        </w:rPr>
        <w:t xml:space="preserve"> (II)</w:t>
      </w:r>
      <w:r w:rsidR="00BC170D">
        <w:rPr>
          <w:b/>
        </w:rPr>
        <w:t>: V</w:t>
      </w:r>
      <w:r w:rsidRPr="0028167D">
        <w:rPr>
          <w:b/>
        </w:rPr>
        <w:t xml:space="preserve">eamos, la “raya de </w:t>
      </w:r>
      <w:r w:rsidR="00BC170D">
        <w:rPr>
          <w:b/>
        </w:rPr>
        <w:t>abajo” (</w:t>
      </w:r>
      <w:r w:rsidRPr="0028167D">
        <w:rPr>
          <w:b/>
        </w:rPr>
        <w:t>cuánto puede costar hacer una “limpieza” climática</w:t>
      </w:r>
      <w:r w:rsidR="00BC170D">
        <w:rPr>
          <w:b/>
        </w:rPr>
        <w:t>)</w:t>
      </w:r>
    </w:p>
    <w:p w:rsidR="0028167D" w:rsidRPr="0028167D" w:rsidRDefault="0028167D" w:rsidP="0028167D">
      <w:pPr>
        <w:pStyle w:val="NormalWeb"/>
        <w:jc w:val="both"/>
        <w:rPr>
          <w:b/>
        </w:rPr>
      </w:pPr>
      <w:r w:rsidRPr="0028167D">
        <w:rPr>
          <w:b/>
        </w:rPr>
        <w:t>En un artículo reciente: (“Cerrar la brecha entre naturaleza y finanzas”), publicado por  Andrew Deutz (Director de Política Global, Instituciones y Financiamiento de la Conservación en The Nature Conservancy), en Project Syndicate el 13/9/21, se analizan los números para ver cuánto costaría preservar la biodiversidad: la variedad y abundancia de vida en la tierra.</w:t>
      </w:r>
    </w:p>
    <w:p w:rsidR="0028167D" w:rsidRPr="0028167D" w:rsidRDefault="0028167D" w:rsidP="0028167D">
      <w:pPr>
        <w:pStyle w:val="NormalWeb"/>
        <w:jc w:val="both"/>
        <w:rPr>
          <w:b/>
        </w:rPr>
      </w:pPr>
      <w:r w:rsidRPr="0028167D">
        <w:rPr>
          <w:b/>
        </w:rPr>
        <w:t>“Descubrimos que si bien el mundo gasta $ 124-143 mil millones por año (a partir de 2019) en actividades económicas que benefician a la naturaleza, gasta mucho más en actividades que la dañan. Además, para proteger y luego comenzar a restaurar la naturaleza, necesitamos urgentemente cerrar una brecha de financiamiento anual de $ 598-824 mil millones”…</w:t>
      </w:r>
    </w:p>
    <w:p w:rsidR="0028167D" w:rsidRPr="0028167D" w:rsidRDefault="0028167D" w:rsidP="0028167D">
      <w:pPr>
        <w:pStyle w:val="NormalWeb"/>
        <w:jc w:val="both"/>
        <w:rPr>
          <w:b/>
        </w:rPr>
      </w:pPr>
      <w:r w:rsidRPr="0028167D">
        <w:rPr>
          <w:b/>
        </w:rPr>
        <w:t xml:space="preserve">El primer borrador del nuevo plan de acción mundial sobre diversidad biológica enfatiza la importancia de cerrar la brecha financiera anual de $ 700 mil millones para </w:t>
      </w:r>
      <w:r w:rsidRPr="0028167D">
        <w:rPr>
          <w:b/>
        </w:rPr>
        <w:lastRenderedPageBreak/>
        <w:t>2030. Pide una reducción de $ 500 mil millones en los flujos financieros dañinos entre sectores, y una movilización de $ 200 mil millones más por año en positivo…</w:t>
      </w:r>
    </w:p>
    <w:p w:rsidR="0028167D" w:rsidRPr="0028167D" w:rsidRDefault="0028167D" w:rsidP="0028167D">
      <w:pPr>
        <w:pStyle w:val="NormalWeb"/>
        <w:jc w:val="both"/>
        <w:rPr>
          <w:b/>
        </w:rPr>
      </w:pPr>
      <w:r w:rsidRPr="0028167D">
        <w:rPr>
          <w:b/>
        </w:rPr>
        <w:t>La protección y restauración de los ecosistemas naturales no solo preserva la biodiversidad, sino que también ayuda a absorber los gases de efecto invernadero y aumenta la resiliencia frente a los efectos del cambio climático. La crisis de la biodiversidad está íntimamente ligada a la crisis climática. Las soluciones climáticas naturales (conservación, restauración y una mejor gestión de los ecosistemas) tienen el potencial de cubrir un tercio de las reducciones de emisiones anuales necesarias para mantener el calentamiento global muy por debajo de los 2 ° Celsius…</w:t>
      </w:r>
    </w:p>
    <w:p w:rsidR="00BC170D" w:rsidRDefault="0028167D" w:rsidP="0028167D">
      <w:pPr>
        <w:pStyle w:val="NormalWeb"/>
        <w:jc w:val="both"/>
        <w:rPr>
          <w:b/>
        </w:rPr>
      </w:pPr>
      <w:r w:rsidRPr="0028167D">
        <w:rPr>
          <w:b/>
        </w:rPr>
        <w:t>Finalmente, la acción en el frente interno es fundamental. Necesitamos que los países gasten más a nivel nacional para reducir sus emisiones, desarrollar resiliencia, proteger la biodiversidad y gastar menos en general en actividades que dañan la naturaleza y el clima”…</w:t>
      </w:r>
    </w:p>
    <w:p w:rsidR="0028167D" w:rsidRDefault="0028167D" w:rsidP="0028167D">
      <w:pPr>
        <w:pStyle w:val="NormalWeb"/>
        <w:jc w:val="both"/>
        <w:rPr>
          <w:b/>
        </w:rPr>
      </w:pPr>
      <w:r w:rsidRPr="0028167D">
        <w:rPr>
          <w:b/>
        </w:rPr>
        <w:t>Conclusión preliminar: dando por ciertos los valores presupuestados por The Nature Conservancy, queda por resolver (y lograr la aceptación de las partes), cuánto paga cada una de las “partes interesadas” (países ricos, emergentes, en desarrollo o pobres).</w:t>
      </w:r>
    </w:p>
    <w:p w:rsidR="00CA22C8" w:rsidRDefault="001C678E" w:rsidP="006F128C">
      <w:pPr>
        <w:pStyle w:val="NormalWeb"/>
        <w:jc w:val="both"/>
        <w:rPr>
          <w:b/>
        </w:rPr>
      </w:pPr>
      <w:r>
        <w:rPr>
          <w:b/>
        </w:rPr>
        <w:t>El complejo ecológico de la Unión Europea (plan</w:t>
      </w:r>
      <w:r w:rsidR="00CA22C8">
        <w:rPr>
          <w:b/>
        </w:rPr>
        <w:t>ificación verde de la economía)</w:t>
      </w:r>
    </w:p>
    <w:p w:rsidR="006F128C" w:rsidRPr="003912FD" w:rsidRDefault="00CA22C8" w:rsidP="006F128C">
      <w:pPr>
        <w:pStyle w:val="NormalWeb"/>
        <w:jc w:val="both"/>
      </w:pPr>
      <w:r w:rsidRPr="003912FD">
        <w:t>E</w:t>
      </w:r>
      <w:r w:rsidR="006F128C" w:rsidRPr="003912FD">
        <w:t>xiste una forma de ecologismo “bipolar” (malo con los buenos, y bueno con los malos). Con la Unión Europea en solitario, no alcanza, para limpiar el planeta. Que mientras China, los EEUU, la India y otros “sospechosos habituales” no hagan sus “deberes” la solución medioambiental es nula o casi nula. El beneficio ambiental a nivel mundial es bajo, mientras el costo y daño económico y social a nivel europeo es enorme (irracional, injusto e insoportable).</w:t>
      </w:r>
      <w:r w:rsidR="00586092">
        <w:t xml:space="preserve"> ¿Puede la UE aunque elimine totalmente su impacto ecológico (9,2%), salvar </w:t>
      </w:r>
      <w:r w:rsidR="00B43168">
        <w:t xml:space="preserve"> en solitario</w:t>
      </w:r>
      <w:r w:rsidR="00586092">
        <w:t xml:space="preserve"> el planeta?</w:t>
      </w:r>
      <w:r w:rsidR="00B43168">
        <w:t xml:space="preserve"> “Lo</w:t>
      </w:r>
      <w:r w:rsidR="00586092">
        <w:t xml:space="preserve"> que no puede ser, no puede ser</w:t>
      </w:r>
      <w:r w:rsidR="00B43168">
        <w:t>,</w:t>
      </w:r>
      <w:r w:rsidR="00586092">
        <w:t xml:space="preserve"> y además es imposible</w:t>
      </w:r>
      <w:r w:rsidR="00B43168">
        <w:t>”</w:t>
      </w:r>
      <w:r w:rsidR="00586092">
        <w:t>.</w:t>
      </w:r>
    </w:p>
    <w:p w:rsidR="006F128C" w:rsidRPr="003912FD" w:rsidRDefault="006F128C" w:rsidP="006F128C">
      <w:pPr>
        <w:spacing w:line="240" w:lineRule="auto"/>
        <w:jc w:val="both"/>
        <w:rPr>
          <w:rFonts w:ascii="Times New Roman" w:hAnsi="Times New Roman" w:cs="Times New Roman"/>
          <w:sz w:val="24"/>
          <w:szCs w:val="24"/>
        </w:rPr>
      </w:pPr>
      <w:r w:rsidRPr="003912FD">
        <w:rPr>
          <w:rFonts w:ascii="Times New Roman" w:hAnsi="Times New Roman" w:cs="Times New Roman"/>
          <w:sz w:val="24"/>
          <w:szCs w:val="24"/>
        </w:rPr>
        <w:t>Los ciudadanos europeos se enfrentan a una enorme factura: la de financiar la lucha contra el cambio climático y lograr una economía descarbonizada, que incluye la instalación masiva de renovables. Una energía inestable (la solar desaparece en los atardeceres y el viento con los anticiclones) que requiere en el medio plazo del respaldo de la generación con gas natural, industria obligada a comprar derechos de emisión de CO2 para su funcionamiento y que la UE ha encarecido sin compasión para desincentivar el uso de los combustibles fósiles. El gas es una materia prima en manos de pocos pero poderosos productores, como Rusia o Argelia, que están compensando con fuertes subidas de precios las pérdidas del primer año de la pandemia y quieren exprimir al máximo un recurso de futuro incierto.</w:t>
      </w:r>
    </w:p>
    <w:p w:rsidR="006F128C" w:rsidRPr="003912FD" w:rsidRDefault="006F128C" w:rsidP="006F128C">
      <w:pPr>
        <w:pStyle w:val="NormalWeb"/>
        <w:jc w:val="both"/>
      </w:pPr>
      <w:r w:rsidRPr="003912FD">
        <w:t>Existe una voluntaria (decir involuntaria, sería una “boutade”) incapacidad de los “ecologistas” o “ecolojetas”, de pensar el mundo globalmente.</w:t>
      </w:r>
    </w:p>
    <w:p w:rsidR="006F128C" w:rsidRPr="003912FD" w:rsidRDefault="006F128C" w:rsidP="006F128C">
      <w:pPr>
        <w:pStyle w:val="NormalWeb"/>
        <w:jc w:val="both"/>
      </w:pPr>
      <w:r w:rsidRPr="003912FD">
        <w:t>Impresiona toda esa gente que se dice progresista y que cree que hay muchas cosas en nuestra vida que hemos cambiado y otras que debemos cambiar, y acaban proponiendo que volvamos a vivir como nuestros tatarabuelos. ¡Que se pongan ellos un florete en el cinto y se suban al caballo, pero qué nos dejen a los demás ser más modernos!</w:t>
      </w:r>
    </w:p>
    <w:p w:rsidR="006F128C" w:rsidRPr="003912FD" w:rsidRDefault="006F128C" w:rsidP="006F128C">
      <w:pPr>
        <w:pStyle w:val="NormalWeb"/>
        <w:jc w:val="both"/>
      </w:pPr>
      <w:r w:rsidRPr="003912FD">
        <w:t xml:space="preserve">Frente a los informes “apocalípticos” de los fundamentalistas medioambientales, y a las algaradas “progres” de su feligresía del cambio climático, si China (el mayor “ecocida” </w:t>
      </w:r>
      <w:r w:rsidRPr="003912FD">
        <w:lastRenderedPageBreak/>
        <w:t>global) alcanza (más pronto, que tarde) el rol de “primera potencia mundial” (ante una espantada de USA, que es casi una verdad revelada)…  hará como Cleómenes, aquel rey de Esparta, que tras escuchar una rapsodia de boca de un grupo de embajadores, les respondió: “En cuanto al inicio y al exordio, ya ni me acuerdo, ni por consiguiente, de la parte del medio, y en cuanto a la conclusión, nada quiero saber de ella”. O dicho bien claro: “La gente no está para tonterías”… y el Partido Comunista de China, continuará con su plan de desarrollo económico, social, y militar (de “manos libres”). O sea.</w:t>
      </w:r>
    </w:p>
    <w:p w:rsidR="006F128C" w:rsidRDefault="006F128C" w:rsidP="006F128C">
      <w:pPr>
        <w:spacing w:line="240" w:lineRule="auto"/>
        <w:jc w:val="both"/>
        <w:rPr>
          <w:rFonts w:ascii="Times New Roman" w:hAnsi="Times New Roman" w:cs="Times New Roman"/>
          <w:b/>
          <w:sz w:val="24"/>
          <w:szCs w:val="24"/>
        </w:rPr>
      </w:pPr>
      <w:r>
        <w:rPr>
          <w:rFonts w:ascii="Times New Roman" w:hAnsi="Times New Roman" w:cs="Times New Roman"/>
          <w:b/>
          <w:sz w:val="24"/>
          <w:szCs w:val="24"/>
        </w:rPr>
        <w:t>Tiempo de cínicos (instrumentalizan una idea para que se convierta en su contrario)</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¿Estamos en manos de unos trileros cuyo cinismo se da por sobrentendido?</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pretenden que sus axiomas sean adoptados por la sociedad, como verdades incuestionables universalmente válidas y evidentes?  </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utilizan tantos principios sesgados (alarmistas, equívocos, victimistas, condenatorios)  en la construcción de sus teorías o como base para sus argumentaciones?</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¿Solo tratan de engañar a incautos, o acaso, hacen del dogma ecologista su medio de vida?</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¿Podrán seguir viviendo del “cuento”, y muy bien, engañando a quienes antaño les creían (en número decreciente, en cada sucesivo informe apocalíptico) y a quienes, frente a toda evidencia, seguramente seguirán tragándose su averiada “empanada” ideológica, pero que para la gente  culta y urbana, que trabaja, no pasan de ser unos simples impostores más? Unos caraduras. Unos jetas dispuestos a seguir viviendo del cuento.</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los europeos (en su caso) deben cuidar más de la Tierra, que los norteamericanos o chinos (que prometen y no cumplen), por no hablar de los países emergentes (que lo dejan para más adelante), o de los países pobres (que no saben o no contestan)?</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estamos ante un caso de “asimetría” flagrante, y peor aún, “voluntaria” (acomplejada)? </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¿Quién se hace cargo de las externalidades negativas?</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abrazan los árboles y no abrazan al prójimo?</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se preocupan por el bienestar animal (gallinas enjauladas) y no por el bienestar humano (desempleo, precariedad, temporalidad, bajos salarios…)?</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¿Vale más la vida de una ballena, un oso polar, o un papagayo, que la de un niño, un joven, un trabajador, un desempleado, a los que les han robado el futuro; o de un anciano, al que dejan abandonado en un geriátrico?</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niegan posibilidades a la energía nuclear (Alemania, España), mientras toleran que todavía se utilice carbón como fuente de energía sustitutiva (Alemania), o se compre energía nuclear a Francia, mientras se cierran las centrales propias (España)? </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la energía nuclear es “not friendly with the environment”, y el carbón es “environmentally friendly”? </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la energía nuclear para uso energético es peligrosa y para uso militar “no”?</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¿Estamos ante un caso de hipocresía o de estupidez? ¿Hasta dónde puede llegar el fanatismo? </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 quién echarán la culpa de vuestros errores? ¿A quién van a imputar vuestros fracasos?</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¿Quién esta “pagando” esta aventura? No lo sé, pero lo puedo imaginar, con escaso margen de error.</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se preocupan por “salvar la Tierra”… quién se preocupa por la educación, la salud pública, la cultura, la seguridad ciudadana, la inmigración ilegal, la situación económica, que agobia y angustia tanto a las clases medias, como al océano de jóvenes sin empleo ni futuro, a los mayores de cincuenta años sin más horizonte que la desesperación, a los autónomos asfixiados por los impuestos, a los pequeños empresarios que se suicidan ante la inminente quiebra, o a todos los ciudadanos que no se conforman con el entretenimiento y la desinformación que lo “propinan” las redes sociales. </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Es verdad que el cinismo se expande como la epidemia… No sé a ustedes, pero a mí no me alivia nada estar gobernado por cínicos y que sean muchos y además tengan mucho poder para exigirnos que si falta el pan lo mejor se reduce a soñar con rosquillas</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Tampoco me agrada, la espectacular revalorización de los derechos de carbono, pensados para desincentivar las emisiones de CO₂, pero que han acabado generando un mercado secundario altamente especulativo.</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Cuando se habla de cambio climático, el sector oficial lo tiene claro. Lo primero es dejar claro que ellos tienen de su lado “la verdad”, los datos, las investigaciones más avanzadas, el mayor número de expertos... Y ante esto, los argumentos no valen.</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Puedes decirles que sí, que aceptas todas y cada una de las tablas de los informes del IPCC, cada décima de incremento de temperaturas medida en el último medio siglo, cada hipótesis sobre el impacto del hombre en el clima. Puedes intentar explicar que tus dudas no son sobre lo medido, sino sobre lo propuesto: (1) Cómo y dónde reducir esas emisiones: Europa, China, EEUU...; (2) Qué opción es mejor: reducir ahora el crecimiento económico y el uso de la energía o permitir crecimiento económico aunque eso lleve a más calentamiento global y dejar que nuestros nietos se adapten al mismo; (3) Qué estrategias serían mejores para lograr un cambio en el uso de la energía: impuestos o impulso de tecnologías alternativas.</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Pero les da igual. Primero te insultan “negacionista”; y luego vuelven a “la ciencia”, que todo lo tapa. ¿Cómo vas a estar en contra de “la ciencia” o los “expertos”?</w:t>
      </w:r>
    </w:p>
    <w:p w:rsidR="006F128C" w:rsidRDefault="006F128C" w:rsidP="006F128C">
      <w:pPr>
        <w:spacing w:line="240" w:lineRule="auto"/>
        <w:jc w:val="both"/>
        <w:rPr>
          <w:rFonts w:ascii="Times New Roman" w:hAnsi="Times New Roman" w:cs="Times New Roman"/>
          <w:sz w:val="24"/>
          <w:szCs w:val="24"/>
        </w:rPr>
      </w:pPr>
      <w:r>
        <w:rPr>
          <w:rFonts w:ascii="Times New Roman" w:hAnsi="Times New Roman" w:cs="Times New Roman"/>
          <w:sz w:val="24"/>
          <w:szCs w:val="24"/>
        </w:rPr>
        <w:t>Por eso, lo ocurrido esta semana (en realidad, todos los años por estas fechas) es todavía más grave. En agosto (2021), la Organización Meteorológica Mundial (OMM), un organismo especializado de las Naciones Unidas, publicaba su informe anual “Atlas de la OMM sobre mortalidad y pérdidas económicas debidas a fenómenos meteorológicos, climáticos e hidrológicos extremos (1970-2019)”. Y nos dejaba un titular muy llamativo, alarmante, preocupante y que se ha reproducido en numerosos medios en todos los países occidentales: “En ese período de 50 años, el número de desastres se ha quintuplicado, impulsado por el cambio climático, el aumento de los fenómenos meteorológicos extremos y la mejora en los mecanismos de suministro de información”. En España, por ejemplo, EFE titulaba así la información: “La crisis climática multiplica por cinco los desastres en medio siglo”.</w:t>
      </w:r>
    </w:p>
    <w:p w:rsidR="004D15D6" w:rsidRPr="0037067C" w:rsidRDefault="004D15D6" w:rsidP="004D15D6">
      <w:pPr>
        <w:pStyle w:val="Textoindependiente"/>
        <w:rPr>
          <w:rFonts w:ascii="Times New Roman" w:hAnsi="Times New Roman"/>
          <w:b/>
          <w:szCs w:val="24"/>
          <w:lang w:val="es-ES"/>
        </w:rPr>
      </w:pPr>
      <w:r w:rsidRPr="0037067C">
        <w:rPr>
          <w:rFonts w:ascii="Times New Roman" w:hAnsi="Times New Roman"/>
          <w:b/>
          <w:szCs w:val="24"/>
          <w:lang w:val="es-ES"/>
        </w:rPr>
        <w:t>Las “simulaciones” (IPCC) desenmascaran a los “simuladores” (Washington S.A.).</w:t>
      </w:r>
    </w:p>
    <w:p w:rsidR="002828BA" w:rsidRDefault="002828BA" w:rsidP="004D15D6">
      <w:pPr>
        <w:pStyle w:val="Textoindependiente"/>
        <w:rPr>
          <w:rFonts w:ascii="Times New Roman" w:hAnsi="Times New Roman"/>
          <w:b/>
          <w:color w:val="FF0000"/>
          <w:szCs w:val="24"/>
          <w:lang w:val="es-ES"/>
        </w:rPr>
      </w:pPr>
    </w:p>
    <w:p w:rsidR="004D15D6" w:rsidRPr="002828BA" w:rsidRDefault="002828BA" w:rsidP="002828B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agosto (2021), la Organización Meteorológica Mundial (OMM), un organismo especializado de las Naciones Unidas, publicaba su informe anual “Atlas de la OMM sobre mortalidad y pérdidas económicas debidas a fenómenos meteorológicos, climáticos e </w:t>
      </w:r>
      <w:r>
        <w:rPr>
          <w:rFonts w:ascii="Times New Roman" w:hAnsi="Times New Roman" w:cs="Times New Roman"/>
          <w:sz w:val="24"/>
          <w:szCs w:val="24"/>
        </w:rPr>
        <w:lastRenderedPageBreak/>
        <w:t xml:space="preserve">hidrológicos extremos (1970-2019)”. Y nos dejaba un titular muy llamativo, alarmante, preocupante y que se ha reproducido en numerosos medios en todos los países occidentales: “En ese período de 50 años, el número de desastres se ha quintuplicado, impulsado por el cambio climático, el aumento de los fenómenos meteorológicos extremos y la mejora en los mecanismos de suministro de información”. </w:t>
      </w:r>
    </w:p>
    <w:p w:rsidR="004D15D6" w:rsidRPr="00BC170D" w:rsidRDefault="004D15D6" w:rsidP="004D15D6">
      <w:pPr>
        <w:spacing w:line="240" w:lineRule="auto"/>
        <w:jc w:val="both"/>
        <w:rPr>
          <w:rFonts w:ascii="Times New Roman" w:hAnsi="Times New Roman" w:cs="Times New Roman"/>
          <w:b/>
          <w:sz w:val="24"/>
          <w:szCs w:val="24"/>
        </w:rPr>
      </w:pPr>
      <w:r w:rsidRPr="00BC170D">
        <w:rPr>
          <w:rFonts w:ascii="Times New Roman" w:hAnsi="Times New Roman" w:cs="Times New Roman"/>
          <w:b/>
          <w:sz w:val="24"/>
          <w:szCs w:val="24"/>
        </w:rPr>
        <w:t>Quisiera creer…pero el caldo de cerebro, resulta indigesto.</w:t>
      </w:r>
    </w:p>
    <w:p w:rsidR="004D15D6" w:rsidRPr="00BC170D" w:rsidRDefault="004D15D6" w:rsidP="004D15D6">
      <w:pPr>
        <w:spacing w:line="240" w:lineRule="auto"/>
        <w:jc w:val="both"/>
        <w:rPr>
          <w:rFonts w:ascii="Times New Roman" w:hAnsi="Times New Roman" w:cs="Times New Roman"/>
          <w:b/>
          <w:sz w:val="24"/>
          <w:szCs w:val="24"/>
        </w:rPr>
      </w:pPr>
      <w:r w:rsidRPr="00BC170D">
        <w:rPr>
          <w:rFonts w:ascii="Times New Roman" w:hAnsi="Times New Roman" w:cs="Times New Roman"/>
          <w:b/>
          <w:sz w:val="24"/>
          <w:szCs w:val="24"/>
        </w:rPr>
        <w:t>Quisiera creer…pero sólo puedo pasar del luto a la melancolía.</w:t>
      </w:r>
    </w:p>
    <w:p w:rsidR="004D15D6" w:rsidRPr="00BC170D" w:rsidRDefault="004D15D6" w:rsidP="004D15D6">
      <w:pPr>
        <w:spacing w:line="240" w:lineRule="auto"/>
        <w:jc w:val="both"/>
        <w:rPr>
          <w:rFonts w:ascii="Times New Roman" w:hAnsi="Times New Roman" w:cs="Times New Roman"/>
          <w:b/>
          <w:sz w:val="24"/>
          <w:szCs w:val="24"/>
        </w:rPr>
      </w:pPr>
      <w:r w:rsidRPr="00BC170D">
        <w:rPr>
          <w:rFonts w:ascii="Times New Roman" w:hAnsi="Times New Roman" w:cs="Times New Roman"/>
          <w:b/>
          <w:sz w:val="24"/>
          <w:szCs w:val="24"/>
        </w:rPr>
        <w:t>Como analista económico -que no es mucho- podría decirles, que el cambio climático es una evidencia inocultable, indisimulable, difícilmente omitible, espinosamente maquillable. No valen las tapaderas. Las máscaras, pantallas, escondites o camuflajes, exhiben el encubrimiento. No pueden negar lo obvio. No pueden esconder la evidencia.</w:t>
      </w:r>
    </w:p>
    <w:p w:rsidR="004D15D6" w:rsidRPr="00BC170D" w:rsidRDefault="004D15D6" w:rsidP="004D15D6">
      <w:pPr>
        <w:spacing w:line="240" w:lineRule="auto"/>
        <w:jc w:val="both"/>
        <w:rPr>
          <w:rFonts w:ascii="Times New Roman" w:hAnsi="Times New Roman" w:cs="Times New Roman"/>
          <w:b/>
          <w:sz w:val="24"/>
          <w:szCs w:val="24"/>
        </w:rPr>
      </w:pPr>
      <w:r w:rsidRPr="00BC170D">
        <w:rPr>
          <w:rFonts w:ascii="Times New Roman" w:hAnsi="Times New Roman" w:cs="Times New Roman"/>
          <w:b/>
          <w:sz w:val="24"/>
          <w:szCs w:val="24"/>
        </w:rPr>
        <w:t>Por otra parte, es imposible continuar con la escalada de consumos energéticos sin empeorar la situación medioambiental. El desarrollo de China, la India, u otros países con menos población, pero con tanta o mayor necesidad y derecho, multiplicaría (está multiplicando) los consumos energéticos a niveles “inabarcables” e “insostenibles”.</w:t>
      </w:r>
    </w:p>
    <w:p w:rsidR="004D15D6" w:rsidRPr="00BC170D" w:rsidRDefault="004D15D6" w:rsidP="004D15D6">
      <w:pPr>
        <w:spacing w:line="240" w:lineRule="auto"/>
        <w:jc w:val="both"/>
        <w:rPr>
          <w:rFonts w:ascii="Times New Roman" w:hAnsi="Times New Roman" w:cs="Times New Roman"/>
          <w:b/>
          <w:sz w:val="24"/>
          <w:szCs w:val="24"/>
        </w:rPr>
      </w:pPr>
      <w:r w:rsidRPr="00BC170D">
        <w:rPr>
          <w:rFonts w:ascii="Times New Roman" w:hAnsi="Times New Roman" w:cs="Times New Roman"/>
          <w:b/>
          <w:sz w:val="24"/>
          <w:szCs w:val="24"/>
        </w:rPr>
        <w:t>Es probable que las energías limpias (al menos las disponibles hasta el momento) no alcancen -aunque no hay que cejar en el empeño-, mientras las energías sucias (al menos en las condiciones actuales) sigan empeorando la situación ambiental. Sólo pensar en atender la demanda potencial del área en desarrollo con energías sucias aterroriza, intimida, amedrenta, espanta.</w:t>
      </w:r>
    </w:p>
    <w:p w:rsidR="004D15D6" w:rsidRPr="00BC170D" w:rsidRDefault="004D15D6" w:rsidP="004D15D6">
      <w:pPr>
        <w:spacing w:line="240" w:lineRule="auto"/>
        <w:jc w:val="both"/>
        <w:rPr>
          <w:rFonts w:ascii="Times New Roman" w:hAnsi="Times New Roman" w:cs="Times New Roman"/>
          <w:b/>
          <w:sz w:val="24"/>
          <w:szCs w:val="24"/>
        </w:rPr>
      </w:pPr>
      <w:r w:rsidRPr="00BC170D">
        <w:rPr>
          <w:rFonts w:ascii="Times New Roman" w:hAnsi="Times New Roman" w:cs="Times New Roman"/>
          <w:b/>
          <w:sz w:val="24"/>
          <w:szCs w:val="24"/>
        </w:rPr>
        <w:t xml:space="preserve">Si las energías hidráulica, eólica, solar, y biomasa no resultaran suficientes; si la energía por gas o petróleo aumentaran las emisiones y efectos (a más del riesgo estratégico de abastecimiento, y su agotamiento a medio plazo); sólo quedaría en el escenario (repito, con los actuales avances tecnológicos) la energía nuclear, como alternativa de abastecimiento potencial y menor impacto ambiental directo. </w:t>
      </w:r>
    </w:p>
    <w:p w:rsidR="004D15D6" w:rsidRPr="00BC170D" w:rsidRDefault="004D15D6" w:rsidP="004D15D6">
      <w:pPr>
        <w:spacing w:line="240" w:lineRule="auto"/>
        <w:jc w:val="both"/>
        <w:rPr>
          <w:rFonts w:ascii="Times New Roman" w:hAnsi="Times New Roman" w:cs="Times New Roman"/>
          <w:b/>
          <w:sz w:val="24"/>
          <w:szCs w:val="24"/>
        </w:rPr>
      </w:pPr>
      <w:r w:rsidRPr="00BC170D">
        <w:rPr>
          <w:rFonts w:ascii="Times New Roman" w:hAnsi="Times New Roman" w:cs="Times New Roman"/>
          <w:b/>
          <w:sz w:val="24"/>
          <w:szCs w:val="24"/>
        </w:rPr>
        <w:t>Mal que les pese a los ambientalistas -con los que me solidarizo y comparto sus objetivos, que hago míos- como analista económico, me permito cometer este pecado de “lesa humanidad” de aceptar la energía nuclear -hasta que el desarrollo de energías limpias alternativas no sea suficiente- como el “mal menor”, frente a los requerimientos incrementales de la demanda, sumados a las necesidades de reducir las emisiones de las fuentes energéticas actuales. Pero, tranquilos “amigos de la Tierra”, más adelante verán cómo, este criterio de análisis económico “puro”, se modifica (¿radicalmente?), frente al realismo de “mercado”, los factores de seguridad, alcance del control, garantías de responsabilidad e intereses empresarios (por decirlo suave). El criterio estratégico cede ante las “efectividades conducentes”.</w:t>
      </w:r>
    </w:p>
    <w:p w:rsidR="001C678E" w:rsidRDefault="001C678E" w:rsidP="001C678E">
      <w:pPr>
        <w:spacing w:line="240" w:lineRule="auto"/>
        <w:jc w:val="both"/>
        <w:rPr>
          <w:rFonts w:ascii="Times New Roman" w:hAnsi="Times New Roman" w:cs="Times New Roman"/>
          <w:b/>
          <w:sz w:val="24"/>
          <w:szCs w:val="24"/>
        </w:rPr>
      </w:pPr>
      <w:r w:rsidRPr="009844E4">
        <w:rPr>
          <w:rFonts w:ascii="Times New Roman" w:hAnsi="Times New Roman" w:cs="Times New Roman"/>
          <w:b/>
          <w:sz w:val="24"/>
          <w:szCs w:val="24"/>
        </w:rPr>
        <w:t>Una transición</w:t>
      </w:r>
      <w:r>
        <w:rPr>
          <w:rFonts w:ascii="Times New Roman" w:hAnsi="Times New Roman" w:cs="Times New Roman"/>
          <w:b/>
          <w:sz w:val="24"/>
          <w:szCs w:val="24"/>
        </w:rPr>
        <w:t>…</w:t>
      </w:r>
      <w:r w:rsidRPr="009844E4">
        <w:rPr>
          <w:rFonts w:ascii="Times New Roman" w:hAnsi="Times New Roman" w:cs="Times New Roman"/>
          <w:b/>
          <w:sz w:val="24"/>
          <w:szCs w:val="24"/>
        </w:rPr>
        <w:t>“intransitable”</w:t>
      </w:r>
      <w:r>
        <w:rPr>
          <w:rFonts w:ascii="Times New Roman" w:hAnsi="Times New Roman" w:cs="Times New Roman"/>
          <w:b/>
          <w:sz w:val="24"/>
          <w:szCs w:val="24"/>
        </w:rPr>
        <w:t xml:space="preserve"> (la delirante idea de la UE: querer salvar al planeta en solitario, sin la participación, proporcional y equivalente, de China y EEUU)</w:t>
      </w:r>
    </w:p>
    <w:p w:rsidR="004D15D6" w:rsidRDefault="004D15D6" w:rsidP="004D15D6">
      <w:pPr>
        <w:spacing w:line="240" w:lineRule="auto"/>
        <w:jc w:val="both"/>
        <w:rPr>
          <w:rFonts w:ascii="Times New Roman" w:hAnsi="Times New Roman" w:cs="Times New Roman"/>
          <w:b/>
          <w:sz w:val="24"/>
          <w:szCs w:val="24"/>
        </w:rPr>
      </w:pPr>
      <w:r>
        <w:rPr>
          <w:rFonts w:ascii="Times New Roman" w:hAnsi="Times New Roman" w:cs="Times New Roman"/>
          <w:b/>
          <w:sz w:val="24"/>
          <w:szCs w:val="24"/>
        </w:rPr>
        <w:t>De ecologistas (tal vez, algunos de buena fe), a ecolojetas (sectarios, ventajeros y cínicos)</w:t>
      </w:r>
    </w:p>
    <w:p w:rsidR="004D15D6" w:rsidRDefault="004D15D6" w:rsidP="004D15D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“ecolojetas” que forman parte de la izquierda “progre”, viéndose incapaces de triunfar por sus propios méritos y argumentaciones, dividen a la sociedad en buenos y malos con la inestimable ayuda de los medios progres (subvencionados) y el mundo de la cultura progre (subvencionada). Así el ecologismo se ha convertido en una religión laica en la que, como sucede con el protestantismo, a la salvación se llega por la fe y no por los actos. Eres buena </w:t>
      </w:r>
      <w:r>
        <w:rPr>
          <w:rFonts w:ascii="Times New Roman" w:hAnsi="Times New Roman" w:cs="Times New Roman"/>
          <w:sz w:val="24"/>
          <w:szCs w:val="24"/>
        </w:rPr>
        <w:lastRenderedPageBreak/>
        <w:t>persona por ser un ecologista de izquierdas, aunque seas un tirano egoísta insoportable. Es la bula que no requiere de ti más que la exposición pública de tu fe en la causa (eco-progre).</w:t>
      </w:r>
    </w:p>
    <w:p w:rsidR="004D15D6" w:rsidRDefault="004D15D6" w:rsidP="004D15D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como la fe no necesita de pruebas, aunque se descubra una mentira, o una información falsa, o la realidad desmienta un mediático informe, dirán que, bueno, que sí, que era mentira, pero que el daño medioambiental es real y va en aumento y que el miedo por el futuro del planeta existe y está justificado, y que la culpa es igualmente de los países avanzados. </w:t>
      </w:r>
    </w:p>
    <w:p w:rsidR="004D15D6" w:rsidRDefault="004D15D6" w:rsidP="004D15D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 decir, que mantienen la fe ecológica intacta, porque la fe no necesita de pruebas. Es más, los verdaderos creyentes siempre serán quienes más proclamen el dogma cuando más escasa sea la evidencia. Para estos fanáticos, que el ser humano (y más, si vive en un país rico) es y será siempre culpable, no es una opinión, sino un hecho. Y si lo discutes eres un hereje, es decir, un insolidario, un irresponsable generacional, y un asesino del hábitat. </w:t>
      </w:r>
    </w:p>
    <w:p w:rsidR="004D15D6" w:rsidRDefault="004D15D6" w:rsidP="004D15D6">
      <w:pPr>
        <w:spacing w:line="240" w:lineRule="auto"/>
        <w:jc w:val="both"/>
        <w:rPr>
          <w:rFonts w:ascii="Times New Roman" w:hAnsi="Times New Roman" w:cs="Times New Roman"/>
          <w:sz w:val="24"/>
          <w:szCs w:val="24"/>
        </w:rPr>
      </w:pPr>
      <w:r>
        <w:rPr>
          <w:rFonts w:ascii="Times New Roman" w:hAnsi="Times New Roman" w:cs="Times New Roman"/>
          <w:sz w:val="24"/>
          <w:szCs w:val="24"/>
        </w:rPr>
        <w:t>Pero esa fe (progre) que no necesita pruebas, no es un “demérito” exclusivo de los “ecolojetas en acción”, también se produce en otros movimientos de fanáticos (casualmente, también progres, y de izquierda), como:</w:t>
      </w:r>
      <w:r>
        <w:rPr>
          <w:rFonts w:ascii="Times New Roman" w:hAnsi="Times New Roman" w:cs="Times New Roman"/>
          <w:sz w:val="24"/>
          <w:szCs w:val="24"/>
          <w:shd w:val="clear" w:color="auto" w:fill="FFFFFF"/>
        </w:rPr>
        <w:t>“#</w:t>
      </w:r>
      <w:r>
        <w:rPr>
          <w:rStyle w:val="nfasis"/>
          <w:rFonts w:ascii="Times New Roman" w:hAnsi="Times New Roman" w:cs="Times New Roman"/>
          <w:bCs/>
          <w:sz w:val="24"/>
          <w:szCs w:val="24"/>
          <w:shd w:val="clear" w:color="auto" w:fill="FFFFFF"/>
        </w:rPr>
        <w:t>MeToo</w:t>
      </w:r>
      <w:r>
        <w:rPr>
          <w:rFonts w:ascii="Times New Roman" w:hAnsi="Times New Roman" w:cs="Times New Roman"/>
          <w:sz w:val="24"/>
          <w:szCs w:val="24"/>
          <w:shd w:val="clear" w:color="auto" w:fill="FFFFFF"/>
        </w:rPr>
        <w:t>”,</w:t>
      </w:r>
      <w:r>
        <w:rPr>
          <w:rFonts w:ascii="Times New Roman" w:hAnsi="Times New Roman" w:cs="Times New Roman"/>
          <w:sz w:val="24"/>
          <w:szCs w:val="24"/>
        </w:rPr>
        <w:t xml:space="preserve"> Black Lives Matter, movimiento LGBTIQ+,… dónde si uno “no comulga con ruedas de molino”, es acusado de machista, racista, homófobo.</w:t>
      </w:r>
    </w:p>
    <w:p w:rsidR="004D15D6" w:rsidRDefault="004D15D6" w:rsidP="004D15D6">
      <w:pPr>
        <w:spacing w:line="240" w:lineRule="auto"/>
        <w:jc w:val="both"/>
        <w:rPr>
          <w:rFonts w:ascii="Times New Roman" w:hAnsi="Times New Roman" w:cs="Times New Roman"/>
          <w:sz w:val="24"/>
          <w:szCs w:val="24"/>
        </w:rPr>
      </w:pPr>
      <w:r>
        <w:rPr>
          <w:rFonts w:ascii="Times New Roman" w:hAnsi="Times New Roman" w:cs="Times New Roman"/>
          <w:sz w:val="24"/>
          <w:szCs w:val="24"/>
          <w:shd w:val="clear" w:color="auto" w:fill="FFFFFF"/>
        </w:rPr>
        <w:t>A mí, todo lo que huela a superioridad moral, hegemonía intelectual, o exigencias catastrofistas grandilocuentes, me molesta, me repele, me indigna, me irrita, me encoleriza, y si son de la izquierda “progre” o caviar, más aún, provocando repugnancia, por sectaria, falsaria, engañosa, y fraudulenta. Al ecologismo fundamentalista le cabe esa calificación.</w:t>
      </w:r>
    </w:p>
    <w:p w:rsidR="004D15D6" w:rsidRDefault="004D15D6" w:rsidP="004D15D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Abusan del engaño, porque en muchos países todavía las buenas palabras suelen pesar más que las buenas obras. Y ellos tienen una reserva inagotable de buenas palabras: no le cuestan nada. El extraordinario poder de conquista del ambientalismo está edificado básicamente sobre la palabra.   </w:t>
      </w:r>
    </w:p>
    <w:p w:rsidR="004D15D6" w:rsidRDefault="004D15D6" w:rsidP="004D15D6">
      <w:pPr>
        <w:spacing w:line="24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Aunque, finalmente, “el balance climático, sea desastroso”, hay que tener mucho cuidado (y dudo que los talibanes del ambientalismo, lo tengan) en que las soluciones propuestas no constituyan igualmente un “retroceso” (</w:t>
      </w:r>
      <w:r>
        <w:rPr>
          <w:rFonts w:ascii="Times New Roman" w:hAnsi="Times New Roman" w:cs="Times New Roman"/>
          <w:sz w:val="24"/>
          <w:szCs w:val="24"/>
          <w:shd w:val="clear" w:color="auto" w:fill="FFFFFF"/>
        </w:rPr>
        <w:t>generando acólitos de la decadencia, elaborando oscuras proyecciones de alcance internacional, o planteando utopías que mueren antes de nacer).  </w:t>
      </w:r>
      <w:r>
        <w:rPr>
          <w:rFonts w:ascii="Times New Roman" w:hAnsi="Times New Roman" w:cs="Times New Roman"/>
          <w:sz w:val="24"/>
          <w:szCs w:val="24"/>
          <w:shd w:val="clear" w:color="auto" w:fill="FFFFFF"/>
          <w:lang w:val="es-AR"/>
        </w:rPr>
        <w:t> </w:t>
      </w:r>
    </w:p>
    <w:p w:rsidR="004D15D6" w:rsidRPr="002828BA" w:rsidRDefault="004D15D6" w:rsidP="004D15D6">
      <w:pPr>
        <w:spacing w:line="240" w:lineRule="auto"/>
        <w:jc w:val="both"/>
        <w:rPr>
          <w:rFonts w:ascii="Times New Roman" w:hAnsi="Times New Roman" w:cs="Times New Roman"/>
          <w:bCs/>
          <w:sz w:val="24"/>
          <w:szCs w:val="24"/>
          <w:bdr w:val="none" w:sz="0" w:space="0" w:color="auto" w:frame="1"/>
          <w:shd w:val="clear" w:color="auto" w:fill="FFFFFF"/>
          <w:lang w:val="es-AR"/>
        </w:rPr>
      </w:pPr>
      <w:r>
        <w:rPr>
          <w:rFonts w:ascii="Times New Roman" w:hAnsi="Times New Roman" w:cs="Times New Roman"/>
          <w:sz w:val="24"/>
          <w:szCs w:val="24"/>
          <w:shd w:val="clear" w:color="auto" w:fill="FFFFFF"/>
          <w:lang w:val="es-AR"/>
        </w:rPr>
        <w:t xml:space="preserve">Dudo mucho, que los fundamentalistas del cambio climático sean lo suficientemente prudentes para  adoptar el consejo de San Agustín: “espera y aguanta hasta que rompa el día y se disipen las sombras”, e intenten </w:t>
      </w:r>
      <w:r>
        <w:rPr>
          <w:rFonts w:ascii="Times New Roman" w:hAnsi="Times New Roman" w:cs="Times New Roman"/>
          <w:bCs/>
          <w:sz w:val="24"/>
          <w:szCs w:val="24"/>
          <w:bdr w:val="none" w:sz="0" w:space="0" w:color="auto" w:frame="1"/>
          <w:shd w:val="clear" w:color="auto" w:fill="FFFFFF"/>
          <w:lang w:val="es-AR"/>
        </w:rPr>
        <w:t>evitar que nos caiga a todos la noche más oscura (tomando a los ciudadanos por imbéciles, al hacerlos respo</w:t>
      </w:r>
      <w:r w:rsidR="002828BA">
        <w:rPr>
          <w:rFonts w:ascii="Times New Roman" w:hAnsi="Times New Roman" w:cs="Times New Roman"/>
          <w:bCs/>
          <w:sz w:val="24"/>
          <w:szCs w:val="24"/>
          <w:bdr w:val="none" w:sz="0" w:space="0" w:color="auto" w:frame="1"/>
          <w:shd w:val="clear" w:color="auto" w:fill="FFFFFF"/>
          <w:lang w:val="es-AR"/>
        </w:rPr>
        <w:t xml:space="preserve">nsables del cambio climático). </w:t>
      </w:r>
    </w:p>
    <w:p w:rsidR="004D15D6" w:rsidRDefault="004D15D6" w:rsidP="004D15D6">
      <w:pPr>
        <w:spacing w:line="240" w:lineRule="auto"/>
        <w:jc w:val="both"/>
        <w:rPr>
          <w:rFonts w:ascii="Times New Roman" w:hAnsi="Times New Roman" w:cs="Times New Roman"/>
          <w:b/>
          <w:color w:val="333333"/>
          <w:sz w:val="24"/>
          <w:szCs w:val="24"/>
          <w:shd w:val="clear" w:color="auto" w:fill="FFFFFF"/>
          <w:lang w:val="es-AR"/>
        </w:rPr>
      </w:pPr>
      <w:r>
        <w:rPr>
          <w:rFonts w:ascii="Times New Roman" w:hAnsi="Times New Roman" w:cs="Times New Roman"/>
          <w:b/>
          <w:color w:val="333333"/>
          <w:sz w:val="24"/>
          <w:szCs w:val="24"/>
          <w:shd w:val="clear" w:color="auto" w:fill="FFFFFF"/>
          <w:lang w:val="es-AR"/>
        </w:rPr>
        <w:t>El maquillaje verde de la sociedad</w:t>
      </w:r>
    </w:p>
    <w:p w:rsidR="004D15D6" w:rsidRDefault="004D15D6" w:rsidP="004D15D6">
      <w:pPr>
        <w:spacing w:line="24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El apellido sostenible se aplica a cualquier acción y en cualquier contexto. No hay discurso político o informe de junta de accionistas de una multinacional que no se arrogue el calificativo de sostenible. Lo verde está de moda y los mercados ambientales comienzan a ser tan lucrativos como otros sectores clásicos como el farmacéutico o el militar.</w:t>
      </w:r>
    </w:p>
    <w:p w:rsidR="004D15D6" w:rsidRDefault="004D15D6" w:rsidP="004D15D6">
      <w:pPr>
        <w:spacing w:line="24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Se trata de tranquilizar a la población con políticas de imagen verde, en las que todo tiende a calificarse de “ecológico” y “sostenible”, ocultando o minimizando el deterioro causado, sin variar los criterios económicos, ni las pautas de comportamiento que lo originan. El discurso atomizado de lo sostenible termina por desviar la atención hacia los síntomas inconexos de la crisis ambiental, ocultando las causas.</w:t>
      </w:r>
    </w:p>
    <w:p w:rsidR="004D15D6" w:rsidRDefault="004D15D6" w:rsidP="004D15D6">
      <w:pPr>
        <w:spacing w:line="24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lastRenderedPageBreak/>
        <w:t>Por ejemplo, se habla mucho del problema del cambio climático, la contaminación o la pérdida de biodiversidad, pero se pasa de puntillas por asuntos como el creciente uso de materiales y energía, o los precios de las materias primas (de cuyo precio bajo se benefician los países avanzados). Se ignora que la generación de residuos o la destrucción del territorio y de las formas en que las sociedades se han adaptado a vivir en él, están provocadas por la extracción, la transformación y la distribución de esas materias primas.</w:t>
      </w:r>
    </w:p>
    <w:p w:rsidR="004D15D6" w:rsidRDefault="004D15D6" w:rsidP="004D15D6">
      <w:pPr>
        <w:spacing w:line="24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 xml:space="preserve">Las empresas invierten grandes cantidades de dinero en lavar su imagen. La publicidad y los programas de responsabilidad social corporativa son las herramientas más usadas. Son paradigmáticas las campañas “verdes” de empresas petroleras o energéticas (por ejemplo). </w:t>
      </w:r>
    </w:p>
    <w:p w:rsidR="004D15D6" w:rsidRDefault="004D15D6" w:rsidP="004D15D6">
      <w:pPr>
        <w:spacing w:line="24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El fenómeno de progresiva migración de la población humana a núcleos urbanos provoca que una gran parte de las personas no observen ni experimenten de forma directa el contacto con la Naturaleza. Millones de personas se desenvuelven a diario rodeados de objetos y estructuras artificiales diseñados por otras personas y fabricados por máquinas.</w:t>
      </w:r>
    </w:p>
    <w:p w:rsidR="004D15D6" w:rsidRDefault="004D15D6" w:rsidP="004D15D6">
      <w:pPr>
        <w:spacing w:line="24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En la ciudad, los flujos de entrada de materiales y energía son invisibles, y los residuos generados desaparecen, por arte de magia, de los contenedores de las calles. Es difícil, por tanto que las personas se perciban como seres ecodependientes. No son conscientes de que respiran, beben, comen, se mueven o sueñan gracias a los trabajos silenciosos de la Naturaleza. No son testigos de su deterioro ni tienen ocasión de reflexionar sobre los inmensos flujos de materiales y energía ni de las ingentes cantidades de residuos que genera su vida cotidiana.</w:t>
      </w:r>
    </w:p>
    <w:p w:rsidR="004D15D6" w:rsidRDefault="004D15D6" w:rsidP="004D15D6">
      <w:pPr>
        <w:spacing w:line="24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La concepción antropocentrista hace que los seres humanos de las sociedades industrializadas, se sitúen como una especie que, a diferencia de las demás, puede vivir ajena a los procesos de la Naturaleza, gracias a la ciencia y la tecnología. La dependencia de la Naturaleza de las sociedades humanas permanece ignorada y ello puede explicar en parte el porqué de la desidia y resignación ante el avance hacia el colapso de los sistemas naturales.</w:t>
      </w:r>
    </w:p>
    <w:p w:rsidR="004D15D6" w:rsidRDefault="004D15D6" w:rsidP="004D15D6">
      <w:pPr>
        <w:spacing w:line="24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La lentitud de la búsqueda de los equilibrios y sus transformaciones, chocan contra el “tiempo global” de los mercados financieros, el ciberespacio y las telecomunicaciones. Los tiempos del sistema industrial se contraponen brutal y esencialmente a los tiempos para la vida. No existe proporción entre la velocidad a la que se produce el deterioro en los ecosistemas y la velocidad a la que los procesos de la vida pueden adaptarse a los cambios, sobre todo, si previamente se ha desmantelado la biodiversidad, que es el sistema de protección que millones de años de evolución han diseñado.</w:t>
      </w:r>
    </w:p>
    <w:p w:rsidR="004D15D6" w:rsidRDefault="004D15D6" w:rsidP="004D15D6">
      <w:pPr>
        <w:spacing w:line="24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La economía de mercado necesita velocidad, los tiempos del mercado son lineales frente a los ciclos de la Naturaleza, los tiempos del neoliberalismo son veloces frente a los ritmos del consenso y de la auto organización social necesaria para hacerles frente.</w:t>
      </w:r>
    </w:p>
    <w:p w:rsidR="004D15D6" w:rsidRDefault="004D15D6" w:rsidP="004D15D6">
      <w:pPr>
        <w:spacing w:line="24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 xml:space="preserve">La acción sobre el medio ambiente necesita tiempo. El tiempo necesario para el contraste de pareceres, el uso público de la razón, el debate libre, la formación de consensos, la exploración de alternativas, la revisión de las decisiones, la exigencia de responsabilidades: la calidad de estos procesos es incompatible con la prisa. Las posibilidades de transformación requieren tiempo. </w:t>
      </w:r>
    </w:p>
    <w:p w:rsidR="004D15D6" w:rsidRDefault="004D15D6" w:rsidP="004D15D6">
      <w:pPr>
        <w:spacing w:line="24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 xml:space="preserve">Actualmente, en la cosmovisión occidental, predomina la idea de que cuanto más tenemos, mejor vivimos. En consecuencia, el bienestar también se encuentra ligado al crecimiento económico, al crecimiento en la producción de bienes y servicios y al aumento sostenido del consumo de los mismos por parte de la población. Y, para poder alcanzar este confort, la </w:t>
      </w:r>
      <w:r>
        <w:rPr>
          <w:rFonts w:ascii="Times New Roman" w:hAnsi="Times New Roman" w:cs="Times New Roman"/>
          <w:sz w:val="24"/>
          <w:szCs w:val="24"/>
          <w:shd w:val="clear" w:color="auto" w:fill="FFFFFF"/>
          <w:lang w:val="es-AR"/>
        </w:rPr>
        <w:lastRenderedPageBreak/>
        <w:t xml:space="preserve">sociedad occidental basa su modelo económico en la cada vez mayor extracción, mercantilización y consumo de bienes y recursos de la Tierra. </w:t>
      </w:r>
    </w:p>
    <w:p w:rsidR="004D15D6" w:rsidRDefault="004D15D6" w:rsidP="004D15D6">
      <w:pPr>
        <w:spacing w:line="24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 xml:space="preserve">Aunque las necesidades básicas materiales de las personas son limitadas, para que el sistema económico occidental funcione (según el modelo capitalista) el consumo debe crecer continuamente y, para ello, es preciso despertar, también permanentemente, nuevas necesidades que deban ser satisfechas. Pero, como </w:t>
      </w:r>
      <w:r w:rsidR="002828BA">
        <w:rPr>
          <w:rFonts w:ascii="Times New Roman" w:hAnsi="Times New Roman" w:cs="Times New Roman"/>
          <w:sz w:val="24"/>
          <w:szCs w:val="24"/>
          <w:shd w:val="clear" w:color="auto" w:fill="FFFFFF"/>
          <w:lang w:val="es-AR"/>
        </w:rPr>
        <w:t xml:space="preserve">se ha visto </w:t>
      </w:r>
      <w:r w:rsidR="00F41011">
        <w:rPr>
          <w:rFonts w:ascii="Times New Roman" w:hAnsi="Times New Roman" w:cs="Times New Roman"/>
          <w:sz w:val="24"/>
          <w:szCs w:val="24"/>
          <w:shd w:val="clear" w:color="auto" w:fill="FFFFFF"/>
          <w:lang w:val="es-AR"/>
        </w:rPr>
        <w:t>antes</w:t>
      </w:r>
      <w:r>
        <w:rPr>
          <w:rFonts w:ascii="Times New Roman" w:hAnsi="Times New Roman" w:cs="Times New Roman"/>
          <w:sz w:val="24"/>
          <w:szCs w:val="24"/>
          <w:shd w:val="clear" w:color="auto" w:fill="FFFFFF"/>
          <w:lang w:val="es-AR"/>
        </w:rPr>
        <w:t>, la causa del deterioro y la destrucción es la superación de los límites del planeta, por lo que resulta obvio que las soluciones deben pasar por la austeridad y la autolimitación.</w:t>
      </w:r>
    </w:p>
    <w:p w:rsidR="004D15D6" w:rsidRDefault="004D15D6" w:rsidP="004D15D6">
      <w:pPr>
        <w:spacing w:line="24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Habrá que superar la asimilación entre bienestar y ausencia de esfuerzo o molestia, habrá que adoptar comportamientos sostenibles aunque se perciban como incómodos o molestos y, además se opongan al dogma de la maximización del beneficio del sistema económico, habrá que superar la situación de individualismo, aislamiento, indiferencia, y falta de empatía, habrá que actuar sobre los planes educativos para que las nuevas generaciones puedan cambiar la óptica con la que se ve el mundo, habrá que cambiar un modelo de desarrollo económico que lleva a la destrucción, habrá que volver al uso prudente de los recursos naturales, a la recuperación de los valores de la austeridad a la hora de consumir y a recobrar una cultura que valora aquello que dura y permanece, si se quieren minimizar los impactos de la crisis climática.</w:t>
      </w:r>
    </w:p>
    <w:p w:rsidR="004D15D6" w:rsidRDefault="004D15D6" w:rsidP="004D15D6">
      <w:pPr>
        <w:spacing w:line="24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Uno de los desafíos mayores, será lograr que la tecnología y las industrias tengan en cuenta el largo plazo, incorporando una cultura ecológica de mayor lentitud, frente a la cultura capitalista de la rapidez.  Habrá que pasar a un modelo de cercanía, en el que el transporte sea mínimo y los productos y recursos que se utilicen sean cercanos, habrá que practicar un mayor reciclaje, entendido como una vuelta a los ciclos naturales de los materiales, que permitan mantener los stocks naturales y por el funcionamiento de los procesos naturales.</w:t>
      </w:r>
    </w:p>
    <w:p w:rsidR="004D15D6" w:rsidRDefault="004D15D6" w:rsidP="004D15D6">
      <w:pPr>
        <w:spacing w:line="24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 xml:space="preserve">En la situación actual, no hacer nada, no es una solución. Pero hacer las cosas a la desesperada, entre engaños y exageraciones de los ecologistas, atenazados por el miedo colectivo, condicionados por la codicia empresarial, o bajo un estado de analfabetismo medioambiental de unos líderes políticos (demasiado pendientes de las encuestas de opinión, o acobardados por las penas de telediario),  como encargados de gestionar la crisis, tampoco. </w:t>
      </w:r>
    </w:p>
    <w:p w:rsidR="00DC1240" w:rsidRDefault="00DC1240" w:rsidP="00DC124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La Unión Europea, atrapada entre la pandemia y la guerra </w:t>
      </w:r>
    </w:p>
    <w:p w:rsidR="00DC1240" w:rsidRPr="00DC33F0" w:rsidRDefault="00DC1240" w:rsidP="00DC1240">
      <w:pPr>
        <w:spacing w:line="240" w:lineRule="auto"/>
        <w:jc w:val="both"/>
        <w:rPr>
          <w:rFonts w:ascii="Times New Roman" w:hAnsi="Times New Roman" w:cs="Times New Roman"/>
          <w:b/>
          <w:sz w:val="24"/>
          <w:szCs w:val="24"/>
        </w:rPr>
      </w:pPr>
      <w:r w:rsidRPr="00DC33F0">
        <w:rPr>
          <w:rFonts w:ascii="Times New Roman" w:hAnsi="Times New Roman" w:cs="Times New Roman"/>
          <w:b/>
          <w:sz w:val="24"/>
          <w:szCs w:val="24"/>
        </w:rPr>
        <w:t>Está surgiendo un nuevo mundo. La esperanza de unas relaciones pacíficas se desvanece. Tal vez, haya llegado el momento en el que la Unión Europea deba resolver qué quiere ser de mayor (en la oscuridad puede que hayan pasado a verse mejor).</w:t>
      </w:r>
    </w:p>
    <w:p w:rsidR="00DC1240" w:rsidRPr="00F41011" w:rsidRDefault="00DC1240" w:rsidP="00DC1240">
      <w:pPr>
        <w:spacing w:line="240" w:lineRule="auto"/>
        <w:jc w:val="both"/>
        <w:rPr>
          <w:rFonts w:ascii="Times New Roman" w:hAnsi="Times New Roman" w:cs="Times New Roman"/>
          <w:b/>
          <w:sz w:val="24"/>
          <w:szCs w:val="24"/>
        </w:rPr>
      </w:pPr>
      <w:r w:rsidRPr="00F41011">
        <w:rPr>
          <w:rFonts w:ascii="Times New Roman" w:hAnsi="Times New Roman" w:cs="Times New Roman"/>
          <w:b/>
          <w:sz w:val="24"/>
          <w:szCs w:val="24"/>
        </w:rPr>
        <w:t>La gran paradoja de la guerra de Ucrania es que la Unión Europea y la OTAN vayan a salvarse y a resultar reforzadas gracias a las agresiones de Putin. La combinación de conflicto, crisis de suministros y alta inflación es inevitablemente desestabilizadora.</w:t>
      </w:r>
    </w:p>
    <w:p w:rsidR="00DC1240" w:rsidRPr="00F41011" w:rsidRDefault="00DC1240" w:rsidP="00DC1240">
      <w:pPr>
        <w:spacing w:line="240" w:lineRule="auto"/>
        <w:jc w:val="both"/>
        <w:rPr>
          <w:rFonts w:ascii="Times New Roman" w:hAnsi="Times New Roman" w:cs="Times New Roman"/>
          <w:b/>
          <w:sz w:val="24"/>
          <w:szCs w:val="24"/>
          <w:shd w:val="clear" w:color="auto" w:fill="FFFFFF"/>
        </w:rPr>
      </w:pPr>
      <w:r w:rsidRPr="00F41011">
        <w:rPr>
          <w:rFonts w:ascii="Times New Roman" w:hAnsi="Times New Roman" w:cs="Times New Roman"/>
          <w:b/>
          <w:sz w:val="24"/>
          <w:szCs w:val="24"/>
          <w:shd w:val="clear" w:color="auto" w:fill="FFFFFF"/>
        </w:rPr>
        <w:t>“No hay mayor villanía que ignorar el sufrimiento de la gente”, decía </w:t>
      </w:r>
      <w:r w:rsidRPr="00F41011">
        <w:rPr>
          <w:rStyle w:val="Textoennegrita"/>
          <w:rFonts w:ascii="Times New Roman" w:hAnsi="Times New Roman" w:cs="Times New Roman"/>
          <w:sz w:val="24"/>
          <w:szCs w:val="24"/>
          <w:shd w:val="clear" w:color="auto" w:fill="FFFFFF"/>
        </w:rPr>
        <w:t>Pavese</w:t>
      </w:r>
      <w:r w:rsidRPr="00F41011">
        <w:rPr>
          <w:rFonts w:ascii="Times New Roman" w:hAnsi="Times New Roman" w:cs="Times New Roman"/>
          <w:b/>
          <w:sz w:val="24"/>
          <w:szCs w:val="24"/>
          <w:shd w:val="clear" w:color="auto" w:fill="FFFFFF"/>
        </w:rPr>
        <w:t>. Ni mayor error. Los líderes europeos se muestran ajenos a la general penuria. “Nos trata(n) como bultos de un árbol hueco”, diría </w:t>
      </w:r>
      <w:r w:rsidRPr="00F41011">
        <w:rPr>
          <w:rStyle w:val="Textoennegrita"/>
          <w:rFonts w:ascii="Times New Roman" w:hAnsi="Times New Roman" w:cs="Times New Roman"/>
          <w:sz w:val="24"/>
          <w:szCs w:val="24"/>
          <w:shd w:val="clear" w:color="auto" w:fill="FFFFFF"/>
        </w:rPr>
        <w:t>Turgeniev</w:t>
      </w:r>
      <w:r w:rsidRPr="00F41011">
        <w:rPr>
          <w:rFonts w:ascii="Times New Roman" w:hAnsi="Times New Roman" w:cs="Times New Roman"/>
          <w:b/>
          <w:sz w:val="24"/>
          <w:szCs w:val="24"/>
          <w:shd w:val="clear" w:color="auto" w:fill="FFFFFF"/>
        </w:rPr>
        <w:t>. El estrépito de los precios todo lo eclipsa.  Tanta mentira, tanto engaño, tanta trola empieza a pasar factura. </w:t>
      </w:r>
    </w:p>
    <w:p w:rsidR="00DC1240" w:rsidRPr="00F41011" w:rsidRDefault="00DC1240" w:rsidP="00DC1240">
      <w:pPr>
        <w:spacing w:line="240" w:lineRule="auto"/>
        <w:jc w:val="both"/>
        <w:rPr>
          <w:rFonts w:ascii="Times New Roman" w:hAnsi="Times New Roman" w:cs="Times New Roman"/>
          <w:b/>
          <w:sz w:val="24"/>
          <w:szCs w:val="24"/>
          <w:shd w:val="clear" w:color="auto" w:fill="FFFFFF"/>
        </w:rPr>
      </w:pPr>
      <w:r w:rsidRPr="00F41011">
        <w:rPr>
          <w:rFonts w:ascii="Times New Roman" w:hAnsi="Times New Roman" w:cs="Times New Roman"/>
          <w:b/>
          <w:sz w:val="24"/>
          <w:szCs w:val="24"/>
          <w:shd w:val="clear" w:color="auto" w:fill="FFFFFF"/>
        </w:rPr>
        <w:t xml:space="preserve">Primero la pandemia del Covid y enseguida la invasión de Ucrania han impulsado avances en la Unión Europea de importancia decisiva, en áreas inexploradas como la sanidad o bloqueadas por la regla impuesta de la unanimidad para la adoptar </w:t>
      </w:r>
      <w:r w:rsidRPr="00F41011">
        <w:rPr>
          <w:rFonts w:ascii="Times New Roman" w:hAnsi="Times New Roman" w:cs="Times New Roman"/>
          <w:b/>
          <w:sz w:val="24"/>
          <w:szCs w:val="24"/>
          <w:shd w:val="clear" w:color="auto" w:fill="FFFFFF"/>
        </w:rPr>
        <w:lastRenderedPageBreak/>
        <w:t>decisiones, como en el caso de la política exterior, defensa, migraciones, y de últimas, energía, ecología y alimentos.</w:t>
      </w:r>
    </w:p>
    <w:p w:rsidR="00DC1240" w:rsidRPr="00F41011" w:rsidRDefault="00DC1240" w:rsidP="00DC1240">
      <w:pPr>
        <w:spacing w:line="240" w:lineRule="auto"/>
        <w:jc w:val="both"/>
        <w:rPr>
          <w:rFonts w:ascii="Times New Roman" w:hAnsi="Times New Roman" w:cs="Times New Roman"/>
          <w:b/>
          <w:sz w:val="24"/>
          <w:szCs w:val="24"/>
          <w:shd w:val="clear" w:color="auto" w:fill="FFFFFF"/>
        </w:rPr>
      </w:pPr>
      <w:r w:rsidRPr="00F41011">
        <w:rPr>
          <w:rFonts w:ascii="Times New Roman" w:hAnsi="Times New Roman" w:cs="Times New Roman"/>
          <w:b/>
          <w:sz w:val="24"/>
          <w:szCs w:val="24"/>
          <w:shd w:val="clear" w:color="auto" w:fill="FFFFFF"/>
        </w:rPr>
        <w:t>En cuanto a la Alianza Atlántica, en muerte cerebral según diagnóstico del presidente francés, Emmanuel Macron, y sumida en la abominación por el anterior presidente norteamericano, Donald Trump, los blindados avanzando sobre los campos y los aviones bombardeando las ciudades de Ucrania han logrado despertarla del coma y que dejara de cuestionarse la revisión de su concepto estratégico, al percibir el estímulo infalible de la agresión armada.</w:t>
      </w:r>
    </w:p>
    <w:p w:rsidR="00DC1240" w:rsidRPr="00F41011" w:rsidRDefault="00DC1240" w:rsidP="00DC1240">
      <w:pPr>
        <w:spacing w:line="240" w:lineRule="auto"/>
        <w:jc w:val="both"/>
        <w:rPr>
          <w:rFonts w:ascii="Times New Roman" w:hAnsi="Times New Roman" w:cs="Times New Roman"/>
          <w:b/>
          <w:sz w:val="24"/>
          <w:szCs w:val="24"/>
          <w:shd w:val="clear" w:color="auto" w:fill="FFFFFF"/>
        </w:rPr>
      </w:pPr>
      <w:r w:rsidRPr="00F41011">
        <w:rPr>
          <w:rFonts w:ascii="Times New Roman" w:hAnsi="Times New Roman" w:cs="Times New Roman"/>
          <w:b/>
          <w:sz w:val="24"/>
          <w:szCs w:val="24"/>
          <w:shd w:val="clear" w:color="auto" w:fill="FFFFFF"/>
        </w:rPr>
        <w:t>La situación actual (febrero/marzo 2022) puede ser un buen punto de partida y una oportunidad para replantearse nuestro actual modelo energético y de alimentación. “Europa ha cambiado bajo el impacto de la pandemia. Cambiará más rápido y más fuerte bajo el impacto de la guerra”. Con estas palabras, Emmanuel Macron inició la cumbre informal de dos días de jefes de Estado y de Gobierno de la Unión Europea, en Versalles (10 y 11 de marzo 2022). No le falta razón, la invasión de Ucrania hace la transformación del modelo económico en Europa más urgente y más pertinente que nunca.</w:t>
      </w:r>
    </w:p>
    <w:p w:rsidR="00DC1240" w:rsidRPr="000055D6" w:rsidRDefault="00DC1240" w:rsidP="00DC1240">
      <w:pPr>
        <w:spacing w:line="240" w:lineRule="auto"/>
        <w:jc w:val="both"/>
        <w:rPr>
          <w:rFonts w:ascii="Times New Roman" w:hAnsi="Times New Roman" w:cs="Times New Roman"/>
          <w:b/>
          <w:sz w:val="24"/>
          <w:szCs w:val="24"/>
        </w:rPr>
      </w:pPr>
      <w:r w:rsidRPr="000055D6">
        <w:rPr>
          <w:rFonts w:ascii="Times New Roman" w:hAnsi="Times New Roman" w:cs="Times New Roman"/>
          <w:b/>
          <w:sz w:val="24"/>
          <w:szCs w:val="24"/>
        </w:rPr>
        <w:t>La Unión Europea se hace trampas en el solitario</w:t>
      </w:r>
    </w:p>
    <w:p w:rsidR="00DC1240" w:rsidRPr="00F41011" w:rsidRDefault="00DC1240" w:rsidP="00DC1240">
      <w:pPr>
        <w:spacing w:line="240" w:lineRule="auto"/>
        <w:jc w:val="both"/>
        <w:rPr>
          <w:rFonts w:ascii="Times New Roman" w:hAnsi="Times New Roman" w:cs="Times New Roman"/>
          <w:b/>
          <w:sz w:val="24"/>
          <w:szCs w:val="24"/>
        </w:rPr>
      </w:pPr>
      <w:r w:rsidRPr="00F41011">
        <w:rPr>
          <w:rFonts w:ascii="Times New Roman" w:hAnsi="Times New Roman" w:cs="Times New Roman"/>
          <w:b/>
          <w:sz w:val="24"/>
          <w:szCs w:val="24"/>
        </w:rPr>
        <w:t>El “mensaje” de la Comisión Europea al Foro Económico Mundial (Davos), Greenpeace, Greta Thunberg, y otros “zumbados” de la “tierra plana”: “Europa acabará muerta, pero resiliente” (“la valentía es una virtud de subtenientes” - Conrad).</w:t>
      </w:r>
    </w:p>
    <w:p w:rsidR="00DC1240" w:rsidRPr="00F41011" w:rsidRDefault="00DC1240" w:rsidP="00DC1240">
      <w:pPr>
        <w:spacing w:line="240" w:lineRule="auto"/>
        <w:jc w:val="both"/>
        <w:rPr>
          <w:rFonts w:ascii="Times New Roman" w:hAnsi="Times New Roman" w:cs="Times New Roman"/>
          <w:b/>
          <w:sz w:val="24"/>
          <w:szCs w:val="24"/>
        </w:rPr>
      </w:pPr>
      <w:r w:rsidRPr="00F41011">
        <w:rPr>
          <w:rFonts w:ascii="Times New Roman" w:hAnsi="Times New Roman" w:cs="Times New Roman"/>
          <w:b/>
          <w:sz w:val="24"/>
          <w:szCs w:val="24"/>
        </w:rPr>
        <w:t>La “realpolitik” de la Unión Europea (gestada, parida, y arropada, por la Cancillería Federal Alemana), se demuestra absurda, tramposa y opaca, cual es norma de la casa.</w:t>
      </w:r>
    </w:p>
    <w:p w:rsidR="00DC1240" w:rsidRPr="00F41011" w:rsidRDefault="00F41011" w:rsidP="00DC1240">
      <w:pPr>
        <w:spacing w:line="240" w:lineRule="auto"/>
        <w:jc w:val="both"/>
        <w:rPr>
          <w:rFonts w:ascii="Times New Roman" w:hAnsi="Times New Roman" w:cs="Times New Roman"/>
          <w:b/>
          <w:sz w:val="24"/>
          <w:szCs w:val="24"/>
        </w:rPr>
      </w:pPr>
      <w:r w:rsidRPr="00F41011">
        <w:rPr>
          <w:rFonts w:ascii="Times New Roman" w:hAnsi="Times New Roman" w:cs="Times New Roman"/>
          <w:b/>
          <w:sz w:val="24"/>
          <w:szCs w:val="24"/>
        </w:rPr>
        <w:t>Cumplidos 30 días</w:t>
      </w:r>
      <w:r w:rsidR="00DC1240" w:rsidRPr="00F41011">
        <w:rPr>
          <w:rFonts w:ascii="Times New Roman" w:hAnsi="Times New Roman" w:cs="Times New Roman"/>
          <w:b/>
          <w:sz w:val="24"/>
          <w:szCs w:val="24"/>
        </w:rPr>
        <w:t xml:space="preserve"> de la invasión de Ucrania por Rusia, la UE no ha</w:t>
      </w:r>
      <w:r w:rsidRPr="00F41011">
        <w:rPr>
          <w:rFonts w:ascii="Times New Roman" w:hAnsi="Times New Roman" w:cs="Times New Roman"/>
          <w:b/>
          <w:sz w:val="24"/>
          <w:szCs w:val="24"/>
        </w:rPr>
        <w:t>bía</w:t>
      </w:r>
      <w:r w:rsidR="00DC1240" w:rsidRPr="00F41011">
        <w:rPr>
          <w:rFonts w:ascii="Times New Roman" w:hAnsi="Times New Roman" w:cs="Times New Roman"/>
          <w:b/>
          <w:sz w:val="24"/>
          <w:szCs w:val="24"/>
        </w:rPr>
        <w:t xml:space="preserve"> sido capaz de aprobar, aplicar o disponer una sola medida para afrontar los desastres de la crisis de abastecimientos, ni en el plano energético, ni en el alimenticio, ni en el económico, ni en el social,</w:t>
      </w:r>
      <w:r w:rsidRPr="00F41011">
        <w:rPr>
          <w:rFonts w:ascii="Times New Roman" w:hAnsi="Times New Roman" w:cs="Times New Roman"/>
          <w:b/>
          <w:sz w:val="24"/>
          <w:szCs w:val="24"/>
        </w:rPr>
        <w:t xml:space="preserve"> ni en el diplomático,… Todo eran</w:t>
      </w:r>
      <w:r w:rsidR="00DC1240" w:rsidRPr="00F41011">
        <w:rPr>
          <w:rFonts w:ascii="Times New Roman" w:hAnsi="Times New Roman" w:cs="Times New Roman"/>
          <w:b/>
          <w:sz w:val="24"/>
          <w:szCs w:val="24"/>
        </w:rPr>
        <w:t xml:space="preserve"> titubeos y zigzagueos, manotazos de un zombi perdido en las tinieblas de un film de serie B.</w:t>
      </w:r>
    </w:p>
    <w:p w:rsidR="00DC1240" w:rsidRPr="00F41011" w:rsidRDefault="00DC1240" w:rsidP="00DC1240">
      <w:pPr>
        <w:spacing w:line="240" w:lineRule="auto"/>
        <w:jc w:val="both"/>
        <w:rPr>
          <w:rFonts w:ascii="Times New Roman" w:hAnsi="Times New Roman" w:cs="Times New Roman"/>
          <w:b/>
          <w:sz w:val="24"/>
          <w:szCs w:val="24"/>
        </w:rPr>
      </w:pPr>
      <w:r w:rsidRPr="00F41011">
        <w:rPr>
          <w:rFonts w:ascii="Times New Roman" w:hAnsi="Times New Roman" w:cs="Times New Roman"/>
          <w:b/>
          <w:sz w:val="24"/>
          <w:szCs w:val="24"/>
        </w:rPr>
        <w:t>Mientras, la guerra de Putin carente de razón alguna que justifique la sumisión de un país y la anexión de un territorio por la fuerza de las armas, levanta</w:t>
      </w:r>
      <w:r w:rsidR="00F41011" w:rsidRPr="00F41011">
        <w:rPr>
          <w:rFonts w:ascii="Times New Roman" w:hAnsi="Times New Roman" w:cs="Times New Roman"/>
          <w:b/>
          <w:sz w:val="24"/>
          <w:szCs w:val="24"/>
        </w:rPr>
        <w:t>ba</w:t>
      </w:r>
      <w:r w:rsidRPr="00F41011">
        <w:rPr>
          <w:rFonts w:ascii="Times New Roman" w:hAnsi="Times New Roman" w:cs="Times New Roman"/>
          <w:b/>
          <w:sz w:val="24"/>
          <w:szCs w:val="24"/>
        </w:rPr>
        <w:t xml:space="preserve"> una polvareda cega</w:t>
      </w:r>
      <w:r w:rsidR="00F41011" w:rsidRPr="00F41011">
        <w:rPr>
          <w:rFonts w:ascii="Times New Roman" w:hAnsi="Times New Roman" w:cs="Times New Roman"/>
          <w:b/>
          <w:sz w:val="24"/>
          <w:szCs w:val="24"/>
        </w:rPr>
        <w:t>dora, la Unión Europea permanecía</w:t>
      </w:r>
      <w:r w:rsidRPr="00F41011">
        <w:rPr>
          <w:rFonts w:ascii="Times New Roman" w:hAnsi="Times New Roman" w:cs="Times New Roman"/>
          <w:b/>
          <w:sz w:val="24"/>
          <w:szCs w:val="24"/>
        </w:rPr>
        <w:t xml:space="preserve"> paralizada, conteniendo el aliento, incapacitada voluntariamente para enfrentarse a una multitud de acontecimientos desfavorables.</w:t>
      </w:r>
    </w:p>
    <w:p w:rsidR="00DC1240" w:rsidRPr="00F41011" w:rsidRDefault="00DC1240" w:rsidP="00DC1240">
      <w:pPr>
        <w:spacing w:line="240" w:lineRule="auto"/>
        <w:jc w:val="both"/>
        <w:rPr>
          <w:rFonts w:ascii="Times New Roman" w:hAnsi="Times New Roman" w:cs="Times New Roman"/>
          <w:b/>
          <w:sz w:val="24"/>
          <w:szCs w:val="24"/>
        </w:rPr>
      </w:pPr>
      <w:r w:rsidRPr="00F41011">
        <w:rPr>
          <w:rFonts w:ascii="Times New Roman" w:hAnsi="Times New Roman" w:cs="Times New Roman"/>
          <w:b/>
          <w:sz w:val="24"/>
          <w:szCs w:val="24"/>
        </w:rPr>
        <w:t>Frente al esperpento de una nueva guerra en Europa, ante tal rosario de desaciertos, disparates y estruendosos patinazos, para una sociedad que se</w:t>
      </w:r>
      <w:r w:rsidR="00F41011">
        <w:rPr>
          <w:rFonts w:ascii="Times New Roman" w:hAnsi="Times New Roman" w:cs="Times New Roman"/>
          <w:b/>
          <w:sz w:val="24"/>
          <w:szCs w:val="24"/>
        </w:rPr>
        <w:t xml:space="preserve"> sentía</w:t>
      </w:r>
      <w:r w:rsidRPr="00F41011">
        <w:rPr>
          <w:rFonts w:ascii="Times New Roman" w:hAnsi="Times New Roman" w:cs="Times New Roman"/>
          <w:b/>
          <w:sz w:val="24"/>
          <w:szCs w:val="24"/>
        </w:rPr>
        <w:t xml:space="preserve"> desamparada, sin nadie a quien recurrir, sin un maldito clavo de esperanza al que aferrarse, solo queda</w:t>
      </w:r>
      <w:r w:rsidR="00F41011">
        <w:rPr>
          <w:rFonts w:ascii="Times New Roman" w:hAnsi="Times New Roman" w:cs="Times New Roman"/>
          <w:b/>
          <w:sz w:val="24"/>
          <w:szCs w:val="24"/>
        </w:rPr>
        <w:t>ba</w:t>
      </w:r>
      <w:r w:rsidRPr="00F41011">
        <w:rPr>
          <w:rFonts w:ascii="Times New Roman" w:hAnsi="Times New Roman" w:cs="Times New Roman"/>
          <w:b/>
          <w:sz w:val="24"/>
          <w:szCs w:val="24"/>
        </w:rPr>
        <w:t xml:space="preserve"> una pregunta desesperada: ¿Hay alguien al mando?</w:t>
      </w:r>
    </w:p>
    <w:p w:rsidR="00DC1240" w:rsidRPr="00F41011" w:rsidRDefault="00DC1240" w:rsidP="00DC1240">
      <w:pPr>
        <w:spacing w:line="240" w:lineRule="auto"/>
        <w:jc w:val="both"/>
        <w:rPr>
          <w:rFonts w:ascii="Times New Roman" w:hAnsi="Times New Roman" w:cs="Times New Roman"/>
          <w:b/>
          <w:sz w:val="24"/>
          <w:szCs w:val="24"/>
        </w:rPr>
      </w:pPr>
      <w:r w:rsidRPr="00F41011">
        <w:rPr>
          <w:rFonts w:ascii="Times New Roman" w:hAnsi="Times New Roman" w:cs="Times New Roman"/>
          <w:b/>
          <w:sz w:val="24"/>
          <w:szCs w:val="24"/>
        </w:rPr>
        <w:t>En una situación que bordea</w:t>
      </w:r>
      <w:r w:rsidR="00F41011">
        <w:rPr>
          <w:rFonts w:ascii="Times New Roman" w:hAnsi="Times New Roman" w:cs="Times New Roman"/>
          <w:b/>
          <w:sz w:val="24"/>
          <w:szCs w:val="24"/>
        </w:rPr>
        <w:t>bala pesadilla y antecedía</w:t>
      </w:r>
      <w:r w:rsidRPr="00F41011">
        <w:rPr>
          <w:rFonts w:ascii="Times New Roman" w:hAnsi="Times New Roman" w:cs="Times New Roman"/>
          <w:b/>
          <w:sz w:val="24"/>
          <w:szCs w:val="24"/>
        </w:rPr>
        <w:t xml:space="preserve"> al pánico, con los supermercados en fase de desabastecimiento, la inflación lanzando los precios a la estratosfera, las facturas de combustibles, electricidad y gas a niveles siderales, los cole</w:t>
      </w:r>
      <w:r w:rsidR="00F41011">
        <w:rPr>
          <w:rFonts w:ascii="Times New Roman" w:hAnsi="Times New Roman" w:cs="Times New Roman"/>
          <w:b/>
          <w:sz w:val="24"/>
          <w:szCs w:val="24"/>
        </w:rPr>
        <w:t>tazos de la pandemia, apenas había</w:t>
      </w:r>
      <w:r w:rsidRPr="00F41011">
        <w:rPr>
          <w:rFonts w:ascii="Times New Roman" w:hAnsi="Times New Roman" w:cs="Times New Roman"/>
          <w:b/>
          <w:sz w:val="24"/>
          <w:szCs w:val="24"/>
        </w:rPr>
        <w:t xml:space="preserve"> respuesta eficaz o sensata desde la Unión Europea. La Comisión eco-feminista, progre, globalista, multilateral, virtual, pragmática, pacifista, dialogante, consensual, resiliente… ha</w:t>
      </w:r>
      <w:r w:rsidR="00F41011">
        <w:rPr>
          <w:rFonts w:ascii="Times New Roman" w:hAnsi="Times New Roman" w:cs="Times New Roman"/>
          <w:b/>
          <w:sz w:val="24"/>
          <w:szCs w:val="24"/>
        </w:rPr>
        <w:t>bía</w:t>
      </w:r>
      <w:r w:rsidRPr="00F41011">
        <w:rPr>
          <w:rFonts w:ascii="Times New Roman" w:hAnsi="Times New Roman" w:cs="Times New Roman"/>
          <w:b/>
          <w:sz w:val="24"/>
          <w:szCs w:val="24"/>
        </w:rPr>
        <w:t xml:space="preserve"> demostrado ser el artefacto más inservible de la reciente historia europea, una colección de pazguatos resentidos, gandules excelsos, </w:t>
      </w:r>
      <w:r w:rsidRPr="00F41011">
        <w:rPr>
          <w:rFonts w:ascii="Times New Roman" w:hAnsi="Times New Roman" w:cs="Times New Roman"/>
          <w:b/>
          <w:sz w:val="24"/>
          <w:szCs w:val="24"/>
        </w:rPr>
        <w:lastRenderedPageBreak/>
        <w:t>ignorantes revenidos, incapaces de hilvanar una sola respuesta a la descomunal tormenta que todo lo arrasa.</w:t>
      </w:r>
    </w:p>
    <w:p w:rsidR="00DC1240" w:rsidRPr="00F41011" w:rsidRDefault="00DC1240" w:rsidP="00DC1240">
      <w:pPr>
        <w:spacing w:line="240" w:lineRule="auto"/>
        <w:jc w:val="both"/>
        <w:rPr>
          <w:rFonts w:ascii="Times New Roman" w:hAnsi="Times New Roman" w:cs="Times New Roman"/>
          <w:b/>
          <w:sz w:val="24"/>
          <w:szCs w:val="24"/>
        </w:rPr>
      </w:pPr>
      <w:r w:rsidRPr="00F41011">
        <w:rPr>
          <w:rFonts w:ascii="Times New Roman" w:hAnsi="Times New Roman" w:cs="Times New Roman"/>
          <w:b/>
          <w:sz w:val="24"/>
          <w:szCs w:val="24"/>
        </w:rPr>
        <w:t>Solo falta</w:t>
      </w:r>
      <w:r w:rsidR="00F41011" w:rsidRPr="00F41011">
        <w:rPr>
          <w:rFonts w:ascii="Times New Roman" w:hAnsi="Times New Roman" w:cs="Times New Roman"/>
          <w:b/>
          <w:sz w:val="24"/>
          <w:szCs w:val="24"/>
        </w:rPr>
        <w:t>ba</w:t>
      </w:r>
      <w:r w:rsidRPr="00F41011">
        <w:rPr>
          <w:rFonts w:ascii="Times New Roman" w:hAnsi="Times New Roman" w:cs="Times New Roman"/>
          <w:b/>
          <w:sz w:val="24"/>
          <w:szCs w:val="24"/>
        </w:rPr>
        <w:t xml:space="preserve"> que la presidenta de la Comisión Europea Ursula von der Leyen (política, y médica alemana), en una constatación perfecta de la inutilidad, salga en “Euronews”, para anunciar que la Unión Europea: “está un peldaño más cerca de tocar fondo”.</w:t>
      </w:r>
    </w:p>
    <w:p w:rsidR="00DC1240" w:rsidRPr="00F41011" w:rsidRDefault="00DC1240" w:rsidP="00DC1240">
      <w:pPr>
        <w:spacing w:line="240" w:lineRule="auto"/>
        <w:jc w:val="both"/>
        <w:rPr>
          <w:rFonts w:ascii="Times New Roman" w:hAnsi="Times New Roman" w:cs="Times New Roman"/>
          <w:b/>
          <w:sz w:val="24"/>
          <w:szCs w:val="24"/>
        </w:rPr>
      </w:pPr>
      <w:r w:rsidRPr="00F41011">
        <w:rPr>
          <w:rFonts w:ascii="Times New Roman" w:hAnsi="Times New Roman" w:cs="Times New Roman"/>
          <w:b/>
          <w:sz w:val="24"/>
          <w:szCs w:val="24"/>
        </w:rPr>
        <w:t>El mal del malvado siempre tiene un porqué que le beneficia a él y eso lo diferencia del mal del idiota, que es capaz de reventarlo todo sin beneficio para sí mismo. Y mientras, los europeos, continúan esperando que alguien les cuente una verdad incómoda.</w:t>
      </w:r>
    </w:p>
    <w:p w:rsidR="00DC1240" w:rsidRPr="00F41011" w:rsidRDefault="00DC1240" w:rsidP="00DC1240">
      <w:pPr>
        <w:spacing w:line="240" w:lineRule="auto"/>
        <w:jc w:val="both"/>
        <w:rPr>
          <w:rFonts w:ascii="Times New Roman" w:hAnsi="Times New Roman" w:cs="Times New Roman"/>
          <w:b/>
          <w:sz w:val="24"/>
          <w:szCs w:val="24"/>
        </w:rPr>
      </w:pPr>
      <w:r w:rsidRPr="00F41011">
        <w:rPr>
          <w:rFonts w:ascii="Times New Roman" w:hAnsi="Times New Roman" w:cs="Times New Roman"/>
          <w:b/>
          <w:sz w:val="24"/>
          <w:szCs w:val="24"/>
        </w:rPr>
        <w:t>¿Es incongruente apostar por aprovisionamientos de países tan inestables (como Ucrania) o tan dictatoriales (como Rusia, o China), cuando la UE se niega a volver a la energía nuclear y los hidrocarburos, o a explotar mediante fracking unas reservas europeas que se suponen importantes, o cuando resuelve abandonar (o desalentar) las actividades agrícolas propias que le permitirían alcanzar la soberanía alimentaria? Por supuesto. Y por eso merecen el repudio.</w:t>
      </w:r>
    </w:p>
    <w:p w:rsidR="00DC1240" w:rsidRPr="00F41011" w:rsidRDefault="00DC1240" w:rsidP="00DC1240">
      <w:pPr>
        <w:spacing w:line="240" w:lineRule="auto"/>
        <w:jc w:val="both"/>
        <w:rPr>
          <w:rFonts w:ascii="Times New Roman" w:hAnsi="Times New Roman" w:cs="Times New Roman"/>
          <w:b/>
          <w:sz w:val="24"/>
          <w:szCs w:val="24"/>
        </w:rPr>
      </w:pPr>
      <w:r w:rsidRPr="00F41011">
        <w:rPr>
          <w:rFonts w:ascii="Times New Roman" w:hAnsi="Times New Roman" w:cs="Times New Roman"/>
          <w:b/>
          <w:sz w:val="24"/>
          <w:szCs w:val="24"/>
        </w:rPr>
        <w:t>¿Eso es realpolitik? La que no evita guerras, y reconoce un mundo que no nos conviene, pero que sí le interesa a terceros países. Los mercaderes europeos aceptan el camino de los otros.</w:t>
      </w:r>
    </w:p>
    <w:p w:rsidR="00DC1240" w:rsidRPr="000055D6" w:rsidRDefault="00DC1240" w:rsidP="00DC1240">
      <w:pPr>
        <w:pStyle w:val="NormalWeb"/>
        <w:spacing w:after="0"/>
        <w:jc w:val="both"/>
        <w:textAlignment w:val="baseline"/>
        <w:rPr>
          <w:b/>
        </w:rPr>
      </w:pPr>
      <w:r w:rsidRPr="000055D6">
        <w:rPr>
          <w:b/>
        </w:rPr>
        <w:t>El populismo pedante de unos burócratas que fingen guiarnos a través de la oscuridad</w:t>
      </w:r>
    </w:p>
    <w:p w:rsidR="00DC1240" w:rsidRPr="00DF5545" w:rsidRDefault="00DC1240" w:rsidP="00DC1240">
      <w:pPr>
        <w:pStyle w:val="NormalWeb"/>
        <w:spacing w:after="0"/>
        <w:jc w:val="both"/>
        <w:textAlignment w:val="baseline"/>
        <w:rPr>
          <w:b/>
        </w:rPr>
      </w:pPr>
      <w:r w:rsidRPr="00DF5545">
        <w:rPr>
          <w:b/>
        </w:rPr>
        <w:t>Complejo de inferioridad, cuando se trata de negociar (litigar, debatir, competir) con los EEUU o China… y fatua superioridad moral, cuando se trata de aplicar políticas (dogmas (paradigmas, mantras), que puedan afectar a los ciudadanos europeos. El oxímoron de los líderes europeos: ser buenos con los malos, y malos con los buenos. O sea.</w:t>
      </w:r>
    </w:p>
    <w:p w:rsidR="00DC1240" w:rsidRPr="00DF5545" w:rsidRDefault="00DC1240" w:rsidP="00DC1240">
      <w:pPr>
        <w:pStyle w:val="NormalWeb"/>
        <w:spacing w:after="0"/>
        <w:jc w:val="both"/>
        <w:textAlignment w:val="baseline"/>
        <w:rPr>
          <w:b/>
          <w:shd w:val="clear" w:color="auto" w:fill="FFFFFF"/>
        </w:rPr>
      </w:pPr>
      <w:r w:rsidRPr="00DF5545">
        <w:rPr>
          <w:rStyle w:val="Textoennegrita"/>
          <w:rFonts w:eastAsiaTheme="majorEastAsia"/>
          <w:shd w:val="clear" w:color="auto" w:fill="FFFFFF"/>
        </w:rPr>
        <w:t>Nadie da un euro por la Comisión Europea. El ilusionismo barato suministrado estos años desde Bruselas ya no sirve. Esos eslóganes estúpidos, esas poses pretenciosas, esas comparecencias huecas funcionaban en tiempos apacibles</w:t>
      </w:r>
      <w:r w:rsidRPr="00DF5545">
        <w:rPr>
          <w:b/>
          <w:shd w:val="clear" w:color="auto" w:fill="FFFFFF"/>
        </w:rPr>
        <w:t>, cuando la ciudanía consumía, y no había crisis. Ahora Europa reclama seriedad, y </w:t>
      </w:r>
      <w:hyperlink r:id="rId43" w:tgtFrame="_blank" w:history="1">
        <w:r w:rsidRPr="00DF5545">
          <w:rPr>
            <w:rStyle w:val="Hipervnculo"/>
            <w:b/>
            <w:color w:val="auto"/>
            <w:u w:val="none"/>
            <w:shd w:val="clear" w:color="auto" w:fill="FFFFFF"/>
          </w:rPr>
          <w:t xml:space="preserve">la población eleva la voz, </w:t>
        </w:r>
      </w:hyperlink>
      <w:r w:rsidRPr="00DF5545">
        <w:rPr>
          <w:b/>
          <w:shd w:val="clear" w:color="auto" w:fill="FFFFFF"/>
        </w:rPr>
        <w:t>quizás esta vez con acierto. Y aunque así no sea. </w:t>
      </w:r>
      <w:r w:rsidRPr="00DF5545">
        <w:rPr>
          <w:rStyle w:val="Textoennegrita"/>
          <w:rFonts w:eastAsiaTheme="majorEastAsia"/>
          <w:shd w:val="clear" w:color="auto" w:fill="FFFFFF"/>
        </w:rPr>
        <w:t>Algo ha mudado en el tuétano de una sociedad harta</w:t>
      </w:r>
      <w:r w:rsidRPr="00DF5545">
        <w:rPr>
          <w:b/>
          <w:shd w:val="clear" w:color="auto" w:fill="FFFFFF"/>
        </w:rPr>
        <w:t> del catecismo woke, las tontadas de género (todas y todes), la cultura de la cancelación, la verborragia ecologista, el dispendio desaforado, el gasto interminable, el engaño persistente, la deuda impagable, esa profusa ineptitud que ha colocado a Europa en el lugar postrero de la fila de la recuperación post pandemia.</w:t>
      </w:r>
    </w:p>
    <w:p w:rsidR="00DC1240" w:rsidRPr="00DF5545" w:rsidRDefault="00DC1240" w:rsidP="00DC1240">
      <w:pPr>
        <w:pStyle w:val="NormalWeb"/>
        <w:spacing w:after="0"/>
        <w:jc w:val="both"/>
        <w:textAlignment w:val="baseline"/>
        <w:rPr>
          <w:b/>
          <w:shd w:val="clear" w:color="auto" w:fill="FFFFFF"/>
        </w:rPr>
      </w:pPr>
      <w:r w:rsidRPr="00DF5545">
        <w:rPr>
          <w:b/>
          <w:shd w:val="clear" w:color="auto" w:fill="FFFFFF"/>
        </w:rPr>
        <w:t>A la ciudadanía europea se le acabó la paciencia y a la Comisión Europea las trampas. Ni los que los nombraron para tan “anodino” cargo, se fían de ellos para continuar medrando.</w:t>
      </w:r>
    </w:p>
    <w:p w:rsidR="00DC1240" w:rsidRDefault="00DC1240" w:rsidP="00DC1240">
      <w:pPr>
        <w:pStyle w:val="NormalWeb"/>
        <w:spacing w:after="0"/>
        <w:jc w:val="both"/>
        <w:textAlignment w:val="baseline"/>
        <w:rPr>
          <w:b/>
          <w:shd w:val="clear" w:color="auto" w:fill="FFFFFF"/>
        </w:rPr>
      </w:pPr>
      <w:r w:rsidRPr="00DF5545">
        <w:rPr>
          <w:b/>
          <w:shd w:val="clear" w:color="auto" w:fill="FFFFFF"/>
        </w:rPr>
        <w:t>Diseñaron una Europa dividida entre funcionarios y empleados precarios en el sector servicios (que en muchos casos, deben aceptar el humillante papel de “falsos autónomos”). Renunciaron a la autonomía industrial, abandonaron la soberanía alimentaria, cancelaron las opciones energéticas independientes, abdicaron de una fuerza militar europea… ¿and now?</w:t>
      </w:r>
    </w:p>
    <w:p w:rsidR="00DF5545" w:rsidRPr="00DF5545" w:rsidRDefault="00DF5545" w:rsidP="00DC1240">
      <w:pPr>
        <w:pStyle w:val="NormalWeb"/>
        <w:spacing w:after="0"/>
        <w:jc w:val="both"/>
        <w:textAlignment w:val="baseline"/>
        <w:rPr>
          <w:b/>
          <w:shd w:val="clear" w:color="auto" w:fill="FFFFFF"/>
        </w:rPr>
      </w:pPr>
    </w:p>
    <w:p w:rsidR="00DC1240" w:rsidRPr="0046570B" w:rsidRDefault="00DC1240" w:rsidP="00DC1240">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lastRenderedPageBreak/>
        <w:t>L</w:t>
      </w:r>
      <w:r w:rsidRPr="0046570B">
        <w:rPr>
          <w:rFonts w:ascii="Times New Roman" w:hAnsi="Times New Roman" w:cs="Times New Roman"/>
          <w:b/>
          <w:sz w:val="24"/>
          <w:szCs w:val="24"/>
          <w:shd w:val="clear" w:color="auto" w:fill="FFFFFF"/>
        </w:rPr>
        <w:t>a política climá</w:t>
      </w:r>
      <w:r>
        <w:rPr>
          <w:rFonts w:ascii="Times New Roman" w:hAnsi="Times New Roman" w:cs="Times New Roman"/>
          <w:b/>
          <w:sz w:val="24"/>
          <w:szCs w:val="24"/>
          <w:shd w:val="clear" w:color="auto" w:fill="FFFFFF"/>
        </w:rPr>
        <w:t>tica como principal condicionante</w:t>
      </w:r>
      <w:r w:rsidRPr="0046570B">
        <w:rPr>
          <w:rFonts w:ascii="Times New Roman" w:hAnsi="Times New Roman" w:cs="Times New Roman"/>
          <w:b/>
          <w:sz w:val="24"/>
          <w:szCs w:val="24"/>
          <w:shd w:val="clear" w:color="auto" w:fill="FFFFFF"/>
        </w:rPr>
        <w:t xml:space="preserve"> de la política energética</w:t>
      </w:r>
      <w:r>
        <w:rPr>
          <w:rFonts w:ascii="Times New Roman" w:hAnsi="Times New Roman" w:cs="Times New Roman"/>
          <w:b/>
          <w:sz w:val="24"/>
          <w:szCs w:val="24"/>
          <w:shd w:val="clear" w:color="auto" w:fill="FFFFFF"/>
        </w:rPr>
        <w:t xml:space="preserve"> de la UE </w:t>
      </w:r>
    </w:p>
    <w:p w:rsidR="00DC1240" w:rsidRPr="00FC1F7F" w:rsidRDefault="00DC1240" w:rsidP="00DC1240">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t>¿De qué tratan el Pacto Verde Europeo y la Unión de la Energía?</w:t>
      </w:r>
    </w:p>
    <w:p w:rsidR="00DC1240" w:rsidRPr="00FC1F7F" w:rsidRDefault="00DC1240" w:rsidP="00DC1240">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El  Pacto Verde Europeo  es la ambiciosa política climática de la UE que tiene como objetivo que Europa se convierta en el primer continente climáticamente neutral para 2050.</w:t>
      </w:r>
    </w:p>
    <w:p w:rsidR="00DC1240" w:rsidRPr="00FC1F7F" w:rsidRDefault="00DC1240" w:rsidP="00DC1240">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En particular, alcanzar este objetivo requerirá la acción de todos los sectores de nuestra economía, incluida la inversión en tecnologías respetuosas con el medio ambiente, la descarbonización del sector energético, la garantía de que los edificios sean más eficientes energéticamente o el despliegue de formas más limpias d</w:t>
      </w:r>
      <w:r>
        <w:rPr>
          <w:rFonts w:ascii="Times New Roman" w:hAnsi="Times New Roman" w:cs="Times New Roman"/>
          <w:sz w:val="24"/>
          <w:szCs w:val="24"/>
          <w:shd w:val="clear" w:color="auto" w:fill="FFFFFF"/>
        </w:rPr>
        <w:t>e transporte público y privado.</w:t>
      </w:r>
    </w:p>
    <w:p w:rsidR="00DC1240" w:rsidRPr="00FC1F7F" w:rsidRDefault="00DF5545" w:rsidP="00DC12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La </w:t>
      </w:r>
      <w:r w:rsidR="00DC1240" w:rsidRPr="00FC1F7F">
        <w:rPr>
          <w:rFonts w:ascii="Times New Roman" w:hAnsi="Times New Roman" w:cs="Times New Roman"/>
          <w:sz w:val="24"/>
          <w:szCs w:val="24"/>
          <w:shd w:val="clear" w:color="auto" w:fill="FFFFFF"/>
        </w:rPr>
        <w:t>Unión de la Energíaes el principal instrumento de política energética para lograr las transformaciones necesarias para descarbonizar nuestro sistema energético. El objetivo de la Unión de la Energía es proporcionar a los consumidores de la UE (hogares y empresas) energía segura, soste</w:t>
      </w:r>
      <w:r w:rsidR="00DC1240">
        <w:rPr>
          <w:rFonts w:ascii="Times New Roman" w:hAnsi="Times New Roman" w:cs="Times New Roman"/>
          <w:sz w:val="24"/>
          <w:szCs w:val="24"/>
          <w:shd w:val="clear" w:color="auto" w:fill="FFFFFF"/>
        </w:rPr>
        <w:t>nible, competitiva y asequible.</w:t>
      </w:r>
    </w:p>
    <w:p w:rsidR="00DC1240" w:rsidRPr="00FC1F7F" w:rsidRDefault="00DC1240" w:rsidP="00DC1240">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Para garantizar que las políticas y medidas en los distintos niveles sean coherentes, complementarias y suficientemente ambiciosas, la Unión de la Energía adoptó un sólido mecanismo de gobernanza, basado en planes nacionales</w:t>
      </w:r>
      <w:r>
        <w:rPr>
          <w:rFonts w:ascii="Times New Roman" w:hAnsi="Times New Roman" w:cs="Times New Roman"/>
          <w:sz w:val="24"/>
          <w:szCs w:val="24"/>
          <w:shd w:val="clear" w:color="auto" w:fill="FFFFFF"/>
        </w:rPr>
        <w:t xml:space="preserve"> integrados de energía y clima.</w:t>
      </w:r>
    </w:p>
    <w:p w:rsidR="00DC1240" w:rsidRPr="00FC1F7F" w:rsidRDefault="00DC1240" w:rsidP="00DC1240">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El uso de datos fiables de alta calidad para controlar los objetivos políticos del Pacto Verde Europeo y los paquetes de la Unión de la Energía mejorará la credibilidad de l</w:t>
      </w:r>
      <w:r>
        <w:rPr>
          <w:rFonts w:ascii="Times New Roman" w:hAnsi="Times New Roman" w:cs="Times New Roman"/>
          <w:sz w:val="24"/>
          <w:szCs w:val="24"/>
          <w:shd w:val="clear" w:color="auto" w:fill="FFFFFF"/>
        </w:rPr>
        <w:t>a política energética de la UE.</w:t>
      </w:r>
    </w:p>
    <w:p w:rsidR="00DC1240" w:rsidRDefault="00DC1240" w:rsidP="00DC1240">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El Estado de la Unión de la Energía supervisa los progresos realizados para lograr la transición hacia una economía baja en carbono, segura y competitiva. También destaca cada año los temas que requieren mayor atención.</w:t>
      </w:r>
    </w:p>
    <w:p w:rsidR="00DF5545" w:rsidRPr="00DF5545" w:rsidRDefault="00DC1240" w:rsidP="00DC1240">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noProof/>
          <w:sz w:val="24"/>
          <w:szCs w:val="24"/>
          <w:shd w:val="clear" w:color="auto" w:fill="FFFFFF"/>
          <w:lang w:val="en-GB" w:eastAsia="zh-CN"/>
        </w:rPr>
        <w:drawing>
          <wp:inline distT="0" distB="0" distL="0" distR="0">
            <wp:extent cx="5733136" cy="3054350"/>
            <wp:effectExtent l="0" t="0" r="127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3053484"/>
                    </a:xfrm>
                    <a:prstGeom prst="rect">
                      <a:avLst/>
                    </a:prstGeom>
                  </pic:spPr>
                </pic:pic>
              </a:graphicData>
            </a:graphic>
          </wp:inline>
        </w:drawing>
      </w:r>
    </w:p>
    <w:p w:rsidR="00DC1240" w:rsidRPr="0046570B" w:rsidRDefault="00DC1240" w:rsidP="00DC1240">
      <w:pPr>
        <w:spacing w:line="240" w:lineRule="auto"/>
        <w:jc w:val="both"/>
        <w:rPr>
          <w:rFonts w:ascii="Times New Roman" w:hAnsi="Times New Roman" w:cs="Times New Roman"/>
          <w:sz w:val="24"/>
          <w:szCs w:val="24"/>
          <w:u w:val="single"/>
          <w:shd w:val="clear" w:color="auto" w:fill="FFFFFF"/>
        </w:rPr>
      </w:pPr>
      <w:r w:rsidRPr="0046570B">
        <w:rPr>
          <w:rFonts w:ascii="Times New Roman" w:hAnsi="Times New Roman" w:cs="Times New Roman"/>
          <w:sz w:val="24"/>
          <w:szCs w:val="24"/>
          <w:u w:val="single"/>
          <w:shd w:val="clear" w:color="auto" w:fill="FFFFFF"/>
        </w:rPr>
        <w:t>Una transición energética limpia</w:t>
      </w:r>
    </w:p>
    <w:p w:rsidR="00DC1240" w:rsidRPr="00FC1F7F" w:rsidRDefault="00DC1240" w:rsidP="00DC1240">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La producción y el uso de energía representan más del 75 % de las emisiones de gases de efecto inv</w:t>
      </w:r>
      <w:r>
        <w:rPr>
          <w:rFonts w:ascii="Times New Roman" w:hAnsi="Times New Roman" w:cs="Times New Roman"/>
          <w:sz w:val="24"/>
          <w:szCs w:val="24"/>
          <w:shd w:val="clear" w:color="auto" w:fill="FFFFFF"/>
        </w:rPr>
        <w:t>ernadero de la UE. Por lo tanto</w:t>
      </w:r>
      <w:r w:rsidRPr="00FC1F7F">
        <w:rPr>
          <w:rFonts w:ascii="Times New Roman" w:hAnsi="Times New Roman" w:cs="Times New Roman"/>
          <w:sz w:val="24"/>
          <w:szCs w:val="24"/>
          <w:shd w:val="clear" w:color="auto" w:fill="FFFFFF"/>
        </w:rPr>
        <w:t xml:space="preserve">, descarbonizar el sistema energético de la UE es </w:t>
      </w:r>
      <w:r w:rsidRPr="00FC1F7F">
        <w:rPr>
          <w:rFonts w:ascii="Times New Roman" w:hAnsi="Times New Roman" w:cs="Times New Roman"/>
          <w:sz w:val="24"/>
          <w:szCs w:val="24"/>
          <w:shd w:val="clear" w:color="auto" w:fill="FFFFFF"/>
        </w:rPr>
        <w:lastRenderedPageBreak/>
        <w:t>fundamental para alcanzar nuestros objetivos climáticos para 2030 y la estrategia a largo plazo de la UE de lograr la neutralidad de carbono para 2050.</w:t>
      </w:r>
    </w:p>
    <w:p w:rsidR="00DC1240" w:rsidRPr="00FC1F7F" w:rsidRDefault="00DC1240" w:rsidP="00DC1240">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 xml:space="preserve">El Pacto Verde Europeo se centra en 3 principios clave para la transición hacia la energía limpia, que ayudarán a reducir las emisiones de gases de efecto invernadero y mejorarán la calidad </w:t>
      </w:r>
      <w:r>
        <w:rPr>
          <w:rFonts w:ascii="Times New Roman" w:hAnsi="Times New Roman" w:cs="Times New Roman"/>
          <w:sz w:val="24"/>
          <w:szCs w:val="24"/>
          <w:shd w:val="clear" w:color="auto" w:fill="FFFFFF"/>
        </w:rPr>
        <w:t>de vida de nuestros ciudadanos:</w:t>
      </w:r>
    </w:p>
    <w:p w:rsidR="00DC1240" w:rsidRPr="00B7695F" w:rsidRDefault="00DC1240" w:rsidP="00DC1240">
      <w:pPr>
        <w:pStyle w:val="Prrafodelista"/>
        <w:numPr>
          <w:ilvl w:val="0"/>
          <w:numId w:val="6"/>
        </w:num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garantizar un suministro de energía seguro y asequible en la UE</w:t>
      </w:r>
    </w:p>
    <w:p w:rsidR="00DC1240" w:rsidRDefault="00DC1240" w:rsidP="00DC1240">
      <w:pPr>
        <w:pStyle w:val="Prrafodelista"/>
        <w:numPr>
          <w:ilvl w:val="0"/>
          <w:numId w:val="6"/>
        </w:num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desarrollar un mercado energético de la UE totalmente integrado, interconectado y digitalizado</w:t>
      </w:r>
    </w:p>
    <w:p w:rsidR="00DC1240" w:rsidRPr="00B7695F" w:rsidRDefault="00DC1240" w:rsidP="00DC1240">
      <w:pPr>
        <w:pStyle w:val="Prrafodelista"/>
        <w:numPr>
          <w:ilvl w:val="0"/>
          <w:numId w:val="6"/>
        </w:num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priorizar la efi</w:t>
      </w:r>
      <w:r>
        <w:rPr>
          <w:rFonts w:ascii="Times New Roman" w:hAnsi="Times New Roman" w:cs="Times New Roman"/>
          <w:sz w:val="24"/>
          <w:szCs w:val="24"/>
          <w:shd w:val="clear" w:color="auto" w:fill="FFFFFF"/>
        </w:rPr>
        <w:t>ciencia energética</w:t>
      </w:r>
      <w:r w:rsidRPr="00B7695F">
        <w:rPr>
          <w:rFonts w:ascii="Times New Roman" w:hAnsi="Times New Roman" w:cs="Times New Roman"/>
          <w:sz w:val="24"/>
          <w:szCs w:val="24"/>
          <w:shd w:val="clear" w:color="auto" w:fill="FFFFFF"/>
        </w:rPr>
        <w:t>, mejorar el rendimiento energético de nuestros edificios y desarrollar un sector energético basado en gran medida en fuentes renovables</w:t>
      </w:r>
    </w:p>
    <w:p w:rsidR="00DC1240" w:rsidRPr="00FC1F7F" w:rsidRDefault="00DC1240" w:rsidP="00DC1240">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Los principales objetivos de</w:t>
      </w:r>
      <w:r>
        <w:rPr>
          <w:rFonts w:ascii="Times New Roman" w:hAnsi="Times New Roman" w:cs="Times New Roman"/>
          <w:sz w:val="24"/>
          <w:szCs w:val="24"/>
          <w:shd w:val="clear" w:color="auto" w:fill="FFFFFF"/>
        </w:rPr>
        <w:t xml:space="preserve"> la Comisión para lograrlo son:</w:t>
      </w:r>
    </w:p>
    <w:p w:rsidR="00DC1240" w:rsidRDefault="00DC1240" w:rsidP="00DC12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construir sistemas de energía interconectados y redes mejor integradas para apoyar l</w:t>
      </w:r>
      <w:r>
        <w:rPr>
          <w:rFonts w:ascii="Times New Roman" w:hAnsi="Times New Roman" w:cs="Times New Roman"/>
          <w:sz w:val="24"/>
          <w:szCs w:val="24"/>
          <w:shd w:val="clear" w:color="auto" w:fill="FFFFFF"/>
        </w:rPr>
        <w:t>as fuentes de energía renovable</w:t>
      </w:r>
    </w:p>
    <w:p w:rsidR="00DC1240" w:rsidRPr="00FC1F7F" w:rsidRDefault="00DC1240" w:rsidP="00DC12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promover tecnologías innovadoras e infraestructura moderna</w:t>
      </w:r>
    </w:p>
    <w:p w:rsidR="00DC1240" w:rsidRPr="00FC1F7F" w:rsidRDefault="00DC1240" w:rsidP="00DC12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impulsar la eficiencia energética y el ecodiseño de los productos</w:t>
      </w:r>
    </w:p>
    <w:p w:rsidR="00DC1240" w:rsidRPr="00FC1F7F" w:rsidRDefault="00DC1240" w:rsidP="00DC12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descarbonizar el sector del gas y promover la integración inteligente entre sectores</w:t>
      </w:r>
    </w:p>
    <w:p w:rsidR="00DC1240" w:rsidRPr="00FC1F7F" w:rsidRDefault="00DC1240" w:rsidP="00DC12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empoderar a los consumidores y ayudar a los países de la UE a abordar la pobreza energética</w:t>
      </w:r>
    </w:p>
    <w:p w:rsidR="00DC1240" w:rsidRPr="00FC1F7F" w:rsidRDefault="00DC1240" w:rsidP="00DC12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promover las normas y tecnologías energéticas de la UE a nivel mundial</w:t>
      </w:r>
    </w:p>
    <w:p w:rsidR="00DC1240" w:rsidRPr="00FC1F7F" w:rsidRDefault="00DC1240" w:rsidP="00DC12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desarrollar todo el potencial de la energía eólica marina en Europa</w:t>
      </w:r>
    </w:p>
    <w:p w:rsidR="00DC1240" w:rsidRDefault="00DC1240" w:rsidP="00DC1240">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La Comisión Europea adoptó un conjunto de propuestas para hacer que las políticas climáticas, energéticas, de transporte y fiscales de la UE sean aptas para reducir las emisiones netas de gases de efecto invernadero en al menos un 55 % para 2030, en comparación con los niveles de 1990.</w:t>
      </w:r>
    </w:p>
    <w:p w:rsidR="00DC1240" w:rsidRPr="00B7695F" w:rsidRDefault="00DC1240" w:rsidP="00DC1240">
      <w:pPr>
        <w:spacing w:line="240" w:lineRule="auto"/>
        <w:jc w:val="both"/>
        <w:rPr>
          <w:rFonts w:ascii="Times New Roman" w:hAnsi="Times New Roman" w:cs="Times New Roman"/>
          <w:sz w:val="24"/>
          <w:szCs w:val="24"/>
          <w:u w:val="single"/>
          <w:shd w:val="clear" w:color="auto" w:fill="FFFFFF"/>
        </w:rPr>
      </w:pPr>
      <w:r w:rsidRPr="00B7695F">
        <w:rPr>
          <w:rFonts w:ascii="Times New Roman" w:hAnsi="Times New Roman" w:cs="Times New Roman"/>
          <w:sz w:val="24"/>
          <w:szCs w:val="24"/>
          <w:u w:val="single"/>
          <w:shd w:val="clear" w:color="auto" w:fill="FFFFFF"/>
        </w:rPr>
        <w:t>La neutralidad climática</w:t>
      </w:r>
    </w:p>
    <w:p w:rsidR="00DC1240" w:rsidRPr="00B7695F" w:rsidRDefault="00DC1240" w:rsidP="00DC1240">
      <w:p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El Pacto Verde Europeo tiene como objetivo conseguir que Europa sea climáticamente neutra de aquí a 2050. Para conseguir que este objetivo sea jurídicamente vinculante, la Comisión propuso la Ley Europea del Clima, que también establece un nuevo objetivo más ambicioso de una reducción neta de las emisiones de gases de efecto invernadero de al menos un -55 % hasta 2030, en comparación con los niveles de 1990.</w:t>
      </w:r>
    </w:p>
    <w:p w:rsidR="00DC1240" w:rsidRDefault="00DC1240" w:rsidP="00DC1240">
      <w:p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Para alcanzar nuestros objetivos de descarbonización, deben reducirse las emisiones en todos los sectores, desde la industria y la energía hasta el transporte y la agricultura. El cambio climático es una amenaza mundial y solamente puede abordarse mediante una respuesta global. Esta es la razón por la que la UE se compromete con sus socios internacionales en materia de acción por el clima y los apoya activamente, en particular a través de la Convención Marco de las Naciones Unidas sobre el Cambio Climático (CMNUCC) y su Acuerdo de París. Paralelamente a las acciones de mitigación, la UE está tomando medidas en materia de adaptación al cambio climático para hacer frente a los efectos inevitables del cambio climático.</w:t>
      </w:r>
    </w:p>
    <w:p w:rsidR="00DC1240" w:rsidRPr="00034603" w:rsidRDefault="00DC1240" w:rsidP="00DC1240">
      <w:pPr>
        <w:spacing w:line="240" w:lineRule="auto"/>
        <w:jc w:val="both"/>
        <w:rPr>
          <w:rFonts w:ascii="Times New Roman" w:hAnsi="Times New Roman" w:cs="Times New Roman"/>
          <w:b/>
          <w:sz w:val="24"/>
          <w:szCs w:val="24"/>
          <w:shd w:val="clear" w:color="auto" w:fill="FFFFFF"/>
        </w:rPr>
      </w:pPr>
      <w:r w:rsidRPr="00034603">
        <w:rPr>
          <w:rFonts w:ascii="Times New Roman" w:hAnsi="Times New Roman" w:cs="Times New Roman"/>
          <w:b/>
          <w:sz w:val="24"/>
          <w:szCs w:val="24"/>
          <w:shd w:val="clear" w:color="auto" w:fill="FFFFFF"/>
        </w:rPr>
        <w:lastRenderedPageBreak/>
        <w:t>Haciendo realidad el Pacto Verde Europeo</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14 de julio de 2021, la Comisión Europea dio a conocer su plan para alcanzar una reducción de emisiones del 55% para 2030, primer paso de la neutralidad en carbono fijada para 2050.</w:t>
      </w:r>
    </w:p>
    <w:p w:rsidR="00DF5545"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Nuestro objetivo es convertir a Europa en el primer continente c</w:t>
      </w:r>
      <w:r w:rsidR="00DF5545">
        <w:rPr>
          <w:rFonts w:ascii="Times New Roman" w:hAnsi="Times New Roman" w:cs="Times New Roman"/>
          <w:sz w:val="24"/>
          <w:szCs w:val="24"/>
          <w:shd w:val="clear" w:color="auto" w:fill="FFFFFF"/>
        </w:rPr>
        <w:t xml:space="preserve">limáticamente neutro del mundo. </w:t>
      </w:r>
    </w:p>
    <w:p w:rsidR="00DC1240"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Estas propuestas tienen como objetivo hacer que todos los sectores de la economía de la UE estén en condiciones de hacer frente a este desafío. Pusieron a la UE en el camino para alcanzar sus objetivos climáticos para 2030 de una manera justa, rentable y competitiva.</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Transformando nuestra economía y nuestras sociedades</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cambio climático es el mayor desafío de nuestro tiempo. Y es una oportunidad para const</w:t>
      </w:r>
      <w:r>
        <w:rPr>
          <w:rFonts w:ascii="Times New Roman" w:hAnsi="Times New Roman" w:cs="Times New Roman"/>
          <w:sz w:val="24"/>
          <w:szCs w:val="24"/>
          <w:shd w:val="clear" w:color="auto" w:fill="FFFFFF"/>
        </w:rPr>
        <w:t>ruir un nuevo modelo económico.</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 xml:space="preserve">El Pacto Verde Europeo estableció el modelo </w:t>
      </w:r>
      <w:r>
        <w:rPr>
          <w:rFonts w:ascii="Times New Roman" w:hAnsi="Times New Roman" w:cs="Times New Roman"/>
          <w:sz w:val="24"/>
          <w:szCs w:val="24"/>
          <w:shd w:val="clear" w:color="auto" w:fill="FFFFFF"/>
        </w:rPr>
        <w:t>para este cambio transformador.</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Los 27 Estados miembros de la UE se comprometieron a convertir a la UE en el primer continente climáticamente neutral para 2050. Para lograrlo, se comprometieron a reducir las emisiones en al menos un 55 % para 2030, en compar</w:t>
      </w:r>
      <w:r>
        <w:rPr>
          <w:rFonts w:ascii="Times New Roman" w:hAnsi="Times New Roman" w:cs="Times New Roman"/>
          <w:sz w:val="24"/>
          <w:szCs w:val="24"/>
          <w:shd w:val="clear" w:color="auto" w:fill="FFFFFF"/>
        </w:rPr>
        <w:t xml:space="preserve">ación con los niveles de 1990. </w:t>
      </w:r>
    </w:p>
    <w:p w:rsidR="00DF5545"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Esto creará nuevas oportunidades para la innovación, la inversión y el empleo, además de:</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noProof/>
          <w:sz w:val="24"/>
          <w:szCs w:val="24"/>
          <w:shd w:val="clear" w:color="auto" w:fill="FFFFFF"/>
          <w:lang w:val="en-GB" w:eastAsia="zh-CN"/>
        </w:rPr>
        <w:drawing>
          <wp:inline distT="0" distB="0" distL="0" distR="0">
            <wp:extent cx="5731774" cy="1828800"/>
            <wp:effectExtent l="0" t="0" r="254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1828716"/>
                    </a:xfrm>
                    <a:prstGeom prst="rect">
                      <a:avLst/>
                    </a:prstGeom>
                  </pic:spPr>
                </pic:pic>
              </a:graphicData>
            </a:graphic>
          </wp:inline>
        </w:drawing>
      </w:r>
    </w:p>
    <w:p w:rsidR="00DC1240"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Al mismo tiempo, garantizará que haya oportunidades para todos, apoyando a los ciudadanos vulnerables abordando la desigualdad y la pobreza energética y fortaleciendo la competitividad de las empresas europeas.</w:t>
      </w:r>
    </w:p>
    <w:p w:rsidR="00DF5545" w:rsidRPr="00034603" w:rsidRDefault="00DF5545" w:rsidP="00DF5545">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La Comisión también promueve el crecimiento del mercado de vehículos de emisiones cero y bajas. En particular, busca que los ciudadanos dispongan de la infraestructura necesaria para recargar estos vehículos, tanto e</w:t>
      </w:r>
      <w:r>
        <w:rPr>
          <w:rFonts w:ascii="Times New Roman" w:hAnsi="Times New Roman" w:cs="Times New Roman"/>
          <w:sz w:val="24"/>
          <w:szCs w:val="24"/>
          <w:shd w:val="clear" w:color="auto" w:fill="FFFFFF"/>
        </w:rPr>
        <w:t>n trayectos cortos como largos.</w:t>
      </w:r>
    </w:p>
    <w:p w:rsidR="00DF5545" w:rsidRPr="00034603" w:rsidRDefault="00DF5545" w:rsidP="00DF5545">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Además, a partir de 2026, el transporte por carretera estará cubierto por el comercio de emisiones, poniendo precio a la contaminación, estimulando el uso de combustibles más limpios y reinvi</w:t>
      </w:r>
      <w:r>
        <w:rPr>
          <w:rFonts w:ascii="Times New Roman" w:hAnsi="Times New Roman" w:cs="Times New Roman"/>
          <w:sz w:val="24"/>
          <w:szCs w:val="24"/>
          <w:shd w:val="clear" w:color="auto" w:fill="FFFFFF"/>
        </w:rPr>
        <w:t>rtiendo en tecnologías limpias.</w:t>
      </w:r>
    </w:p>
    <w:p w:rsidR="00DF5545" w:rsidRDefault="00DF5545" w:rsidP="00DC1240">
      <w:pPr>
        <w:spacing w:line="240" w:lineRule="auto"/>
        <w:jc w:val="both"/>
        <w:rPr>
          <w:rFonts w:ascii="Times New Roman" w:hAnsi="Times New Roman" w:cs="Times New Roman"/>
          <w:sz w:val="24"/>
          <w:szCs w:val="24"/>
          <w:shd w:val="clear" w:color="auto" w:fill="FFFFFF"/>
        </w:rPr>
      </w:pPr>
    </w:p>
    <w:p w:rsidR="00DC1240" w:rsidRPr="00034603" w:rsidRDefault="00DC1240" w:rsidP="00DF5545">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noProof/>
          <w:sz w:val="24"/>
          <w:szCs w:val="24"/>
          <w:shd w:val="clear" w:color="auto" w:fill="FFFFFF"/>
          <w:lang w:val="en-GB" w:eastAsia="zh-CN"/>
        </w:rPr>
        <w:lastRenderedPageBreak/>
        <w:drawing>
          <wp:inline distT="0" distB="0" distL="0" distR="0">
            <wp:extent cx="5733621" cy="2743200"/>
            <wp:effectExtent l="0" t="0" r="63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2742190"/>
                    </a:xfrm>
                    <a:prstGeom prst="rect">
                      <a:avLst/>
                    </a:prstGeom>
                  </pic:spPr>
                </pic:pic>
              </a:graphicData>
            </a:graphic>
          </wp:inline>
        </w:drawing>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 xml:space="preserve">La Comisión también propone una fijación de precios del carbono para el sector de la aviación, que hasta ahora se beneficiaba de una excepción. También propone promover los combustibles de aviación sostenibles, con la obligación de que los aviones utilicen combustibles mixtos sostenibles para todas las salidas </w:t>
      </w:r>
      <w:r>
        <w:rPr>
          <w:rFonts w:ascii="Times New Roman" w:hAnsi="Times New Roman" w:cs="Times New Roman"/>
          <w:sz w:val="24"/>
          <w:szCs w:val="24"/>
          <w:shd w:val="clear" w:color="auto" w:fill="FFFFFF"/>
        </w:rPr>
        <w:t>desde los aeropuertos de la UE.</w:t>
      </w:r>
    </w:p>
    <w:p w:rsidR="00DC1240"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Para garantizar una contribución justa del sector marítimo al esfuerzo por descarbonizar nuestra economía, la Comisión propone extender el precio del carbono a este sector. La Comisión también establecerá objetivos para que los principales puertos sirvan a los buques con energía en tierra, reduciendo el uso de combustibles contaminantes que también d</w:t>
      </w:r>
      <w:r>
        <w:rPr>
          <w:rFonts w:ascii="Times New Roman" w:hAnsi="Times New Roman" w:cs="Times New Roman"/>
          <w:sz w:val="24"/>
          <w:szCs w:val="24"/>
          <w:shd w:val="clear" w:color="auto" w:fill="FFFFFF"/>
        </w:rPr>
        <w:t>añan la calidad del aire local.</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noProof/>
          <w:sz w:val="24"/>
          <w:szCs w:val="24"/>
          <w:shd w:val="clear" w:color="auto" w:fill="FFFFFF"/>
          <w:lang w:val="en-GB" w:eastAsia="zh-CN"/>
        </w:rPr>
        <w:drawing>
          <wp:inline distT="0" distB="0" distL="0" distR="0">
            <wp:extent cx="5728381" cy="4108450"/>
            <wp:effectExtent l="0" t="0" r="5715" b="63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4110694"/>
                    </a:xfrm>
                    <a:prstGeom prst="rect">
                      <a:avLst/>
                    </a:prstGeom>
                  </pic:spPr>
                </pic:pic>
              </a:graphicData>
            </a:graphic>
          </wp:inline>
        </w:drawing>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lastRenderedPageBreak/>
        <w:t>Se espera que la electrificación de la economía y el mayor uso de energías renovables generen mayor empleo en estos sectores. El aumento de la eficiencia energética de los edificios también creará puestos de trabajo en la construcción, con una mayor dema</w:t>
      </w:r>
      <w:r>
        <w:rPr>
          <w:rFonts w:ascii="Times New Roman" w:hAnsi="Times New Roman" w:cs="Times New Roman"/>
          <w:sz w:val="24"/>
          <w:szCs w:val="24"/>
          <w:shd w:val="clear" w:color="auto" w:fill="FFFFFF"/>
        </w:rPr>
        <w:t>nda de mano de obra local.</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Queremos preservar nuestra ambición climática evitando que los esfuerzos de nuestra industria para reducir las emisiones se vean socavados por la comp</w:t>
      </w:r>
      <w:r>
        <w:rPr>
          <w:rFonts w:ascii="Times New Roman" w:hAnsi="Times New Roman" w:cs="Times New Roman"/>
          <w:sz w:val="24"/>
          <w:szCs w:val="24"/>
          <w:shd w:val="clear" w:color="auto" w:fill="FFFFFF"/>
        </w:rPr>
        <w:t>etencia desleal del extranjero.</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Por lo tanto, la Comisión propone un mecanismo para garantizar que, incluso cuando sean de países con normas climáticas menos estrictas, las empresas que importan a la UE también tienen que pagar un precio de carbono.</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noProof/>
          <w:sz w:val="24"/>
          <w:szCs w:val="24"/>
          <w:shd w:val="clear" w:color="auto" w:fill="FFFFFF"/>
          <w:lang w:val="en-GB" w:eastAsia="zh-CN"/>
        </w:rPr>
        <w:drawing>
          <wp:inline distT="0" distB="0" distL="0" distR="0">
            <wp:extent cx="5727140" cy="2260600"/>
            <wp:effectExtent l="0" t="0" r="6985"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2262325"/>
                    </a:xfrm>
                    <a:prstGeom prst="rect">
                      <a:avLst/>
                    </a:prstGeom>
                  </pic:spPr>
                </pic:pic>
              </a:graphicData>
            </a:graphic>
          </wp:inline>
        </w:drawing>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La Comisión propone aumentar el objetivo vinculante de fuentes renovables en la combinación energética de la UE al 40 %. Las propuestas promueven la adopción de combustibles renovables, como el hidrógeno en la industria y el transpo</w:t>
      </w:r>
      <w:r>
        <w:rPr>
          <w:rFonts w:ascii="Times New Roman" w:hAnsi="Times New Roman" w:cs="Times New Roman"/>
          <w:sz w:val="24"/>
          <w:szCs w:val="24"/>
          <w:shd w:val="clear" w:color="auto" w:fill="FFFFFF"/>
        </w:rPr>
        <w:t>rte, con objetivos adicionales.</w:t>
      </w:r>
    </w:p>
    <w:p w:rsidR="00DC1240"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Además, la reducción del consumo de energía es fundamental para reducir tanto las emisiones como los costes energéticos para los consumidores y la industria. La Comisión propone aumentar los objetivos de eficiencia energética a nivel de la UE y hacerlos vinculantes, para lograr para 2030 una reducción general del 36-39 % del consumo de energía final y primaria.</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noProof/>
          <w:sz w:val="24"/>
          <w:szCs w:val="24"/>
          <w:shd w:val="clear" w:color="auto" w:fill="FFFFFF"/>
          <w:lang w:val="en-GB" w:eastAsia="zh-CN"/>
        </w:rPr>
        <w:drawing>
          <wp:inline distT="0" distB="0" distL="0" distR="0">
            <wp:extent cx="5729443" cy="1168400"/>
            <wp:effectExtent l="0" t="0" r="508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1168822"/>
                    </a:xfrm>
                    <a:prstGeom prst="rect">
                      <a:avLst/>
                    </a:prstGeom>
                  </pic:spPr>
                </pic:pic>
              </a:graphicData>
            </a:graphic>
          </wp:inline>
        </w:drawing>
      </w:r>
    </w:p>
    <w:p w:rsidR="00DC1240"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sistema fiscal para los productos energéticos también debe apoyar la transición verde brindando los incentivos adecuados. La Comisión propone alinear los tipos impositivos mínimos para la calefacción y el transporte con nuestros objetivos climáticos, mitigando al mismo tiempo el impacto social y apoyando a los ciudadanos vulnerables.</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4808B8">
        <w:rPr>
          <w:rFonts w:ascii="Times New Roman" w:hAnsi="Times New Roman" w:cs="Times New Roman"/>
          <w:noProof/>
          <w:sz w:val="24"/>
          <w:szCs w:val="24"/>
          <w:shd w:val="clear" w:color="auto" w:fill="FFFFFF"/>
          <w:lang w:val="en-GB" w:eastAsia="zh-CN"/>
        </w:rPr>
        <w:lastRenderedPageBreak/>
        <w:drawing>
          <wp:inline distT="0" distB="0" distL="0" distR="0">
            <wp:extent cx="5727699" cy="2298700"/>
            <wp:effectExtent l="0" t="0" r="6985" b="635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2300230"/>
                    </a:xfrm>
                    <a:prstGeom prst="rect">
                      <a:avLst/>
                    </a:prstGeom>
                  </pic:spPr>
                </pic:pic>
              </a:graphicData>
            </a:graphic>
          </wp:inline>
        </w:drawing>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nuevo Fondo Social para el Clima apoyará a los ciudadanos de la UE más afectados o en riesgo de pobreza energética o de movilidad. Ayudará a mitigar los costos para los más expuestos a los cambios, para garantizar que la transición sea</w:t>
      </w:r>
      <w:r>
        <w:rPr>
          <w:rFonts w:ascii="Times New Roman" w:hAnsi="Times New Roman" w:cs="Times New Roman"/>
          <w:sz w:val="24"/>
          <w:szCs w:val="24"/>
          <w:shd w:val="clear" w:color="auto" w:fill="FFFFFF"/>
        </w:rPr>
        <w:t xml:space="preserve"> justa y no deje a nadie atrás.</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Proporcionará 72.</w:t>
      </w:r>
      <w:r w:rsidRPr="00034603">
        <w:rPr>
          <w:rFonts w:ascii="Times New Roman" w:hAnsi="Times New Roman" w:cs="Times New Roman"/>
          <w:sz w:val="24"/>
          <w:szCs w:val="24"/>
          <w:shd w:val="clear" w:color="auto" w:fill="FFFFFF"/>
        </w:rPr>
        <w:t>200 millones EUR durante 7 años en financiación para la renovación de edificios, el acceso a la movilidad de emisiones cero y bajas, o i</w:t>
      </w:r>
      <w:r>
        <w:rPr>
          <w:rFonts w:ascii="Times New Roman" w:hAnsi="Times New Roman" w:cs="Times New Roman"/>
          <w:sz w:val="24"/>
          <w:szCs w:val="24"/>
          <w:shd w:val="clear" w:color="auto" w:fill="FFFFFF"/>
        </w:rPr>
        <w:t>ncluso el apoyo a los ingresos.</w:t>
      </w:r>
    </w:p>
    <w:p w:rsidR="00DC1240"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Además de los hogares, los edificios públicos también deben renovarse para usar más energía renovable y ser más efi</w:t>
      </w:r>
      <w:r>
        <w:rPr>
          <w:rFonts w:ascii="Times New Roman" w:hAnsi="Times New Roman" w:cs="Times New Roman"/>
          <w:sz w:val="24"/>
          <w:szCs w:val="24"/>
          <w:shd w:val="clear" w:color="auto" w:fill="FFFFFF"/>
        </w:rPr>
        <w:t>cientes energéticamente.</w:t>
      </w:r>
    </w:p>
    <w:p w:rsidR="00DC1240"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La Comisión propone:</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exigir a los Estados miembros que renueven anualmente al menos el 3 % de la superficie total de todos los edificios públicos</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establecer un punto de referencia del 49 % de las energías renovables en los edificios para 2030</w:t>
      </w:r>
    </w:p>
    <w:p w:rsidR="00DC1240" w:rsidRDefault="00DC1240" w:rsidP="00DC12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exigir a los Estados miembros que aumenten el uso de energías renovables en calefacción y refrigeración en +1,1 puntos porcentuales cada año, hasta 2030</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4808B8">
        <w:rPr>
          <w:rFonts w:ascii="Times New Roman" w:hAnsi="Times New Roman" w:cs="Times New Roman"/>
          <w:noProof/>
          <w:sz w:val="24"/>
          <w:szCs w:val="24"/>
          <w:shd w:val="clear" w:color="auto" w:fill="FFFFFF"/>
          <w:lang w:val="en-GB" w:eastAsia="zh-CN"/>
        </w:rPr>
        <w:drawing>
          <wp:inline distT="0" distB="0" distL="0" distR="0">
            <wp:extent cx="5731510" cy="2548562"/>
            <wp:effectExtent l="0" t="0" r="2540" b="444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2548562"/>
                    </a:xfrm>
                    <a:prstGeom prst="rect">
                      <a:avLst/>
                    </a:prstGeom>
                  </pic:spPr>
                </pic:pic>
              </a:graphicData>
            </a:graphic>
          </wp:inline>
        </w:drawing>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lastRenderedPageBreak/>
        <w:t>Restaurar la naturaleza y permitir que la biodiversidad vuelva a prosperar ofrece una solución rápida y económica par</w:t>
      </w:r>
      <w:r>
        <w:rPr>
          <w:rFonts w:ascii="Times New Roman" w:hAnsi="Times New Roman" w:cs="Times New Roman"/>
          <w:sz w:val="24"/>
          <w:szCs w:val="24"/>
          <w:shd w:val="clear" w:color="auto" w:fill="FFFFFF"/>
        </w:rPr>
        <w:t>a absorber y almacenar carbono.</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 xml:space="preserve">La Comisión propone, por tanto, restaurar los bosques, los suelos, los humedales y las turberas de Europa. Esto aumentará la absorción de CO2 y hará que nuestro medio ambiente sea más </w:t>
      </w:r>
      <w:r>
        <w:rPr>
          <w:rFonts w:ascii="Times New Roman" w:hAnsi="Times New Roman" w:cs="Times New Roman"/>
          <w:sz w:val="24"/>
          <w:szCs w:val="24"/>
          <w:shd w:val="clear" w:color="auto" w:fill="FFFFFF"/>
        </w:rPr>
        <w:t>resistente al cambio climático.</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Una gestión circular y sostenible de estos recursos permitirá</w:t>
      </w:r>
      <w:r>
        <w:rPr>
          <w:rFonts w:ascii="Times New Roman" w:hAnsi="Times New Roman" w:cs="Times New Roman"/>
          <w:sz w:val="24"/>
          <w:szCs w:val="24"/>
          <w:shd w:val="clear" w:color="auto" w:fill="FFFFFF"/>
        </w:rPr>
        <w:t>:</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mejorar nuestras condiciones de vida</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mantener un ambiente saludable</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crear empleos de calidad</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proporcionar recursos energéticos sostenibles</w:t>
      </w:r>
    </w:p>
    <w:p w:rsidR="00DC1240"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Nuevos objetivos para la remoción natural de carbono:</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4808B8">
        <w:rPr>
          <w:rFonts w:ascii="Times New Roman" w:hAnsi="Times New Roman" w:cs="Times New Roman"/>
          <w:noProof/>
          <w:sz w:val="24"/>
          <w:szCs w:val="24"/>
          <w:shd w:val="clear" w:color="auto" w:fill="FFFFFF"/>
          <w:lang w:val="en-GB" w:eastAsia="zh-CN"/>
        </w:rPr>
        <w:drawing>
          <wp:inline distT="0" distB="0" distL="0" distR="0">
            <wp:extent cx="5731510" cy="1473904"/>
            <wp:effectExtent l="0" t="0" r="254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1473904"/>
                    </a:xfrm>
                    <a:prstGeom prst="rect">
                      <a:avLst/>
                    </a:prstGeom>
                  </pic:spPr>
                </pic:pic>
              </a:graphicData>
            </a:graphic>
          </wp:inline>
        </w:drawing>
      </w:r>
    </w:p>
    <w:p w:rsidR="00DC1240"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La bioenergía contribuye a la eliminación gradual de los combustibles fósiles y la descarbonización de la economía de la UE. Pero debe ser utilizado de forma sostenible. La Comisión propone nuevos criterios estrictos para evitar la tala forestal insostenible y proteger áreas de gran valor para la biodiversidad.</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4808B8">
        <w:rPr>
          <w:rFonts w:ascii="Times New Roman" w:hAnsi="Times New Roman" w:cs="Times New Roman"/>
          <w:noProof/>
          <w:sz w:val="24"/>
          <w:szCs w:val="24"/>
          <w:shd w:val="clear" w:color="auto" w:fill="FFFFFF"/>
          <w:lang w:val="en-GB" w:eastAsia="zh-CN"/>
        </w:rPr>
        <w:drawing>
          <wp:inline distT="0" distB="0" distL="0" distR="0">
            <wp:extent cx="5731510" cy="2479368"/>
            <wp:effectExtent l="0" t="0" r="254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2479368"/>
                    </a:xfrm>
                    <a:prstGeom prst="rect">
                      <a:avLst/>
                    </a:prstGeom>
                  </pic:spPr>
                </pic:pic>
              </a:graphicData>
            </a:graphic>
          </wp:inline>
        </w:drawing>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Acuerdo Verde Europeo ya ha dado un ejemplo positivo y ha llevado a los principales socios internacionales a establecer sus propias fechas objetivo</w:t>
      </w:r>
      <w:r>
        <w:rPr>
          <w:rFonts w:ascii="Times New Roman" w:hAnsi="Times New Roman" w:cs="Times New Roman"/>
          <w:sz w:val="24"/>
          <w:szCs w:val="24"/>
          <w:shd w:val="clear" w:color="auto" w:fill="FFFFFF"/>
        </w:rPr>
        <w:t xml:space="preserve"> para la neutralidad climática.</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Con la inversión en tecnologías de energía renovable, estamos desarrollando experiencia y productos que también b</w:t>
      </w:r>
      <w:r>
        <w:rPr>
          <w:rFonts w:ascii="Times New Roman" w:hAnsi="Times New Roman" w:cs="Times New Roman"/>
          <w:sz w:val="24"/>
          <w:szCs w:val="24"/>
          <w:shd w:val="clear" w:color="auto" w:fill="FFFFFF"/>
        </w:rPr>
        <w:t>eneficiarán al resto del mundo.</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lastRenderedPageBreak/>
        <w:t xml:space="preserve">Con el cambio hacia el transporte ecológico, crearemos empresas líderes en el mundo que puedan servir a un mercado global en crecimiento. Al trabajar con nuestros socios internacionales, juntos reduciremos las emisiones en el transporte marítimo </w:t>
      </w:r>
      <w:r>
        <w:rPr>
          <w:rFonts w:ascii="Times New Roman" w:hAnsi="Times New Roman" w:cs="Times New Roman"/>
          <w:sz w:val="24"/>
          <w:szCs w:val="24"/>
          <w:shd w:val="clear" w:color="auto" w:fill="FFFFFF"/>
        </w:rPr>
        <w:t>y la aviación en todo el mundo.</w:t>
      </w:r>
    </w:p>
    <w:p w:rsidR="00DC1240"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La UE compartirá estas propuestas e ideas con sus socios internacionales en la Conferencia sobre Cambio Climático COP26 de la ONU en Glasgow en noviembre.</w:t>
      </w:r>
    </w:p>
    <w:p w:rsidR="00DC1240" w:rsidRPr="00034603" w:rsidRDefault="00DC1240" w:rsidP="00DC1240">
      <w:pPr>
        <w:spacing w:line="240" w:lineRule="auto"/>
        <w:jc w:val="both"/>
        <w:rPr>
          <w:rFonts w:ascii="Times New Roman" w:hAnsi="Times New Roman" w:cs="Times New Roman"/>
          <w:sz w:val="24"/>
          <w:szCs w:val="24"/>
          <w:shd w:val="clear" w:color="auto" w:fill="FFFFFF"/>
        </w:rPr>
      </w:pPr>
      <w:r w:rsidRPr="004808B8">
        <w:rPr>
          <w:rFonts w:ascii="Times New Roman" w:hAnsi="Times New Roman" w:cs="Times New Roman"/>
          <w:noProof/>
          <w:sz w:val="24"/>
          <w:szCs w:val="24"/>
          <w:shd w:val="clear" w:color="auto" w:fill="FFFFFF"/>
          <w:lang w:val="en-GB" w:eastAsia="zh-CN"/>
        </w:rPr>
        <w:drawing>
          <wp:inline distT="0" distB="0" distL="0" distR="0">
            <wp:extent cx="5731510" cy="1220395"/>
            <wp:effectExtent l="0" t="0" r="254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1220395"/>
                    </a:xfrm>
                    <a:prstGeom prst="rect">
                      <a:avLst/>
                    </a:prstGeom>
                  </pic:spPr>
                </pic:pic>
              </a:graphicData>
            </a:graphic>
          </wp:inline>
        </w:drawing>
      </w:r>
    </w:p>
    <w:p w:rsidR="00DC1240" w:rsidRDefault="00DC1240" w:rsidP="00DC1240">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Pasos clave</w:t>
      </w:r>
    </w:p>
    <w:p w:rsidR="00DC1240" w:rsidRPr="004808B8" w:rsidRDefault="00DC1240" w:rsidP="00DC1240">
      <w:pPr>
        <w:numPr>
          <w:ilvl w:val="0"/>
          <w:numId w:val="7"/>
        </w:numPr>
        <w:shd w:val="clear" w:color="auto" w:fill="FFFFFF"/>
        <w:spacing w:before="100" w:beforeAutospacing="1" w:after="100" w:afterAutospacing="1" w:line="240" w:lineRule="auto"/>
        <w:rPr>
          <w:rFonts w:ascii="Times New Roman" w:hAnsi="Times New Roman" w:cs="Times New Roman"/>
          <w:b/>
          <w:bCs/>
          <w:sz w:val="24"/>
          <w:szCs w:val="24"/>
        </w:rPr>
      </w:pPr>
      <w:r w:rsidRPr="004808B8">
        <w:rPr>
          <w:rFonts w:ascii="Times New Roman" w:hAnsi="Times New Roman" w:cs="Times New Roman"/>
          <w:b/>
          <w:bCs/>
          <w:sz w:val="24"/>
          <w:szCs w:val="24"/>
        </w:rPr>
        <w:t>diciembre 2019</w:t>
      </w:r>
    </w:p>
    <w:p w:rsidR="00DC1240" w:rsidRPr="004808B8" w:rsidRDefault="00DC1240" w:rsidP="00DC1240">
      <w:pPr>
        <w:pStyle w:val="NormalWeb"/>
        <w:shd w:val="clear" w:color="auto" w:fill="FFFFFF"/>
        <w:spacing w:before="0" w:beforeAutospacing="0"/>
        <w:ind w:left="720"/>
        <w:jc w:val="both"/>
      </w:pPr>
      <w:r w:rsidRPr="004808B8">
        <w:t>La Comisión presenta el Pacto Verde Europeo, comprometiéndose con la neutralidad climática para 2050</w:t>
      </w:r>
    </w:p>
    <w:p w:rsidR="00DC1240" w:rsidRPr="004808B8" w:rsidRDefault="00DC1240" w:rsidP="00DC1240">
      <w:pPr>
        <w:numPr>
          <w:ilvl w:val="0"/>
          <w:numId w:val="7"/>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marzo 2020</w:t>
      </w:r>
    </w:p>
    <w:p w:rsidR="00DC1240" w:rsidRPr="004808B8" w:rsidRDefault="00DC1240" w:rsidP="00DC1240">
      <w:pPr>
        <w:pStyle w:val="NormalWeb"/>
        <w:shd w:val="clear" w:color="auto" w:fill="FFFFFF"/>
        <w:spacing w:before="0" w:beforeAutospacing="0"/>
        <w:ind w:left="720"/>
        <w:jc w:val="both"/>
      </w:pPr>
      <w:r w:rsidRPr="004808B8">
        <w:t>La Comisión propone la Ley Europea del Clima para incluir el objetivo de neutralidad climática para 2050 en una legislación vinculante</w:t>
      </w:r>
    </w:p>
    <w:p w:rsidR="00DC1240" w:rsidRPr="004808B8" w:rsidRDefault="00DC1240" w:rsidP="00DC1240">
      <w:pPr>
        <w:numPr>
          <w:ilvl w:val="0"/>
          <w:numId w:val="7"/>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septiembre 2020</w:t>
      </w:r>
    </w:p>
    <w:p w:rsidR="00DC1240" w:rsidRPr="004808B8" w:rsidRDefault="00DC1240" w:rsidP="00DC1240">
      <w:pPr>
        <w:pStyle w:val="NormalWeb"/>
        <w:shd w:val="clear" w:color="auto" w:fill="FFFFFF"/>
        <w:spacing w:before="0" w:beforeAutospacing="0"/>
        <w:ind w:left="720"/>
        <w:jc w:val="both"/>
      </w:pPr>
      <w:r w:rsidRPr="004808B8">
        <w:t>La Comisión propone un nuevo objetivo de la UE para reducir las emisiones netas en al menos un 55 % para 2030 y añadirlo a la Ley Europea del Clima</w:t>
      </w:r>
    </w:p>
    <w:p w:rsidR="00DC1240" w:rsidRPr="004808B8" w:rsidRDefault="00DC1240" w:rsidP="00DC1240">
      <w:pPr>
        <w:numPr>
          <w:ilvl w:val="0"/>
          <w:numId w:val="7"/>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diciembre 2020</w:t>
      </w:r>
    </w:p>
    <w:p w:rsidR="00DC1240" w:rsidRPr="004808B8" w:rsidRDefault="00DC1240" w:rsidP="00DC1240">
      <w:pPr>
        <w:pStyle w:val="NormalWeb"/>
        <w:shd w:val="clear" w:color="auto" w:fill="FFFFFF"/>
        <w:spacing w:before="0" w:beforeAutospacing="0"/>
        <w:ind w:left="720"/>
        <w:jc w:val="both"/>
      </w:pPr>
      <w:r w:rsidRPr="004808B8">
        <w:t>Los líderes europeos respaldan el objetivo propuesto por la Comisión de reducir las emisiones netas en al menos un 55 % para 2030</w:t>
      </w:r>
    </w:p>
    <w:p w:rsidR="00DC1240" w:rsidRPr="004808B8" w:rsidRDefault="00DC1240" w:rsidP="00DC1240">
      <w:pPr>
        <w:numPr>
          <w:ilvl w:val="0"/>
          <w:numId w:val="7"/>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abril 2021</w:t>
      </w:r>
    </w:p>
    <w:p w:rsidR="00DC1240" w:rsidRPr="004808B8" w:rsidRDefault="00DC1240" w:rsidP="00DC1240">
      <w:pPr>
        <w:pStyle w:val="NormalWeb"/>
        <w:shd w:val="clear" w:color="auto" w:fill="FFFFFF"/>
        <w:spacing w:before="0" w:beforeAutospacing="0"/>
        <w:ind w:left="720"/>
        <w:jc w:val="both"/>
      </w:pPr>
      <w:r w:rsidRPr="004808B8">
        <w:t>Acuerdo político alcanzado sobre la Ley Europea del Clima por el Parlamento Europeo y los Estados miembros</w:t>
      </w:r>
    </w:p>
    <w:p w:rsidR="00DC1240" w:rsidRPr="004808B8" w:rsidRDefault="00DC1240" w:rsidP="00DC1240">
      <w:pPr>
        <w:numPr>
          <w:ilvl w:val="0"/>
          <w:numId w:val="7"/>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junio 2021</w:t>
      </w:r>
    </w:p>
    <w:p w:rsidR="00DC1240" w:rsidRPr="004808B8" w:rsidRDefault="00DC1240" w:rsidP="00DC1240">
      <w:pPr>
        <w:pStyle w:val="NormalWeb"/>
        <w:shd w:val="clear" w:color="auto" w:fill="FFFFFF"/>
        <w:spacing w:before="0" w:beforeAutospacing="0"/>
        <w:ind w:left="720"/>
        <w:jc w:val="both"/>
      </w:pPr>
      <w:r w:rsidRPr="004808B8">
        <w:t>Entra en vigor la Ley Europea del Clima</w:t>
      </w:r>
    </w:p>
    <w:p w:rsidR="00DC1240" w:rsidRPr="004808B8" w:rsidRDefault="00DC1240" w:rsidP="00DC1240">
      <w:pPr>
        <w:numPr>
          <w:ilvl w:val="0"/>
          <w:numId w:val="7"/>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julio 2021</w:t>
      </w:r>
    </w:p>
    <w:p w:rsidR="00DC1240" w:rsidRPr="004808B8" w:rsidRDefault="00DC1240" w:rsidP="00DC1240">
      <w:pPr>
        <w:pStyle w:val="NormalWeb"/>
        <w:shd w:val="clear" w:color="auto" w:fill="FFFFFF"/>
        <w:spacing w:before="0" w:beforeAutospacing="0"/>
        <w:ind w:left="720"/>
        <w:jc w:val="both"/>
      </w:pPr>
      <w:r w:rsidRPr="004808B8">
        <w:t>La Comisión presenta un paquete de propuestas para transformar nuestra economía y alcanzar nuestros objetivos climáticos para 20</w:t>
      </w:r>
      <w:r>
        <w:t xml:space="preserve">30. El Parlamento Europeo y los </w:t>
      </w:r>
      <w:r w:rsidRPr="004808B8">
        <w:lastRenderedPageBreak/>
        <w:t>Estados miembros negociarán y adoptarán un paquete de legislación para alcanzar nuestros objetivos climáticos para 2030</w:t>
      </w:r>
    </w:p>
    <w:p w:rsidR="00DC1240" w:rsidRPr="004808B8" w:rsidRDefault="00DC1240" w:rsidP="00DC1240">
      <w:pPr>
        <w:numPr>
          <w:ilvl w:val="0"/>
          <w:numId w:val="7"/>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septiembre 2021</w:t>
      </w:r>
    </w:p>
    <w:p w:rsidR="00DC1240" w:rsidRPr="0046570B" w:rsidRDefault="0038402B" w:rsidP="00DC1240">
      <w:pPr>
        <w:pStyle w:val="NormalWeb"/>
        <w:shd w:val="clear" w:color="auto" w:fill="FFFFFF"/>
        <w:spacing w:before="0" w:beforeAutospacing="0"/>
        <w:ind w:left="720"/>
        <w:jc w:val="both"/>
      </w:pPr>
      <w:hyperlink r:id="rId55" w:history="1">
        <w:r w:rsidR="00DC1240" w:rsidRPr="0046570B">
          <w:rPr>
            <w:rStyle w:val="Hipervnculo"/>
            <w:color w:val="auto"/>
            <w:u w:val="none"/>
          </w:rPr>
          <w:t>Nueva Bauhaus europea: nuevas acciones y financiación</w:t>
        </w:r>
      </w:hyperlink>
    </w:p>
    <w:p w:rsidR="00DC1240" w:rsidRPr="004808B8" w:rsidRDefault="00DC1240" w:rsidP="00DC1240">
      <w:pPr>
        <w:numPr>
          <w:ilvl w:val="0"/>
          <w:numId w:val="7"/>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2030</w:t>
      </w:r>
    </w:p>
    <w:p w:rsidR="00DC1240" w:rsidRPr="004808B8" w:rsidRDefault="00DC1240" w:rsidP="00DC1240">
      <w:pPr>
        <w:pStyle w:val="NormalWeb"/>
        <w:shd w:val="clear" w:color="auto" w:fill="FFFFFF"/>
        <w:spacing w:before="0" w:beforeAutospacing="0"/>
        <w:ind w:left="720"/>
        <w:jc w:val="both"/>
      </w:pPr>
      <w:r w:rsidRPr="004808B8">
        <w:t>La UE logrará una reducción de las emisiones de al menos un 55 % en comparación con los niveles de 1990</w:t>
      </w:r>
    </w:p>
    <w:p w:rsidR="00DC1240" w:rsidRDefault="00DC1240" w:rsidP="00DC1240">
      <w:pPr>
        <w:numPr>
          <w:ilvl w:val="0"/>
          <w:numId w:val="7"/>
        </w:numPr>
        <w:shd w:val="clear" w:color="auto" w:fill="FFFFFF"/>
        <w:spacing w:before="100" w:beforeAutospacing="1" w:after="0"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2050</w:t>
      </w:r>
    </w:p>
    <w:p w:rsidR="00DC1240" w:rsidRDefault="00DC1240" w:rsidP="00DC1240">
      <w:pPr>
        <w:pStyle w:val="NormalWeb"/>
        <w:shd w:val="clear" w:color="auto" w:fill="FFFFFF"/>
        <w:spacing w:before="0" w:beforeAutospacing="0"/>
        <w:ind w:firstLine="708"/>
        <w:jc w:val="both"/>
      </w:pPr>
      <w:r w:rsidRPr="004808B8">
        <w:t>La UE será climáticamente neutral</w:t>
      </w:r>
    </w:p>
    <w:p w:rsidR="00DC1240" w:rsidRDefault="0007527A" w:rsidP="00DC1240">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00DC1240" w:rsidRPr="006F04C6">
        <w:rPr>
          <w:rFonts w:ascii="Times New Roman" w:hAnsi="Times New Roman" w:cs="Times New Roman"/>
          <w:b/>
          <w:sz w:val="24"/>
          <w:szCs w:val="24"/>
        </w:rPr>
        <w:t>La verdad de la milanesa</w:t>
      </w:r>
      <w:r>
        <w:rPr>
          <w:rFonts w:ascii="Times New Roman" w:hAnsi="Times New Roman" w:cs="Times New Roman"/>
          <w:b/>
          <w:sz w:val="24"/>
          <w:szCs w:val="24"/>
        </w:rPr>
        <w:t>”</w:t>
      </w:r>
      <w:r w:rsidR="00DC1240" w:rsidRPr="006F04C6">
        <w:rPr>
          <w:rFonts w:ascii="Times New Roman" w:hAnsi="Times New Roman" w:cs="Times New Roman"/>
          <w:b/>
          <w:sz w:val="24"/>
          <w:szCs w:val="24"/>
        </w:rPr>
        <w:t xml:space="preserve">: </w:t>
      </w:r>
      <w:r w:rsidR="00DC1240">
        <w:rPr>
          <w:rFonts w:ascii="Times New Roman" w:hAnsi="Times New Roman" w:cs="Times New Roman"/>
          <w:b/>
          <w:sz w:val="24"/>
          <w:szCs w:val="24"/>
        </w:rPr>
        <w:t>Putin tiene a la Unión Europea, agarrada por los “eier”</w:t>
      </w:r>
    </w:p>
    <w:p w:rsidR="00DC1240" w:rsidRPr="007C1731" w:rsidRDefault="00DC1240" w:rsidP="00DC1240">
      <w:pPr>
        <w:pStyle w:val="NormalWeb"/>
        <w:spacing w:after="0"/>
        <w:jc w:val="both"/>
        <w:textAlignment w:val="baseline"/>
        <w:rPr>
          <w:b/>
        </w:rPr>
      </w:pPr>
      <w:r w:rsidRPr="00A33540">
        <w:rPr>
          <w:b/>
        </w:rPr>
        <w:t xml:space="preserve">“Tanto a corto como a largo plazo, Alemania no podrá poner fin a las importaciones de gas ruso sin desencadenar el caos económico, la indignación pública y la oposición de muchas empresas. Gran parte de la culpa debe atribuirse a años de estrategia energética equivocada”, </w:t>
      </w:r>
      <w:r w:rsidRPr="00244B4E">
        <w:t xml:space="preserve">dice Hans-Werner Sinn, profesor emérito de economía de la Universidad </w:t>
      </w:r>
      <w:r>
        <w:t>de Mú</w:t>
      </w:r>
      <w:r w:rsidRPr="00244B4E">
        <w:t>nich, ex presidente del Instituto Ifo</w:t>
      </w:r>
      <w:r>
        <w:t xml:space="preserve"> de Investigación Económica y </w:t>
      </w:r>
      <w:r w:rsidRPr="00244B4E">
        <w:t>miembro del Consejo Asesor del Ministerio de Economía alemán., en su artículo “</w:t>
      </w:r>
      <w:r w:rsidRPr="00244B4E">
        <w:rPr>
          <w:u w:val="single"/>
        </w:rPr>
        <w:t>El fiasco energético de Alemania</w:t>
      </w:r>
      <w:r w:rsidRPr="00244B4E">
        <w:t>”</w:t>
      </w:r>
      <w:r>
        <w:t>, publicado por Project Syndicate, el</w:t>
      </w:r>
      <w:r w:rsidRPr="00244B4E">
        <w:rPr>
          <w:b/>
        </w:rPr>
        <w:t>28/3/22</w:t>
      </w:r>
      <w:r>
        <w:rPr>
          <w:b/>
        </w:rPr>
        <w:t>.</w:t>
      </w:r>
    </w:p>
    <w:p w:rsidR="00DC1240" w:rsidRDefault="00DC1240" w:rsidP="00DC1240">
      <w:pPr>
        <w:pStyle w:val="NormalWeb"/>
        <w:spacing w:after="0"/>
        <w:jc w:val="both"/>
        <w:textAlignment w:val="baseline"/>
      </w:pPr>
      <w:r w:rsidRPr="00155BE6">
        <w:rPr>
          <w:b/>
        </w:rPr>
        <w:t>El embargo al petróleo y al gas de Putin costaría un 3% del PIB europeo pero haría caer un 40% el de Rusia</w:t>
      </w:r>
      <w:r>
        <w:t xml:space="preserve">. </w:t>
      </w:r>
      <w:r w:rsidRPr="009615CA">
        <w:t>Desde que comenzó la invasión de Ucrania, y la UE lanzó cuatro paquetes de sanciones</w:t>
      </w:r>
      <w:r>
        <w:t xml:space="preserve"> al régimen de Vladímir Putin, “</w:t>
      </w:r>
      <w:r w:rsidRPr="009615CA">
        <w:t>hay un aguje</w:t>
      </w:r>
      <w:r>
        <w:t>ro enorme que las hace inútiles”, explican los expertos: “</w:t>
      </w:r>
      <w:r w:rsidRPr="009615CA">
        <w:t>Cada día, le mandamos más de 700 millones de euros, más de 23.000 millones ha recaudado ya. Y con ese dinero que le damos, fin</w:t>
      </w:r>
      <w:r>
        <w:t xml:space="preserve">ancia la devastación de Ucrania” (El Español - </w:t>
      </w:r>
      <w:r w:rsidRPr="002D5C7A">
        <w:rPr>
          <w:b/>
        </w:rPr>
        <w:t>1/4/22</w:t>
      </w:r>
      <w:r>
        <w:t>)</w:t>
      </w:r>
    </w:p>
    <w:p w:rsidR="00DC1240" w:rsidRDefault="00DC1240" w:rsidP="00DC1240">
      <w:pPr>
        <w:pStyle w:val="NormalWeb"/>
        <w:spacing w:after="0"/>
        <w:jc w:val="both"/>
        <w:textAlignment w:val="baseline"/>
      </w:pPr>
      <w:r w:rsidRPr="00155BE6">
        <w:rPr>
          <w:b/>
        </w:rPr>
        <w:t>La “Ostpolitik” alemana ha durado 50 años: una intensa colaboración con la URSS y la Federación Rusa que neutraliza ahora a la primera economía de la UE</w:t>
      </w:r>
      <w:r>
        <w:t xml:space="preserve">. (El Confidencial - </w:t>
      </w:r>
      <w:r w:rsidRPr="009615CA">
        <w:rPr>
          <w:b/>
        </w:rPr>
        <w:t>31/3/22</w:t>
      </w:r>
      <w:r>
        <w:t xml:space="preserve">) La República Federal de Alemania -ya unificada- constituye una rémora para la adopción del embargo energético a la Federación Rusa, que sería la medida decisiva para cortocircuitar la criminal invasión de Putin a Ucrania y convierte al país en determinante para el conjunto de la UE al ser su primera economía. Paga Alemania y pagan la Unión Europea y la OTAN la “Ostpolitik” que inauguró entre 1969 y 1974 el canciller socialdemócrata Willy Brandt. Al contrario que Konrad Adenauer, Brandt creyó que la Alemania occidental debía abrirse a reconocer las fronteras establecidas en el Este de Europa tras la II Guerra Mundial y aceptar la división del país bajo el principio de “una nación y dos Estados”. Y establecer con la URSS relaciones de colaboración (El Confidencial - </w:t>
      </w:r>
      <w:r w:rsidRPr="009615CA">
        <w:rPr>
          <w:b/>
        </w:rPr>
        <w:t>31/3/22</w:t>
      </w:r>
      <w:r>
        <w:t>).</w:t>
      </w:r>
    </w:p>
    <w:p w:rsidR="00DC1240" w:rsidRPr="00155BE6" w:rsidRDefault="00DC1240" w:rsidP="00DC1240">
      <w:pPr>
        <w:pStyle w:val="NormalWeb"/>
        <w:spacing w:after="0"/>
        <w:jc w:val="both"/>
        <w:textAlignment w:val="baseline"/>
        <w:rPr>
          <w:b/>
        </w:rPr>
      </w:pPr>
      <w:r>
        <w:rPr>
          <w:b/>
        </w:rPr>
        <w:t xml:space="preserve">¿And now? ¿podrá sacar Alemania (y la UE) sus “eier”, de las garras de Putin? ¿dará Alemania el </w:t>
      </w:r>
      <w:r w:rsidRPr="00901140">
        <w:rPr>
          <w:b/>
        </w:rPr>
        <w:t>paso al frente para liderar un embargo total e inmediato sobr</w:t>
      </w:r>
      <w:r>
        <w:rPr>
          <w:b/>
        </w:rPr>
        <w:t xml:space="preserve">e las importaciones </w:t>
      </w:r>
      <w:r w:rsidR="00006C56">
        <w:rPr>
          <w:b/>
        </w:rPr>
        <w:t>energéticas de Rusia a la UE? ¿e</w:t>
      </w:r>
      <w:r>
        <w:rPr>
          <w:b/>
        </w:rPr>
        <w:t xml:space="preserve">stará la población europea dispuesta </w:t>
      </w:r>
      <w:r w:rsidRPr="0098611F">
        <w:rPr>
          <w:b/>
        </w:rPr>
        <w:t xml:space="preserve">a vivir sin </w:t>
      </w:r>
      <w:r>
        <w:rPr>
          <w:b/>
        </w:rPr>
        <w:t>los produ</w:t>
      </w:r>
      <w:r w:rsidR="00006C56">
        <w:rPr>
          <w:b/>
        </w:rPr>
        <w:t>ctos energéticos rusos? ¿a</w:t>
      </w:r>
      <w:r>
        <w:rPr>
          <w:b/>
        </w:rPr>
        <w:t>ceptará el fin de la energía (rusa) barata?</w:t>
      </w:r>
    </w:p>
    <w:p w:rsidR="00DC1240" w:rsidRDefault="00DC1240" w:rsidP="00DC1240">
      <w:pPr>
        <w:spacing w:line="240" w:lineRule="auto"/>
        <w:jc w:val="both"/>
        <w:rPr>
          <w:rFonts w:ascii="Times New Roman" w:hAnsi="Times New Roman" w:cs="Times New Roman"/>
          <w:b/>
          <w:sz w:val="24"/>
          <w:szCs w:val="24"/>
        </w:rPr>
      </w:pPr>
      <w:r w:rsidRPr="005A4D16">
        <w:rPr>
          <w:rFonts w:ascii="Times New Roman" w:hAnsi="Times New Roman" w:cs="Times New Roman"/>
          <w:b/>
          <w:sz w:val="24"/>
          <w:szCs w:val="24"/>
        </w:rPr>
        <w:lastRenderedPageBreak/>
        <w:t xml:space="preserve">Nota: </w:t>
      </w:r>
      <w:r>
        <w:rPr>
          <w:rFonts w:ascii="Times New Roman" w:hAnsi="Times New Roman" w:cs="Times New Roman"/>
          <w:b/>
          <w:sz w:val="24"/>
          <w:szCs w:val="24"/>
        </w:rPr>
        <w:t>La i</w:t>
      </w:r>
      <w:r w:rsidRPr="005A4D16">
        <w:rPr>
          <w:rFonts w:ascii="Times New Roman" w:hAnsi="Times New Roman" w:cs="Times New Roman"/>
          <w:b/>
          <w:sz w:val="24"/>
          <w:szCs w:val="24"/>
        </w:rPr>
        <w:t>ndependencia</w:t>
      </w:r>
      <w:r>
        <w:rPr>
          <w:rFonts w:ascii="Times New Roman" w:hAnsi="Times New Roman" w:cs="Times New Roman"/>
          <w:b/>
          <w:sz w:val="24"/>
          <w:szCs w:val="24"/>
        </w:rPr>
        <w:t xml:space="preserve"> económica, y la seguridad alimentaria, energética, o militar</w:t>
      </w:r>
      <w:r w:rsidRPr="005A4D16">
        <w:rPr>
          <w:rFonts w:ascii="Times New Roman" w:hAnsi="Times New Roman" w:cs="Times New Roman"/>
          <w:b/>
          <w:sz w:val="24"/>
          <w:szCs w:val="24"/>
        </w:rPr>
        <w:t xml:space="preserve"> tienen un precio, ¿quién lo paga?</w:t>
      </w:r>
      <w:r w:rsidR="00006C56">
        <w:rPr>
          <w:rFonts w:ascii="Times New Roman" w:hAnsi="Times New Roman" w:cs="Times New Roman"/>
          <w:b/>
          <w:sz w:val="24"/>
          <w:szCs w:val="24"/>
        </w:rPr>
        <w:t xml:space="preserve"> ¿h</w:t>
      </w:r>
      <w:r>
        <w:rPr>
          <w:rFonts w:ascii="Times New Roman" w:hAnsi="Times New Roman" w:cs="Times New Roman"/>
          <w:b/>
          <w:sz w:val="24"/>
          <w:szCs w:val="24"/>
        </w:rPr>
        <w:t>asta dónde</w:t>
      </w:r>
      <w:r w:rsidR="00006C56">
        <w:rPr>
          <w:rFonts w:ascii="Times New Roman" w:hAnsi="Times New Roman" w:cs="Times New Roman"/>
          <w:b/>
          <w:sz w:val="24"/>
          <w:szCs w:val="24"/>
        </w:rPr>
        <w:t xml:space="preserve"> se deben soportar chantajes? ¿q</w:t>
      </w:r>
      <w:r>
        <w:rPr>
          <w:rFonts w:ascii="Times New Roman" w:hAnsi="Times New Roman" w:cs="Times New Roman"/>
          <w:b/>
          <w:sz w:val="24"/>
          <w:szCs w:val="24"/>
        </w:rPr>
        <w:t>ué nivel de dependencia, o sesión de soberanía, puede ser calificado como una claudicación o rendición del Estado?</w:t>
      </w:r>
    </w:p>
    <w:p w:rsidR="00DC1240" w:rsidRPr="003912FD" w:rsidRDefault="00DC1240" w:rsidP="00DC1240">
      <w:pPr>
        <w:spacing w:line="240" w:lineRule="auto"/>
        <w:jc w:val="both"/>
        <w:rPr>
          <w:rFonts w:ascii="Times New Roman" w:hAnsi="Times New Roman" w:cs="Times New Roman"/>
          <w:sz w:val="24"/>
          <w:szCs w:val="24"/>
        </w:rPr>
      </w:pPr>
      <w:r w:rsidRPr="003912FD">
        <w:rPr>
          <w:rFonts w:ascii="Times New Roman" w:hAnsi="Times New Roman" w:cs="Times New Roman"/>
          <w:sz w:val="24"/>
          <w:szCs w:val="24"/>
        </w:rPr>
        <w:t>¿Es necesaria una guerra para que los “talibanes” de la globalización entiendan que no se pueden hacer tratos con “tiranosaurios” (de izquierda o de derecha)?</w:t>
      </w:r>
    </w:p>
    <w:p w:rsidR="00DC1240" w:rsidRPr="003912FD" w:rsidRDefault="00DC1240" w:rsidP="00DC1240">
      <w:pPr>
        <w:spacing w:line="240" w:lineRule="auto"/>
        <w:jc w:val="both"/>
        <w:rPr>
          <w:rFonts w:ascii="Times New Roman" w:hAnsi="Times New Roman" w:cs="Times New Roman"/>
          <w:sz w:val="24"/>
          <w:szCs w:val="24"/>
        </w:rPr>
      </w:pPr>
      <w:r w:rsidRPr="003912FD">
        <w:rPr>
          <w:rFonts w:ascii="Times New Roman" w:hAnsi="Times New Roman" w:cs="Times New Roman"/>
          <w:sz w:val="24"/>
          <w:szCs w:val="24"/>
        </w:rPr>
        <w:t>¿Con qué “relato” puede justificar Davos (el Gran Reseteo) los desastres que llaman a la puerta de los países occidentales?</w:t>
      </w:r>
    </w:p>
    <w:p w:rsidR="00DC1240" w:rsidRPr="003912FD" w:rsidRDefault="00DC1240" w:rsidP="00DC1240">
      <w:pPr>
        <w:spacing w:line="240" w:lineRule="auto"/>
        <w:jc w:val="both"/>
        <w:rPr>
          <w:rFonts w:ascii="Times New Roman" w:hAnsi="Times New Roman" w:cs="Times New Roman"/>
          <w:sz w:val="24"/>
          <w:szCs w:val="24"/>
        </w:rPr>
      </w:pPr>
      <w:r w:rsidRPr="003912FD">
        <w:rPr>
          <w:rFonts w:ascii="Times New Roman" w:hAnsi="Times New Roman" w:cs="Times New Roman"/>
          <w:sz w:val="24"/>
          <w:szCs w:val="24"/>
        </w:rPr>
        <w:t>¿Cómo sacudirse las responsabilidades del “multilateralismo” en este periodo negro en el que nos adentramos y que se prolongará, previsiblemente, por varios años, y durante las próximas citas, de los “amos del universo” -presenciales o por video-conferencia- en la “Montaña Mágica” de Davos?</w:t>
      </w:r>
    </w:p>
    <w:p w:rsidR="00DC1240" w:rsidRPr="003912FD" w:rsidRDefault="00DC1240" w:rsidP="00DC1240">
      <w:pPr>
        <w:spacing w:line="240" w:lineRule="auto"/>
        <w:jc w:val="both"/>
        <w:rPr>
          <w:rFonts w:ascii="Times New Roman" w:hAnsi="Times New Roman" w:cs="Times New Roman"/>
          <w:sz w:val="24"/>
          <w:szCs w:val="24"/>
        </w:rPr>
      </w:pPr>
      <w:r w:rsidRPr="003912FD">
        <w:rPr>
          <w:rFonts w:ascii="Times New Roman" w:hAnsi="Times New Roman" w:cs="Times New Roman"/>
          <w:sz w:val="24"/>
          <w:szCs w:val="24"/>
        </w:rPr>
        <w:t>¿Continuarán con sus “excusas estúpidas, alegaciones asnales, y molicie argumental”?, como diría Erasmo.</w:t>
      </w:r>
    </w:p>
    <w:p w:rsidR="00DC1240" w:rsidRPr="003912FD" w:rsidRDefault="00DC1240" w:rsidP="00DC1240">
      <w:pPr>
        <w:spacing w:line="240" w:lineRule="auto"/>
        <w:jc w:val="both"/>
        <w:rPr>
          <w:rFonts w:ascii="Times New Roman" w:hAnsi="Times New Roman" w:cs="Times New Roman"/>
          <w:sz w:val="24"/>
          <w:szCs w:val="24"/>
        </w:rPr>
      </w:pPr>
      <w:r w:rsidRPr="003912FD">
        <w:rPr>
          <w:rFonts w:ascii="Times New Roman" w:hAnsi="Times New Roman" w:cs="Times New Roman"/>
          <w:sz w:val="24"/>
          <w:szCs w:val="24"/>
        </w:rPr>
        <w:t>¿Seguirán con la “matraca” de la perspectiva de género, el sexo fluido, el feminismo extremo, la resiliencia, el ecologismo radical, la taxonomía, el animalismo, el empoderamiento, la conectividad, la realidad virtual, la disrupción, las plataformas, el tráfico de datos, los algoritmos, la nube, la robotización, la inteligencia artificial, el metaverso, el bitcoin, el empoderamiento, la altura de miras, el consenso…“and so on”?</w:t>
      </w:r>
    </w:p>
    <w:p w:rsidR="002B4FF0" w:rsidRPr="00516AF7" w:rsidRDefault="002B4FF0" w:rsidP="002B4FF0">
      <w:pPr>
        <w:spacing w:line="240" w:lineRule="auto"/>
        <w:jc w:val="both"/>
        <w:rPr>
          <w:rFonts w:ascii="Times New Roman" w:hAnsi="Times New Roman" w:cs="Times New Roman"/>
          <w:b/>
          <w:sz w:val="24"/>
          <w:szCs w:val="24"/>
        </w:rPr>
      </w:pPr>
      <w:r w:rsidRPr="00516AF7">
        <w:rPr>
          <w:rFonts w:ascii="Times New Roman" w:hAnsi="Times New Roman" w:cs="Times New Roman"/>
          <w:b/>
          <w:sz w:val="24"/>
          <w:szCs w:val="24"/>
        </w:rPr>
        <w:t>“Fracaso total” de la planificación “</w:t>
      </w:r>
      <w:r>
        <w:rPr>
          <w:rFonts w:ascii="Times New Roman" w:hAnsi="Times New Roman" w:cs="Times New Roman"/>
          <w:b/>
          <w:sz w:val="24"/>
          <w:szCs w:val="24"/>
        </w:rPr>
        <w:t>políticamente correcta”</w:t>
      </w:r>
      <w:r w:rsidRPr="00516AF7">
        <w:rPr>
          <w:rFonts w:ascii="Times New Roman" w:hAnsi="Times New Roman" w:cs="Times New Roman"/>
          <w:b/>
          <w:sz w:val="24"/>
          <w:szCs w:val="24"/>
        </w:rPr>
        <w:t xml:space="preserve"> europea: política agraria común, pacto verde, greening, del campo a la mesa,</w:t>
      </w:r>
      <w:r>
        <w:rPr>
          <w:rFonts w:ascii="Times New Roman" w:hAnsi="Times New Roman" w:cs="Times New Roman"/>
          <w:b/>
          <w:sz w:val="24"/>
          <w:szCs w:val="24"/>
        </w:rPr>
        <w:t xml:space="preserve"> neutralidad en carbono,</w:t>
      </w:r>
      <w:r w:rsidRPr="00516AF7">
        <w:rPr>
          <w:rFonts w:ascii="Times New Roman" w:hAnsi="Times New Roman" w:cs="Times New Roman"/>
          <w:b/>
          <w:sz w:val="24"/>
          <w:szCs w:val="24"/>
        </w:rPr>
        <w:t xml:space="preserve"> energías renovables</w:t>
      </w:r>
      <w:r>
        <w:rPr>
          <w:rFonts w:ascii="Times New Roman" w:hAnsi="Times New Roman" w:cs="Times New Roman"/>
          <w:b/>
          <w:sz w:val="24"/>
          <w:szCs w:val="24"/>
        </w:rPr>
        <w:t xml:space="preserve">, taxonomía, agenda 2030, y otras sandeces, </w:t>
      </w:r>
      <w:r w:rsidRPr="00FD4F23">
        <w:rPr>
          <w:rFonts w:ascii="Times New Roman" w:hAnsi="Times New Roman" w:cs="Times New Roman"/>
          <w:b/>
          <w:sz w:val="24"/>
          <w:szCs w:val="24"/>
        </w:rPr>
        <w:t>necedad</w:t>
      </w:r>
      <w:r>
        <w:rPr>
          <w:rFonts w:ascii="Times New Roman" w:hAnsi="Times New Roman" w:cs="Times New Roman"/>
          <w:b/>
          <w:sz w:val="24"/>
          <w:szCs w:val="24"/>
        </w:rPr>
        <w:t xml:space="preserve">es, y </w:t>
      </w:r>
      <w:r w:rsidRPr="00FD4F23">
        <w:rPr>
          <w:rFonts w:ascii="Times New Roman" w:hAnsi="Times New Roman" w:cs="Times New Roman"/>
          <w:b/>
          <w:sz w:val="24"/>
          <w:szCs w:val="24"/>
        </w:rPr>
        <w:t>desatino</w:t>
      </w:r>
      <w:r>
        <w:rPr>
          <w:rFonts w:ascii="Times New Roman" w:hAnsi="Times New Roman" w:cs="Times New Roman"/>
          <w:b/>
          <w:sz w:val="24"/>
          <w:szCs w:val="24"/>
        </w:rPr>
        <w:t xml:space="preserve">s, similares </w:t>
      </w:r>
    </w:p>
    <w:p w:rsidR="002B4FF0" w:rsidRDefault="002B4FF0" w:rsidP="002B4FF0">
      <w:pPr>
        <w:spacing w:line="240" w:lineRule="auto"/>
        <w:jc w:val="both"/>
        <w:rPr>
          <w:rFonts w:ascii="Times New Roman" w:hAnsi="Times New Roman" w:cs="Times New Roman"/>
          <w:sz w:val="24"/>
          <w:szCs w:val="24"/>
        </w:rPr>
      </w:pPr>
      <w:r w:rsidRPr="004A105F">
        <w:rPr>
          <w:rFonts w:ascii="Times New Roman" w:hAnsi="Times New Roman" w:cs="Times New Roman"/>
          <w:sz w:val="24"/>
          <w:szCs w:val="24"/>
        </w:rPr>
        <w:t>Mientras caen las bombas</w:t>
      </w:r>
      <w:r>
        <w:rPr>
          <w:rFonts w:ascii="Times New Roman" w:hAnsi="Times New Roman" w:cs="Times New Roman"/>
          <w:sz w:val="24"/>
          <w:szCs w:val="24"/>
        </w:rPr>
        <w:t xml:space="preserve"> rusas</w:t>
      </w:r>
      <w:r w:rsidRPr="004A105F">
        <w:rPr>
          <w:rFonts w:ascii="Times New Roman" w:hAnsi="Times New Roman" w:cs="Times New Roman"/>
          <w:sz w:val="24"/>
          <w:szCs w:val="24"/>
        </w:rPr>
        <w:t xml:space="preserve"> sobre Ucrania, mientras Putin chantajea con el gas a Europa: ¿qué</w:t>
      </w:r>
      <w:r>
        <w:rPr>
          <w:rFonts w:ascii="Times New Roman" w:hAnsi="Times New Roman" w:cs="Times New Roman"/>
          <w:sz w:val="24"/>
          <w:szCs w:val="24"/>
        </w:rPr>
        <w:t xml:space="preserve"> dicen la</w:t>
      </w:r>
      <w:r w:rsidRPr="004A105F">
        <w:rPr>
          <w:rFonts w:ascii="Times New Roman" w:hAnsi="Times New Roman" w:cs="Times New Roman"/>
          <w:sz w:val="24"/>
          <w:szCs w:val="24"/>
        </w:rPr>
        <w:t>s</w:t>
      </w:r>
      <w:r>
        <w:rPr>
          <w:rFonts w:ascii="Times New Roman" w:hAnsi="Times New Roman" w:cs="Times New Roman"/>
          <w:sz w:val="24"/>
          <w:szCs w:val="24"/>
        </w:rPr>
        <w:t xml:space="preserve"> serpientes encantadoras de hombres </w:t>
      </w:r>
      <w:r w:rsidRPr="004A105F">
        <w:rPr>
          <w:rFonts w:ascii="Times New Roman" w:hAnsi="Times New Roman" w:cs="Times New Roman"/>
          <w:sz w:val="24"/>
          <w:szCs w:val="24"/>
        </w:rPr>
        <w:t xml:space="preserve">de Bruselas? Erre que erre con el cumplimiento del </w:t>
      </w:r>
      <w:r>
        <w:rPr>
          <w:rFonts w:ascii="Times New Roman" w:hAnsi="Times New Roman" w:cs="Times New Roman"/>
          <w:sz w:val="24"/>
          <w:szCs w:val="24"/>
        </w:rPr>
        <w:t>“Green Dea</w:t>
      </w:r>
      <w:r w:rsidRPr="004A105F">
        <w:rPr>
          <w:rFonts w:ascii="Times New Roman" w:hAnsi="Times New Roman" w:cs="Times New Roman"/>
          <w:sz w:val="24"/>
          <w:szCs w:val="24"/>
        </w:rPr>
        <w:t>l</w:t>
      </w:r>
      <w:r>
        <w:rPr>
          <w:rFonts w:ascii="Times New Roman" w:hAnsi="Times New Roman" w:cs="Times New Roman"/>
          <w:sz w:val="24"/>
          <w:szCs w:val="24"/>
        </w:rPr>
        <w:t xml:space="preserve">”, y alucinando </w:t>
      </w:r>
      <w:r w:rsidRPr="004A105F">
        <w:rPr>
          <w:rFonts w:ascii="Times New Roman" w:hAnsi="Times New Roman" w:cs="Times New Roman"/>
          <w:sz w:val="24"/>
          <w:szCs w:val="24"/>
        </w:rPr>
        <w:t xml:space="preserve">con los fondos </w:t>
      </w:r>
      <w:r>
        <w:rPr>
          <w:rFonts w:ascii="Times New Roman" w:hAnsi="Times New Roman" w:cs="Times New Roman"/>
          <w:sz w:val="24"/>
          <w:szCs w:val="24"/>
        </w:rPr>
        <w:t>“</w:t>
      </w:r>
      <w:r w:rsidRPr="004A105F">
        <w:rPr>
          <w:rFonts w:ascii="Times New Roman" w:hAnsi="Times New Roman" w:cs="Times New Roman"/>
          <w:sz w:val="24"/>
          <w:szCs w:val="24"/>
        </w:rPr>
        <w:t>Next Generation</w:t>
      </w:r>
      <w:r>
        <w:rPr>
          <w:rFonts w:ascii="Times New Roman" w:hAnsi="Times New Roman" w:cs="Times New Roman"/>
          <w:sz w:val="24"/>
          <w:szCs w:val="24"/>
        </w:rPr>
        <w:t>”</w:t>
      </w:r>
      <w:r w:rsidRPr="004A105F">
        <w:rPr>
          <w:rFonts w:ascii="Times New Roman" w:hAnsi="Times New Roman" w:cs="Times New Roman"/>
          <w:sz w:val="24"/>
          <w:szCs w:val="24"/>
        </w:rPr>
        <w:t xml:space="preserve">. </w:t>
      </w:r>
    </w:p>
    <w:p w:rsidR="002B4FF0" w:rsidRPr="0037067C" w:rsidRDefault="002B4FF0" w:rsidP="002B4FF0">
      <w:pPr>
        <w:spacing w:line="240" w:lineRule="auto"/>
        <w:jc w:val="both"/>
        <w:rPr>
          <w:rFonts w:ascii="Times New Roman" w:hAnsi="Times New Roman" w:cs="Times New Roman"/>
          <w:b/>
          <w:sz w:val="24"/>
          <w:szCs w:val="24"/>
        </w:rPr>
      </w:pPr>
      <w:r w:rsidRPr="0037067C">
        <w:rPr>
          <w:rFonts w:ascii="Times New Roman" w:hAnsi="Times New Roman" w:cs="Times New Roman"/>
          <w:b/>
          <w:sz w:val="24"/>
          <w:szCs w:val="24"/>
        </w:rPr>
        <w:t>Parole, parole, parole: el impacto económico en la lucha contra el cambio climático</w:t>
      </w:r>
    </w:p>
    <w:p w:rsidR="002B4FF0" w:rsidRPr="00266C5A" w:rsidRDefault="002B4FF0" w:rsidP="002B4FF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UE prevé movilizar cerca de tres billones de euros para cumplir con sus objetivos climáticos en la próxima década, y el 30% de su presupuesto 2021-2028 y de los fondos Next Generation para cumplir con su Green Deal…</w:t>
      </w:r>
    </w:p>
    <w:p w:rsidR="002B4FF0" w:rsidRPr="00266C5A" w:rsidRDefault="002B4FF0" w:rsidP="002B4FF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transición energética creará cuatro empleos por cada puesto de trabajo que destruya…</w:t>
      </w:r>
    </w:p>
    <w:p w:rsidR="002B4FF0" w:rsidRPr="00266C5A" w:rsidRDefault="002B4FF0" w:rsidP="002B4FF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En un entorno político y económico inestable, con continuas perturbaciones macroeconómicas y un conflicto a las puertas de la Unión Europea con la invasión rusa de Ucrania; una crisis energética y una inflación desatada, el desafío para hacer frente al calentamiento de la Tierra es que los objetivos de descarbonización de la economía no se relajen por las circunstancias globales. </w:t>
      </w:r>
    </w:p>
    <w:p w:rsidR="002B4FF0" w:rsidRPr="00266C5A" w:rsidRDefault="002B4FF0" w:rsidP="002B4FF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Los Acuerdos de París, firmados en 2015, establecen limitar el aumento de la temperatura mundial por debajo de los dos grados centígrados, tomando como referencia los niveles preindustriales, y redoblar esfuerzos para que este incremento no sea superior a 1,5 grados centígrados. Además, la Unión Europea y otros países del resto del mundo se han comprometido a descarbonizar todas sus actividades económicas y ser neutros en emisiones </w:t>
      </w:r>
      <w:r w:rsidRPr="00266C5A">
        <w:rPr>
          <w:rFonts w:ascii="Times New Roman" w:hAnsi="Times New Roman" w:cs="Times New Roman"/>
          <w:sz w:val="24"/>
          <w:szCs w:val="24"/>
        </w:rPr>
        <w:lastRenderedPageBreak/>
        <w:t>de gases de efecto invernadero (GEI) en 2050. Para conocer los últimos avances en materia de sostenibilidad…</w:t>
      </w:r>
    </w:p>
    <w:p w:rsidR="002B4FF0" w:rsidRPr="00266C5A" w:rsidRDefault="002B4FF0" w:rsidP="002B4FF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Para financiar esta transición energética, el Plan Nacional de Adaptación al Cambio Climático (PNACC) 2021-2030 y el Plan Nacional Integrado de Energía y Clima (PNIEC) prevén movilizar 241.000 millones de euros entre 2021 y 2030. De esta cifra, está previsto que el sector privado aporte el 80% de las inversiones totales, mientras que el 20% restante, unos 47.000 millones de euros, serán aportaciones de las distintas administraciones públicas respaldadas, en parte, por los fondos europeos Next Generation.</w:t>
      </w:r>
    </w:p>
    <w:p w:rsidR="002B4FF0" w:rsidRPr="00266C5A" w:rsidRDefault="002B4FF0" w:rsidP="002B4FF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Los promotores destacan “los esfuerzos de la Unión Europea para crear un mercado de capitales integrado y verde”, así como, “la creación del marco para bonos verdes, en un  primer paso para que los tesoros nacionales (de los países miembro) hagan su primera emisión de este tipo de deuda, que pasará a formar parte de uno de los elementos regulares de la política de financiación de la deuda del Estado”.</w:t>
      </w:r>
    </w:p>
    <w:p w:rsidR="002B4FF0" w:rsidRPr="00266C5A" w:rsidRDefault="002B4FF0" w:rsidP="002B4FF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Además de la financiación, los promotores señalan las profundas implicaciones y cambios que se producirán en el mercado laboral. La consejera de la Oficina Internacional del Trabajo (OIT) destaca que “en esta transición hacia una economía verde se perderán cerca de seis millones de empleos, pero se crearán unos 24 millones de puestos de trabajo por la reconversión de sectores económicos. El número de empleos asociados a la economía verde crecerá desde los 10 millones que se estima había en 2010 hasta 30 millones de puestos de trabajo en 2030”.</w:t>
      </w:r>
    </w:p>
    <w:p w:rsidR="002B4FF0" w:rsidRPr="00266C5A" w:rsidRDefault="002B4FF0" w:rsidP="002B4FF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“En 2030 y en 2050, seremos más digitales y más sostenibles. El mercado europeo está perdiendo el terreno de la transformación digital frente a los gigantes tecnológicos de Estados Unidos y China. La única ventaja competitiva de Europa es la economía verde, con el Green Deal de la UE y el apoyo de los fondos Next Generation, que suponen una gran oportunidad para reindustrializar Europa y promover un nuevo modelo de </w:t>
      </w:r>
      <w:r>
        <w:rPr>
          <w:rFonts w:ascii="Times New Roman" w:hAnsi="Times New Roman" w:cs="Times New Roman"/>
          <w:sz w:val="24"/>
          <w:szCs w:val="24"/>
        </w:rPr>
        <w:t>desarrollo”, dicen los agentes.</w:t>
      </w:r>
    </w:p>
    <w:p w:rsidR="002B4FF0" w:rsidRPr="00266C5A" w:rsidRDefault="002B4FF0" w:rsidP="002B4FF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“Nadie nos ha enseñado a vivir en una economía descarbonizada, y nos estamos enfrentando a este desafío ahora. Este salto podría suponer entre un 4-5% del PIB, pero la inacción de no hacer nada se calcula que nos c</w:t>
      </w:r>
      <w:r>
        <w:rPr>
          <w:rFonts w:ascii="Times New Roman" w:hAnsi="Times New Roman" w:cs="Times New Roman"/>
          <w:sz w:val="24"/>
          <w:szCs w:val="24"/>
        </w:rPr>
        <w:t>ostará el 20% del PIB”, añaden.</w:t>
      </w:r>
    </w:p>
    <w:p w:rsidR="002B4FF0" w:rsidRPr="00266C5A" w:rsidRDefault="002B4FF0" w:rsidP="002B4FF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 En la jerga económica, este coste para reducir las emisiones de gases contaminantes se conoce como “green inflation”, o la presión sobre el índice de los precios derivada de la transición hacia una economía verde. Frente a este término económico, los promotores piden poner el foco de atención en otro mucho menos extendido: “climate inflation”. “Los riesgos asociados a continuar con una economía dependiente de las industrias fósiles son mucho peores de lo que tenemos (incremento de los precios por los desastres naturales, la escasez de agua, las inundaciones, incendios, etcétera)”, explican.</w:t>
      </w:r>
    </w:p>
    <w:p w:rsidR="002B4FF0" w:rsidRPr="00266C5A" w:rsidRDefault="002B4FF0" w:rsidP="002B4FF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El impacto que tiene una sequía sobre el precio y el suministro de los alimentos; los cambios en la estacionalidad de la siembra y recogida de las cosechas por el calentamiento de la tierra, o la subida del nivel del mar, que afectará a las zonas más turísticas del litoral, fueron algunos de los ejemplos de “climate inflation” descritos. “Entre los sectores económicos más perjudicados por esta transición energética están la industria, la energía y el transporte, y los más beneficiados serán la industria, la energía y el transporte. Son estos sectores los que, principalmente, se tienen que transformar”, añaden.</w:t>
      </w:r>
    </w:p>
    <w:p w:rsidR="002B4FF0" w:rsidRPr="00266C5A" w:rsidRDefault="002B4FF0" w:rsidP="002B4FF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La movilización de recursos en toda la Unión Europea será de tres billones de euros, explicó la directora de Crecimiento Financiero de la Federación Bancaria Europea. “Para lograr sus </w:t>
      </w:r>
      <w:r w:rsidRPr="00266C5A">
        <w:rPr>
          <w:rFonts w:ascii="Times New Roman" w:hAnsi="Times New Roman" w:cs="Times New Roman"/>
          <w:sz w:val="24"/>
          <w:szCs w:val="24"/>
        </w:rPr>
        <w:lastRenderedPageBreak/>
        <w:t>objetivos de descarbonización, la UE invertirá cerca del 30% de su presupuesto 2021-2028 y de los Fondos Next Generation en el Green Deal europeo”, dijo.</w:t>
      </w:r>
    </w:p>
    <w:p w:rsidR="002B4FF0" w:rsidRPr="00266C5A" w:rsidRDefault="002B4FF0" w:rsidP="002B4FF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Además del Reglamento de Divulgación de Finanzas Sostenibles (SFDR) aprobado en marzo de 2021 por la UE, el sector financiero contará con los criterios establecidos por la taxonomía verde, con la que la Comisión Europea espera hacer más claras y transparentes la inversión y la financiación en determinadas actividades consideradas como sostenibles, como las que ayudan a reducir el cambio climático, su mitigación y adaptación; economía circular; la protección de los recursos marinos e hídricos, y la biodiversidad y el control de la contaminación.</w:t>
      </w:r>
    </w:p>
    <w:p w:rsidR="002B4FF0" w:rsidRDefault="002B4FF0" w:rsidP="002B4FF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“La taxonomía establece tres tipos de inversión verde: los activos que contribuyen directamente a reducir los objetivos de emisión -como un parque eólico o solar-; financiar sectores o actividades asociadas a la transición ecológica, como sistemas de almacenamiento de electricidad o de hidrógeno, y tercero, aquellas actividades que no son completamente sostenibles, pero que contribuyen a reducir un nivel de emisiones fijado para el sector, como una cementera con mejoras en sus procesos o las plantas de ciclo combinado de gas o energía nuclear que cumplan con unos requisitos”, explicó la directora de Crecimiento Financiero de la Federación Bancaria Europea. </w:t>
      </w:r>
    </w:p>
    <w:p w:rsidR="002B4FF0" w:rsidRDefault="002B4FF0" w:rsidP="002B4FF0">
      <w:pPr>
        <w:pStyle w:val="NormalWeb"/>
        <w:spacing w:after="360"/>
        <w:jc w:val="both"/>
        <w:rPr>
          <w:b/>
          <w:shd w:val="clear" w:color="auto" w:fill="FFFFFF"/>
        </w:rPr>
      </w:pPr>
      <w:r w:rsidRPr="00A54C10">
        <w:rPr>
          <w:b/>
          <w:shd w:val="clear" w:color="auto" w:fill="FFFFFF"/>
        </w:rPr>
        <w:t>Nota: A la Unión Europea se le acabó el cuento del “fin de la historia”, ahora se ven obligados a hacerla, aunque sea sobre la tierra de Ucrania, martirizada en millones de refugiados y una guerra implacable de la que sólo intuimos dos certezas, que sus efectos serán duraderos y que dejará muchas víctimas. </w:t>
      </w:r>
    </w:p>
    <w:p w:rsidR="002B4FF0" w:rsidRDefault="002B4FF0" w:rsidP="002B4FF0">
      <w:pPr>
        <w:pStyle w:val="NormalWeb"/>
        <w:spacing w:after="360"/>
        <w:jc w:val="both"/>
        <w:rPr>
          <w:b/>
          <w:lang w:val="es-AR"/>
        </w:rPr>
      </w:pPr>
      <w:r>
        <w:rPr>
          <w:b/>
          <w:lang w:val="es-AR"/>
        </w:rPr>
        <w:t>Conclusión (entre predicciones, secretos, y mentiras): No es equitativo que sea la UE, la responsable “principal” (si no “única”) de resolver el caos climático. El “adelante y vayan” de EEUU, la “ignorancia supina” de China, la “ceguera voluntaria” de Rusia, la “impotencia simulada” de India, o la “anestesia emocional” de Brasil… no son de recibo.  Todos a la vez… todos a</w:t>
      </w:r>
      <w:r w:rsidR="0037067C">
        <w:rPr>
          <w:b/>
          <w:lang w:val="es-AR"/>
        </w:rPr>
        <w:t>l mismo tiempo… y que cada “Santo</w:t>
      </w:r>
      <w:r>
        <w:rPr>
          <w:b/>
          <w:lang w:val="es-AR"/>
        </w:rPr>
        <w:t>” aguante su vela.</w:t>
      </w:r>
    </w:p>
    <w:p w:rsidR="00247B06" w:rsidRPr="001B10EC" w:rsidRDefault="00247B06" w:rsidP="00247B06">
      <w:pPr>
        <w:spacing w:line="240" w:lineRule="auto"/>
        <w:jc w:val="both"/>
        <w:rPr>
          <w:rFonts w:ascii="Times New Roman" w:hAnsi="Times New Roman" w:cs="Times New Roman"/>
          <w:b/>
          <w:color w:val="FF0000"/>
          <w:sz w:val="24"/>
          <w:szCs w:val="24"/>
        </w:rPr>
      </w:pPr>
      <w:r w:rsidRPr="001B10EC">
        <w:rPr>
          <w:rFonts w:ascii="Times New Roman" w:hAnsi="Times New Roman" w:cs="Times New Roman"/>
          <w:b/>
          <w:color w:val="FF0000"/>
          <w:sz w:val="24"/>
          <w:szCs w:val="24"/>
        </w:rPr>
        <w:t xml:space="preserve">4 - El fusilamiento del Estado de Bienestar </w:t>
      </w:r>
    </w:p>
    <w:p w:rsidR="00247B06" w:rsidRPr="00B01701" w:rsidRDefault="00247B06" w:rsidP="00247B06">
      <w:pPr>
        <w:spacing w:line="240" w:lineRule="auto"/>
        <w:jc w:val="both"/>
        <w:rPr>
          <w:rFonts w:ascii="Times New Roman" w:hAnsi="Times New Roman" w:cs="Times New Roman"/>
          <w:b/>
          <w:sz w:val="24"/>
          <w:szCs w:val="24"/>
        </w:rPr>
      </w:pPr>
      <w:r>
        <w:rPr>
          <w:rFonts w:ascii="Times New Roman" w:eastAsia="Times New Roman" w:hAnsi="Times New Roman" w:cs="Times New Roman"/>
          <w:b/>
          <w:sz w:val="24"/>
          <w:szCs w:val="24"/>
          <w:lang w:eastAsia="es-ES"/>
        </w:rPr>
        <w:t>Abandono del progreso (industria, empleo, ingresos, estado de bienestar…)</w:t>
      </w:r>
    </w:p>
    <w:p w:rsidR="002B4FF0" w:rsidRPr="00E527E0" w:rsidRDefault="002B4FF0" w:rsidP="002B4FF0">
      <w:pPr>
        <w:pStyle w:val="NormalWeb"/>
        <w:spacing w:after="0"/>
        <w:jc w:val="both"/>
        <w:textAlignment w:val="baseline"/>
        <w:rPr>
          <w:shd w:val="clear" w:color="auto" w:fill="FFFFFF"/>
        </w:rPr>
      </w:pPr>
      <w:r w:rsidRPr="00E527E0">
        <w:rPr>
          <w:shd w:val="clear" w:color="auto" w:fill="FFFFFF"/>
        </w:rPr>
        <w:t>Dice Gregorio Morán, un veterano periodista, curtido en mil batallas, en su artículo: “</w:t>
      </w:r>
      <w:r w:rsidRPr="00E527E0">
        <w:rPr>
          <w:u w:val="single"/>
          <w:shd w:val="clear" w:color="auto" w:fill="FFFFFF"/>
        </w:rPr>
        <w:t>Se acabó la paciencia</w:t>
      </w:r>
      <w:r w:rsidRPr="00E527E0">
        <w:rPr>
          <w:shd w:val="clear" w:color="auto" w:fill="FFFFFF"/>
        </w:rPr>
        <w:t xml:space="preserve">” (Voxpópuli - </w:t>
      </w:r>
      <w:r w:rsidRPr="00E527E0">
        <w:rPr>
          <w:b/>
          <w:shd w:val="clear" w:color="auto" w:fill="FFFFFF"/>
        </w:rPr>
        <w:t>26/3/22</w:t>
      </w:r>
      <w:r w:rsidRPr="00E527E0">
        <w:rPr>
          <w:shd w:val="clear" w:color="auto" w:fill="FFFFFF"/>
        </w:rPr>
        <w:t>)</w:t>
      </w:r>
      <w:r>
        <w:rPr>
          <w:shd w:val="clear" w:color="auto" w:fill="FFFFFF"/>
        </w:rPr>
        <w:t>,</w:t>
      </w:r>
      <w:r w:rsidRPr="00E527E0">
        <w:rPr>
          <w:shd w:val="clear" w:color="auto" w:fill="FFFFFF"/>
        </w:rPr>
        <w:t xml:space="preserve"> “Los autónomos se han rebelado. Les han tocado el fondo de su paciencia, aquello que todo el mundo daba por obvio, la subsistencia. Se puede trabajar al borde del colapso, bordeando siempre un imprevisto que te sumiera en la ruina, un accidente, un achaque, un incidente desgraciado, pero nunca habían atisbado que podían llegar a lo imposible: trabajar a pérdidas. A más trabajo más pobreza. Ese momento del que antiguamente se decía que no tienes nada que perder salvo las cadenas. De pronto aparecía el viejo fantasma de la proletarización con el agravante insólito en la historia de tener la conciencia de un obrero que se paga su propio salario y que constituye una empresa que a efectos fiscales tiene un solo trabajador que eres tú”…</w:t>
      </w:r>
    </w:p>
    <w:p w:rsidR="002B4FF0" w:rsidRPr="00E527E0" w:rsidRDefault="002B4FF0" w:rsidP="002B4FF0">
      <w:pPr>
        <w:pStyle w:val="NormalWeb"/>
        <w:spacing w:after="0"/>
        <w:jc w:val="both"/>
        <w:textAlignment w:val="baseline"/>
        <w:rPr>
          <w:shd w:val="clear" w:color="auto" w:fill="FFFFFF"/>
        </w:rPr>
      </w:pPr>
      <w:r w:rsidRPr="00E527E0">
        <w:rPr>
          <w:shd w:val="clear" w:color="auto" w:fill="FFFFFF"/>
        </w:rPr>
        <w:t>La conflictividad social está escalando de una forma que sólo unas semanas atrás era absolutamente impensable. Cada día está más claro que la situación económica puede degenerar tanto, que el dinero europeo (Next Generation, Pacto Verde, monetización del BCE) no sirva para nada, y eso si llega: ¿alguien se cree que en plena guerra y con una enorme crisis energética se van a seguir destinado miles de millones a la “transición verde”?</w:t>
      </w:r>
    </w:p>
    <w:p w:rsidR="002B4FF0" w:rsidRPr="00E527E0" w:rsidRDefault="002B4FF0" w:rsidP="002B4FF0">
      <w:pPr>
        <w:pStyle w:val="NormalWeb"/>
        <w:spacing w:after="0"/>
        <w:jc w:val="both"/>
        <w:textAlignment w:val="baseline"/>
        <w:rPr>
          <w:shd w:val="clear" w:color="auto" w:fill="FFFFFF"/>
        </w:rPr>
      </w:pPr>
      <w:r w:rsidRPr="00E527E0">
        <w:rPr>
          <w:shd w:val="clear" w:color="auto" w:fill="FFFFFF"/>
        </w:rPr>
        <w:lastRenderedPageBreak/>
        <w:t xml:space="preserve">El principal suministrador de gas a la Unión Europea ha decidido emprender un ataque contra Occidente, y el petróleo ha iniciado una escalada de precios que, por el momento, no parece tener visos de cambio de tendencia. Europa se enfrenta a una situación de carestía energética sin precedentes La independencia energética se ha convertido de hecho en la máxima prioridad de la Unión Europea, que hasta ahora importa de Rusia el 40% del gas que consume y el 26% del petróleo. </w:t>
      </w:r>
    </w:p>
    <w:p w:rsidR="002B4FF0" w:rsidRPr="00E527E0" w:rsidRDefault="002B4FF0" w:rsidP="002B4FF0">
      <w:pPr>
        <w:pStyle w:val="NormalWeb"/>
        <w:shd w:val="clear" w:color="auto" w:fill="FFFFFF"/>
        <w:spacing w:before="0" w:beforeAutospacing="0" w:after="270" w:afterAutospacing="0"/>
        <w:jc w:val="both"/>
        <w:rPr>
          <w:spacing w:val="-1"/>
        </w:rPr>
      </w:pPr>
      <w:r w:rsidRPr="00E527E0">
        <w:rPr>
          <w:shd w:val="clear" w:color="auto" w:fill="FFFFFF"/>
        </w:rPr>
        <w:t xml:space="preserve">El granero de Europa, es un campo de batalla. </w:t>
      </w:r>
      <w:r w:rsidRPr="00E527E0">
        <w:rPr>
          <w:spacing w:val="-1"/>
        </w:rPr>
        <w:t>La guerra de Putin con Ucrania, amenaza los suministros de alimentos al Viejo Continente por parte de un país que es conocido como el granero de Europa, ya que ocupa los primeros puestos</w:t>
      </w:r>
      <w:r w:rsidRPr="00E527E0">
        <w:rPr>
          <w:bCs/>
          <w:spacing w:val="-1"/>
        </w:rPr>
        <w:t> en la producción y exportación de girasol, cebada o maíz</w:t>
      </w:r>
      <w:r w:rsidRPr="00E527E0">
        <w:rPr>
          <w:spacing w:val="-1"/>
        </w:rPr>
        <w:t>, por citar algunos productos. Solo España, compra a Ucrania el 42,2% de los cereales que importa, lo que podría comportar una notable subida de precios.</w:t>
      </w:r>
    </w:p>
    <w:p w:rsidR="002B4FF0" w:rsidRPr="00E527E0" w:rsidRDefault="002B4FF0" w:rsidP="002B4FF0">
      <w:pPr>
        <w:pStyle w:val="NormalWeb"/>
        <w:shd w:val="clear" w:color="auto" w:fill="FFFFFF"/>
        <w:spacing w:before="0" w:beforeAutospacing="0" w:after="270" w:afterAutospacing="0"/>
        <w:jc w:val="both"/>
        <w:rPr>
          <w:spacing w:val="-1"/>
        </w:rPr>
      </w:pPr>
      <w:r w:rsidRPr="00E527E0">
        <w:rPr>
          <w:spacing w:val="-1"/>
        </w:rPr>
        <w:t>Ucrania es un es estado eminentemente agrícola, gracias, entre otras cosas, a su notable extensión geográfica: un total de 603.548 kilómetros cuadrados, mayor que Francia. De hecho, Ucrania es </w:t>
      </w:r>
      <w:r w:rsidRPr="00E527E0">
        <w:rPr>
          <w:bCs/>
          <w:spacing w:val="-1"/>
        </w:rPr>
        <w:t>la primera nación del continente y la segunda del mundo, por detrás de Bangladesh (Asia) en porcentaje de superficie cultivable (56%)</w:t>
      </w:r>
      <w:r w:rsidRPr="00E527E0">
        <w:rPr>
          <w:spacing w:val="-1"/>
        </w:rPr>
        <w:t>.</w:t>
      </w:r>
    </w:p>
    <w:p w:rsidR="002B4FF0" w:rsidRPr="00E527E0" w:rsidRDefault="002B4FF0" w:rsidP="002B4FF0">
      <w:pPr>
        <w:pStyle w:val="NormalWeb"/>
        <w:shd w:val="clear" w:color="auto" w:fill="FFFFFF"/>
        <w:spacing w:before="0" w:beforeAutospacing="0" w:after="270" w:afterAutospacing="0"/>
        <w:jc w:val="both"/>
        <w:rPr>
          <w:spacing w:val="-1"/>
        </w:rPr>
      </w:pPr>
      <w:r w:rsidRPr="00E527E0">
        <w:rPr>
          <w:spacing w:val="-1"/>
        </w:rPr>
        <w:t>Ucrania ocupa </w:t>
      </w:r>
      <w:r w:rsidRPr="00E527E0">
        <w:rPr>
          <w:bCs/>
          <w:spacing w:val="-1"/>
        </w:rPr>
        <w:t>el tercer lugar en el mundo por el área de suelo negro (25% del volumen mundial)</w:t>
      </w:r>
      <w:r w:rsidRPr="00E527E0">
        <w:rPr>
          <w:spacing w:val="-1"/>
        </w:rPr>
        <w:t>. Los suelos negros, que como su color indica son de tono oscuro, se caracterizan por ser ricos en materia orgánica o humus, por lo que son extraordinariamente fértiles.</w:t>
      </w:r>
    </w:p>
    <w:p w:rsidR="002B4FF0" w:rsidRPr="00E527E0" w:rsidRDefault="002B4FF0" w:rsidP="002B4FF0">
      <w:pPr>
        <w:pStyle w:val="NormalWeb"/>
        <w:shd w:val="clear" w:color="auto" w:fill="FFFFFF"/>
        <w:spacing w:before="0" w:beforeAutospacing="0" w:after="270" w:afterAutospacing="0"/>
        <w:jc w:val="both"/>
        <w:rPr>
          <w:spacing w:val="-1"/>
        </w:rPr>
      </w:pPr>
      <w:r w:rsidRPr="00E527E0">
        <w:rPr>
          <w:spacing w:val="-1"/>
        </w:rPr>
        <w:t>El país eslavo está en los </w:t>
      </w:r>
      <w:r w:rsidRPr="00E527E0">
        <w:rPr>
          <w:bCs/>
          <w:spacing w:val="-1"/>
        </w:rPr>
        <w:t>primeros puestos en  exportaciones agroalimentarias en muchos productos</w:t>
      </w:r>
      <w:r w:rsidRPr="00E527E0">
        <w:rPr>
          <w:spacing w:val="-1"/>
        </w:rPr>
        <w:t>. De este modo, es el primer exportador de girasol y aceite de girasol del mundo. Además, es el segundo productor mundial de cebada y el cuarto exportador. </w:t>
      </w:r>
    </w:p>
    <w:p w:rsidR="002B4FF0" w:rsidRPr="00E527E0" w:rsidRDefault="002B4FF0" w:rsidP="002B4FF0">
      <w:pPr>
        <w:pStyle w:val="NormalWeb"/>
        <w:shd w:val="clear" w:color="auto" w:fill="FFFFFF"/>
        <w:spacing w:before="0" w:beforeAutospacing="0" w:after="270" w:afterAutospacing="0"/>
        <w:jc w:val="both"/>
        <w:rPr>
          <w:spacing w:val="-1"/>
        </w:rPr>
      </w:pPr>
      <w:r w:rsidRPr="00E527E0">
        <w:rPr>
          <w:spacing w:val="-1"/>
        </w:rPr>
        <w:t>Asimismo, este estado de Europa Oriental es el tercer mayor productor y el cuarto mayor exportador de maíz del mundo, además del cuarto productor de patatas grandes y el quinto de centeno. Igualmente, ocupa el quinto lugar en el mundo en la producción de abejas (75.000 toneladas); el octavo en exportaciones de trigo; el noveno lugar en la producción de huevos de gallina o el decimosexto en el mundo en exportaciones de queso.</w:t>
      </w:r>
    </w:p>
    <w:p w:rsidR="002B4FF0" w:rsidRPr="00E527E0" w:rsidRDefault="002B4FF0" w:rsidP="002B4FF0">
      <w:pPr>
        <w:pStyle w:val="NormalWeb"/>
        <w:spacing w:after="0"/>
        <w:jc w:val="both"/>
        <w:textAlignment w:val="baseline"/>
        <w:rPr>
          <w:shd w:val="clear" w:color="auto" w:fill="FFFFFF"/>
        </w:rPr>
      </w:pPr>
      <w:r w:rsidRPr="00E527E0">
        <w:rPr>
          <w:shd w:val="clear" w:color="auto" w:fill="FFFFFF"/>
        </w:rPr>
        <w:t>La “Tomografía Axial Computerizada” (TAC) de la Unión Europea muestra inflación, desabastecimiento, estancamiento, recesión. La debilidad europea pasa factura.</w:t>
      </w:r>
    </w:p>
    <w:p w:rsidR="002B4FF0" w:rsidRPr="00E527E0" w:rsidRDefault="002B4FF0" w:rsidP="002B4FF0">
      <w:pPr>
        <w:pStyle w:val="NormalWeb"/>
        <w:spacing w:after="0"/>
        <w:jc w:val="both"/>
        <w:textAlignment w:val="baseline"/>
      </w:pPr>
      <w:r w:rsidRPr="00E527E0">
        <w:rPr>
          <w:shd w:val="clear" w:color="auto" w:fill="FFFFFF"/>
        </w:rPr>
        <w:t xml:space="preserve">Según la opinión de “los que saben”, la guerra económica con Rusia va a romper con décadas de apuesta por la globalización y con una larga era deflacionista. El nuevo entorno será de materias primas más caras. </w:t>
      </w:r>
      <w:r w:rsidRPr="00E527E0">
        <w:t>El efecto de la guerra será “una mayor autonomía estratégica de las grandes economías, la pérdida del impulso globalizador en el que llevamos inmersos desde los años 80. Se ha comprobado la fragilidad de las cadenas de valor”, sostienen.</w:t>
      </w:r>
    </w:p>
    <w:p w:rsidR="002B4FF0" w:rsidRPr="00E527E0" w:rsidRDefault="002B4FF0" w:rsidP="002B4FF0">
      <w:pPr>
        <w:pStyle w:val="NormalWeb"/>
        <w:spacing w:after="0"/>
        <w:jc w:val="both"/>
        <w:textAlignment w:val="baseline"/>
        <w:rPr>
          <w:shd w:val="clear" w:color="auto" w:fill="FFFFFF"/>
        </w:rPr>
      </w:pPr>
      <w:r w:rsidRPr="00E527E0">
        <w:rPr>
          <w:shd w:val="clear" w:color="auto" w:fill="FFFFFF"/>
        </w:rPr>
        <w:t>El conflicto bélico desatado en la Europa del Este, convertido ya en la mayor crisis geopolítica desde la Segunda Guerra Mundial, está alcanzado una dimensión económica que va a marcar un profundo punto de inflexión. No solo va a provocar este año (2022) un menor crecimiento económico y una mayor inflación sino que dejará cambios drásticos a medio y largo plazo.</w:t>
      </w:r>
    </w:p>
    <w:p w:rsidR="002B4FF0" w:rsidRPr="00E527E0" w:rsidRDefault="002B4FF0" w:rsidP="002B4FF0">
      <w:pPr>
        <w:pStyle w:val="NormalWeb"/>
        <w:spacing w:after="0"/>
        <w:jc w:val="both"/>
        <w:textAlignment w:val="baseline"/>
        <w:rPr>
          <w:shd w:val="clear" w:color="auto" w:fill="FFFFFF"/>
        </w:rPr>
      </w:pPr>
      <w:r w:rsidRPr="00E527E0">
        <w:rPr>
          <w:shd w:val="clear" w:color="auto" w:fill="FFFFFF"/>
        </w:rPr>
        <w:t xml:space="preserve">Como advertía en su carta anual Larry Fink, el presidente de BlackRock, la mayor gestora de fondos del mundo, “la invasión rusa de Ucrania ha puesto fin a la globalización que habíamos experimentado en las últimas tres décadas”. El freno a la globalización ya comenzó con la </w:t>
      </w:r>
      <w:r w:rsidRPr="00E527E0">
        <w:rPr>
          <w:shd w:val="clear" w:color="auto" w:fill="FFFFFF"/>
        </w:rPr>
        <w:lastRenderedPageBreak/>
        <w:t>pandemia, cuando los problemas de suministro por las restricciones a la movilidad hicieron evidente la importancia de disponer de los productos básicos más cerca, incluso a costa de que resultaran más caros. El conflicto en Ucrania llega cuando aún no había terminado de regresar la normalidad a las cadenas de suministro tras la pandemia, un grave contratiempo que supuso el inicio de las tensiones inflacionistas que ahora se han desbocado.</w:t>
      </w:r>
    </w:p>
    <w:p w:rsidR="002B4FF0" w:rsidRPr="00E527E0" w:rsidRDefault="002B4FF0" w:rsidP="002B4FF0">
      <w:pPr>
        <w:pStyle w:val="NormalWeb"/>
        <w:spacing w:after="0"/>
        <w:jc w:val="both"/>
        <w:textAlignment w:val="baseline"/>
        <w:rPr>
          <w:shd w:val="clear" w:color="auto" w:fill="FFFFFF"/>
        </w:rPr>
      </w:pPr>
      <w:r w:rsidRPr="00E527E0">
        <w:rPr>
          <w:shd w:val="clear" w:color="auto" w:fill="FFFFFF"/>
        </w:rPr>
        <w:t>Más inflación y menos globalización, larvadas ya antes de la invasión rusa, son las tendencias que se han amplificado desde febrero de 2022 y que prometen prolongarse en el nuevo escenario económico que dejará la guerra. Para Fréderic Leourx, miembro del comité de inversión estratégico de Carmignac, “el conflicto entre Rusia y Ucrania confirmaría el final de la dinámica desinflacionista de los últimos 40 años, basada en una potente integración económica mundial, y daría comienzo a un nuevo orden económico”. Este nuevo orden, añade, estaría marcado por una especie de repliegue en el que favorecer la independencia industrial y energética, “cuya necesidad se ha revelado de forma manifiesta con la actual pandemia y las tensiones geopolíticas”.</w:t>
      </w:r>
    </w:p>
    <w:p w:rsidR="002B4FF0" w:rsidRPr="000D3F82" w:rsidRDefault="002B4FF0" w:rsidP="002B4FF0">
      <w:pPr>
        <w:pStyle w:val="NormalWeb"/>
        <w:spacing w:after="0"/>
        <w:jc w:val="both"/>
        <w:textAlignment w:val="baseline"/>
        <w:rPr>
          <w:shd w:val="clear" w:color="auto" w:fill="FFFFFF"/>
        </w:rPr>
      </w:pPr>
      <w:r w:rsidRPr="000D3F82">
        <w:t xml:space="preserve">Europa ha aprendido con este conflicto que tiene que depender más de sí misma, y no solo en materia de combustibles o electricidad. </w:t>
      </w:r>
      <w:r w:rsidRPr="000D3F82">
        <w:rPr>
          <w:shd w:val="clear" w:color="auto" w:fill="FFFFFF"/>
        </w:rPr>
        <w:t>La independencia energética y de materias primas básicas, se ha convertido de hecho en la máxima prioridad de la Unión Europea.</w:t>
      </w:r>
    </w:p>
    <w:p w:rsidR="002B4FF0" w:rsidRPr="000D3F82" w:rsidRDefault="002B4FF0" w:rsidP="002B4FF0">
      <w:pPr>
        <w:pStyle w:val="NormalWeb"/>
        <w:spacing w:after="0"/>
        <w:jc w:val="both"/>
        <w:textAlignment w:val="baseline"/>
        <w:rPr>
          <w:shd w:val="clear" w:color="auto" w:fill="FFFFFF"/>
        </w:rPr>
      </w:pPr>
      <w:r w:rsidRPr="000D3F82">
        <w:rPr>
          <w:shd w:val="clear" w:color="auto" w:fill="FFFFFF"/>
        </w:rPr>
        <w:t>¿Seguirá la Unión Europea, apostando por seguir la estela financiera de Wall Street, comprando en la fábrica del mundo China, cediendo al chantaje energético de Rusia, o adquiriendo materias primas básicas en países de fuera de la región?</w:t>
      </w:r>
    </w:p>
    <w:p w:rsidR="002B4FF0" w:rsidRPr="000D3F82" w:rsidRDefault="002B4FF0" w:rsidP="002B4FF0">
      <w:pPr>
        <w:pStyle w:val="NormalWeb"/>
        <w:spacing w:after="0"/>
        <w:jc w:val="both"/>
        <w:textAlignment w:val="baseline"/>
        <w:rPr>
          <w:shd w:val="clear" w:color="auto" w:fill="FFFFFF"/>
        </w:rPr>
      </w:pPr>
      <w:r w:rsidRPr="000D3F82">
        <w:rPr>
          <w:shd w:val="clear" w:color="auto" w:fill="FFFFFF"/>
        </w:rPr>
        <w:t xml:space="preserve">¿Cree la Unión Europea que sus ciudadanos, por más abducidos (y anestesiados) que estén por los iPhone, el 5g, los gadgets, el metaverso y toda la factoría de ficciones de Silicon Valley, desocupados, con empleos precarios, con aumento de la desigualdad, inflación, desabastecimiento… van a seguir tolerando los “dogmas” de la Comisión Europea sobre  globalización, librecambio, ambientalismo, o ideología de género?  </w:t>
      </w:r>
    </w:p>
    <w:p w:rsidR="002B4FF0" w:rsidRPr="000D3F82" w:rsidRDefault="002B4FF0" w:rsidP="002B4FF0">
      <w:pPr>
        <w:pStyle w:val="NormalWeb"/>
        <w:spacing w:after="0"/>
        <w:jc w:val="both"/>
        <w:textAlignment w:val="baseline"/>
        <w:rPr>
          <w:shd w:val="clear" w:color="auto" w:fill="FFFFFF"/>
        </w:rPr>
      </w:pPr>
      <w:r w:rsidRPr="000D3F82">
        <w:rPr>
          <w:shd w:val="clear" w:color="auto" w:fill="FFFFFF"/>
        </w:rPr>
        <w:t>¿Demasiado tarde, para la rectificación o la enmienda? “La alternante fortuna se ha reído de muchos que ahora pretenden volver sobre sus pasos y ponerse en lugar seguro”, diría </w:t>
      </w:r>
      <w:r w:rsidRPr="00247B06">
        <w:rPr>
          <w:rStyle w:val="Textoennegrita"/>
          <w:rFonts w:eastAsiaTheme="majorEastAsia"/>
          <w:b w:val="0"/>
          <w:shd w:val="clear" w:color="auto" w:fill="FFFFFF"/>
        </w:rPr>
        <w:t>Virgilio</w:t>
      </w:r>
      <w:r w:rsidRPr="000D3F82">
        <w:rPr>
          <w:shd w:val="clear" w:color="auto" w:fill="FFFFFF"/>
        </w:rPr>
        <w:t>. No le arriendo la ganancia a los “mangutas” de Bruselas.</w:t>
      </w:r>
    </w:p>
    <w:p w:rsidR="002B4FF0" w:rsidRPr="000D3F82" w:rsidRDefault="002B4FF0" w:rsidP="002B4FF0">
      <w:pPr>
        <w:pStyle w:val="NormalWeb"/>
        <w:spacing w:after="0"/>
        <w:jc w:val="both"/>
        <w:textAlignment w:val="baseline"/>
        <w:rPr>
          <w:shd w:val="clear" w:color="auto" w:fill="FFFFFF"/>
        </w:rPr>
      </w:pPr>
      <w:r w:rsidRPr="000D3F82">
        <w:rPr>
          <w:shd w:val="clear" w:color="auto" w:fill="FFFFFF"/>
        </w:rPr>
        <w:t xml:space="preserve">Han perdido el sentido de realidad y se han emborrachado de subterfugios. Mientras jugueteaban en el mundo de los “goldilocks” (Ricitos de Oro), con la ideología de género, huella ecológica, salvar el planeta, dejar de comer carne, no viajar en avión, utilizar energías renovables, cerrar las centrales de energía nuclear, ir al trabajo en bicicleta, ser sostenible,  circular, resiliente, guay, progre, woke…  confiaban en blockchain, criptoactivos, avatares y metaversos… han ignorado que la gasolina, el gas, la luz, la cadena de suministros, han saltado por los aires y sus restos están cayendo sobre una ciudadanía encogida y arruinada. </w:t>
      </w:r>
    </w:p>
    <w:p w:rsidR="002B4FF0" w:rsidRPr="000D3F82" w:rsidRDefault="002B4FF0" w:rsidP="002B4FF0">
      <w:pPr>
        <w:pStyle w:val="NormalWeb"/>
        <w:spacing w:after="0"/>
        <w:jc w:val="both"/>
        <w:textAlignment w:val="baseline"/>
        <w:rPr>
          <w:shd w:val="clear" w:color="auto" w:fill="FFFFFF"/>
        </w:rPr>
      </w:pPr>
      <w:r w:rsidRPr="000D3F82">
        <w:rPr>
          <w:shd w:val="clear" w:color="auto" w:fill="FFFFFF"/>
        </w:rPr>
        <w:t xml:space="preserve">¿Por qué la economía europea tiene la mala costumbre de situarse entre las perdedoras de todas las crisis? Lo fue en 2008 (financiera), en 2012 (monetaria) y en 2020 (sanitaria). En 2022 vuelve a tener un flanco débil en energía, materias primas, y productos básicos. </w:t>
      </w:r>
    </w:p>
    <w:p w:rsidR="002B4FF0" w:rsidRPr="000D3F82" w:rsidRDefault="002B4FF0" w:rsidP="002B4FF0">
      <w:pPr>
        <w:pStyle w:val="NormalWeb"/>
        <w:spacing w:after="0"/>
        <w:jc w:val="both"/>
        <w:textAlignment w:val="baseline"/>
        <w:rPr>
          <w:shd w:val="clear" w:color="auto" w:fill="FFFFFF"/>
        </w:rPr>
      </w:pPr>
      <w:r w:rsidRPr="000D3F82">
        <w:rPr>
          <w:shd w:val="clear" w:color="auto" w:fill="FFFFFF"/>
        </w:rPr>
        <w:t>¿Habrá algún “mariscal de la derrota” que pague cara la pérdida de soberanía estratégica?</w:t>
      </w:r>
    </w:p>
    <w:p w:rsidR="002B4FF0" w:rsidRPr="000D3F82" w:rsidRDefault="002B4FF0" w:rsidP="002B4FF0">
      <w:pPr>
        <w:pStyle w:val="NormalWeb"/>
        <w:spacing w:after="0"/>
        <w:jc w:val="both"/>
        <w:textAlignment w:val="baseline"/>
        <w:rPr>
          <w:shd w:val="clear" w:color="auto" w:fill="FFFFFF"/>
        </w:rPr>
      </w:pPr>
      <w:r w:rsidRPr="000D3F82">
        <w:rPr>
          <w:shd w:val="clear" w:color="auto" w:fill="FFFFFF"/>
        </w:rPr>
        <w:t>La tormenta perfecta ya está aquí, y la “elite estéril” de Bruselas, sigue como Tarzán: “en bolas, y por las ramas”. Es lo que tiene cuando la Unión Europea depende de los más inútiles.</w:t>
      </w:r>
    </w:p>
    <w:p w:rsidR="002B4FF0" w:rsidRPr="000D3F82" w:rsidRDefault="002B4FF0" w:rsidP="002B4FF0">
      <w:pPr>
        <w:pStyle w:val="NormalWeb"/>
        <w:spacing w:after="0"/>
        <w:jc w:val="both"/>
        <w:textAlignment w:val="baseline"/>
        <w:rPr>
          <w:shd w:val="clear" w:color="auto" w:fill="FFFFFF"/>
        </w:rPr>
      </w:pPr>
      <w:r w:rsidRPr="000D3F82">
        <w:rPr>
          <w:shd w:val="clear" w:color="auto" w:fill="FFFFFF"/>
        </w:rPr>
        <w:lastRenderedPageBreak/>
        <w:t>¿Va a seguir siendo la Comisión Europea el avergonzado gestor de la nada de una región en bancarrota y en apariencia dispuesto, con la resignación del manso, a aceptar su triste destino, o surgirán unos líderes con mimbres morales bastantes para urdir una trama capaz de sacarla adelante -sangre, sudor y lágrimas- desde la plataforma de un proyecto liberal?</w:t>
      </w:r>
    </w:p>
    <w:p w:rsidR="002B4FF0" w:rsidRPr="000D3F82" w:rsidRDefault="002B4FF0" w:rsidP="002B4FF0">
      <w:pPr>
        <w:pStyle w:val="NormalWeb"/>
        <w:spacing w:after="0"/>
        <w:jc w:val="both"/>
        <w:textAlignment w:val="baseline"/>
        <w:rPr>
          <w:shd w:val="clear" w:color="auto" w:fill="FFFFFF"/>
        </w:rPr>
      </w:pPr>
      <w:r w:rsidRPr="000D3F82">
        <w:rPr>
          <w:shd w:val="clear" w:color="auto" w:fill="FFFFFF"/>
        </w:rPr>
        <w:t>¿Una Comisión Europea, de “tecnócratas”? Conviene decir enseguida que esta sería la peor salida imaginable de la crisis profunda que hoy vive la región. Una puerta sin esperanza.</w:t>
      </w:r>
    </w:p>
    <w:p w:rsidR="002B4FF0" w:rsidRPr="000D3F82" w:rsidRDefault="002B4FF0" w:rsidP="002B4FF0">
      <w:pPr>
        <w:pStyle w:val="NormalWeb"/>
        <w:spacing w:after="0"/>
        <w:jc w:val="both"/>
        <w:textAlignment w:val="baseline"/>
        <w:rPr>
          <w:shd w:val="clear" w:color="auto" w:fill="FFFFFF"/>
        </w:rPr>
      </w:pPr>
      <w:r w:rsidRPr="000D3F82">
        <w:rPr>
          <w:shd w:val="clear" w:color="auto" w:fill="FFFFFF"/>
        </w:rPr>
        <w:t>En las últimas décadas, la Comisión Europea (con algunos “tecnócratas” y demasiados “floreros chinos” que los países miembro no sabían dónde ponerlos) no ha pasado de ser una especie de taller de reparaciones para que la socialdemocracia purgue los excesos de una izquierda extasiada ante la posibilidad de gastar el dinero ajeno.</w:t>
      </w:r>
    </w:p>
    <w:p w:rsidR="002B4FF0" w:rsidRPr="00E527E0" w:rsidRDefault="002B4FF0" w:rsidP="002B4FF0">
      <w:pPr>
        <w:pStyle w:val="NormalWeb"/>
        <w:spacing w:after="0"/>
        <w:jc w:val="both"/>
        <w:textAlignment w:val="baseline"/>
        <w:rPr>
          <w:shd w:val="clear" w:color="auto" w:fill="FFFFFF"/>
        </w:rPr>
      </w:pPr>
      <w:r w:rsidRPr="00E527E0">
        <w:rPr>
          <w:shd w:val="clear" w:color="auto" w:fill="FFFFFF"/>
        </w:rPr>
        <w:t xml:space="preserve">Dice Jesús Cacho, otro periodista español, de primer nivel, en su comentario del </w:t>
      </w:r>
      <w:r>
        <w:rPr>
          <w:b/>
          <w:shd w:val="clear" w:color="auto" w:fill="FFFFFF"/>
        </w:rPr>
        <w:t>27</w:t>
      </w:r>
      <w:r w:rsidRPr="00E527E0">
        <w:rPr>
          <w:b/>
          <w:shd w:val="clear" w:color="auto" w:fill="FFFFFF"/>
        </w:rPr>
        <w:t>/3/22</w:t>
      </w:r>
      <w:r w:rsidRPr="00E527E0">
        <w:rPr>
          <w:shd w:val="clear" w:color="auto" w:fill="FFFFFF"/>
        </w:rPr>
        <w:t xml:space="preserve"> (Voxpópuli): “Pero ese modelo hace tiempo que ha entrado en crisis. Crisis terminal. Tal vez el mejor ejemplo sea ahora mismo Francia, un país que dedica casi el 62% de su PIB a gasto </w:t>
      </w:r>
      <w:r>
        <w:rPr>
          <w:shd w:val="clear" w:color="auto" w:fill="FFFFFF"/>
        </w:rPr>
        <w:t>público. Cuando, cada 1-E</w:t>
      </w:r>
      <w:r w:rsidRPr="00E527E0">
        <w:rPr>
          <w:shd w:val="clear" w:color="auto" w:fill="FFFFFF"/>
        </w:rPr>
        <w:t>, los Estados levantan el telón de sus respectivos Presupuestos, la parte del león de los mismos está asignada con compromisos de gasto insoslayables, a los que se añaden constantes remiendos de gasto nuevo que se convierte en estructural y se enchufa directamente a una deuda que no ha dejado de crecer en los últimos años por culpa, entre otras cosas, de la pandemia. Todo ya repartido, todas las cartas marcadas, todo el futuro agotado en una UE acogotada por la burocracia. No hay crecimiento. No hay empleo. No hay futuro para los jóvenes. España es quizá el mejor ejemplo de este drama”…</w:t>
      </w:r>
    </w:p>
    <w:p w:rsidR="002B4FF0" w:rsidRDefault="0007527A" w:rsidP="002B4FF0">
      <w:pPr>
        <w:pStyle w:val="NormalWeb"/>
        <w:spacing w:after="0"/>
        <w:jc w:val="both"/>
        <w:textAlignment w:val="baseline"/>
        <w:rPr>
          <w:shd w:val="clear" w:color="auto" w:fill="FFFFFF"/>
        </w:rPr>
      </w:pPr>
      <w:r>
        <w:rPr>
          <w:shd w:val="clear" w:color="auto" w:fill="FFFFFF"/>
        </w:rPr>
        <w:t>“</w:t>
      </w:r>
      <w:r w:rsidR="002B4FF0" w:rsidRPr="00E527E0">
        <w:rPr>
          <w:shd w:val="clear" w:color="auto" w:fill="FFFFFF"/>
        </w:rPr>
        <w:t>Y, ¿qué ha hecho Europa para combatir este cáncer terminal? Nada, regodearse en su infortunio. Incrementar exponencialmente el mal con nuevas metástasis. Con el agravante de que ha sido la derecha la que ha asumido casi en exclusiva el papel de garante de esa socialdemocracia desvencijada, ese Estado paternalista que todo lo invade achicharrando la iniciativa privada. La derecha como gestor atontado de un modelo, el socialdemócrata, claramente agotado, del que se han ido desprendiendo cual frutos maduros los partidos socialistas (el francés, el italiano, el griego, con el portugués jugando a liberal) hasta desaparecer. El socialismo muere y, donde sobrevive, se radicaliza, se echa al</w:t>
      </w:r>
      <w:r w:rsidR="002B4FF0">
        <w:rPr>
          <w:shd w:val="clear" w:color="auto" w:fill="FFFFFF"/>
        </w:rPr>
        <w:t xml:space="preserve"> monte, caso del PSOE en España</w:t>
      </w:r>
      <w:r w:rsidR="002B4FF0" w:rsidRPr="00E527E0">
        <w:rPr>
          <w:shd w:val="clear" w:color="auto" w:fill="FFFFFF"/>
        </w:rPr>
        <w:t>. Pero esa derecha que ha renunciado a los viejos principios no tiene ya capacidad para gestionar el monstruo de unos Estados inmanejables, quebrados en su mayoría, con una deuda superior a los bienes y servicios que un país como España es capaz de producir en un año entero”, agrega.</w:t>
      </w:r>
    </w:p>
    <w:p w:rsidR="00A62FFD" w:rsidRDefault="00A62FFD" w:rsidP="00A62FFD">
      <w:pPr>
        <w:jc w:val="both"/>
        <w:rPr>
          <w:rFonts w:ascii="Times New Roman" w:hAnsi="Times New Roman" w:cs="Times New Roman"/>
          <w:sz w:val="24"/>
          <w:szCs w:val="24"/>
        </w:rPr>
      </w:pPr>
      <w:r w:rsidRPr="00A62FFD">
        <w:rPr>
          <w:rFonts w:ascii="Times New Roman" w:hAnsi="Times New Roman" w:cs="Times New Roman"/>
          <w:sz w:val="24"/>
          <w:szCs w:val="24"/>
          <w:shd w:val="clear" w:color="auto" w:fill="FFFFFF"/>
        </w:rPr>
        <w:t>Pero este “declive”</w:t>
      </w:r>
      <w:r>
        <w:rPr>
          <w:rFonts w:ascii="Times New Roman" w:hAnsi="Times New Roman" w:cs="Times New Roman"/>
          <w:sz w:val="24"/>
          <w:szCs w:val="24"/>
          <w:shd w:val="clear" w:color="auto" w:fill="FFFFFF"/>
        </w:rPr>
        <w:t xml:space="preserve"> europeo</w:t>
      </w:r>
      <w:r w:rsidRPr="00A62FFD">
        <w:rPr>
          <w:rFonts w:ascii="Times New Roman" w:hAnsi="Times New Roman" w:cs="Times New Roman"/>
          <w:sz w:val="24"/>
          <w:szCs w:val="24"/>
          <w:shd w:val="clear" w:color="auto" w:fill="FFFFFF"/>
        </w:rPr>
        <w:t xml:space="preserve"> viene de lejos:</w:t>
      </w:r>
      <w:r>
        <w:rPr>
          <w:rFonts w:ascii="Times New Roman" w:eastAsia="Times New Roman" w:hAnsi="Times New Roman"/>
          <w:bCs/>
          <w:kern w:val="36"/>
          <w:sz w:val="24"/>
          <w:szCs w:val="24"/>
          <w:lang w:eastAsia="es-ES"/>
        </w:rPr>
        <w:t xml:space="preserve">en </w:t>
      </w:r>
      <w:r w:rsidRPr="001F69FD">
        <w:rPr>
          <w:rFonts w:ascii="Times New Roman" w:eastAsia="Times New Roman" w:hAnsi="Times New Roman"/>
          <w:b/>
          <w:bCs/>
          <w:kern w:val="36"/>
          <w:sz w:val="24"/>
          <w:szCs w:val="24"/>
          <w:lang w:eastAsia="es-ES"/>
        </w:rPr>
        <w:t>Febrero, de 2005</w:t>
      </w:r>
      <w:r>
        <w:rPr>
          <w:rFonts w:ascii="Times New Roman" w:eastAsia="Times New Roman" w:hAnsi="Times New Roman"/>
          <w:bCs/>
          <w:kern w:val="36"/>
          <w:sz w:val="24"/>
          <w:szCs w:val="24"/>
          <w:lang w:eastAsia="es-ES"/>
        </w:rPr>
        <w:t xml:space="preserve">, publiqué el </w:t>
      </w:r>
      <w:r w:rsidRPr="001F69FD">
        <w:rPr>
          <w:rFonts w:ascii="Times New Roman" w:eastAsia="Times New Roman" w:hAnsi="Times New Roman"/>
          <w:b/>
          <w:bCs/>
          <w:kern w:val="36"/>
          <w:sz w:val="24"/>
          <w:szCs w:val="24"/>
          <w:lang w:eastAsia="es-ES"/>
        </w:rPr>
        <w:t>Paper</w:t>
      </w:r>
      <w:r>
        <w:rPr>
          <w:rFonts w:ascii="Times New Roman" w:eastAsia="Times New Roman" w:hAnsi="Times New Roman"/>
          <w:bCs/>
          <w:kern w:val="36"/>
          <w:sz w:val="24"/>
          <w:szCs w:val="24"/>
          <w:lang w:eastAsia="es-ES"/>
        </w:rPr>
        <w:t xml:space="preserve"> titulado: </w:t>
      </w:r>
      <w:r>
        <w:rPr>
          <w:rFonts w:ascii="Times New Roman" w:hAnsi="Times New Roman" w:cs="Times New Roman"/>
          <w:b/>
          <w:sz w:val="24"/>
          <w:szCs w:val="24"/>
        </w:rPr>
        <w:t>El “fusilamiento” del Estado del Bienestar</w:t>
      </w:r>
      <w:r>
        <w:rPr>
          <w:rFonts w:ascii="Times New Roman" w:hAnsi="Times New Roman" w:cs="Times New Roman"/>
          <w:sz w:val="24"/>
          <w:szCs w:val="24"/>
        </w:rPr>
        <w:t>, en cuyo Apartado:</w:t>
      </w:r>
      <w:r w:rsidRPr="00A62FFD">
        <w:rPr>
          <w:rFonts w:ascii="Times New Roman" w:hAnsi="Times New Roman" w:cs="Times New Roman"/>
          <w:b/>
          <w:sz w:val="24"/>
          <w:szCs w:val="24"/>
        </w:rPr>
        <w:t>Del Estado del Bienestar al Estado del Malestar</w:t>
      </w:r>
      <w:r>
        <w:rPr>
          <w:rFonts w:ascii="Times New Roman" w:hAnsi="Times New Roman" w:cs="Times New Roman"/>
          <w:sz w:val="24"/>
          <w:szCs w:val="24"/>
        </w:rPr>
        <w:t>, sostenía:</w:t>
      </w:r>
    </w:p>
    <w:p w:rsidR="00A62FFD" w:rsidRDefault="003C08AC" w:rsidP="00A62FFD">
      <w:pPr>
        <w:jc w:val="both"/>
        <w:rPr>
          <w:rFonts w:ascii="Times New Roman" w:hAnsi="Times New Roman" w:cs="Times New Roman"/>
          <w:sz w:val="24"/>
          <w:szCs w:val="24"/>
        </w:rPr>
      </w:pPr>
      <w:r>
        <w:rPr>
          <w:rFonts w:ascii="Times New Roman" w:hAnsi="Times New Roman" w:cs="Times New Roman"/>
          <w:sz w:val="24"/>
          <w:szCs w:val="24"/>
        </w:rPr>
        <w:t xml:space="preserve">El lenguaje de los hechos. </w:t>
      </w:r>
      <w:r w:rsidR="00A62FFD">
        <w:rPr>
          <w:rFonts w:ascii="Times New Roman" w:hAnsi="Times New Roman" w:cs="Times New Roman"/>
          <w:sz w:val="24"/>
          <w:szCs w:val="24"/>
        </w:rPr>
        <w:t>Cuando no se puede negar lo obvio, torcer la realidad, ocultar la evidencia, demostrar lo indemostrable.</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En las próximas páginas intentaré probar -ojalá lo logre- que los “neoecon” han pasado de la desigualdad a la indiferencia, de allí al odio, y por encima de todo al egoísmo…</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Han logrado -y siguen- difundir el mensaje de que los dos principales programas del Estado del Bienestar -pensiones y salud- son dos bombas de relojería  en el corazón de la economía de mercado (¿qué mercado?)</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Según dicen… los gobiernos y las oposiciones practican con las pensiones la política del avestruz o, lo que es lo mismo, hacen suyo el viejo lema keynesiano “a largo plazo, todos muertos”. Los mayores constituyen una porción de votos cada vez mayor y lógicamente tienen pavor al cambio. Sin embargo, la pregunta es qué sucederá cuando las jóvenes generaciones se nieguen a sacrificar su nivel de vida para pagar las pensiones y/o la sanidad de los viejos o se rebelen contra una situación de trabajos forzados en beneficio de los mayores. Un escenario como éste no es improbable, sino muy posible, y constituirá un serio problema social y político en un horizonte no muy lejano. Es la “guerra civil fría” sugerida por Alain Madelin ante la resistencia de la derecha francesa a adoptar una reforma en serio de las pensiones.</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Desde este enfoque, los países industrializados deberían plantearse la posibilidad de sustituir de manera progresiva el actual sistema de pensiones basado en el reparto por otro sustentado en la capitalización.</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La razón (¿qué razón?) es que la cobertura pública del retiro está en crisis en todas partes.</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Según dicen… cuando se creó en la mayoría de los países industrializados, el número de cotizantes era muy superior al de los que percibían prestaciones por jubilación y muy pocos vivían hasta la edad necesaria para percibir sus prestaciones, lo que garantizaba que pudiese cumplir sus promesas. A comienzos del siglo XXI la situación es distinta. La caída de la tasa de natalidad, unida al aumento de la esperanza de vida, implica que un número cada vez más reducido de jóvenes trabajadores no sólo tendrá que soportar una carga fiscal creciente para financiar las pensiones de sus mayores, sino que no recibirá los mismos beneficios. Si no se hace nada, esa gigantesca transferencia de rentas de las clases activas a las pasivas reducirá el crecimiento y el nivel de vida de las generaciones futuras, al tiempo que pondrá las bases para un conflicto intergeneracional de consecuencias imprevisibles.</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¿Qué hacer?, se preguntan los “neoecon”, y se contestan -para continuar “colando” el mensaje-, “De entrada, un aumento de los impuestos y/o cotizaciones a la Seguridad Social para financiar el modelo de reparto tendría efectos económicos muy negativos. La oferta de trabajo no es inelástica. De hecho, responde a los cambios en los tipos impositivos. Desde esta perspectiva, mantener el actual sistema de pensiones y el inevitable incremento de la carga fiscal necesario para financiarlo reduciría los incentivos para incorporarse a la vida laboral. Esta caída o desaceleración de la tasa de actividad, que se producirá en todo caso por razones demográficas, tendría un impacto negativo sobre el PIB y acentuaría los desequilibrios estructurales del esquema de reparto. A la vez, la subida de la imposición sobre el factor trabajo deprimiría la tasa de ahorro privado y la acumulación de capital que alimenta el crecimiento económico y de la productividad en el medio y largo plazo”.</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Otros -más cínicos, si cabe- sostienen que desde que la democracia moderna puso la ciudadanía como raíz de la legitimidad política han existido tensiones entre libertad e igualdad. En toda sociedad democrática -dicen-, la libertad para todos entra en conflicto con la igualdad para todos, y viceversa. Pero no importa con qué frecuencia proclamamos que todos “hemos nacido libres e iguales en dignidad y derechos”, este choque de principios no ha disminuido…</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Y rematan, “la dimensión óptima del Estado de bienestar en un país desarrollado y próspero es aquélla que es sostenible en el tiempo y que crea unas reglas de juego estables y predecibles para los agentes que cubre las contingencias sin desincentivar decisiones de ahorro y trabajo”…</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 todos estos “escribas” de la globalización, la privatización, la financierización y el librecambio, podría contestarles diciéndoles que han sido ellos -o sus mentores, o quienes le pagan la nómina- los que han propiciado y han logrado “tirar el agua de la palangana con el bebé adentro”…</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Que no son los factores demográficos los que desbalancean -el lado de la demanda- el equilibrio de la cobertura pública del sistema de la seguridad social -pensiones, sanidad y subsidio de desempleo-, sino que es  el bajo nivel de ocupación y remuneración de la población en edad de trabajar -el lado de la oferta-, el que provoca -con premeditación y alevosía- la insostenibilidad del Estado del bienestar. </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Pero voy a dejar q</w:t>
      </w:r>
      <w:r w:rsidR="0007527A">
        <w:rPr>
          <w:rFonts w:ascii="Times New Roman" w:hAnsi="Times New Roman" w:cs="Times New Roman"/>
          <w:sz w:val="24"/>
          <w:szCs w:val="24"/>
        </w:rPr>
        <w:t>ue les conteste Ernesto Sá</w:t>
      </w:r>
      <w:r>
        <w:rPr>
          <w:rFonts w:ascii="Times New Roman" w:hAnsi="Times New Roman" w:cs="Times New Roman"/>
          <w:sz w:val="24"/>
          <w:szCs w:val="24"/>
        </w:rPr>
        <w:t>bato (“Antes del fin”): “Al parecer, la dignidad de la vida humana no estaba prevista en el plan de la globalización. La angustia es lo único que ha alcanzado niveles nunca vistos. Es un mundo que vive en la perversidad, donde unos pocos contabilizan sus logros sobre la amputación de la vida de la inmensa mayoría. Se ha hecho creer a algún pobre diablo que pertenece al Primer Mundo por acceder a los innumerables productos de un supermercado. Y mientras aquel pobre infeliz duerme tranquilo, encerrado en su fortaleza de aparatos y cachivaches, miles de familias deben sobrevivir con un dólar diario. Son millones los excluidos del gran banquete de los economicistas…</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Ahora, el hombre está al borde de convertirse en un clon por encargo: ojos celestes, simpático, emprendedor, insensible al dolor o trágicamente, preparado para esclavo. Engranajes de una máquina, factores de un sistema, ¡qué lejos, Hölderlin, de cuando los hombres se sentían hijos de los Dioses!</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Los jóvenes lo sufren: ya no quieren tener hijos. No cabe escepticismo mayor.</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Así como los animales en cautiverio, nuestras jóvenes generaciones no se arriesgan a ser padres. Tal es el estado del mundo que les hemos entregado”…</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busco respuesta en Pascal Bruckner (“Miseria de la prosperidad”): “Nunca hasta ahora se habían dado desigualdades tan fuertes con un enriquecimiento tan espectacular de fondo…</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Como ya sabemos, la nueva preponderancia de los mercados financieros, la revolución tecnológica, el paso de un capitalismo empresarial a un capitalismo donde los accionistas imponen la norma en detrimento de los trabajadores explican en gran medida esta situación. De esto se deriva la congelación de las rentas del trabajo, la desconexión entre el crecimiento económico y la evolución de los valores bursátiles, la disfunción de la movilidad social y el fin del contrato de trabajo establecido tras la segunda guerra mundial, garante de la estabilidad del empleo y la protección de los poderes públicos. Como si todas las conquistas posteriores a 1945 se hubieran borrado a favor de una sociedad más fría, hostil a los débiles y sonriente para los pudientes. Parece necesario volver a empezar, iniciar una nueva lucha por la vida y la dignidad. Es un retorno a la casilla de salida, a los albores del movimiento obrero, pero sin las ilusiones que movían a los militantes y agitadores de entonces. Es el regreso de un capitalismo duro, despiadado con los inútiles, generador de empleos de baja cualificación y escasa remuneración, un sistema brutal pues carece de perspectiva de un futuro mejor”…</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Además, agrego algunas palabras de Zygmunt Bauman (“Comunidad”): “En resumen: se ha acabado la mayoría de los puntos de referencia constantes y sólidamente establecidos que sugerían un entorno social más duradero, más seguro y más digno de confianza que el tiempo </w:t>
      </w:r>
      <w:r>
        <w:rPr>
          <w:rFonts w:ascii="Times New Roman" w:hAnsi="Times New Roman" w:cs="Times New Roman"/>
          <w:sz w:val="24"/>
          <w:szCs w:val="24"/>
        </w:rPr>
        <w:lastRenderedPageBreak/>
        <w:t>que duraba una vida individual. Se ha acabado la certeza de que “volveremos a vernos”, de que estaremos viéndonos repetidamente y durante un largo tiempo futuro, y de que, por tanto, puede suponerse que la sociedad tiene una larga memoria y que lo que nos hagamos mutuamente nos confortará o atormentará en el futuro; de que lo que nos hagamos recíprocamente tendrá una importancia algo más episódica, puesto que las consecuencias de nuestras acciones nos acompañarán mucho tiempo después de que nuestras acciones, en apariencia, hayan finalizado, sobreviviendo en la mente y en los hechos de testigos que no van a desaparecer… Es esta experiencia la que hoy se echa de menos, y su ausencia se describe como “decadencia”, “muerte” o “eclipse” de la comunidad… Los lazos comunitarios se hacen cada vez más prescindibles… Las lealtades personales disminuyen su alcance a través del sucesivo debilitamiento de los lazos nacionales, los lazos regionales, los lazos comunitarios, los lazos con el vecindario, los lazos familiares y, finalmente, los lazos con una imagen coherente de la propia identidad…</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La percepción de la injusticia y de los agravios que suscita, como tantas otras cosas en la época de desvinculación que define el estado “liquido” de la modernidad, ha sufrido un proceso de “individualización”. Se supone que los problemas se sufren y solucionan en solitario y son singularmente inadecuados para acumularse en una comunidad de intereses que busca soluciones colectivas a problemas individuales”…</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otro de sus libros (“Modernidad líquida”), el mismo Bauman, sostiene: “No obstante, si la idea de progreso en su forma actual nos resulta tan poco familiar que cada uno se pregunta si aún está entre nosotros, es porque el progreso, como tantos otros parámetros de la vida moderna, ha sido “individualizado”; lo que es más: “desregulado” y “privatizado”. Está desregulado porque  la oferta de opciones para “mejorar” las realidades presentes es muy diversa, y porque el tema de si una novedad en particular significa verdaderamente una mejora respecto de otra ha quedado librado, antes y después de su aparición, a la libre competencia entre ambas, competencia que perdura incluso después de que ya hemos elegido una de ellas. Y el progreso está privatizado porque el mejoramiento ya no es una empresa colectiva sino individual: se espera que los hombres y mujeres individuales usen, por sí mismos e individualmente, su propio ingenio, recursos y laboriosidad para elevar su condición a otra más satisfactoria y dejar atrás todo aquello de su condición presente que les repugne. Como apuntara Ulrico Beck en su esclarecedor estudio sobre la “Risikogesellschaft” contemporánea, “la tendencia es hacia la aparición de formas y condiciones de existencia individualizadas que impulsan a las personas -en nombre de su propia supervivencia material- a transformarse en el centro de su propia planificación y conducta de vida… De hecho, uno debe optar y cambiar su identidad social y a la vez aceptar el riesgo que esto implica… El individuo en sí mismo se transforma en la unidad reproductiva de lo social en el mundo vital”… </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El enfoque predominante, basado en el mercado y la competencia han contribuido considerablemente a la actual deprimida situación económica y social, poniéndose de manifiesto la dificultad de atraer a los ciudadanos hacia un sistema económico hostil a la provisión del bienestar y la solidaridad social.</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mi -modesta- opinión, la mejor manera de superar los actuales problemas consiste en promover un modelo de desarrollo para toda Europa cuyas piedras angulares estén constituidas por el pleno empleo, un alto nivel de bienestar, equidad social, sostenibilidad ecológica y una amplia cooperación internacional. Este modelo social podría convertirse en una alternativa muy atractiva y poderosa al modelo de Estados Unidos de poder militar con pobres estándares sociales. Pero no es en absoluto el resultado automático ni el fruto de los </w:t>
      </w:r>
      <w:r>
        <w:rPr>
          <w:rFonts w:ascii="Times New Roman" w:hAnsi="Times New Roman" w:cs="Times New Roman"/>
          <w:sz w:val="24"/>
          <w:szCs w:val="24"/>
        </w:rPr>
        <w:lastRenderedPageBreak/>
        <w:t>mercados liberalizados y la competencia. Su puesta en práctica deberá hacer frente a la resistencia de aquellos grupos y poderes que se benefician de la actual situación, y requiere, por tanto, una intervención política enérgica. La calidad de dicha intervención depende en su desarrollo de un amplio movimiento social y un debate público abierto, es decir, de su carácter democrático.</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Las actuales estrategias de la globalización de mercado y del capital están dando lugar a la concentración de sectores de gran riqueza, junto a grandes masas de miseria y a un gran número de población superflua y desprovista de derechos. Hasta 1960 había en el mundo un rico por cada 30 pobres; hoy la proporción es de un rico por cada 80 pobres.</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La ideología neoliberal del mercado reduce la vida humana a un mero análisis de costes y beneficios que desemboca en un individualismo sistemático basado en el cálculo de las ventajas individuales obtenidas dentro de un grupo social. Todo ello encamina a los seres humanos hacia un neoindividualismo posesivo y consumista que configura la base antropológica y social de nuestra época.</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Esta ideología se transforma en un factor poderoso de desintegración y descohesión social, ya que ha dejado carente de vínculos sociales a un amplio sector de la población mundial, que pasa a convertirse en una especie de nuevos “parias” de la civilización global. Los nuevos excluidos del mercado global tienen una característica en común: su falta de capacidad económica para el consumo, su imposibilidad de llegar a ser una especie de “consumidor universal” o transnacional; en una palabra, su “prescindibilidad” para el sistema. El consumo o, mejor dicho, la capacidad económica para consumir -basada en una lógica individualista y competitiva-, se convierte actualmente en el criterio más importante de inclusión o exclusión social. El neoindividualismo consumista quiebra la conciencia de clase social, fragmenta la sociedad e incluso “privatiza” el propio vínculo social. La desigualdad ya no representa sólo un mecanismo ideológico de relación jerarquizada que se integra socialmente mediante la existencia de derechos de contenido redistributivo y mediante la aspiración al “interés general” de las relaciones de producción capitalistas. Ahora el neoliberalismo la ha convertido en un factor determinante de la exclusión social. Quien no resulta competitivo en la lucha económica es eliminado definitivamente de ella.</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Practicamos ahora un individualismo sin mala conciencia que acaba desembocando en un nihilismo destructivo, donde los objetos nos marcan exteriormente y donde se premia la posesión de riqueza, se “criminaliza” la pobreza y la ganancia privada se eleva a valor supremo. Este neoindividualismo posesivo se desdobla, a su vez, en lo que, paradójicamente, se podría denominar como “individualismo de la desposesión”, que es aquel que deriva de los efectos negativos que la sociedad global arroja sobre la mayoría de las personas: ausencia de trabajo, precarización del mismo, incultura, inseguridad y desprotección institucional. Tras ello lo que existe es una ética de la desesperanza y del “sálvese quien pueda”. Aunque, dado el caso, tal vez, tampoco alcance. </w:t>
      </w:r>
    </w:p>
    <w:p w:rsidR="00A62FFD" w:rsidRDefault="0007527A"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Una vez más, volviendo a Sá</w:t>
      </w:r>
      <w:r w:rsidR="00A62FFD">
        <w:rPr>
          <w:rFonts w:ascii="Times New Roman" w:hAnsi="Times New Roman" w:cs="Times New Roman"/>
          <w:sz w:val="24"/>
          <w:szCs w:val="24"/>
        </w:rPr>
        <w:t>bato (“España en los diarios de mi vejez”): “Porque esta crisis, que tanta desolación está ocasionando, tiene también su contrapartida: ya no hay posibilidades para los pueblos ni para las personas de jugarse por sí mismos. El “sálvese quien pueda” no sólo es inmoral, sino que tampoco alcanza. Es ésta una hora decisiva. Sobre nuestra generación pesa el destino, y es ésta nuestra responsabilidad histórica”.</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 más preocupante es que el neoindividualismo privatista aspira a convertirse en una nueva ética universal y homogénea, perfectamente difundida por los monopolios mediáticos. Su universalidad moral se difunde frente a cualquiera de las éticas. Estamos ahora ante la </w:t>
      </w:r>
      <w:r>
        <w:rPr>
          <w:rFonts w:ascii="Times New Roman" w:hAnsi="Times New Roman" w:cs="Times New Roman"/>
          <w:sz w:val="24"/>
          <w:szCs w:val="24"/>
        </w:rPr>
        <w:lastRenderedPageBreak/>
        <w:t>universalización de un individualismo que se basa en el criterio del imperio de la ley del más fuerte y abandona a los seres humanos a su insegura gestión de los riesgos de alimentación, salud, educación, vivienda, trabajo y condiciones del mismo, vejez, enfermedades, discapacidad y seguridad. El neoindividualismo destruye la dimensión colectiva, solidaria y democrática de las relaciones sociales, rompe los vínculos de integración e instala a los seres humanos en una cultura de la satisfacción y del consumo inmediato. Asimismo sacraliza la competitividad como base antropológica de las relaciones entre individuos y produce una incomunicación o una especie de “autismo” social entre los seres humanos de consecuencias hasta ahora imprevisibles.</w:t>
      </w:r>
    </w:p>
    <w:p w:rsidR="00A62FFD" w:rsidRDefault="00A62FFD" w:rsidP="00A62FFD">
      <w:pPr>
        <w:spacing w:line="240" w:lineRule="auto"/>
        <w:jc w:val="both"/>
        <w:rPr>
          <w:rFonts w:ascii="Times New Roman" w:hAnsi="Times New Roman" w:cs="Times New Roman"/>
          <w:sz w:val="24"/>
          <w:szCs w:val="24"/>
        </w:rPr>
      </w:pPr>
      <w:r>
        <w:rPr>
          <w:rFonts w:ascii="Times New Roman" w:hAnsi="Times New Roman" w:cs="Times New Roman"/>
          <w:sz w:val="24"/>
          <w:szCs w:val="24"/>
        </w:rPr>
        <w:t>Es el triunfo de la privacidad sobre la colectividad. Según esta lógica, la gestión de las consecuencias sociales “perversas” de la globalización (paro estructural permanente, falta de cobertura social de las situaciones carenciales o de riesgo, conflictividad y violencia social, pobreza, repliegue cultural, analfabetismo, enfermedad, radicalización étnica, inseguridad) se traslada del ámbito público al ámbito de responsabilidad individual y, consecuentemente, a la gestión individual o, en el mejor de los casos, a la ayuda familiar. La sociedad deja de ofrecer mecanismos institucionales y universales de integración social, seguridad y solidaridad y, consecuentemente, abandona a las personas a su solitario, inseguro y “mercantilizado” destino. Las soluciones colectivas y solidarias no parecen factibles. La competitividad individual dentro del mercado es la única salvación posible…</w:t>
      </w:r>
    </w:p>
    <w:p w:rsidR="00A62FFD" w:rsidRDefault="00F759AC" w:rsidP="00A62FFD">
      <w:pPr>
        <w:spacing w:line="240" w:lineRule="auto"/>
        <w:jc w:val="both"/>
        <w:rPr>
          <w:rFonts w:ascii="Times New Roman" w:hAnsi="Times New Roman" w:cs="Times New Roman"/>
          <w:sz w:val="24"/>
          <w:szCs w:val="24"/>
        </w:rPr>
      </w:pPr>
      <w:r w:rsidRPr="001F69FD">
        <w:rPr>
          <w:rFonts w:ascii="Times New Roman" w:hAnsi="Times New Roman" w:cs="Times New Roman"/>
          <w:b/>
          <w:sz w:val="24"/>
          <w:szCs w:val="24"/>
        </w:rPr>
        <w:t>Nota</w:t>
      </w:r>
      <w:r>
        <w:rPr>
          <w:rFonts w:ascii="Times New Roman" w:hAnsi="Times New Roman" w:cs="Times New Roman"/>
          <w:sz w:val="24"/>
          <w:szCs w:val="24"/>
        </w:rPr>
        <w:t>; transcurridos 17 años (desde</w:t>
      </w:r>
      <w:r w:rsidR="00A62FFD">
        <w:rPr>
          <w:rFonts w:ascii="Times New Roman" w:hAnsi="Times New Roman" w:cs="Times New Roman"/>
          <w:sz w:val="24"/>
          <w:szCs w:val="24"/>
        </w:rPr>
        <w:t xml:space="preserve"> 2005 al 2022), con t</w:t>
      </w:r>
      <w:r>
        <w:rPr>
          <w:rFonts w:ascii="Times New Roman" w:hAnsi="Times New Roman" w:cs="Times New Roman"/>
          <w:sz w:val="24"/>
          <w:szCs w:val="24"/>
        </w:rPr>
        <w:t>res crisis “entre pecho y espalda”</w:t>
      </w:r>
      <w:r w:rsidR="00A62FFD">
        <w:rPr>
          <w:rFonts w:ascii="Times New Roman" w:hAnsi="Times New Roman" w:cs="Times New Roman"/>
          <w:sz w:val="24"/>
          <w:szCs w:val="24"/>
        </w:rPr>
        <w:t xml:space="preserve"> de los sufridos contribuyentes europeos (financiera en 2008, del euro en 2012, y sanitaria en 2020)</w:t>
      </w:r>
      <w:r>
        <w:rPr>
          <w:rFonts w:ascii="Times New Roman" w:hAnsi="Times New Roman" w:cs="Times New Roman"/>
          <w:sz w:val="24"/>
          <w:szCs w:val="24"/>
        </w:rPr>
        <w:t xml:space="preserve">, solo puedo agregar: “sic transit gloria mundi” (al menos para los mindundis europeos).  </w:t>
      </w:r>
    </w:p>
    <w:p w:rsidR="001F69FD" w:rsidRDefault="001F69FD" w:rsidP="00A62FFD">
      <w:pPr>
        <w:spacing w:line="240" w:lineRule="auto"/>
        <w:jc w:val="both"/>
        <w:rPr>
          <w:rFonts w:ascii="Times New Roman" w:hAnsi="Times New Roman" w:cs="Times New Roman"/>
          <w:b/>
          <w:sz w:val="24"/>
          <w:szCs w:val="24"/>
        </w:rPr>
      </w:pPr>
      <w:r w:rsidRPr="001F69FD">
        <w:rPr>
          <w:rFonts w:ascii="Times New Roman" w:hAnsi="Times New Roman" w:cs="Times New Roman"/>
          <w:b/>
          <w:sz w:val="24"/>
          <w:szCs w:val="24"/>
        </w:rPr>
        <w:t>(1/7/22)</w:t>
      </w:r>
      <w:r w:rsidR="00006C56">
        <w:rPr>
          <w:rFonts w:ascii="Times New Roman" w:hAnsi="Times New Roman" w:cs="Times New Roman"/>
          <w:b/>
          <w:sz w:val="24"/>
          <w:szCs w:val="24"/>
        </w:rPr>
        <w:t xml:space="preserve"> “E</w:t>
      </w:r>
      <w:r w:rsidR="00006C56" w:rsidRPr="001F69FD">
        <w:rPr>
          <w:rFonts w:ascii="Times New Roman" w:hAnsi="Times New Roman" w:cs="Times New Roman"/>
          <w:b/>
          <w:sz w:val="24"/>
          <w:szCs w:val="24"/>
        </w:rPr>
        <w:t>l gozo en un pozo</w:t>
      </w:r>
      <w:r w:rsidR="00006C56">
        <w:rPr>
          <w:rFonts w:ascii="Times New Roman" w:hAnsi="Times New Roman" w:cs="Times New Roman"/>
          <w:b/>
          <w:sz w:val="24"/>
          <w:szCs w:val="24"/>
        </w:rPr>
        <w:t>”(actualizando</w:t>
      </w:r>
      <w:r w:rsidRPr="001F69FD">
        <w:rPr>
          <w:rFonts w:ascii="Times New Roman" w:hAnsi="Times New Roman" w:cs="Times New Roman"/>
          <w:b/>
          <w:sz w:val="24"/>
          <w:szCs w:val="24"/>
        </w:rPr>
        <w:t xml:space="preserve"> el </w:t>
      </w:r>
      <w:r w:rsidR="00006C56">
        <w:rPr>
          <w:rFonts w:ascii="Times New Roman" w:hAnsi="Times New Roman" w:cs="Times New Roman"/>
          <w:b/>
          <w:sz w:val="24"/>
          <w:szCs w:val="24"/>
        </w:rPr>
        <w:t>marcador)</w:t>
      </w:r>
    </w:p>
    <w:p w:rsidR="001F69FD" w:rsidRPr="0007527A" w:rsidRDefault="00417459" w:rsidP="001F69FD">
      <w:pPr>
        <w:pStyle w:val="NormalWeb"/>
        <w:spacing w:after="360"/>
        <w:jc w:val="both"/>
      </w:pPr>
      <w:r w:rsidRPr="0007527A">
        <w:t>¿Para qué sirvió haber realizado un dramático proceso</w:t>
      </w:r>
      <w:r w:rsidR="001F69FD" w:rsidRPr="0007527A">
        <w:t xml:space="preserve"> de devaluación interna?</w:t>
      </w:r>
    </w:p>
    <w:p w:rsidR="001F69FD" w:rsidRPr="0007527A" w:rsidRDefault="001F69FD" w:rsidP="001F69FD">
      <w:pPr>
        <w:pStyle w:val="NormalWeb"/>
        <w:spacing w:after="360"/>
        <w:jc w:val="both"/>
      </w:pPr>
      <w:r w:rsidRPr="0007527A">
        <w:t>¿Para qué sirvió haber laminado el estado de bienestar?</w:t>
      </w:r>
    </w:p>
    <w:p w:rsidR="001F69FD" w:rsidRPr="0007527A" w:rsidRDefault="001F69FD" w:rsidP="001F69FD">
      <w:pPr>
        <w:pStyle w:val="NormalWeb"/>
        <w:spacing w:after="360"/>
        <w:jc w:val="both"/>
      </w:pPr>
      <w:r w:rsidRPr="0007527A">
        <w:t>¿Para qué sirvió haber evaporado</w:t>
      </w:r>
      <w:r w:rsidR="003C08AC" w:rsidRPr="0007527A">
        <w:t xml:space="preserve"> a</w:t>
      </w:r>
      <w:r w:rsidRPr="0007527A">
        <w:t xml:space="preserve"> la clase media</w:t>
      </w:r>
      <w:r w:rsidR="00254497">
        <w:t>?</w:t>
      </w:r>
    </w:p>
    <w:p w:rsidR="001F69FD" w:rsidRPr="0007527A" w:rsidRDefault="001F69FD" w:rsidP="001F69FD">
      <w:pPr>
        <w:pStyle w:val="NormalWeb"/>
        <w:spacing w:after="360"/>
        <w:jc w:val="both"/>
      </w:pPr>
      <w:r w:rsidRPr="0007527A">
        <w:t>¿Para qué sirvió haber empobrecido</w:t>
      </w:r>
      <w:r w:rsidR="003C08AC" w:rsidRPr="0007527A">
        <w:t xml:space="preserve"> a</w:t>
      </w:r>
      <w:r w:rsidRPr="0007527A">
        <w:t xml:space="preserve"> la clase trabajadora?</w:t>
      </w:r>
    </w:p>
    <w:p w:rsidR="00417459" w:rsidRPr="0007527A" w:rsidRDefault="00417459" w:rsidP="001F69FD">
      <w:pPr>
        <w:pStyle w:val="NormalWeb"/>
        <w:spacing w:after="360"/>
        <w:jc w:val="both"/>
      </w:pPr>
      <w:r w:rsidRPr="0007527A">
        <w:t>¿Para qué sirvió haber llevado adel</w:t>
      </w:r>
      <w:r w:rsidR="003C08AC" w:rsidRPr="0007527A">
        <w:t>ante un</w:t>
      </w:r>
      <w:r w:rsidRPr="0007527A">
        <w:t xml:space="preserve"> delirante mecanismo de represión financiera? </w:t>
      </w:r>
    </w:p>
    <w:p w:rsidR="001F69FD" w:rsidRPr="0007527A" w:rsidRDefault="00417459" w:rsidP="001F69FD">
      <w:pPr>
        <w:pStyle w:val="NormalWeb"/>
        <w:spacing w:after="360"/>
        <w:jc w:val="both"/>
      </w:pPr>
      <w:r w:rsidRPr="0007527A">
        <w:t>¿Para qué sirvió el descomunal incremento del déficit público</w:t>
      </w:r>
      <w:r w:rsidR="001F69FD" w:rsidRPr="0007527A">
        <w:t>?</w:t>
      </w:r>
    </w:p>
    <w:p w:rsidR="00417459" w:rsidRPr="0007527A" w:rsidRDefault="00417459" w:rsidP="001F69FD">
      <w:pPr>
        <w:pStyle w:val="NormalWeb"/>
        <w:spacing w:after="360"/>
        <w:jc w:val="both"/>
      </w:pPr>
      <w:r w:rsidRPr="0007527A">
        <w:t>¿Para qué sirvió el gigantesco incremento de la deuda pública?</w:t>
      </w:r>
    </w:p>
    <w:p w:rsidR="003C08AC" w:rsidRPr="0007527A" w:rsidRDefault="001F69FD" w:rsidP="001F69FD">
      <w:pPr>
        <w:pStyle w:val="NormalWeb"/>
        <w:spacing w:after="360"/>
        <w:jc w:val="both"/>
      </w:pPr>
      <w:r w:rsidRPr="0007527A">
        <w:t>¿Pa</w:t>
      </w:r>
      <w:r w:rsidR="00417459" w:rsidRPr="0007527A">
        <w:t xml:space="preserve">ra qué sirvió </w:t>
      </w:r>
      <w:r w:rsidR="003C08AC" w:rsidRPr="0007527A">
        <w:t>el exceso de liquidez del Banco Central Europeo?</w:t>
      </w:r>
    </w:p>
    <w:p w:rsidR="001F69FD" w:rsidRPr="0007527A" w:rsidRDefault="003C08AC" w:rsidP="001F69FD">
      <w:pPr>
        <w:pStyle w:val="NormalWeb"/>
        <w:spacing w:after="360"/>
        <w:jc w:val="both"/>
      </w:pPr>
      <w:r w:rsidRPr="0007527A">
        <w:t>¿Sirvió para mejorar la competitividad? NO.  ¿Sirvió para mejorar la productividad? NO.</w:t>
      </w:r>
    </w:p>
    <w:p w:rsidR="003C08AC" w:rsidRPr="0007527A" w:rsidRDefault="003C08AC" w:rsidP="001F69FD">
      <w:pPr>
        <w:pStyle w:val="NormalWeb"/>
        <w:spacing w:after="360"/>
        <w:jc w:val="both"/>
      </w:pPr>
      <w:r w:rsidRPr="0007527A">
        <w:t>¿Para qué sirvió entonces?: Para hacer más rico al 1% de la población, y más pobre al 99%.</w:t>
      </w:r>
    </w:p>
    <w:p w:rsidR="003C08AC" w:rsidRPr="0007527A" w:rsidRDefault="003C08AC" w:rsidP="001F69FD">
      <w:pPr>
        <w:pStyle w:val="NormalWeb"/>
        <w:spacing w:after="360"/>
        <w:jc w:val="both"/>
      </w:pPr>
      <w:r w:rsidRPr="0007527A">
        <w:t>¿Y para algo más?: Si, para aumentar el déficit y la deuda pública hasta límites surrealistas.</w:t>
      </w:r>
    </w:p>
    <w:p w:rsidR="001F69FD" w:rsidRDefault="001F69FD" w:rsidP="00A62FFD">
      <w:pPr>
        <w:spacing w:line="240" w:lineRule="auto"/>
        <w:jc w:val="both"/>
        <w:rPr>
          <w:rFonts w:ascii="Times New Roman" w:hAnsi="Times New Roman" w:cs="Times New Roman"/>
          <w:b/>
          <w:sz w:val="24"/>
          <w:szCs w:val="24"/>
        </w:rPr>
      </w:pPr>
      <w:r w:rsidRPr="007C7B5A">
        <w:rPr>
          <w:noProof/>
          <w:lang w:val="en-GB" w:eastAsia="zh-CN"/>
        </w:rPr>
        <w:lastRenderedPageBreak/>
        <w:drawing>
          <wp:inline distT="0" distB="0" distL="0" distR="0">
            <wp:extent cx="4400550" cy="4641850"/>
            <wp:effectExtent l="0" t="0" r="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4401165" cy="4642499"/>
                    </a:xfrm>
                    <a:prstGeom prst="rect">
                      <a:avLst/>
                    </a:prstGeom>
                  </pic:spPr>
                </pic:pic>
              </a:graphicData>
            </a:graphic>
          </wp:inline>
        </w:drawing>
      </w:r>
    </w:p>
    <w:p w:rsidR="001F69FD" w:rsidRPr="001F69FD" w:rsidRDefault="001F69FD" w:rsidP="00A62FFD">
      <w:pPr>
        <w:spacing w:line="240" w:lineRule="auto"/>
        <w:jc w:val="both"/>
        <w:rPr>
          <w:rFonts w:ascii="Times New Roman" w:hAnsi="Times New Roman" w:cs="Times New Roman"/>
          <w:b/>
          <w:sz w:val="24"/>
          <w:szCs w:val="24"/>
        </w:rPr>
      </w:pPr>
      <w:r w:rsidRPr="007C7B5A">
        <w:rPr>
          <w:noProof/>
          <w:lang w:val="en-GB" w:eastAsia="zh-CN"/>
        </w:rPr>
        <w:drawing>
          <wp:inline distT="0" distB="0" distL="0" distR="0">
            <wp:extent cx="5734049" cy="3848100"/>
            <wp:effectExtent l="0" t="0" r="63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3846396"/>
                    </a:xfrm>
                    <a:prstGeom prst="rect">
                      <a:avLst/>
                    </a:prstGeom>
                  </pic:spPr>
                </pic:pic>
              </a:graphicData>
            </a:graphic>
          </wp:inline>
        </w:drawing>
      </w:r>
    </w:p>
    <w:p w:rsidR="001C678E" w:rsidRDefault="001C678E" w:rsidP="001C678E">
      <w:pPr>
        <w:spacing w:line="240" w:lineRule="auto"/>
        <w:jc w:val="both"/>
        <w:rPr>
          <w:rFonts w:ascii="Times New Roman" w:hAnsi="Times New Roman" w:cs="Times New Roman"/>
          <w:b/>
          <w:sz w:val="24"/>
          <w:szCs w:val="24"/>
        </w:rPr>
      </w:pPr>
      <w:r>
        <w:rPr>
          <w:rFonts w:ascii="Times New Roman" w:eastAsia="Times New Roman" w:hAnsi="Times New Roman" w:cs="Times New Roman"/>
          <w:b/>
          <w:sz w:val="24"/>
          <w:szCs w:val="24"/>
          <w:lang w:eastAsia="es-ES"/>
        </w:rPr>
        <w:lastRenderedPageBreak/>
        <w:t xml:space="preserve">Abandono de la seguridad alimentaria </w:t>
      </w:r>
    </w:p>
    <w:p w:rsidR="00DD78C0" w:rsidRPr="00F37DEE" w:rsidRDefault="00DD78C0" w:rsidP="00DD78C0">
      <w:pPr>
        <w:spacing w:line="240" w:lineRule="auto"/>
        <w:jc w:val="both"/>
        <w:rPr>
          <w:rFonts w:ascii="Times New Roman" w:hAnsi="Times New Roman" w:cs="Times New Roman"/>
          <w:b/>
          <w:sz w:val="24"/>
          <w:szCs w:val="24"/>
        </w:rPr>
      </w:pPr>
      <w:r w:rsidRPr="00F37DEE">
        <w:rPr>
          <w:rFonts w:ascii="Times New Roman" w:hAnsi="Times New Roman" w:cs="Times New Roman"/>
          <w:b/>
          <w:sz w:val="24"/>
          <w:szCs w:val="24"/>
        </w:rPr>
        <w:t>(18/3/22) Convulsión en los mercados agrarios (cuando la PAC hizo CRACK)</w:t>
      </w:r>
    </w:p>
    <w:p w:rsidR="00DD78C0" w:rsidRPr="00F37DEE" w:rsidRDefault="00DD78C0" w:rsidP="00DD78C0">
      <w:pPr>
        <w:spacing w:line="240" w:lineRule="auto"/>
        <w:jc w:val="both"/>
        <w:rPr>
          <w:rFonts w:ascii="Times New Roman" w:hAnsi="Times New Roman" w:cs="Times New Roman"/>
          <w:sz w:val="24"/>
          <w:szCs w:val="24"/>
        </w:rPr>
      </w:pPr>
      <w:r w:rsidRPr="00F37DEE">
        <w:rPr>
          <w:rFonts w:ascii="Times New Roman" w:hAnsi="Times New Roman" w:cs="Times New Roman"/>
          <w:sz w:val="24"/>
          <w:szCs w:val="24"/>
        </w:rPr>
        <w:t>El cereal sube un 15% en una semana y pone en estado de alarma la inflación</w:t>
      </w:r>
    </w:p>
    <w:p w:rsidR="00DD78C0" w:rsidRPr="00F37DEE" w:rsidRDefault="00DD78C0" w:rsidP="00DD78C0">
      <w:pPr>
        <w:spacing w:line="240" w:lineRule="auto"/>
        <w:jc w:val="both"/>
        <w:rPr>
          <w:rFonts w:ascii="Times New Roman" w:hAnsi="Times New Roman" w:cs="Times New Roman"/>
          <w:sz w:val="24"/>
          <w:szCs w:val="24"/>
        </w:rPr>
      </w:pPr>
      <w:r w:rsidRPr="00F37DEE">
        <w:rPr>
          <w:rFonts w:ascii="Times New Roman" w:hAnsi="Times New Roman" w:cs="Times New Roman"/>
          <w:sz w:val="24"/>
          <w:szCs w:val="24"/>
        </w:rPr>
        <w:t>El campo vive en estado de agitación. El aumento de los costes ha estrechado los márgenes, pero, al mismo tiempo, ha disparado los precios que paga el consumidor. La convulsión es general</w:t>
      </w:r>
    </w:p>
    <w:p w:rsidR="00DD78C0" w:rsidRDefault="00DD78C0" w:rsidP="00DD78C0">
      <w:pPr>
        <w:spacing w:line="240" w:lineRule="auto"/>
        <w:jc w:val="both"/>
        <w:rPr>
          <w:rFonts w:ascii="Times New Roman" w:hAnsi="Times New Roman" w:cs="Times New Roman"/>
          <w:sz w:val="24"/>
          <w:szCs w:val="24"/>
        </w:rPr>
      </w:pPr>
      <w:r w:rsidRPr="00F37DEE">
        <w:rPr>
          <w:rFonts w:ascii="Times New Roman" w:hAnsi="Times New Roman" w:cs="Times New Roman"/>
          <w:sz w:val="24"/>
          <w:szCs w:val="24"/>
        </w:rPr>
        <w:t>La inflación cambia de teatro de operaciones. Si hasta hace pocos días eran las materias</w:t>
      </w:r>
      <w:r>
        <w:rPr>
          <w:rFonts w:ascii="Times New Roman" w:hAnsi="Times New Roman" w:cs="Times New Roman"/>
          <w:sz w:val="24"/>
          <w:szCs w:val="24"/>
        </w:rPr>
        <w:t xml:space="preserve"> primas asociadas a la energía -petróleo, gas o electricidad-</w:t>
      </w:r>
      <w:r w:rsidRPr="00F37DEE">
        <w:rPr>
          <w:rFonts w:ascii="Times New Roman" w:hAnsi="Times New Roman" w:cs="Times New Roman"/>
          <w:sz w:val="24"/>
          <w:szCs w:val="24"/>
        </w:rPr>
        <w:t xml:space="preserve"> las que subían con fuerza (en la última semana, el precio parece haberse estabilizado en niveles muy elevados, aunque con fuerte volatilidad), el crecimiento se ha trasladado ahora con intensidad al mercado de cereales y, en general, a todas las actividades agrarias, pese a que la producción mundial marca niveles máximos no conocidos desde 2012, según el Consejo Internacional de Cereales.</w:t>
      </w:r>
    </w:p>
    <w:p w:rsidR="00A075BD" w:rsidRPr="00F9366E" w:rsidRDefault="00F9366E" w:rsidP="00A075BD">
      <w:pPr>
        <w:spacing w:line="240" w:lineRule="auto"/>
        <w:jc w:val="both"/>
        <w:rPr>
          <w:rFonts w:ascii="Times New Roman" w:hAnsi="Times New Roman" w:cs="Times New Roman"/>
          <w:sz w:val="24"/>
          <w:szCs w:val="24"/>
        </w:rPr>
      </w:pPr>
      <w:r>
        <w:rPr>
          <w:rFonts w:ascii="Times New Roman" w:hAnsi="Times New Roman" w:cs="Times New Roman"/>
          <w:sz w:val="24"/>
          <w:szCs w:val="24"/>
        </w:rPr>
        <w:t>Sostiene</w:t>
      </w:r>
      <w:r w:rsidR="00A075BD" w:rsidRPr="000F4093">
        <w:rPr>
          <w:rFonts w:ascii="Times New Roman" w:hAnsi="Times New Roman" w:cs="Times New Roman"/>
          <w:sz w:val="24"/>
          <w:szCs w:val="24"/>
        </w:rPr>
        <w:t>Aurelio Medel Vicente</w:t>
      </w:r>
      <w:r>
        <w:rPr>
          <w:rFonts w:ascii="Times New Roman" w:hAnsi="Times New Roman" w:cs="Times New Roman"/>
          <w:sz w:val="24"/>
          <w:szCs w:val="24"/>
        </w:rPr>
        <w:t xml:space="preserve"> (</w:t>
      </w:r>
      <w:r w:rsidRPr="000F4093">
        <w:rPr>
          <w:rFonts w:ascii="Times New Roman" w:hAnsi="Times New Roman" w:cs="Times New Roman"/>
          <w:sz w:val="24"/>
          <w:szCs w:val="24"/>
        </w:rPr>
        <w:t>Doctor</w:t>
      </w:r>
      <w:r>
        <w:rPr>
          <w:rFonts w:ascii="Times New Roman" w:hAnsi="Times New Roman" w:cs="Times New Roman"/>
          <w:sz w:val="24"/>
          <w:szCs w:val="24"/>
        </w:rPr>
        <w:t xml:space="preserve"> en Ciencias de la Información y </w:t>
      </w:r>
      <w:r w:rsidRPr="000F4093">
        <w:rPr>
          <w:rFonts w:ascii="Times New Roman" w:hAnsi="Times New Roman" w:cs="Times New Roman"/>
          <w:sz w:val="24"/>
          <w:szCs w:val="24"/>
        </w:rPr>
        <w:t>Profesor de la Universidad Complutense</w:t>
      </w:r>
      <w:r>
        <w:rPr>
          <w:rFonts w:ascii="Times New Roman" w:hAnsi="Times New Roman" w:cs="Times New Roman"/>
          <w:sz w:val="24"/>
          <w:szCs w:val="24"/>
        </w:rPr>
        <w:t xml:space="preserve">), en su artículo: </w:t>
      </w:r>
      <w:r w:rsidRPr="000F4093">
        <w:rPr>
          <w:rFonts w:ascii="Times New Roman" w:hAnsi="Times New Roman" w:cs="Times New Roman"/>
          <w:sz w:val="24"/>
          <w:szCs w:val="24"/>
          <w:u w:val="single"/>
        </w:rPr>
        <w:t>El trigo de Ucrania y el abandono de tierras de cultivo</w:t>
      </w:r>
      <w:r>
        <w:rPr>
          <w:rFonts w:ascii="Times New Roman" w:hAnsi="Times New Roman" w:cs="Times New Roman"/>
          <w:sz w:val="24"/>
          <w:szCs w:val="24"/>
        </w:rPr>
        <w:t xml:space="preserve"> (Cinco Días - </w:t>
      </w:r>
      <w:r w:rsidRPr="000F4093">
        <w:rPr>
          <w:rFonts w:ascii="Times New Roman" w:hAnsi="Times New Roman" w:cs="Times New Roman"/>
          <w:b/>
          <w:sz w:val="24"/>
          <w:szCs w:val="24"/>
        </w:rPr>
        <w:t>18/3/22</w:t>
      </w:r>
      <w:r>
        <w:rPr>
          <w:rFonts w:ascii="Times New Roman" w:hAnsi="Times New Roman" w:cs="Times New Roman"/>
          <w:sz w:val="24"/>
          <w:szCs w:val="24"/>
        </w:rPr>
        <w:t>), que: “</w:t>
      </w:r>
      <w:r w:rsidR="00A075BD" w:rsidRPr="00F9366E">
        <w:rPr>
          <w:rFonts w:ascii="Times New Roman" w:hAnsi="Times New Roman" w:cs="Times New Roman"/>
          <w:sz w:val="24"/>
          <w:szCs w:val="24"/>
        </w:rPr>
        <w:t>La pandemia y la guerra de Ucrania ponen al descubierto los riesgos del abandono de productos básicos, como alimentos, confiando su producción a países capaces de suministrarlos a bajo precio. El abaratamiento y rapidez del transporte han hecho creer que da igual donde se produzca un bien, lo relevante es el coste (Made in China). Esta bendita globalización también ha multiplicado la capacidad de contagio de los virus y las guerras. El Covid-19 y el Putin-22 enseñan que ni el pan ni l</w:t>
      </w:r>
      <w:r w:rsidRPr="00F9366E">
        <w:rPr>
          <w:rFonts w:ascii="Times New Roman" w:hAnsi="Times New Roman" w:cs="Times New Roman"/>
          <w:sz w:val="24"/>
          <w:szCs w:val="24"/>
        </w:rPr>
        <w:t>a democracia están garantizados”.</w:t>
      </w:r>
    </w:p>
    <w:p w:rsidR="00A075BD" w:rsidRPr="00420868" w:rsidRDefault="00A075BD" w:rsidP="00A075BD">
      <w:pPr>
        <w:spacing w:line="240" w:lineRule="auto"/>
        <w:jc w:val="both"/>
        <w:rPr>
          <w:rFonts w:ascii="Times New Roman" w:hAnsi="Times New Roman" w:cs="Times New Roman"/>
          <w:sz w:val="24"/>
          <w:szCs w:val="24"/>
        </w:rPr>
      </w:pPr>
      <w:r w:rsidRPr="00420868">
        <w:rPr>
          <w:rFonts w:ascii="Times New Roman" w:hAnsi="Times New Roman" w:cs="Times New Roman"/>
          <w:sz w:val="24"/>
          <w:szCs w:val="24"/>
        </w:rPr>
        <w:t>La</w:t>
      </w:r>
      <w:r w:rsidR="00F9366E" w:rsidRPr="00420868">
        <w:rPr>
          <w:rFonts w:ascii="Times New Roman" w:hAnsi="Times New Roman" w:cs="Times New Roman"/>
          <w:sz w:val="24"/>
          <w:szCs w:val="24"/>
        </w:rPr>
        <w:t>s generaciones europeas más jóvenes</w:t>
      </w:r>
      <w:r w:rsidRPr="00420868">
        <w:rPr>
          <w:rFonts w:ascii="Times New Roman" w:hAnsi="Times New Roman" w:cs="Times New Roman"/>
          <w:sz w:val="24"/>
          <w:szCs w:val="24"/>
        </w:rPr>
        <w:t xml:space="preserve"> aprendieron que Ucrania es el granero de Europa. Ahora, con la invasión de Vladimir Put</w:t>
      </w:r>
      <w:r w:rsidR="00F9366E" w:rsidRPr="00420868">
        <w:rPr>
          <w:rFonts w:ascii="Times New Roman" w:hAnsi="Times New Roman" w:cs="Times New Roman"/>
          <w:sz w:val="24"/>
          <w:szCs w:val="24"/>
        </w:rPr>
        <w:t>in, hasta el más tonto de la clase sabe gran parte de los países europeos</w:t>
      </w:r>
      <w:r w:rsidRPr="00420868">
        <w:rPr>
          <w:rFonts w:ascii="Times New Roman" w:hAnsi="Times New Roman" w:cs="Times New Roman"/>
          <w:sz w:val="24"/>
          <w:szCs w:val="24"/>
        </w:rPr>
        <w:t xml:space="preserve"> depende</w:t>
      </w:r>
      <w:r w:rsidR="00F9366E" w:rsidRPr="00420868">
        <w:rPr>
          <w:rFonts w:ascii="Times New Roman" w:hAnsi="Times New Roman" w:cs="Times New Roman"/>
          <w:sz w:val="24"/>
          <w:szCs w:val="24"/>
        </w:rPr>
        <w:t>n</w:t>
      </w:r>
      <w:r w:rsidRPr="00420868">
        <w:rPr>
          <w:rFonts w:ascii="Times New Roman" w:hAnsi="Times New Roman" w:cs="Times New Roman"/>
          <w:sz w:val="24"/>
          <w:szCs w:val="24"/>
        </w:rPr>
        <w:t xml:space="preserve"> de Rusia y Ucrania en productos tan básicos como los cereales y el girasol, imprescindibles en la alimentación humana y animal. Tener petróleo y gas es cuestión de suerte; pero, ¡el trigo</w:t>
      </w:r>
      <w:r w:rsidR="00F9366E" w:rsidRPr="00420868">
        <w:rPr>
          <w:rFonts w:ascii="Times New Roman" w:hAnsi="Times New Roman" w:cs="Times New Roman"/>
          <w:sz w:val="24"/>
          <w:szCs w:val="24"/>
        </w:rPr>
        <w:t>, el maíz, el girasol</w:t>
      </w:r>
      <w:r w:rsidRPr="00420868">
        <w:rPr>
          <w:rFonts w:ascii="Times New Roman" w:hAnsi="Times New Roman" w:cs="Times New Roman"/>
          <w:sz w:val="24"/>
          <w:szCs w:val="24"/>
        </w:rPr>
        <w:t>!</w:t>
      </w:r>
    </w:p>
    <w:p w:rsidR="00A075BD" w:rsidRPr="000F4093" w:rsidRDefault="00A075BD" w:rsidP="00A075B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El déficit en productos básicos está ligado a décadas (1960-1990) primando la industria frente al campo, lo urbano versus </w:t>
      </w:r>
      <w:r w:rsidR="00F9366E">
        <w:rPr>
          <w:rFonts w:ascii="Times New Roman" w:hAnsi="Times New Roman" w:cs="Times New Roman"/>
          <w:sz w:val="24"/>
          <w:szCs w:val="24"/>
        </w:rPr>
        <w:t xml:space="preserve">lo rural. Después </w:t>
      </w:r>
      <w:r w:rsidRPr="000F4093">
        <w:rPr>
          <w:rFonts w:ascii="Times New Roman" w:hAnsi="Times New Roman" w:cs="Times New Roman"/>
          <w:sz w:val="24"/>
          <w:szCs w:val="24"/>
        </w:rPr>
        <w:t>la Política Agraria Común (PAC) y el principio de que quien paga manda, dice</w:t>
      </w:r>
      <w:r w:rsidR="00F9366E">
        <w:rPr>
          <w:rFonts w:ascii="Times New Roman" w:hAnsi="Times New Roman" w:cs="Times New Roman"/>
          <w:sz w:val="24"/>
          <w:szCs w:val="24"/>
        </w:rPr>
        <w:t xml:space="preserve"> qué se siembra y qué no. Europa</w:t>
      </w:r>
      <w:r w:rsidRPr="000F4093">
        <w:rPr>
          <w:rFonts w:ascii="Times New Roman" w:hAnsi="Times New Roman" w:cs="Times New Roman"/>
          <w:sz w:val="24"/>
          <w:szCs w:val="24"/>
        </w:rPr>
        <w:t xml:space="preserve"> tiene hoy un sector agrario muy atomizado, de baja rentabilidad, con poco peso en la economía nacional, pese a la enorme extensión que ocupa, y con problemas estructurales, algunos contradictorios, como que haya suelo de cultivo abandonad</w:t>
      </w:r>
      <w:r>
        <w:rPr>
          <w:rFonts w:ascii="Times New Roman" w:hAnsi="Times New Roman" w:cs="Times New Roman"/>
          <w:sz w:val="24"/>
          <w:szCs w:val="24"/>
        </w:rPr>
        <w:t>o y, a la vez, falta de tierra.</w:t>
      </w:r>
    </w:p>
    <w:p w:rsidR="00A075BD" w:rsidRPr="000F4093" w:rsidRDefault="00F9366E" w:rsidP="00A075B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Algunos estudios </w:t>
      </w:r>
      <w:r w:rsidR="00A075BD" w:rsidRPr="000F4093">
        <w:rPr>
          <w:rFonts w:ascii="Times New Roman" w:hAnsi="Times New Roman" w:cs="Times New Roman"/>
          <w:sz w:val="24"/>
          <w:szCs w:val="24"/>
        </w:rPr>
        <w:t>sobre l</w:t>
      </w:r>
      <w:r>
        <w:rPr>
          <w:rFonts w:ascii="Times New Roman" w:hAnsi="Times New Roman" w:cs="Times New Roman"/>
          <w:sz w:val="24"/>
          <w:szCs w:val="24"/>
        </w:rPr>
        <w:t xml:space="preserve">as tierras abandonadas en Europa, </w:t>
      </w:r>
      <w:r w:rsidR="00A075BD" w:rsidRPr="000F4093">
        <w:rPr>
          <w:rFonts w:ascii="Times New Roman" w:hAnsi="Times New Roman" w:cs="Times New Roman"/>
          <w:sz w:val="24"/>
          <w:szCs w:val="24"/>
        </w:rPr>
        <w:t>detallaban una serie de causas socioeconómicas, ambientales y de gestión que explican este ab</w:t>
      </w:r>
      <w:r w:rsidR="00A075BD">
        <w:rPr>
          <w:rFonts w:ascii="Times New Roman" w:hAnsi="Times New Roman" w:cs="Times New Roman"/>
          <w:sz w:val="24"/>
          <w:szCs w:val="24"/>
        </w:rPr>
        <w:t>andono, entre las que destacan:</w:t>
      </w:r>
    </w:p>
    <w:p w:rsidR="00A075BD" w:rsidRPr="000F4093" w:rsidRDefault="00A075BD" w:rsidP="00A075B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1. La migración de la población rural hacia las ciudades y el enve</w:t>
      </w:r>
      <w:r>
        <w:rPr>
          <w:rFonts w:ascii="Times New Roman" w:hAnsi="Times New Roman" w:cs="Times New Roman"/>
          <w:sz w:val="24"/>
          <w:szCs w:val="24"/>
        </w:rPr>
        <w:t>jecimiento de la que permanece.</w:t>
      </w:r>
    </w:p>
    <w:p w:rsidR="00A075BD" w:rsidRPr="000F4093" w:rsidRDefault="00A075BD" w:rsidP="00A075B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2. Las innovaciones tecnológicas y la mecanización, que ha impulsado el abandono de laderas, campos pequeños y áreas poco acces</w:t>
      </w:r>
      <w:r>
        <w:rPr>
          <w:rFonts w:ascii="Times New Roman" w:hAnsi="Times New Roman" w:cs="Times New Roman"/>
          <w:sz w:val="24"/>
          <w:szCs w:val="24"/>
        </w:rPr>
        <w:t>ibles a la maquinaria agrícola.</w:t>
      </w:r>
    </w:p>
    <w:p w:rsidR="00A075BD" w:rsidRPr="000F4093" w:rsidRDefault="00A075BD" w:rsidP="00A075B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3. La baja productividad de algunos campos, por escasa fertilidad o suelos con horizontes poco desarrollados o </w:t>
      </w:r>
      <w:r>
        <w:rPr>
          <w:rFonts w:ascii="Times New Roman" w:hAnsi="Times New Roman" w:cs="Times New Roman"/>
          <w:sz w:val="24"/>
          <w:szCs w:val="24"/>
        </w:rPr>
        <w:t>muy pedregosos</w:t>
      </w:r>
    </w:p>
    <w:p w:rsidR="00A075BD" w:rsidRPr="000F4093" w:rsidRDefault="00A075BD" w:rsidP="00A075B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lastRenderedPageBreak/>
        <w:t>4. La elevada competitividad de los mercados, lo que hace poco rentables algunos cu</w:t>
      </w:r>
      <w:r>
        <w:rPr>
          <w:rFonts w:ascii="Times New Roman" w:hAnsi="Times New Roman" w:cs="Times New Roman"/>
          <w:sz w:val="24"/>
          <w:szCs w:val="24"/>
        </w:rPr>
        <w:t>ltivos y algunas zonas rurales.</w:t>
      </w:r>
    </w:p>
    <w:p w:rsidR="00A075BD" w:rsidRPr="000F4093" w:rsidRDefault="00A075BD" w:rsidP="00A075B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5. Los efectos de la PAC, que entre 1989 y 2008 incentivó el abandono de tierras agrícolas </w:t>
      </w:r>
      <w:r>
        <w:rPr>
          <w:rFonts w:ascii="Times New Roman" w:hAnsi="Times New Roman" w:cs="Times New Roman"/>
          <w:sz w:val="24"/>
          <w:szCs w:val="24"/>
        </w:rPr>
        <w:t>de forma permanente o temporal.</w:t>
      </w:r>
    </w:p>
    <w:p w:rsidR="00A075BD" w:rsidRPr="000F4093" w:rsidRDefault="00A075BD" w:rsidP="00A075B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6. El clima en ambientes semiáridos que reduce la productividad y aumenta la incertidumbre frente a l</w:t>
      </w:r>
      <w:r>
        <w:rPr>
          <w:rFonts w:ascii="Times New Roman" w:hAnsi="Times New Roman" w:cs="Times New Roman"/>
          <w:sz w:val="24"/>
          <w:szCs w:val="24"/>
        </w:rPr>
        <w:t>a irregularidad de las lluvias.</w:t>
      </w:r>
    </w:p>
    <w:p w:rsidR="00A075BD" w:rsidRPr="000F4093" w:rsidRDefault="00A075BD" w:rsidP="00A075B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7. La existenc</w:t>
      </w:r>
      <w:r>
        <w:rPr>
          <w:rFonts w:ascii="Times New Roman" w:hAnsi="Times New Roman" w:cs="Times New Roman"/>
          <w:sz w:val="24"/>
          <w:szCs w:val="24"/>
        </w:rPr>
        <w:t>ia de ocupaciones alternativas.</w:t>
      </w:r>
    </w:p>
    <w:p w:rsidR="001D751B" w:rsidRDefault="00A075BD" w:rsidP="00A075B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8. Factores vinculados a la gestión: inadecuado manejo de explotaciones, sobreexplotación y salinización del suelo y/o de los acuíferos, etc. Estas razones para abandonar suelo útil conviven con que el acceso a la tierra sea la principal barrera de entrada de los jóvenes al sector agrícola, según un estudio realizado por la Comisión Europea. </w:t>
      </w:r>
    </w:p>
    <w:p w:rsidR="00A075BD" w:rsidRPr="000F4093" w:rsidRDefault="00A075BD" w:rsidP="001D751B">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Para solventar esta situación de abandono de tierras y, a la vez, dificultad de acceso</w:t>
      </w:r>
      <w:r w:rsidR="001D751B">
        <w:rPr>
          <w:rFonts w:ascii="Times New Roman" w:hAnsi="Times New Roman" w:cs="Times New Roman"/>
          <w:sz w:val="24"/>
          <w:szCs w:val="24"/>
        </w:rPr>
        <w:t xml:space="preserve"> a las mismas, algunos países europeos</w:t>
      </w:r>
      <w:r w:rsidRPr="000F4093">
        <w:rPr>
          <w:rFonts w:ascii="Times New Roman" w:hAnsi="Times New Roman" w:cs="Times New Roman"/>
          <w:sz w:val="24"/>
          <w:szCs w:val="24"/>
        </w:rPr>
        <w:t xml:space="preserve"> han promovido diferentes iniciativas, que no han dado grandes resultados. Todos tienen el mismo propósito, cultivar aquellas tierras que por una razón u otra han quedado abandonadas. </w:t>
      </w:r>
    </w:p>
    <w:p w:rsidR="001D751B" w:rsidRPr="001D751B" w:rsidRDefault="00A075BD" w:rsidP="001D751B">
      <w:pPr>
        <w:spacing w:line="240" w:lineRule="auto"/>
        <w:jc w:val="both"/>
        <w:rPr>
          <w:rFonts w:ascii="Times New Roman" w:hAnsi="Times New Roman" w:cs="Times New Roman"/>
          <w:sz w:val="24"/>
          <w:szCs w:val="24"/>
        </w:rPr>
      </w:pPr>
      <w:r w:rsidRPr="001D751B">
        <w:rPr>
          <w:rFonts w:ascii="Times New Roman" w:hAnsi="Times New Roman" w:cs="Times New Roman"/>
          <w:sz w:val="24"/>
          <w:szCs w:val="24"/>
        </w:rPr>
        <w:t>España es el país de la Unión Europea (UE) más dependiente del trigo ucraniano, una materia prima clave para la ganadería y la alimentación, según la</w:t>
      </w:r>
      <w:r w:rsidR="001D751B" w:rsidRPr="001D751B">
        <w:rPr>
          <w:rFonts w:ascii="Times New Roman" w:hAnsi="Times New Roman" w:cs="Times New Roman"/>
          <w:sz w:val="24"/>
          <w:szCs w:val="24"/>
        </w:rPr>
        <w:t xml:space="preserve"> Organización para la</w:t>
      </w:r>
      <w:r w:rsidRPr="001D751B">
        <w:rPr>
          <w:rFonts w:ascii="Times New Roman" w:hAnsi="Times New Roman" w:cs="Times New Roman"/>
          <w:sz w:val="24"/>
          <w:szCs w:val="24"/>
        </w:rPr>
        <w:t xml:space="preserve"> Cooperación </w:t>
      </w:r>
      <w:r w:rsidR="00372E47">
        <w:rPr>
          <w:rFonts w:ascii="Times New Roman" w:hAnsi="Times New Roman" w:cs="Times New Roman"/>
          <w:sz w:val="24"/>
          <w:szCs w:val="24"/>
        </w:rPr>
        <w:t>y el Desarrollo Económicos -</w:t>
      </w:r>
      <w:r w:rsidR="001D751B" w:rsidRPr="001D751B">
        <w:rPr>
          <w:rFonts w:ascii="Times New Roman" w:hAnsi="Times New Roman" w:cs="Times New Roman"/>
          <w:sz w:val="24"/>
          <w:szCs w:val="24"/>
        </w:rPr>
        <w:t>OCDE</w:t>
      </w:r>
      <w:r w:rsidR="00372E47">
        <w:rPr>
          <w:rFonts w:ascii="Times New Roman" w:hAnsi="Times New Roman" w:cs="Times New Roman"/>
          <w:sz w:val="24"/>
          <w:szCs w:val="24"/>
        </w:rPr>
        <w:t>-</w:t>
      </w:r>
      <w:r w:rsidR="001D751B" w:rsidRPr="001D751B">
        <w:rPr>
          <w:rFonts w:ascii="Times New Roman" w:hAnsi="Times New Roman" w:cs="Times New Roman"/>
          <w:sz w:val="24"/>
          <w:szCs w:val="24"/>
        </w:rPr>
        <w:t xml:space="preserve"> (Vozpópuli - </w:t>
      </w:r>
      <w:r w:rsidR="001D751B" w:rsidRPr="001D751B">
        <w:rPr>
          <w:rFonts w:ascii="Times New Roman" w:hAnsi="Times New Roman" w:cs="Times New Roman"/>
          <w:b/>
          <w:sz w:val="24"/>
          <w:szCs w:val="24"/>
        </w:rPr>
        <w:t>18/3/22</w:t>
      </w:r>
      <w:r w:rsidR="00372E47">
        <w:rPr>
          <w:rFonts w:ascii="Times New Roman" w:hAnsi="Times New Roman" w:cs="Times New Roman"/>
          <w:sz w:val="24"/>
          <w:szCs w:val="24"/>
        </w:rPr>
        <w:t>)</w:t>
      </w:r>
    </w:p>
    <w:p w:rsidR="00A075BD" w:rsidRPr="001D751B" w:rsidRDefault="00A075BD" w:rsidP="00A075BD">
      <w:pPr>
        <w:spacing w:line="240" w:lineRule="auto"/>
        <w:jc w:val="both"/>
        <w:rPr>
          <w:rFonts w:ascii="Times New Roman" w:hAnsi="Times New Roman" w:cs="Times New Roman"/>
          <w:sz w:val="24"/>
          <w:szCs w:val="24"/>
        </w:rPr>
      </w:pPr>
      <w:r w:rsidRPr="001D751B">
        <w:rPr>
          <w:rFonts w:ascii="Times New Roman" w:hAnsi="Times New Roman" w:cs="Times New Roman"/>
          <w:sz w:val="24"/>
          <w:szCs w:val="24"/>
        </w:rPr>
        <w:t>La guerra con Rusia amenaza con generar problemas de abastecimiento desde el denominado “granero de Europa</w:t>
      </w:r>
      <w:r w:rsidR="001D751B" w:rsidRPr="001D751B">
        <w:rPr>
          <w:rFonts w:ascii="Times New Roman" w:hAnsi="Times New Roman" w:cs="Times New Roman"/>
          <w:sz w:val="24"/>
          <w:szCs w:val="24"/>
        </w:rPr>
        <w:t xml:space="preserve">”, lo que hace que España </w:t>
      </w:r>
      <w:r w:rsidRPr="001D751B">
        <w:rPr>
          <w:rFonts w:ascii="Times New Roman" w:hAnsi="Times New Roman" w:cs="Times New Roman"/>
          <w:sz w:val="24"/>
          <w:szCs w:val="24"/>
        </w:rPr>
        <w:t>sea más vulnerable al alza de pr</w:t>
      </w:r>
      <w:r w:rsidR="001D751B" w:rsidRPr="001D751B">
        <w:rPr>
          <w:rFonts w:ascii="Times New Roman" w:hAnsi="Times New Roman" w:cs="Times New Roman"/>
          <w:sz w:val="24"/>
          <w:szCs w:val="24"/>
        </w:rPr>
        <w:t>ecios que otros Estados miembro</w:t>
      </w:r>
      <w:r w:rsidRPr="001D751B">
        <w:rPr>
          <w:rFonts w:ascii="Times New Roman" w:hAnsi="Times New Roman" w:cs="Times New Roman"/>
          <w:sz w:val="24"/>
          <w:szCs w:val="24"/>
        </w:rPr>
        <w:t xml:space="preserve"> como Alemania, Italia o Francia.</w:t>
      </w:r>
    </w:p>
    <w:p w:rsidR="00A075BD" w:rsidRPr="001D751B" w:rsidRDefault="00A075BD" w:rsidP="00A075BD">
      <w:pPr>
        <w:spacing w:line="240" w:lineRule="auto"/>
        <w:jc w:val="both"/>
        <w:rPr>
          <w:rFonts w:ascii="Times New Roman" w:hAnsi="Times New Roman" w:cs="Times New Roman"/>
          <w:sz w:val="24"/>
          <w:szCs w:val="24"/>
        </w:rPr>
      </w:pPr>
      <w:r w:rsidRPr="001D751B">
        <w:rPr>
          <w:rFonts w:ascii="Times New Roman" w:hAnsi="Times New Roman" w:cs="Times New Roman"/>
          <w:sz w:val="24"/>
          <w:szCs w:val="24"/>
        </w:rPr>
        <w:t>En concreto, el 11% del trigo que España importó en 2019 procedía de Ucrania, frente al 1% de Alemania, el 2% de Francia y el 3% de Italia. Hay otros países europeos más expuestos a la escasez de trigo que España, como Grecia o Noruega, pero en esos casos son importadores de Rusia. Además, destacan varias economías de Oriente Medio en las que las importaciones de trigo de Rusia y Ucrania llegan a representar alrededor del 75% del total.</w:t>
      </w:r>
    </w:p>
    <w:p w:rsidR="001D751B" w:rsidRPr="001D751B" w:rsidRDefault="001D751B" w:rsidP="001D751B">
      <w:pPr>
        <w:spacing w:line="240" w:lineRule="auto"/>
        <w:jc w:val="both"/>
        <w:rPr>
          <w:rFonts w:ascii="Times New Roman" w:hAnsi="Times New Roman" w:cs="Times New Roman"/>
          <w:sz w:val="24"/>
          <w:szCs w:val="24"/>
        </w:rPr>
      </w:pPr>
      <w:r w:rsidRPr="001D751B">
        <w:rPr>
          <w:rFonts w:ascii="Times New Roman" w:hAnsi="Times New Roman" w:cs="Times New Roman"/>
          <w:sz w:val="24"/>
          <w:szCs w:val="24"/>
        </w:rPr>
        <w:t>Rusia y Ucrania en conjunto representan alrededor del 30% de las exportaciones mundiales de trigo, según la OCDE. Esta materia prima es básica para la elaboración de algunos alimentos y para la dieta de los animales. “Un cese completo de las exportaciones de trigo de Rusia y Ucrania daría lugar a una grave escasez en muchas economías de mercados emergentes y en desarrollo”</w:t>
      </w:r>
      <w:r>
        <w:rPr>
          <w:rFonts w:ascii="Times New Roman" w:hAnsi="Times New Roman" w:cs="Times New Roman"/>
          <w:sz w:val="24"/>
          <w:szCs w:val="24"/>
        </w:rPr>
        <w:t xml:space="preserve">, alerta en el informe publicado </w:t>
      </w:r>
      <w:r w:rsidRPr="001D751B">
        <w:rPr>
          <w:rFonts w:ascii="Times New Roman" w:hAnsi="Times New Roman" w:cs="Times New Roman"/>
          <w:sz w:val="24"/>
          <w:szCs w:val="24"/>
        </w:rPr>
        <w:t>sobre el impacto económico y las implicaciones políticas de la guerra en Ucrania.</w:t>
      </w:r>
    </w:p>
    <w:p w:rsidR="001D751B" w:rsidRPr="00DB7E7F" w:rsidRDefault="001D751B" w:rsidP="001D751B">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La organización internacional a</w:t>
      </w:r>
      <w:r>
        <w:rPr>
          <w:rFonts w:ascii="Times New Roman" w:hAnsi="Times New Roman" w:cs="Times New Roman"/>
          <w:sz w:val="24"/>
          <w:szCs w:val="24"/>
        </w:rPr>
        <w:t>dvierte que si esto ocurriera, “</w:t>
      </w:r>
      <w:r w:rsidRPr="00DB7E7F">
        <w:rPr>
          <w:rFonts w:ascii="Times New Roman" w:hAnsi="Times New Roman" w:cs="Times New Roman"/>
          <w:sz w:val="24"/>
          <w:szCs w:val="24"/>
        </w:rPr>
        <w:t>existiría un riesgo agudo no solo de crisis económicas en algunos países, sino también de desastres humanitarios, con un fuerte au</w:t>
      </w:r>
      <w:r>
        <w:rPr>
          <w:rFonts w:ascii="Times New Roman" w:hAnsi="Times New Roman" w:cs="Times New Roman"/>
          <w:sz w:val="24"/>
          <w:szCs w:val="24"/>
        </w:rPr>
        <w:t>mento de la pobreza y el hambre”. Además, “</w:t>
      </w:r>
      <w:r w:rsidRPr="00DB7E7F">
        <w:rPr>
          <w:rFonts w:ascii="Times New Roman" w:hAnsi="Times New Roman" w:cs="Times New Roman"/>
          <w:sz w:val="24"/>
          <w:szCs w:val="24"/>
        </w:rPr>
        <w:t>la interrupción en la fabricación de fertilizantes corre el riesgo de hacer que estas interrupciones sean más duraderas, al poner bajo presión el suministro agrícola de los pr</w:t>
      </w:r>
      <w:r>
        <w:rPr>
          <w:rFonts w:ascii="Times New Roman" w:hAnsi="Times New Roman" w:cs="Times New Roman"/>
          <w:sz w:val="24"/>
          <w:szCs w:val="24"/>
        </w:rPr>
        <w:t>óximos años”, añade.</w:t>
      </w:r>
    </w:p>
    <w:p w:rsidR="001D751B" w:rsidRPr="00712725" w:rsidRDefault="001D751B" w:rsidP="00A075BD">
      <w:pPr>
        <w:spacing w:line="240" w:lineRule="auto"/>
        <w:jc w:val="both"/>
        <w:rPr>
          <w:rFonts w:ascii="Times New Roman" w:hAnsi="Times New Roman" w:cs="Times New Roman"/>
          <w:color w:val="FF0000"/>
          <w:sz w:val="24"/>
          <w:szCs w:val="24"/>
          <w:u w:val="single"/>
        </w:rPr>
      </w:pPr>
    </w:p>
    <w:p w:rsidR="00A075BD" w:rsidRPr="00DB7E7F" w:rsidRDefault="00A075BD" w:rsidP="00A075BD">
      <w:pPr>
        <w:spacing w:line="240" w:lineRule="auto"/>
        <w:jc w:val="both"/>
        <w:rPr>
          <w:rFonts w:ascii="Times New Roman" w:hAnsi="Times New Roman" w:cs="Times New Roman"/>
          <w:sz w:val="24"/>
          <w:szCs w:val="24"/>
        </w:rPr>
      </w:pPr>
      <w:r w:rsidRPr="00DB7E7F">
        <w:rPr>
          <w:rFonts w:ascii="Times New Roman" w:hAnsi="Times New Roman" w:cs="Times New Roman"/>
          <w:noProof/>
          <w:sz w:val="24"/>
          <w:szCs w:val="24"/>
          <w:lang w:val="en-GB" w:eastAsia="zh-CN"/>
        </w:rPr>
        <w:lastRenderedPageBreak/>
        <w:drawing>
          <wp:inline distT="0" distB="0" distL="0" distR="0">
            <wp:extent cx="5162550" cy="50482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163271" cy="5048955"/>
                    </a:xfrm>
                    <a:prstGeom prst="rect">
                      <a:avLst/>
                    </a:prstGeom>
                  </pic:spPr>
                </pic:pic>
              </a:graphicData>
            </a:graphic>
          </wp:inline>
        </w:drawing>
      </w:r>
    </w:p>
    <w:p w:rsidR="00A075BD" w:rsidRPr="00DB7E7F" w:rsidRDefault="00A075BD" w:rsidP="00A075B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Los precios hacen saltar las alarmas</w:t>
      </w:r>
    </w:p>
    <w:p w:rsidR="00A075BD" w:rsidRPr="00DB7E7F" w:rsidRDefault="00A075BD" w:rsidP="00A075B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El Índice de Pre</w:t>
      </w:r>
      <w:r w:rsidR="001D751B">
        <w:rPr>
          <w:rFonts w:ascii="Times New Roman" w:hAnsi="Times New Roman" w:cs="Times New Roman"/>
          <w:sz w:val="24"/>
          <w:szCs w:val="24"/>
        </w:rPr>
        <w:t>cios de Consumo (IPC) ha reflejado de inmediato</w:t>
      </w:r>
      <w:r w:rsidRPr="00DB7E7F">
        <w:rPr>
          <w:rFonts w:ascii="Times New Roman" w:hAnsi="Times New Roman" w:cs="Times New Roman"/>
          <w:sz w:val="24"/>
          <w:szCs w:val="24"/>
        </w:rPr>
        <w:t xml:space="preserve"> un alza en los precios de los productos que dependen del trigo. Las harinas y otros cereales fueron en febrero</w:t>
      </w:r>
      <w:r w:rsidR="001D751B">
        <w:rPr>
          <w:rFonts w:ascii="Times New Roman" w:hAnsi="Times New Roman" w:cs="Times New Roman"/>
          <w:sz w:val="24"/>
          <w:szCs w:val="24"/>
        </w:rPr>
        <w:t xml:space="preserve"> (2022)</w:t>
      </w:r>
      <w:r>
        <w:rPr>
          <w:rFonts w:ascii="Times New Roman" w:hAnsi="Times New Roman" w:cs="Times New Roman"/>
          <w:sz w:val="24"/>
          <w:szCs w:val="24"/>
        </w:rPr>
        <w:t>,</w:t>
      </w:r>
      <w:r w:rsidRPr="00DB7E7F">
        <w:rPr>
          <w:rFonts w:ascii="Times New Roman" w:hAnsi="Times New Roman" w:cs="Times New Roman"/>
          <w:sz w:val="24"/>
          <w:szCs w:val="24"/>
        </w:rPr>
        <w:t xml:space="preserve"> un 11,7% más caras que un año antes, mientras que el pan y otros productos de panadería se encarecieron un 6,4% y 7,4%, respectivamente. Además, los alimentos para bebé, compuestos en su mayoría de cereales, subieron sus precio</w:t>
      </w:r>
      <w:r>
        <w:rPr>
          <w:rFonts w:ascii="Times New Roman" w:hAnsi="Times New Roman" w:cs="Times New Roman"/>
          <w:sz w:val="24"/>
          <w:szCs w:val="24"/>
        </w:rPr>
        <w:t>s un 10,5% en términos anuales.</w:t>
      </w:r>
    </w:p>
    <w:p w:rsidR="00A075BD" w:rsidRPr="00DB7E7F" w:rsidRDefault="00A075BD" w:rsidP="00A075B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 xml:space="preserve">En su informe, la OCDE también refleja que los hogares vulnerables en España están más expuestos a una subida en los precios de la energía y los alimentos que los de otros países como Francia o Alemania. Para analizar el impacto de la inflación en los hogares, la OCDE divide a la población por quintiles y mide la proporción de sus ingresos que </w:t>
      </w:r>
      <w:r>
        <w:rPr>
          <w:rFonts w:ascii="Times New Roman" w:hAnsi="Times New Roman" w:cs="Times New Roman"/>
          <w:sz w:val="24"/>
          <w:szCs w:val="24"/>
        </w:rPr>
        <w:t xml:space="preserve">gastan en energía y alimentos. </w:t>
      </w:r>
    </w:p>
    <w:p w:rsidR="00A075BD" w:rsidRPr="00DB7E7F" w:rsidRDefault="00A075BD" w:rsidP="00A075B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El primer quintil, que representa a los individuos con mayor nivel de pobreza</w:t>
      </w:r>
      <w:r w:rsidR="00463F24">
        <w:rPr>
          <w:rFonts w:ascii="Times New Roman" w:hAnsi="Times New Roman" w:cs="Times New Roman"/>
          <w:sz w:val="24"/>
          <w:szCs w:val="24"/>
        </w:rPr>
        <w:t>, tiene</w:t>
      </w:r>
      <w:r w:rsidRPr="00DB7E7F">
        <w:rPr>
          <w:rFonts w:ascii="Times New Roman" w:hAnsi="Times New Roman" w:cs="Times New Roman"/>
          <w:sz w:val="24"/>
          <w:szCs w:val="24"/>
        </w:rPr>
        <w:t xml:space="preserve"> una exposición a los alimentos y la energía próxima al 25% en España, frente al 23% de Alemania y</w:t>
      </w:r>
      <w:r w:rsidR="00463F24">
        <w:rPr>
          <w:rFonts w:ascii="Times New Roman" w:hAnsi="Times New Roman" w:cs="Times New Roman"/>
          <w:sz w:val="24"/>
          <w:szCs w:val="24"/>
        </w:rPr>
        <w:t xml:space="preserve"> el 20% de Francia. España</w:t>
      </w:r>
      <w:r w:rsidRPr="00DB7E7F">
        <w:rPr>
          <w:rFonts w:ascii="Times New Roman" w:hAnsi="Times New Roman" w:cs="Times New Roman"/>
          <w:sz w:val="24"/>
          <w:szCs w:val="24"/>
        </w:rPr>
        <w:t xml:space="preserve"> también está ligeramente por encima de la media de la Unión Europea (UE). Por encima de España en lo que a vulnerabilidad de los hogares españoles se refiere están Grecia, Portugal y los países del Este de</w:t>
      </w:r>
      <w:r>
        <w:rPr>
          <w:rFonts w:ascii="Times New Roman" w:hAnsi="Times New Roman" w:cs="Times New Roman"/>
          <w:sz w:val="24"/>
          <w:szCs w:val="24"/>
        </w:rPr>
        <w:t xml:space="preserve"> Europa.</w:t>
      </w:r>
    </w:p>
    <w:p w:rsidR="00A075BD" w:rsidRPr="00DB7E7F" w:rsidRDefault="00A075BD" w:rsidP="00A075B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 xml:space="preserve">Como solución, la OCDE apunta que si bien las rebajas fiscales en los precios energéticos y los límites de precios reducen directamente el coste, también benefician a los hogares de </w:t>
      </w:r>
      <w:r w:rsidRPr="00DB7E7F">
        <w:rPr>
          <w:rFonts w:ascii="Times New Roman" w:hAnsi="Times New Roman" w:cs="Times New Roman"/>
          <w:sz w:val="24"/>
          <w:szCs w:val="24"/>
        </w:rPr>
        <w:lastRenderedPageBreak/>
        <w:t>may</w:t>
      </w:r>
      <w:r>
        <w:rPr>
          <w:rFonts w:ascii="Times New Roman" w:hAnsi="Times New Roman" w:cs="Times New Roman"/>
          <w:sz w:val="24"/>
          <w:szCs w:val="24"/>
        </w:rPr>
        <w:t>ores ingresos. Por ese motivo, “</w:t>
      </w:r>
      <w:r w:rsidRPr="00DB7E7F">
        <w:rPr>
          <w:rFonts w:ascii="Times New Roman" w:hAnsi="Times New Roman" w:cs="Times New Roman"/>
          <w:sz w:val="24"/>
          <w:szCs w:val="24"/>
        </w:rPr>
        <w:t>las ayudas directas pueden orientarse mejor y tener mayores efectos multiplicadores si se enfocan en los hogares de ingresos bajos y medios, aunque puede lle</w:t>
      </w:r>
      <w:r>
        <w:rPr>
          <w:rFonts w:ascii="Times New Roman" w:hAnsi="Times New Roman" w:cs="Times New Roman"/>
          <w:sz w:val="24"/>
          <w:szCs w:val="24"/>
        </w:rPr>
        <w:t>var más tiempo implementarlas”.</w:t>
      </w:r>
    </w:p>
    <w:p w:rsidR="00A075BD" w:rsidRPr="00DB7E7F" w:rsidRDefault="00A075BD" w:rsidP="00A075B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El panel de Funcas</w:t>
      </w:r>
      <w:r w:rsidR="00463F24">
        <w:rPr>
          <w:rFonts w:ascii="Times New Roman" w:hAnsi="Times New Roman" w:cs="Times New Roman"/>
          <w:sz w:val="24"/>
          <w:szCs w:val="24"/>
        </w:rPr>
        <w:t xml:space="preserve"> (Federación de Cajas de Ahorro)</w:t>
      </w:r>
      <w:r w:rsidRPr="00DB7E7F">
        <w:rPr>
          <w:rFonts w:ascii="Times New Roman" w:hAnsi="Times New Roman" w:cs="Times New Roman"/>
          <w:sz w:val="24"/>
          <w:szCs w:val="24"/>
        </w:rPr>
        <w:t>, que agrupa las estimaciones de una veintena de organi</w:t>
      </w:r>
      <w:r w:rsidR="00463F24">
        <w:rPr>
          <w:rFonts w:ascii="Times New Roman" w:hAnsi="Times New Roman" w:cs="Times New Roman"/>
          <w:sz w:val="24"/>
          <w:szCs w:val="24"/>
        </w:rPr>
        <w:t xml:space="preserve">smos económicos, señala: </w:t>
      </w:r>
      <w:r>
        <w:rPr>
          <w:rFonts w:ascii="Times New Roman" w:hAnsi="Times New Roman" w:cs="Times New Roman"/>
          <w:sz w:val="24"/>
          <w:szCs w:val="24"/>
        </w:rPr>
        <w:t>“</w:t>
      </w:r>
      <w:r w:rsidRPr="00DB7E7F">
        <w:rPr>
          <w:rFonts w:ascii="Times New Roman" w:hAnsi="Times New Roman" w:cs="Times New Roman"/>
          <w:sz w:val="24"/>
          <w:szCs w:val="24"/>
        </w:rPr>
        <w:t>Las tensiones alcistas preexistentes, derivadas del encarecimiento de las materias primas y los cuellos de botella, se han agudizado tras la invasión de Ucrania, volviendo el panorama inflacioni</w:t>
      </w:r>
      <w:r>
        <w:rPr>
          <w:rFonts w:ascii="Times New Roman" w:hAnsi="Times New Roman" w:cs="Times New Roman"/>
          <w:sz w:val="24"/>
          <w:szCs w:val="24"/>
        </w:rPr>
        <w:t>sta aún m</w:t>
      </w:r>
      <w:r w:rsidR="00463F24">
        <w:rPr>
          <w:rFonts w:ascii="Times New Roman" w:hAnsi="Times New Roman" w:cs="Times New Roman"/>
          <w:sz w:val="24"/>
          <w:szCs w:val="24"/>
        </w:rPr>
        <w:t>ás incierto”.</w:t>
      </w:r>
    </w:p>
    <w:p w:rsidR="00463F24" w:rsidRDefault="00A075BD" w:rsidP="00463F24">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Funcas explica que la economía mundial se enfrenta a un shock de oferta como consecuencia del impacto de la contienda en los mercados de la energía y de o</w:t>
      </w:r>
      <w:r>
        <w:rPr>
          <w:rFonts w:ascii="Times New Roman" w:hAnsi="Times New Roman" w:cs="Times New Roman"/>
          <w:sz w:val="24"/>
          <w:szCs w:val="24"/>
        </w:rPr>
        <w:t>tros recursos naturales clave. “</w:t>
      </w:r>
      <w:r w:rsidRPr="00DB7E7F">
        <w:rPr>
          <w:rFonts w:ascii="Times New Roman" w:hAnsi="Times New Roman" w:cs="Times New Roman"/>
          <w:sz w:val="24"/>
          <w:szCs w:val="24"/>
        </w:rPr>
        <w:t>La opinión mayoritaria es netamente pesimista con respecto al contexto internacional, tanto en la UE como fuera de ella. Además, prácticamente todos consideran que ese contexto se mantendrá en los próxi</w:t>
      </w:r>
      <w:r>
        <w:rPr>
          <w:rFonts w:ascii="Times New Roman" w:hAnsi="Times New Roman" w:cs="Times New Roman"/>
          <w:sz w:val="24"/>
          <w:szCs w:val="24"/>
        </w:rPr>
        <w:t>mos meses, o incluso irá a peor”</w:t>
      </w:r>
      <w:r w:rsidRPr="00DB7E7F">
        <w:rPr>
          <w:rFonts w:ascii="Times New Roman" w:hAnsi="Times New Roman" w:cs="Times New Roman"/>
          <w:sz w:val="24"/>
          <w:szCs w:val="24"/>
        </w:rPr>
        <w:t>, sentencian.</w:t>
      </w:r>
    </w:p>
    <w:p w:rsidR="00463F24" w:rsidRDefault="00463F24" w:rsidP="00463F24">
      <w:pPr>
        <w:spacing w:line="240" w:lineRule="auto"/>
        <w:jc w:val="both"/>
        <w:rPr>
          <w:rFonts w:ascii="Times New Roman" w:hAnsi="Times New Roman" w:cs="Times New Roman"/>
          <w:b/>
          <w:sz w:val="24"/>
          <w:szCs w:val="24"/>
        </w:rPr>
      </w:pPr>
      <w:r w:rsidRPr="00463F24">
        <w:rPr>
          <w:rFonts w:ascii="Times New Roman" w:hAnsi="Times New Roman" w:cs="Times New Roman"/>
          <w:b/>
          <w:sz w:val="24"/>
          <w:szCs w:val="24"/>
        </w:rPr>
        <w:t>Anexo:</w:t>
      </w:r>
      <w:r>
        <w:rPr>
          <w:rFonts w:ascii="Times New Roman" w:hAnsi="Times New Roman" w:cs="Times New Roman"/>
          <w:b/>
          <w:sz w:val="24"/>
          <w:szCs w:val="24"/>
        </w:rPr>
        <w:t xml:space="preserve"> un ejemplo, para arqueólo</w:t>
      </w:r>
      <w:r w:rsidR="00254497">
        <w:rPr>
          <w:rFonts w:ascii="Times New Roman" w:hAnsi="Times New Roman" w:cs="Times New Roman"/>
          <w:b/>
          <w:sz w:val="24"/>
          <w:szCs w:val="24"/>
        </w:rPr>
        <w:t>gos económicos, sobre el “Gosplá</w:t>
      </w:r>
      <w:r>
        <w:rPr>
          <w:rFonts w:ascii="Times New Roman" w:hAnsi="Times New Roman" w:cs="Times New Roman"/>
          <w:b/>
          <w:sz w:val="24"/>
          <w:szCs w:val="24"/>
        </w:rPr>
        <w:t>n” de la PAC</w:t>
      </w:r>
    </w:p>
    <w:p w:rsidR="00463F24" w:rsidRPr="00463F24" w:rsidRDefault="00463F24" w:rsidP="00463F24">
      <w:pPr>
        <w:spacing w:line="240" w:lineRule="auto"/>
        <w:jc w:val="both"/>
        <w:rPr>
          <w:rFonts w:ascii="Times New Roman" w:hAnsi="Times New Roman" w:cs="Times New Roman"/>
          <w:sz w:val="24"/>
          <w:szCs w:val="24"/>
        </w:rPr>
      </w:pPr>
      <w:r w:rsidRPr="00463F24">
        <w:rPr>
          <w:rFonts w:ascii="Times New Roman" w:hAnsi="Times New Roman" w:cs="Times New Roman"/>
          <w:sz w:val="24"/>
          <w:szCs w:val="24"/>
        </w:rPr>
        <w:t>(Los conocedores del “desaguisado”, o los lectores rápidos pueden saltear el Anexo)</w:t>
      </w:r>
    </w:p>
    <w:p w:rsidR="00DD78C0" w:rsidRPr="00463F24" w:rsidRDefault="00DD78C0" w:rsidP="00463F24">
      <w:pPr>
        <w:spacing w:line="240" w:lineRule="auto"/>
        <w:jc w:val="both"/>
        <w:rPr>
          <w:rFonts w:ascii="Times New Roman" w:hAnsi="Times New Roman" w:cs="Times New Roman"/>
          <w:sz w:val="24"/>
          <w:szCs w:val="24"/>
        </w:rPr>
      </w:pPr>
      <w:r>
        <w:rPr>
          <w:rFonts w:ascii="Times New Roman" w:eastAsia="Times New Roman" w:hAnsi="Times New Roman" w:cs="Times New Roman"/>
          <w:b/>
          <w:bCs/>
          <w:kern w:val="36"/>
          <w:sz w:val="24"/>
          <w:szCs w:val="24"/>
          <w:lang w:eastAsia="es-ES"/>
        </w:rPr>
        <w:t>La PAC equivale a</w:t>
      </w:r>
      <w:r w:rsidRPr="00C44C18">
        <w:rPr>
          <w:rFonts w:ascii="Times New Roman" w:eastAsia="Times New Roman" w:hAnsi="Times New Roman" w:cs="Times New Roman"/>
          <w:b/>
          <w:bCs/>
          <w:kern w:val="36"/>
          <w:sz w:val="24"/>
          <w:szCs w:val="24"/>
          <w:lang w:eastAsia="es-ES"/>
        </w:rPr>
        <w:t xml:space="preserve"> una </w:t>
      </w:r>
      <w:r>
        <w:rPr>
          <w:rFonts w:ascii="Times New Roman" w:eastAsia="Times New Roman" w:hAnsi="Times New Roman" w:cs="Times New Roman"/>
          <w:b/>
          <w:bCs/>
          <w:kern w:val="36"/>
          <w:sz w:val="24"/>
          <w:szCs w:val="24"/>
          <w:lang w:eastAsia="es-ES"/>
        </w:rPr>
        <w:t>“</w:t>
      </w:r>
      <w:r w:rsidRPr="00C44C18">
        <w:rPr>
          <w:rFonts w:ascii="Times New Roman" w:eastAsia="Times New Roman" w:hAnsi="Times New Roman" w:cs="Times New Roman"/>
          <w:b/>
          <w:bCs/>
          <w:kern w:val="36"/>
          <w:sz w:val="24"/>
          <w:szCs w:val="24"/>
          <w:lang w:eastAsia="es-ES"/>
        </w:rPr>
        <w:t>planifica</w:t>
      </w:r>
      <w:r>
        <w:rPr>
          <w:rFonts w:ascii="Times New Roman" w:eastAsia="Times New Roman" w:hAnsi="Times New Roman" w:cs="Times New Roman"/>
          <w:b/>
          <w:bCs/>
          <w:kern w:val="36"/>
          <w:sz w:val="24"/>
          <w:szCs w:val="24"/>
          <w:lang w:eastAsia="es-ES"/>
        </w:rPr>
        <w:t>ción” semejante a los Planes Quinquenales de la Unión Soviética -1928-1991- (de triste recuerdo, y arriesgado presente)</w:t>
      </w:r>
    </w:p>
    <w:p w:rsidR="00DD78C0" w:rsidRDefault="00DD78C0" w:rsidP="00DD78C0">
      <w:pPr>
        <w:spacing w:after="0" w:line="240" w:lineRule="auto"/>
        <w:jc w:val="both"/>
        <w:outlineLvl w:val="0"/>
        <w:rPr>
          <w:rFonts w:ascii="Times New Roman" w:eastAsia="Times New Roman" w:hAnsi="Times New Roman" w:cs="Times New Roman"/>
          <w:b/>
          <w:bCs/>
          <w:kern w:val="36"/>
          <w:sz w:val="24"/>
          <w:szCs w:val="24"/>
          <w:lang w:eastAsia="es-ES"/>
        </w:rPr>
      </w:pPr>
      <w:r>
        <w:rPr>
          <w:rFonts w:ascii="Times New Roman" w:eastAsia="Times New Roman" w:hAnsi="Times New Roman" w:cs="Times New Roman"/>
          <w:b/>
          <w:bCs/>
          <w:kern w:val="36"/>
          <w:sz w:val="24"/>
          <w:szCs w:val="24"/>
          <w:lang w:eastAsia="es-ES"/>
        </w:rPr>
        <w:t xml:space="preserve">El “espíritu” del Gosplán (*) en la Política Agraria Común: </w:t>
      </w:r>
      <w:r w:rsidRPr="00187C8E">
        <w:rPr>
          <w:rFonts w:ascii="Times New Roman" w:eastAsia="Times New Roman" w:hAnsi="Times New Roman" w:cs="Times New Roman"/>
          <w:b/>
          <w:bCs/>
          <w:kern w:val="36"/>
          <w:sz w:val="24"/>
          <w:szCs w:val="24"/>
          <w:lang w:eastAsia="es-ES"/>
        </w:rPr>
        <w:t>Ficha Analítica - España</w:t>
      </w:r>
    </w:p>
    <w:p w:rsidR="00372E47" w:rsidRDefault="00372E47" w:rsidP="0012435A">
      <w:pPr>
        <w:spacing w:after="0" w:line="240" w:lineRule="auto"/>
        <w:jc w:val="both"/>
        <w:rPr>
          <w:rFonts w:ascii="Times New Roman" w:eastAsia="Times New Roman" w:hAnsi="Times New Roman" w:cs="Times New Roman"/>
          <w:b/>
          <w:color w:val="000000"/>
          <w:sz w:val="20"/>
          <w:szCs w:val="20"/>
          <w:lang w:eastAsia="es-ES"/>
        </w:rPr>
      </w:pPr>
    </w:p>
    <w:p w:rsidR="0012435A" w:rsidRPr="00420868" w:rsidRDefault="0012435A" w:rsidP="0012435A">
      <w:pPr>
        <w:spacing w:after="0" w:line="240" w:lineRule="auto"/>
        <w:jc w:val="both"/>
        <w:rPr>
          <w:rFonts w:ascii="Times New Roman" w:eastAsia="Times New Roman" w:hAnsi="Times New Roman" w:cs="Times New Roman"/>
          <w:color w:val="000000"/>
          <w:sz w:val="20"/>
          <w:szCs w:val="20"/>
          <w:lang w:eastAsia="es-ES"/>
        </w:rPr>
      </w:pPr>
      <w:r w:rsidRPr="00420868">
        <w:rPr>
          <w:rFonts w:ascii="Times New Roman" w:eastAsia="Times New Roman" w:hAnsi="Times New Roman" w:cs="Times New Roman"/>
          <w:b/>
          <w:color w:val="000000"/>
          <w:sz w:val="20"/>
          <w:szCs w:val="20"/>
          <w:lang w:eastAsia="es-ES"/>
        </w:rPr>
        <w:t>(*)</w:t>
      </w:r>
      <w:r w:rsidRPr="00420868">
        <w:rPr>
          <w:rFonts w:ascii="Times New Roman" w:eastAsia="Times New Roman" w:hAnsi="Times New Roman" w:cs="Times New Roman"/>
          <w:color w:val="000000"/>
          <w:sz w:val="20"/>
          <w:szCs w:val="20"/>
          <w:lang w:eastAsia="es-ES"/>
        </w:rPr>
        <w:t xml:space="preserve"> El Gosplán era el comité para la planificación económica en la Unión Soviética.</w:t>
      </w:r>
    </w:p>
    <w:p w:rsidR="0012435A" w:rsidRDefault="0012435A" w:rsidP="00DD78C0">
      <w:pPr>
        <w:spacing w:after="0" w:line="240" w:lineRule="auto"/>
        <w:jc w:val="both"/>
        <w:outlineLvl w:val="0"/>
        <w:rPr>
          <w:rFonts w:ascii="Times New Roman" w:eastAsia="Times New Roman" w:hAnsi="Times New Roman" w:cs="Times New Roman"/>
          <w:b/>
          <w:bCs/>
          <w:kern w:val="36"/>
          <w:sz w:val="24"/>
          <w:szCs w:val="24"/>
          <w:lang w:eastAsia="es-ES"/>
        </w:rPr>
      </w:pPr>
    </w:p>
    <w:p w:rsidR="00DD78C0" w:rsidRPr="00F63799" w:rsidRDefault="00DD78C0" w:rsidP="00DD78C0">
      <w:pPr>
        <w:spacing w:after="0" w:line="240" w:lineRule="auto"/>
        <w:jc w:val="both"/>
        <w:outlineLvl w:val="0"/>
        <w:rPr>
          <w:rFonts w:ascii="Times New Roman" w:eastAsia="Times New Roman" w:hAnsi="Times New Roman" w:cs="Times New Roman"/>
          <w:bCs/>
          <w:kern w:val="36"/>
          <w:sz w:val="24"/>
          <w:szCs w:val="24"/>
          <w:lang w:eastAsia="es-ES"/>
        </w:rPr>
      </w:pPr>
      <w:r w:rsidRPr="00F63799">
        <w:rPr>
          <w:rFonts w:ascii="Times New Roman" w:eastAsia="Times New Roman" w:hAnsi="Times New Roman" w:cs="Times New Roman"/>
          <w:bCs/>
          <w:kern w:val="36"/>
          <w:sz w:val="24"/>
          <w:szCs w:val="24"/>
          <w:lang w:eastAsia="es-ES"/>
        </w:rPr>
        <w:t xml:space="preserve">(Así como este, hay un </w:t>
      </w:r>
      <w:r>
        <w:rPr>
          <w:rFonts w:ascii="Times New Roman" w:eastAsia="Times New Roman" w:hAnsi="Times New Roman" w:cs="Times New Roman"/>
          <w:bCs/>
          <w:kern w:val="36"/>
          <w:sz w:val="24"/>
          <w:szCs w:val="24"/>
          <w:lang w:eastAsia="es-ES"/>
        </w:rPr>
        <w:t xml:space="preserve">“exhaustivo” </w:t>
      </w:r>
      <w:r w:rsidRPr="00F63799">
        <w:rPr>
          <w:rFonts w:ascii="Times New Roman" w:eastAsia="Times New Roman" w:hAnsi="Times New Roman" w:cs="Times New Roman"/>
          <w:bCs/>
          <w:kern w:val="36"/>
          <w:sz w:val="24"/>
          <w:szCs w:val="24"/>
          <w:lang w:eastAsia="es-ES"/>
        </w:rPr>
        <w:t xml:space="preserve">plan para </w:t>
      </w:r>
      <w:r>
        <w:rPr>
          <w:rFonts w:ascii="Times New Roman" w:eastAsia="Times New Roman" w:hAnsi="Times New Roman" w:cs="Times New Roman"/>
          <w:bCs/>
          <w:kern w:val="36"/>
          <w:sz w:val="24"/>
          <w:szCs w:val="24"/>
          <w:lang w:eastAsia="es-ES"/>
        </w:rPr>
        <w:t>cada uno de los países miembro de la UE)</w:t>
      </w:r>
    </w:p>
    <w:p w:rsidR="00DD78C0" w:rsidRPr="00187C8E" w:rsidRDefault="00DD78C0" w:rsidP="00DD78C0">
      <w:pPr>
        <w:spacing w:after="0" w:line="240" w:lineRule="auto"/>
        <w:jc w:val="both"/>
        <w:outlineLvl w:val="0"/>
        <w:rPr>
          <w:rFonts w:ascii="Times New Roman" w:eastAsia="Times New Roman" w:hAnsi="Times New Roman" w:cs="Times New Roman"/>
          <w:b/>
          <w:bCs/>
          <w:color w:val="004494"/>
          <w:kern w:val="36"/>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Diez objetivos para una futura Política Agrícola Común.</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Esta ficha informativa proporciona una visión general del sector agrícola y el desarrollo rural en España. En forma de panel interactivo, presenta datos y cifras para cada uno de los 10 objetivos específicos de la Política Agrícola Común después de 2020, tal como se define en el reglamento (UE) 2021/2115. La información refleja indicadores de contexto comunes e indicadores de impacto en relación con la agricultura y el desarrollo rural para los que se dispone de datos hasta la fecha. Esta ficha informativa se basa en la información disponible recibida de los Estados miembros por la Comisión hasta diciembre de 2021 para una serie de objetivos específicos. Los datos para los objetivos restantes estarán disponibles a principios de 2022. Los datos se ponen a disposición sin perjuicio de cualquier conclusión con respecto al cumplimiento del marco regulatorio por parte de los Estados miembros y no prejuzga sobre el cumplimiento de los Estados miembros.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C44C18" w:rsidRDefault="00DD78C0" w:rsidP="00DD78C0">
      <w:pPr>
        <w:spacing w:after="0" w:line="240" w:lineRule="auto"/>
        <w:jc w:val="both"/>
        <w:outlineLvl w:val="0"/>
        <w:rPr>
          <w:rFonts w:ascii="Times New Roman" w:eastAsia="Times New Roman" w:hAnsi="Times New Roman" w:cs="Times New Roman"/>
          <w:b/>
          <w:bCs/>
          <w:kern w:val="36"/>
          <w:sz w:val="24"/>
          <w:szCs w:val="24"/>
          <w:lang w:eastAsia="es-ES"/>
        </w:rPr>
      </w:pPr>
      <w:r w:rsidRPr="00187C8E">
        <w:rPr>
          <w:rFonts w:ascii="Times New Roman" w:eastAsia="Times New Roman" w:hAnsi="Times New Roman" w:cs="Times New Roman"/>
          <w:b/>
          <w:bCs/>
          <w:kern w:val="36"/>
          <w:sz w:val="24"/>
          <w:szCs w:val="24"/>
          <w:lang w:eastAsia="es-ES"/>
        </w:rPr>
        <w:t>Contribuir a la mitigación y adaptación al cambio climático</w:t>
      </w:r>
    </w:p>
    <w:p w:rsidR="00DD78C0" w:rsidRPr="00187C8E" w:rsidRDefault="00DD78C0" w:rsidP="00DD78C0">
      <w:pPr>
        <w:spacing w:after="0" w:line="240" w:lineRule="auto"/>
        <w:jc w:val="both"/>
        <w:outlineLvl w:val="0"/>
        <w:rPr>
          <w:rFonts w:ascii="Times New Roman" w:eastAsia="Times New Roman" w:hAnsi="Times New Roman" w:cs="Times New Roman"/>
          <w:b/>
          <w:bCs/>
          <w:color w:val="004494"/>
          <w:kern w:val="36"/>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Contribuir a la mitigación y adaptación al cambio climático, incluso mediante la reducción de las emisiones de gases de efecto invernadero y la mejora del secuestro de carbono, así como promover la energía sostenible.</w:t>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Contribuyendo a la mitigación del cambio climático</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 xml:space="preserve">La agricultura contribuye al cambio climático principalmente al emitir tres gases de efecto invernadero (GEI). Primero, está el metano (CH4) de los procesos de digestión del ganado </w:t>
      </w:r>
      <w:r w:rsidRPr="00187C8E">
        <w:rPr>
          <w:rFonts w:ascii="Times New Roman" w:eastAsia="Times New Roman" w:hAnsi="Times New Roman" w:cs="Times New Roman"/>
          <w:color w:val="000000"/>
          <w:sz w:val="24"/>
          <w:szCs w:val="24"/>
          <w:lang w:eastAsia="es-ES"/>
        </w:rPr>
        <w:lastRenderedPageBreak/>
        <w:t>(fermentación entérica), manejo del estiércol y cultivo de arroz. En segundo lugar, el óxido nitroso (N2O) procedente de suelos agrícolas con fertilización nitrogenada orgánica y mineral y manejo de estiércol. Y en tercer lugar, el dióxido de carbono (CO2) del suelo como resultado de la gestión de las tierras agrícolas, como el arado o la conversión del uso de la tierra, por ejemplo, de pastizales a tierras de cultivo. Estas prácticas pueden conducir a la mineralización del carbono orgánico del suelo a CO2 emitido a la atmósfera.</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Las tierras agrícolas también pueden actuar como sumideros de GEI, ya que la vegetación en crecimiento absorbe CO2 de la atmósfera que luego se almacena de manera temporal o permanente en biomasa o suelos.El indicador presenta una suma de las emisiones principalmente distintas del CO2 de la fermentación entérica, la gestión del estiércol, el cultivo de arroz y la gestión del suelo y de las emisiones y absorciones de CO2 de UTCUTS (uso de la tierra, cambio de uso de la tierra y silvicultura) de pastizales y tierras de cultivo. Estos son informados por los Es</w:t>
      </w:r>
      <w:r>
        <w:rPr>
          <w:rFonts w:ascii="Times New Roman" w:eastAsia="Times New Roman" w:hAnsi="Times New Roman" w:cs="Times New Roman"/>
          <w:color w:val="000000"/>
          <w:sz w:val="24"/>
          <w:szCs w:val="24"/>
          <w:lang w:eastAsia="es-ES"/>
        </w:rPr>
        <w:t>tados miembros en los sectores “Agricultura” y “LULUCF”</w:t>
      </w:r>
      <w:r w:rsidRPr="00187C8E">
        <w:rPr>
          <w:rFonts w:ascii="Times New Roman" w:eastAsia="Times New Roman" w:hAnsi="Times New Roman" w:cs="Times New Roman"/>
          <w:color w:val="000000"/>
          <w:sz w:val="24"/>
          <w:szCs w:val="24"/>
          <w:lang w:eastAsia="es-ES"/>
        </w:rPr>
        <w:t xml:space="preserve"> según lo definido por el Panel Internacional sobre el Cambio Climático (IPCC), en el inventario nacional de gases de efecto invernadero presentado a la Convención Marco de las Naciones Unidas sobre el Cambio Climático.</w:t>
      </w:r>
    </w:p>
    <w:p w:rsidR="00DD78C0" w:rsidRDefault="00DD78C0" w:rsidP="00DD78C0">
      <w:pPr>
        <w:spacing w:after="0" w:line="240" w:lineRule="auto"/>
        <w:jc w:val="both"/>
        <w:rPr>
          <w:rFonts w:ascii="Times New Roman" w:eastAsia="Times New Roman" w:hAnsi="Times New Roman" w:cs="Times New Roman"/>
          <w:b/>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Las emisiones de GEI de la agricultura de la UE (incluidas las tierras de cultivo y los pastizales) se han reducido en más de un 20 % desde 1990, pero se han estancado desde 2010. En 2018 representaron el 13 % de las emisiones totales de GEI de la UE. </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Este indicador no incluye las emisiones de CO2 del uso de energía de la maquinaria agrícola, los edificios y las operaciones agrícolas ni las emisiones de la producción de insumos, como los fertilizantes inorgánicos.</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2043" cy="2895600"/>
            <wp:effectExtent l="0" t="0" r="254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2895331"/>
                    </a:xfrm>
                    <a:prstGeom prst="rect">
                      <a:avLst/>
                    </a:prstGeom>
                  </pic:spPr>
                </pic:pic>
              </a:graphicData>
            </a:graphic>
          </wp:inline>
        </w:drawing>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Mejorar el secuestro de carbono</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carbono orgánico del suelo, el componente principal de la materia orgánica del suelo, es extremadamente importante en todos los procesos del suelo, incluso por su capacidad para retener agua y, por lo tanto, hacer frente a grandes fluctuaciones en las precipitaciones, lo cual es importante en términos de adaptación climática.</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lastRenderedPageBreak/>
        <w:t>La materia orgánica en el suelo se deriva principalmente de tejidos vegetales residuales, mientras que las contribuciones microbianas, fúngicas y animales constituyen una pequeña parte de su cantidad total. Los microbios, los hongos y los animales descomponen la materia orgánica de manera más o menos eficiente según la temperatura, la humedad y las condiciones ambientales del suelo.</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Dos grupos de factores influyen en el contenido y la acumulación inherentes de materia orgánica: factores naturales (clima, material original del suelo, cobertura terrestre y/o vegetación y topografía); y factores inducidos por el hombre (uso, gestión y degradación de la tierra).</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27700" cy="2520950"/>
            <wp:effectExtent l="0" t="0" r="635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2522627"/>
                    </a:xfrm>
                    <a:prstGeom prst="rect">
                      <a:avLst/>
                    </a:prstGeom>
                  </pic:spPr>
                </pic:pic>
              </a:graphicData>
            </a:graphic>
          </wp:inline>
        </w:drawing>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Promoción de la energía sostenible en la agricultura</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energía sostenible es crucial para reducir el uso de combustibles fósiles y las emisiones de GEI.</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primer gráfico muestra la producción de energía renovable a partir de biomasa agrícola y forestal. </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 xml:space="preserve">La energía renovable procedente de biomasa agrícola suma la cantidad de energía obtenida a partir de: </w:t>
      </w:r>
      <w:r w:rsidR="00254497" w:rsidRPr="00187C8E">
        <w:rPr>
          <w:rFonts w:ascii="Times New Roman" w:eastAsia="Times New Roman" w:hAnsi="Times New Roman" w:cs="Times New Roman"/>
          <w:color w:val="000000"/>
          <w:sz w:val="24"/>
          <w:szCs w:val="24"/>
          <w:lang w:eastAsia="es-ES"/>
        </w:rPr>
        <w:t>biodiesel</w:t>
      </w:r>
      <w:r w:rsidRPr="00187C8E">
        <w:rPr>
          <w:rFonts w:ascii="Times New Roman" w:eastAsia="Times New Roman" w:hAnsi="Times New Roman" w:cs="Times New Roman"/>
          <w:color w:val="000000"/>
          <w:sz w:val="24"/>
          <w:szCs w:val="24"/>
          <w:lang w:eastAsia="es-ES"/>
        </w:rPr>
        <w:t xml:space="preserve"> procedente de cultivos de oleaginosas; bioetanol a partir de cultivos de almidón/azúcar; biocombustibles de segunda generación (a partir de materiales celulósicos no alimentarios); biogás agrícola (estiércol de ganado y cultivos energéticos, desechos y residuos); cultivos energéticos para electricidad o calor (incluido el monte bajo de rotación corta); y residuos de cultivos agrícolas para electricidad o calor. </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energía renovable procedente de biomasa forestal suma la cantidad de energía obtenida a partir de: madera procedente directamente de la silvicultura (leña combustible, astillas, cortezas, virutas, residuos forestales) o transformada a partir de cualquiera de las anteriores (pellets, briquetas, etc.); y subproductos y coproductos de la industria forestal en la UE utilizados para la producción de energía (por ejemplo, aserrín, licor negro).</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indicador se expresa en toneladas equivalentes de petróleo por 1000 hectáreas de terreno. La producción de energía renovable a partir de la agricultura y la silvicultura está aumentando. </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lastRenderedPageBreak/>
        <w:t>El segundo gráfico muestra, por un lado, la participación de la agricultura y la silvicultura en la producción total de energías renovables y, por otro, la participación de las energías renovables en la energía total utilizada por la agricultura y la silvicultura.</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agricultura y la silvicultura siguieron siendo la principal fuente de energía renovable en la UE de los 27 en 2019 (representando el 53 % de la producción). Sin embargo, la dependencia de la agricultura y la silvicultura de los combustibles fósiles</w:t>
      </w:r>
      <w:r>
        <w:rPr>
          <w:rFonts w:ascii="Times New Roman" w:eastAsia="Times New Roman" w:hAnsi="Times New Roman" w:cs="Times New Roman"/>
          <w:color w:val="000000"/>
          <w:sz w:val="24"/>
          <w:szCs w:val="24"/>
          <w:lang w:eastAsia="es-ES"/>
        </w:rPr>
        <w:t>,sigue</w:t>
      </w:r>
      <w:r w:rsidRPr="00187C8E">
        <w:rPr>
          <w:rFonts w:ascii="Times New Roman" w:eastAsia="Times New Roman" w:hAnsi="Times New Roman" w:cs="Times New Roman"/>
          <w:color w:val="000000"/>
          <w:sz w:val="24"/>
          <w:szCs w:val="24"/>
          <w:lang w:eastAsia="es-ES"/>
        </w:rPr>
        <w:t xml:space="preserve"> siendo muy alta.</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27121" cy="3117850"/>
            <wp:effectExtent l="0" t="0" r="6985"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3120239"/>
                    </a:xfrm>
                    <a:prstGeom prst="rect">
                      <a:avLst/>
                    </a:prstGeom>
                  </pic:spPr>
                </pic:pic>
              </a:graphicData>
            </a:graphic>
          </wp:inline>
        </w:drawing>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28114" cy="2978150"/>
            <wp:effectExtent l="0" t="0" r="635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2979915"/>
                    </a:xfrm>
                    <a:prstGeom prst="rect">
                      <a:avLst/>
                    </a:prstGeom>
                  </pic:spPr>
                </pic:pic>
              </a:graphicData>
            </a:graphic>
          </wp:inline>
        </w:drawing>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Aumento de la superficie sujeta a compromisos agroambientales y climáticos</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Las medidas agroambientales y climáticas (AECM) son compromisos voluntarios para mejorar las prácticas de gestión de la tierra, beneficiosas para el medio ambiente y el clima, incluidas la conservación y restauración de ecosistemas, la eficiencia de los recursos y las prácticas bajas en carbono. </w:t>
      </w:r>
      <w:r w:rsidRPr="00187C8E">
        <w:rPr>
          <w:rFonts w:ascii="Times New Roman" w:eastAsia="Times New Roman" w:hAnsi="Times New Roman" w:cs="Times New Roman"/>
          <w:sz w:val="24"/>
          <w:szCs w:val="24"/>
          <w:lang w:eastAsia="es-ES"/>
        </w:rPr>
        <w:t xml:space="preserve">Este gráfico muestra la proporción de la superficie agrícola </w:t>
      </w:r>
      <w:r w:rsidRPr="00187C8E">
        <w:rPr>
          <w:rFonts w:ascii="Times New Roman" w:eastAsia="Times New Roman" w:hAnsi="Times New Roman" w:cs="Times New Roman"/>
          <w:sz w:val="24"/>
          <w:szCs w:val="24"/>
          <w:lang w:eastAsia="es-ES"/>
        </w:rPr>
        <w:lastRenderedPageBreak/>
        <w:t>utilizada (SAU) sujeta a AECM en los Estados miembros de la UE-27. </w:t>
      </w:r>
      <w:r w:rsidRPr="00187C8E">
        <w:rPr>
          <w:rFonts w:ascii="Times New Roman" w:eastAsia="Times New Roman" w:hAnsi="Times New Roman" w:cs="Times New Roman"/>
          <w:color w:val="000000"/>
          <w:sz w:val="24"/>
          <w:szCs w:val="24"/>
          <w:lang w:eastAsia="es-ES"/>
        </w:rPr>
        <w:t xml:space="preserve">Estas prácticas se financian a través de la Política Agrícola Común (PAC) y tienen que ir más </w:t>
      </w:r>
      <w:r>
        <w:rPr>
          <w:rFonts w:ascii="Times New Roman" w:eastAsia="Times New Roman" w:hAnsi="Times New Roman" w:cs="Times New Roman"/>
          <w:color w:val="000000"/>
          <w:sz w:val="24"/>
          <w:szCs w:val="24"/>
          <w:lang w:eastAsia="es-ES"/>
        </w:rPr>
        <w:t>allá de la “línea de base”</w:t>
      </w:r>
      <w:r w:rsidRPr="00187C8E">
        <w:rPr>
          <w:rFonts w:ascii="Times New Roman" w:eastAsia="Times New Roman" w:hAnsi="Times New Roman" w:cs="Times New Roman"/>
          <w:color w:val="000000"/>
          <w:sz w:val="24"/>
          <w:szCs w:val="24"/>
          <w:lang w:eastAsia="es-ES"/>
        </w:rPr>
        <w:t>, es decir, el nivel de protección requerido por la legislación nacional y de la UE pertinente. Por ejemplo, estos compromisos agroambientales y climáticos pueden apoyar prácticas que limiten la pérdida de materia orgánica del suelo, fomenten la biodiversidad del suelo o reduzcan la contaminación del suelo.</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1510" cy="2666132"/>
            <wp:effectExtent l="0" t="0" r="2540" b="127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2666132"/>
                    </a:xfrm>
                    <a:prstGeom prst="rect">
                      <a:avLst/>
                    </a:prstGeom>
                  </pic:spPr>
                </pic:pic>
              </a:graphicData>
            </a:graphic>
          </wp:inline>
        </w:drawing>
      </w:r>
    </w:p>
    <w:p w:rsidR="00DD78C0" w:rsidRPr="00C44C18" w:rsidRDefault="00DD78C0" w:rsidP="00DD78C0">
      <w:pPr>
        <w:spacing w:after="0" w:line="240" w:lineRule="auto"/>
        <w:jc w:val="both"/>
        <w:outlineLvl w:val="0"/>
        <w:rPr>
          <w:rFonts w:ascii="Times New Roman" w:eastAsia="Times New Roman" w:hAnsi="Times New Roman" w:cs="Times New Roman"/>
          <w:b/>
          <w:bCs/>
          <w:kern w:val="36"/>
          <w:sz w:val="24"/>
          <w:szCs w:val="24"/>
          <w:lang w:eastAsia="es-ES"/>
        </w:rPr>
      </w:pPr>
      <w:r w:rsidRPr="00187C8E">
        <w:rPr>
          <w:rFonts w:ascii="Times New Roman" w:eastAsia="Times New Roman" w:hAnsi="Times New Roman" w:cs="Times New Roman"/>
          <w:b/>
          <w:bCs/>
          <w:kern w:val="36"/>
          <w:sz w:val="24"/>
          <w:szCs w:val="24"/>
          <w:lang w:eastAsia="es-ES"/>
        </w:rPr>
        <w:t>Protección de los recursos naturales</w:t>
      </w:r>
    </w:p>
    <w:p w:rsidR="00DD78C0" w:rsidRPr="00187C8E" w:rsidRDefault="00DD78C0" w:rsidP="00DD78C0">
      <w:pPr>
        <w:spacing w:after="0" w:line="240" w:lineRule="auto"/>
        <w:jc w:val="both"/>
        <w:outlineLvl w:val="0"/>
        <w:rPr>
          <w:rFonts w:ascii="Times New Roman" w:eastAsia="Times New Roman" w:hAnsi="Times New Roman" w:cs="Times New Roman"/>
          <w:b/>
          <w:bCs/>
          <w:color w:val="004494"/>
          <w:kern w:val="36"/>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Fomentar el desarrollo sostenible y la gestión eficiente de los recursos naturales como el agua, el suelo y el aire, incluso mediante la reducción de la dependencia química.</w:t>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Reducir la erosión del suelo</w:t>
      </w:r>
    </w:p>
    <w:p w:rsidR="00DD78C0" w:rsidRDefault="00DD78C0" w:rsidP="00DD78C0">
      <w:pPr>
        <w:spacing w:after="0" w:line="240" w:lineRule="auto"/>
        <w:jc w:val="both"/>
        <w:rPr>
          <w:rFonts w:ascii="Times New Roman" w:eastAsia="Times New Roman" w:hAnsi="Times New Roman" w:cs="Times New Roman"/>
          <w:sz w:val="24"/>
          <w:szCs w:val="24"/>
          <w:lang w:eastAsia="es-ES"/>
        </w:rPr>
      </w:pPr>
      <w:r w:rsidRPr="00187C8E">
        <w:rPr>
          <w:rFonts w:ascii="Times New Roman" w:eastAsia="Times New Roman" w:hAnsi="Times New Roman" w:cs="Times New Roman"/>
          <w:color w:val="000000"/>
          <w:sz w:val="24"/>
          <w:szCs w:val="24"/>
          <w:lang w:eastAsia="es-ES"/>
        </w:rPr>
        <w:t>La erosión por agua es una de las principales causas de la degradación del suelo en Europa. Los procesos del agua como las salpicaduras de lluvia, el flujo superficial, el lavado de láminas y la formación de riachuelos conducen a la eliminación del suelo y la degradación de la estructura del suelo. Entre las consecuencias para la agricultura se encuentran la pérdida de tierras fértiles, así como un mayor riesgo de inundaciones y contaminación de las aguas superficiales. </w:t>
      </w:r>
      <w:r w:rsidRPr="00187C8E">
        <w:rPr>
          <w:rFonts w:ascii="Times New Roman" w:eastAsia="Times New Roman" w:hAnsi="Times New Roman" w:cs="Times New Roman"/>
          <w:sz w:val="24"/>
          <w:szCs w:val="24"/>
          <w:lang w:eastAsia="es-ES"/>
        </w:rPr>
        <w:t>Las prácticas agrícolas intensivas aumentan el riesgo de erosión del suelo, mientras que la cubierta vegetal lo reduce.</w:t>
      </w:r>
    </w:p>
    <w:p w:rsidR="00DD78C0" w:rsidRPr="00187C8E" w:rsidRDefault="00DD78C0" w:rsidP="00DD78C0">
      <w:pPr>
        <w:spacing w:after="0" w:line="240" w:lineRule="auto"/>
        <w:jc w:val="both"/>
        <w:rPr>
          <w:rFonts w:ascii="Times New Roman" w:eastAsia="Times New Roman" w:hAnsi="Times New Roman" w:cs="Times New Roman"/>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Según la OCDE, la erosión moderada se define por una pérdida de suelo estimada superior a 11 toneladas por hectárea al año. En 2016, se estimó que el 9 % de las zonas agrícolas de la EU-27 estaban afectadas por una erosión moderada del agua del suelo.</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C44C18" w:rsidRDefault="00DD78C0" w:rsidP="00DD78C0">
      <w:pPr>
        <w:spacing w:after="0" w:line="240" w:lineRule="auto"/>
        <w:jc w:val="both"/>
        <w:rPr>
          <w:rFonts w:ascii="Times New Roman" w:eastAsia="Times New Roman" w:hAnsi="Times New Roman" w:cs="Times New Roman"/>
          <w:sz w:val="24"/>
          <w:szCs w:val="24"/>
          <w:lang w:eastAsia="es-ES"/>
        </w:rPr>
      </w:pPr>
      <w:r w:rsidRPr="00187C8E">
        <w:rPr>
          <w:rFonts w:ascii="Times New Roman" w:eastAsia="Times New Roman" w:hAnsi="Times New Roman" w:cs="Times New Roman"/>
          <w:sz w:val="24"/>
          <w:szCs w:val="24"/>
          <w:lang w:eastAsia="es-ES"/>
        </w:rPr>
        <w:t>Las áreas agrícolas incluyen tierras de cultivo, cultivos permanentes y áreas agrícolas heterogéneas como las áreas agroforestales, pero excluyen los pastos y los pastizales naturales.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lastRenderedPageBreak/>
        <w:drawing>
          <wp:inline distT="0" distB="0" distL="0" distR="0">
            <wp:extent cx="5724027" cy="2260600"/>
            <wp:effectExtent l="0" t="0" r="0" b="635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2263555"/>
                    </a:xfrm>
                    <a:prstGeom prst="rect">
                      <a:avLst/>
                    </a:prstGeom>
                  </pic:spPr>
                </pic:pic>
              </a:graphicData>
            </a:graphic>
          </wp:inline>
        </w:drawing>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Mejorando la calidad del aire</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contaminación por amoníaco (NH3) aumenta las deposiciones ácidas y el nivel de nutrientes en el suelo, los ríos y los lagos, lo que puede conducir a la eutrofización. También puede aumentar la carga de partículas en el aire, que es muy dañina para la salud, cuando sufre ciertas reacciones químicas. La agricultura es el principal emisor de amoníaco en la UE (procedente de la ganadería y del uso de algunos fertilizantes nitrogenados inorgánicos).</w:t>
      </w:r>
    </w:p>
    <w:p w:rsidR="00DD78C0" w:rsidRPr="00900E09"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900E09">
        <w:rPr>
          <w:rFonts w:ascii="Times New Roman" w:eastAsia="Times New Roman" w:hAnsi="Times New Roman" w:cs="Times New Roman"/>
          <w:bCs/>
          <w:color w:val="000000"/>
          <w:sz w:val="24"/>
          <w:szCs w:val="24"/>
          <w:lang w:eastAsia="es-ES"/>
        </w:rPr>
        <w:t>En la UE-27</w:t>
      </w:r>
      <w:r w:rsidRPr="00187C8E">
        <w:rPr>
          <w:rFonts w:ascii="Times New Roman" w:eastAsia="Times New Roman" w:hAnsi="Times New Roman" w:cs="Times New Roman"/>
          <w:color w:val="000000"/>
          <w:sz w:val="24"/>
          <w:szCs w:val="24"/>
          <w:lang w:eastAsia="es-ES"/>
        </w:rPr>
        <w:t>, las emisiones de amoníaco de la agricultura cayeron de forma más o menos continua entre 1990 y 2012, pero han vuelto a aumentar desde entonces.</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4050" cy="2889250"/>
            <wp:effectExtent l="0" t="0" r="0" b="635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2887970"/>
                    </a:xfrm>
                    <a:prstGeom prst="rect">
                      <a:avLst/>
                    </a:prstGeom>
                  </pic:spPr>
                </pic:pic>
              </a:graphicData>
            </a:graphic>
          </wp:inline>
        </w:drawing>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Reducir las pérdidas de nutrientes</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nitrógeno (N) y el fósforo (P) son esenciales para la producción de cultivos, pero a través de la esc</w:t>
      </w:r>
      <w:r>
        <w:rPr>
          <w:rFonts w:ascii="Times New Roman" w:eastAsia="Times New Roman" w:hAnsi="Times New Roman" w:cs="Times New Roman"/>
          <w:color w:val="000000"/>
          <w:sz w:val="24"/>
          <w:szCs w:val="24"/>
          <w:lang w:eastAsia="es-ES"/>
        </w:rPr>
        <w:t>orrentía y la lixiviación, pueden</w:t>
      </w:r>
      <w:r w:rsidRPr="00187C8E">
        <w:rPr>
          <w:rFonts w:ascii="Times New Roman" w:eastAsia="Times New Roman" w:hAnsi="Times New Roman" w:cs="Times New Roman"/>
          <w:color w:val="000000"/>
          <w:sz w:val="24"/>
          <w:szCs w:val="24"/>
          <w:lang w:eastAsia="es-ES"/>
        </w:rPr>
        <w:t xml:space="preserve"> transferirse a los cuerpos de agua. Los niveles excesivos en el agua son una forma importante de contaminación del agua que puede ser perjudicial para la salud y causar eutrofización. El balance bruto de nitrógeno y el balance bruto de fósforo en las tierras agrícolas no son una medida directa de la presencia de estas </w:t>
      </w:r>
      <w:r w:rsidRPr="00187C8E">
        <w:rPr>
          <w:rFonts w:ascii="Times New Roman" w:eastAsia="Times New Roman" w:hAnsi="Times New Roman" w:cs="Times New Roman"/>
          <w:color w:val="000000"/>
          <w:sz w:val="24"/>
          <w:szCs w:val="24"/>
          <w:lang w:eastAsia="es-ES"/>
        </w:rPr>
        <w:lastRenderedPageBreak/>
        <w:t>sustancias químicas en el agua, sino que indican hasta qué punto pueden estar pasando de las tierras agrícolas a los cuerpos de agua.</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900E09">
        <w:rPr>
          <w:rFonts w:ascii="Times New Roman" w:eastAsia="Times New Roman" w:hAnsi="Times New Roman" w:cs="Times New Roman"/>
          <w:bCs/>
          <w:color w:val="000000"/>
          <w:sz w:val="24"/>
          <w:szCs w:val="24"/>
          <w:lang w:eastAsia="es-ES"/>
        </w:rPr>
        <w:t>En la UE-27</w:t>
      </w:r>
      <w:r w:rsidRPr="00187C8E">
        <w:rPr>
          <w:rFonts w:ascii="Times New Roman" w:eastAsia="Times New Roman" w:hAnsi="Times New Roman" w:cs="Times New Roman"/>
          <w:color w:val="000000"/>
          <w:sz w:val="24"/>
          <w:szCs w:val="24"/>
          <w:lang w:eastAsia="es-ES"/>
        </w:rPr>
        <w:t>, las cifras disponibles pueden indicar una disminución en el excedente potencial de nitrógeno desde 2015, pero esta imagen puede ajustarse a medida que surjan más datos con respecto a ese período.</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concepto de “excedente” debe entenderse a la luz del hecho de que la eficiencia de uso de nitrógeno y fósforo por parte de los cultivos no puede alcanzar el 100 %, y el uso óptimo por parte de las plantas depende de una variedad de factores.</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27054" cy="2381250"/>
            <wp:effectExtent l="0" t="0" r="762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2383103"/>
                    </a:xfrm>
                    <a:prstGeom prst="rect">
                      <a:avLst/>
                    </a:prstGeom>
                  </pic:spPr>
                </pic:pic>
              </a:graphicData>
            </a:graphic>
          </wp:inline>
        </w:drawing>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Mejorando la calidad del agua</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Las concentraciones de nitrato en las aguas subterráneas reflejan la intensidad de la actividad agrícola y su impacto potencial en la calidad y contaminación del agua dulce. Debe tenerse en cuenta que es difícil distinguir la contribución de la agricultura a este estatus en comparación con otros factores influyentes, aunque se reconoce que la agricultura es uno de los principales contribuyentes.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Las cifras de nitratos en agua dulce brindan una descripción completa del estado real de los cuerpos de agua, lo que permite la comparación a lo largo del tiempo. Estos datos son complementarios al Balance Bruto de Nutrientes que proporciona una indicación del impacto de la agricultura en esas cifras y brinda información sobre la posible contaminación por fosfatos.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En 2017, 18 de los 27 países de la UE tenían estaciones de control de aguas subterráneas con agua de mala calidad. En estas estaciones de monitoreo de aguas subterráneas, la concentración promedio de nitratos está por encima del Estándar de Calidad de Aguas Subterráneas de la UE de 50 miligramos de nitrato por litro (mg NO3/l), según lo establecido en la Directiva de Aguas Subterráneas (2006/118/EC).</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sz w:val="24"/>
          <w:szCs w:val="24"/>
          <w:lang w:eastAsia="es-ES"/>
        </w:rPr>
        <w:t>Estos datos de la Agencia Europea de Medio Ambiente solo están disponibles a nivel nacional, lo que puede enmascarar importantes variaciones regionales. Además, faltan datos de varios Estados miembros. </w:t>
      </w:r>
      <w:r w:rsidRPr="00187C8E">
        <w:rPr>
          <w:rFonts w:ascii="Times New Roman" w:eastAsia="Times New Roman" w:hAnsi="Times New Roman" w:cs="Times New Roman"/>
          <w:color w:val="000000"/>
          <w:sz w:val="24"/>
          <w:szCs w:val="24"/>
          <w:lang w:eastAsia="es-ES"/>
        </w:rPr>
        <w:t xml:space="preserve">Puede encontrar más información sobre los nitratos en las aguas subterráneas en el informe de la Comisión sobre la implementación de la Directiva del </w:t>
      </w:r>
      <w:r w:rsidRPr="00187C8E">
        <w:rPr>
          <w:rFonts w:ascii="Times New Roman" w:eastAsia="Times New Roman" w:hAnsi="Times New Roman" w:cs="Times New Roman"/>
          <w:color w:val="000000"/>
          <w:sz w:val="24"/>
          <w:szCs w:val="24"/>
          <w:lang w:eastAsia="es-ES"/>
        </w:rPr>
        <w:lastRenderedPageBreak/>
        <w:t>Consejo 91/676/EEC relativa a la protección de las aguas contra la contaminación causada por los nitratos de fuentes agrícolas basado en los informes de los Estados miembros p</w:t>
      </w:r>
      <w:r>
        <w:rPr>
          <w:rFonts w:ascii="Times New Roman" w:eastAsia="Times New Roman" w:hAnsi="Times New Roman" w:cs="Times New Roman"/>
          <w:color w:val="000000"/>
          <w:sz w:val="24"/>
          <w:szCs w:val="24"/>
          <w:lang w:eastAsia="es-ES"/>
        </w:rPr>
        <w:t>ara el período 2016-2019 (COM (</w:t>
      </w:r>
      <w:r w:rsidRPr="00187C8E">
        <w:rPr>
          <w:rFonts w:ascii="Times New Roman" w:eastAsia="Times New Roman" w:hAnsi="Times New Roman" w:cs="Times New Roman"/>
          <w:color w:val="000000"/>
          <w:sz w:val="24"/>
          <w:szCs w:val="24"/>
          <w:lang w:eastAsia="es-ES"/>
        </w:rPr>
        <w:t>2021) 1000 finales).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1510" cy="2639189"/>
            <wp:effectExtent l="0" t="0" r="2540" b="889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2639189"/>
                    </a:xfrm>
                    <a:prstGeom prst="rect">
                      <a:avLst/>
                    </a:prstGeom>
                  </pic:spPr>
                </pic:pic>
              </a:graphicData>
            </a:graphic>
          </wp:inline>
        </w:drawing>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Reducción de la presión sobre los recursos hídricos</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agricultura es un importante usuario de agua dulce, principalmente para fines de riego, con el fin de mejorar el rendimiento y la calidad de los cultivos.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extracción de agua en la agricultura da una indicación de la presión que ejerce la agricultura sobre los recursos de agua dulce disponibles.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Los datos son muy parciales y algunos de los principales usuarios del agua (Francia e Italia en particular) no están representados.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En la UE-27, la extracción de agua en la agricultura es notablemente mayor en España, Grecia y Portugal. En los últimos años se ha producido una pequeña disminución en el agua extraída para riego en esos países. Polonia, Rumania y Hungría han experimentado un marcado declive desde principios de la década de 1990. </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1510" cy="2621431"/>
            <wp:effectExtent l="0" t="0" r="2540" b="762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2621431"/>
                    </a:xfrm>
                    <a:prstGeom prst="rect">
                      <a:avLst/>
                    </a:prstGeom>
                  </pic:spPr>
                </pic:pic>
              </a:graphicData>
            </a:graphic>
          </wp:inline>
        </w:drawing>
      </w:r>
    </w:p>
    <w:p w:rsidR="00DD78C0" w:rsidRPr="00C44C18" w:rsidRDefault="00DD78C0" w:rsidP="00DD78C0">
      <w:pPr>
        <w:spacing w:after="0" w:line="240" w:lineRule="auto"/>
        <w:jc w:val="both"/>
        <w:outlineLvl w:val="0"/>
        <w:rPr>
          <w:rFonts w:ascii="Times New Roman" w:eastAsia="Times New Roman" w:hAnsi="Times New Roman" w:cs="Times New Roman"/>
          <w:b/>
          <w:bCs/>
          <w:kern w:val="36"/>
          <w:sz w:val="24"/>
          <w:szCs w:val="24"/>
          <w:lang w:eastAsia="es-ES"/>
        </w:rPr>
      </w:pPr>
      <w:r w:rsidRPr="00187C8E">
        <w:rPr>
          <w:rFonts w:ascii="Times New Roman" w:eastAsia="Times New Roman" w:hAnsi="Times New Roman" w:cs="Times New Roman"/>
          <w:b/>
          <w:bCs/>
          <w:kern w:val="36"/>
          <w:sz w:val="24"/>
          <w:szCs w:val="24"/>
          <w:lang w:eastAsia="es-ES"/>
        </w:rPr>
        <w:lastRenderedPageBreak/>
        <w:t>Detener y revertir la pérdida de biodiversidad</w:t>
      </w:r>
    </w:p>
    <w:p w:rsidR="00DD78C0" w:rsidRPr="00187C8E" w:rsidRDefault="00DD78C0" w:rsidP="00DD78C0">
      <w:pPr>
        <w:spacing w:after="0" w:line="240" w:lineRule="auto"/>
        <w:jc w:val="both"/>
        <w:outlineLvl w:val="0"/>
        <w:rPr>
          <w:rFonts w:ascii="Times New Roman" w:eastAsia="Times New Roman" w:hAnsi="Times New Roman" w:cs="Times New Roman"/>
          <w:b/>
          <w:bCs/>
          <w:color w:val="004494"/>
          <w:kern w:val="36"/>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Contribuir a detener y revertir la pérdida de biodiversidad, mejorar los servicios ecosistémicos y preservar hábitats y paisajes.</w:t>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Aumento de la población de aves en las tierras de cultivo</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Índice de Aves de Tierras Agrícolas (FBI) mide los cambios en las poblaciones de aves de tierras agrícolas a lo largo del tiempo. Dado que las aves ocupan un lugar destacado en la cadena alimentaria, el indicador se utiliza a menudo como indicador del estado de la biodiversidad general vinculada a los paisajes agrícolas en Europa, generalmente junto con otros indicadores.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b/>
          <w:bCs/>
          <w:color w:val="000000"/>
          <w:sz w:val="24"/>
          <w:szCs w:val="24"/>
          <w:lang w:eastAsia="es-ES"/>
        </w:rPr>
        <w:t>En la UE-27</w:t>
      </w:r>
      <w:r w:rsidRPr="00187C8E">
        <w:rPr>
          <w:rFonts w:ascii="Times New Roman" w:eastAsia="Times New Roman" w:hAnsi="Times New Roman" w:cs="Times New Roman"/>
          <w:color w:val="000000"/>
          <w:sz w:val="24"/>
          <w:szCs w:val="24"/>
          <w:lang w:eastAsia="es-ES"/>
        </w:rPr>
        <w:t>, el índice ha mostrado una fuerte tendencia a la baja desde el año de referencia de 2000 (valor de referencia en ese año: 100; valor en 2017: 82).</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índice se basa, a través de varios pasos de cálculo, en recuentos de población realizados por una red de ornitólogos voluntarios y coordinados dentro de esquemas nacionales. Tenga en cuenta que, aunque las poblaciones de aves de las tierras de cultivo pueden verse fuertemente afectadas por las actividades agrícolas, varios otros factores también pueden tener un impacto significativo.</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1510" cy="2648986"/>
            <wp:effectExtent l="0" t="0" r="254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2648986"/>
                    </a:xfrm>
                    <a:prstGeom prst="rect">
                      <a:avLst/>
                    </a:prstGeom>
                  </pic:spPr>
                </pic:pic>
              </a:graphicData>
            </a:graphic>
          </wp:inline>
        </w:drawing>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Mejorar la protección de la biodiversidad</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 xml:space="preserve">Varios tipos de hábitats de pastizales agrícolas en </w:t>
      </w:r>
      <w:r>
        <w:rPr>
          <w:rFonts w:ascii="Times New Roman" w:eastAsia="Times New Roman" w:hAnsi="Times New Roman" w:cs="Times New Roman"/>
          <w:color w:val="000000"/>
          <w:sz w:val="24"/>
          <w:szCs w:val="24"/>
          <w:lang w:eastAsia="es-ES"/>
        </w:rPr>
        <w:t>la UE están designados como de “interés”</w:t>
      </w:r>
      <w:r w:rsidRPr="00187C8E">
        <w:rPr>
          <w:rFonts w:ascii="Times New Roman" w:eastAsia="Times New Roman" w:hAnsi="Times New Roman" w:cs="Times New Roman"/>
          <w:color w:val="000000"/>
          <w:sz w:val="24"/>
          <w:szCs w:val="24"/>
          <w:lang w:eastAsia="es-ES"/>
        </w:rPr>
        <w:t xml:space="preserve"> particular para la Unión en virtud de la Directiva de Hábitats (Directiva 92/43/CEE, una de las Directivas sobre la naturaleza de la UE), esencialmente porque presentan ejemplos sobresalientes de características particulares, y /o son de pequeña extensión, y/o están amenazados.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seguimiento del estado de conservación de estos hábitats (según las categorías de la Directiva de Hábitats) arroja algo de luz sobre la interacción entre la agricultura y la biodiversidad.</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b/>
          <w:bCs/>
          <w:color w:val="000000"/>
          <w:sz w:val="24"/>
          <w:szCs w:val="24"/>
          <w:lang w:eastAsia="es-ES"/>
        </w:rPr>
        <w:lastRenderedPageBreak/>
        <w:t>En la UE-27</w:t>
      </w:r>
      <w:r w:rsidRPr="00187C8E">
        <w:rPr>
          <w:rFonts w:ascii="Times New Roman" w:eastAsia="Times New Roman" w:hAnsi="Times New Roman" w:cs="Times New Roman"/>
          <w:color w:val="000000"/>
          <w:sz w:val="24"/>
          <w:szCs w:val="24"/>
          <w:lang w:eastAsia="es-ES"/>
        </w:rPr>
        <w:t xml:space="preserve">, en el período de evaluación que finalizó en 2018, el 20 % de estos hábitats de pastizales se identificaron en estado “favorable”, el 35 % en “desfavorable-inadecuado”, el 43 % en “desfavorable-malo” y </w:t>
      </w:r>
      <w:r>
        <w:rPr>
          <w:rFonts w:ascii="Times New Roman" w:eastAsia="Times New Roman" w:hAnsi="Times New Roman" w:cs="Times New Roman"/>
          <w:color w:val="000000"/>
          <w:sz w:val="24"/>
          <w:szCs w:val="24"/>
          <w:lang w:eastAsia="es-ES"/>
        </w:rPr>
        <w:t>el 3 % en estado “desconocido</w:t>
      </w:r>
      <w:r w:rsidRPr="00187C8E">
        <w:rPr>
          <w:rFonts w:ascii="Times New Roman" w:eastAsia="Times New Roman" w:hAnsi="Times New Roman" w:cs="Times New Roman"/>
          <w:color w:val="000000"/>
          <w:sz w:val="24"/>
          <w:szCs w:val="24"/>
          <w:lang w:eastAsia="es-ES"/>
        </w:rPr>
        <w:t>”.</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Nótese que los hábitats así monitorizados no se encuentran únicamente en la red de espacios protegidos Natura 2000, sino también fuera de ella.</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0098" cy="2330450"/>
            <wp:effectExtent l="0" t="0" r="4445"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2331024"/>
                    </a:xfrm>
                    <a:prstGeom prst="rect">
                      <a:avLst/>
                    </a:prstGeom>
                  </pic:spPr>
                </pic:pic>
              </a:graphicData>
            </a:graphic>
          </wp:inline>
        </w:drawing>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 </w:t>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Mejorar la provisión de servicios ecosistémicos</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De acuerdo con sus Directivas de Naturaleza, la UE ha establecido una red en desarrollo de áreas especiales de conservación conocida como la red Natura 2000, que incluye territorio en todos los Estados miembros.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Dado que dentro de esta red se realizan esfuerzos particulares para la conservación de la naturaleza, la información sobre su alcance contribuye a una comprensión general del estado de la biodiversidad en la UE, incluso en relación con las tierras agrícolas y forestales.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b/>
          <w:bCs/>
          <w:color w:val="000000"/>
          <w:sz w:val="24"/>
          <w:szCs w:val="24"/>
          <w:lang w:eastAsia="es-ES"/>
        </w:rPr>
        <w:t>En la UE-27</w:t>
      </w:r>
      <w:r w:rsidRPr="00187C8E">
        <w:rPr>
          <w:rFonts w:ascii="Times New Roman" w:eastAsia="Times New Roman" w:hAnsi="Times New Roman" w:cs="Times New Roman"/>
          <w:color w:val="000000"/>
          <w:sz w:val="24"/>
          <w:szCs w:val="24"/>
          <w:lang w:eastAsia="es-ES"/>
        </w:rPr>
        <w:t>, en 2018, el 11 % de la superficie agrícola (incluidas las praderas naturales) y el 30 % de la superficie forestal (incluidos los matorrales de transición) se encontraban dentro de la red.</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28271" cy="2406650"/>
            <wp:effectExtent l="0" t="0" r="635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2408011"/>
                    </a:xfrm>
                    <a:prstGeom prst="rect">
                      <a:avLst/>
                    </a:prstGeom>
                  </pic:spPr>
                </pic:pic>
              </a:graphicData>
            </a:graphic>
          </wp:inline>
        </w:drawing>
      </w:r>
    </w:p>
    <w:p w:rsidR="00DD78C0" w:rsidRPr="00C44C18" w:rsidRDefault="00DD78C0" w:rsidP="00DD78C0">
      <w:pPr>
        <w:spacing w:after="0" w:line="240" w:lineRule="auto"/>
        <w:jc w:val="both"/>
        <w:outlineLvl w:val="0"/>
        <w:rPr>
          <w:rFonts w:ascii="Times New Roman" w:eastAsia="Times New Roman" w:hAnsi="Times New Roman" w:cs="Times New Roman"/>
          <w:b/>
          <w:bCs/>
          <w:kern w:val="36"/>
          <w:sz w:val="24"/>
          <w:szCs w:val="24"/>
          <w:lang w:eastAsia="es-ES"/>
        </w:rPr>
      </w:pPr>
      <w:r w:rsidRPr="00187C8E">
        <w:rPr>
          <w:rFonts w:ascii="Times New Roman" w:eastAsia="Times New Roman" w:hAnsi="Times New Roman" w:cs="Times New Roman"/>
          <w:b/>
          <w:bCs/>
          <w:kern w:val="36"/>
          <w:sz w:val="24"/>
          <w:szCs w:val="24"/>
          <w:lang w:eastAsia="es-ES"/>
        </w:rPr>
        <w:lastRenderedPageBreak/>
        <w:t>Promoviendo el crecimiento y la igualdad en las zonas rurales</w:t>
      </w:r>
    </w:p>
    <w:p w:rsidR="00DD78C0" w:rsidRPr="00187C8E" w:rsidRDefault="00DD78C0" w:rsidP="00DD78C0">
      <w:pPr>
        <w:spacing w:after="0" w:line="240" w:lineRule="auto"/>
        <w:jc w:val="both"/>
        <w:outlineLvl w:val="0"/>
        <w:rPr>
          <w:rFonts w:ascii="Times New Roman" w:eastAsia="Times New Roman" w:hAnsi="Times New Roman" w:cs="Times New Roman"/>
          <w:b/>
          <w:bCs/>
          <w:color w:val="004494"/>
          <w:kern w:val="36"/>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Promover el empleo, el crecimiento, la igualdad de género, incluida la participación de las mujeres en la agricultura, la inclusión social y el desarrollo local en las zonas rurales, incluida la bioeconomía circular y la silvicultura sostenible.</w:t>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Contribuir al empleo en las zonas rurales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promoción del empleo rural es crucial para mejorar la calidad de vida, el acceso a los servicios y frenar la despoblación de las zonas rurales. Estos gráficos muestran datos sobre las personas empleadas de 20 a 64 años como porcentaje de la población total del mismo grupo de edad. Comprende a todos los trabajadores asalariados, autónomos y familiares no remunerados.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primer gráfico compara las tasas de empleo rural y total (es</w:t>
      </w:r>
      <w:r>
        <w:rPr>
          <w:rFonts w:ascii="Times New Roman" w:eastAsia="Times New Roman" w:hAnsi="Times New Roman" w:cs="Times New Roman"/>
          <w:color w:val="000000"/>
          <w:sz w:val="24"/>
          <w:szCs w:val="24"/>
          <w:lang w:eastAsia="es-ES"/>
        </w:rPr>
        <w:t xml:space="preserve"> decir, áreas rurales y otras). </w:t>
      </w:r>
      <w:r w:rsidRPr="00187C8E">
        <w:rPr>
          <w:rFonts w:ascii="Times New Roman" w:eastAsia="Times New Roman" w:hAnsi="Times New Roman" w:cs="Times New Roman"/>
          <w:color w:val="000000"/>
          <w:sz w:val="24"/>
          <w:szCs w:val="24"/>
          <w:lang w:eastAsia="es-ES"/>
        </w:rPr>
        <w:t>En las zonas rurales de la EU-27, la tasa media de empleo aumentó entre 2012 y 2020. Sin embargo, existe una situación muy diversa en los Estados miembros y los jóvenes tienen una tasa de desempleo más alta en comparación con la población general, también en las zonas rurales.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segundo gráfico compara las tasas de empleo total de hombres y mujeres, ya que aún no se dispone de datos específicos para las zonas rurales para estos indicadores. Existe una brecha entre el empleo de hombres y mujeres en todos los Estados miembros de la UE-27, lo que demuestra que aún se necesitan esfuerzos para lograr la igualdad de género. Además, cabe señalar que en las zonas rurales, muchas mujeres tienen contratos precarios (por ejemplo, trabajadoras</w:t>
      </w:r>
      <w:r>
        <w:rPr>
          <w:rFonts w:ascii="Times New Roman" w:eastAsia="Times New Roman" w:hAnsi="Times New Roman" w:cs="Times New Roman"/>
          <w:color w:val="000000"/>
          <w:sz w:val="24"/>
          <w:szCs w:val="24"/>
          <w:lang w:eastAsia="es-ES"/>
        </w:rPr>
        <w:t xml:space="preserve"> de temporada) o desempeñan un “papel invisible”</w:t>
      </w:r>
      <w:r w:rsidRPr="00187C8E">
        <w:rPr>
          <w:rFonts w:ascii="Times New Roman" w:eastAsia="Times New Roman" w:hAnsi="Times New Roman" w:cs="Times New Roman"/>
          <w:color w:val="000000"/>
          <w:sz w:val="24"/>
          <w:szCs w:val="24"/>
          <w:lang w:eastAsia="es-ES"/>
        </w:rPr>
        <w:t xml:space="preserve"> en las sociedades rurales (por ejemplo, cónyuges colaboradores), lo que puede dejarlas expuestas a situaciones vulnerables (como sin acceso a protección social o beneficios de maternidad, en algunos casos). Al mismo tiempo, las mujeres representan una importante fuerza impulsora de la prosperidad y la inclusión social en las zonas rurales, en particular a través del espíritu empresarial. </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1510" cy="2573056"/>
            <wp:effectExtent l="0" t="0" r="254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2573056"/>
                    </a:xfrm>
                    <a:prstGeom prst="rect">
                      <a:avLst/>
                    </a:prstGeom>
                  </pic:spPr>
                </pic:pic>
              </a:graphicData>
            </a:graphic>
          </wp:inline>
        </w:drawing>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lastRenderedPageBreak/>
        <w:drawing>
          <wp:inline distT="0" distB="0" distL="0" distR="0">
            <wp:extent cx="5731510" cy="2502637"/>
            <wp:effectExtent l="0" t="0" r="254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2502637"/>
                    </a:xfrm>
                    <a:prstGeom prst="rect">
                      <a:avLst/>
                    </a:prstGeom>
                  </pic:spPr>
                </pic:pic>
              </a:graphicData>
            </a:graphic>
          </wp:inline>
        </w:drawing>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Contribuir al crecimiento en las zonas rurales</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Bajo el objetivo de un desarrollo territorial equilibrado, la PAC pretende reducir la brecha en el nivel de vida entre las zonas rurales y otras zonas de la UE. El Producto Interno Bruto (PIB) per cápita, en estándar de poder adquisitivo (PPS), se puede utilizar para comparar el nivel de vida agregado entre diferentes entidades geográficas. Este gráfico muestra un índice del nivel relativo del PIB per cápita en los Estados miembros (en las regiones rurales y en todas las regiones), en comparación con la media de la EU-27.</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En todos los Estados miembros de la EU-27, el PIB per cápita sigue siendo más bajo en las zonas rurales que en otras zonas.</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1510" cy="2664295"/>
            <wp:effectExtent l="0" t="0" r="2540" b="3175"/>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2664295"/>
                    </a:xfrm>
                    <a:prstGeom prst="rect">
                      <a:avLst/>
                    </a:prstGeom>
                  </pic:spPr>
                </pic:pic>
              </a:graphicData>
            </a:graphic>
          </wp:inline>
        </w:drawing>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Reducir la pobreza en las zonas rurales</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 xml:space="preserve">La lucha contra la pobreza en las zonas rurales es crucial para reducir las desigualdades con respecto a otras zonas, contribuir a la inclusión social y el respeto de los derechos fundamentales y frenar la despoblación de las zonas rurales. Este gráfico muestra la tasa de </w:t>
      </w:r>
      <w:r w:rsidRPr="00187C8E">
        <w:rPr>
          <w:rFonts w:ascii="Times New Roman" w:eastAsia="Times New Roman" w:hAnsi="Times New Roman" w:cs="Times New Roman"/>
          <w:color w:val="000000"/>
          <w:sz w:val="24"/>
          <w:szCs w:val="24"/>
          <w:lang w:eastAsia="es-ES"/>
        </w:rPr>
        <w:lastRenderedPageBreak/>
        <w:t>pobreza rural (porcentaje de población en riesgo de pobreza o exclusión social tal como se define en la clasificación del grado de urbanización (DEGURBA)), en comparación con la tasa de pobreza general, a nivel de Estado miembro y de la UE.</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Desde 2010, las tasas de pobreza en la UE27 han ido disminuyendo y la brecha entre las zonas rurales y otras se está reduciendo. Sin embargo, en algunos Estados miembros, las tasas de pobreza siguen aumentando.</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1510" cy="2657559"/>
            <wp:effectExtent l="0" t="0" r="2540" b="952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2657559"/>
                    </a:xfrm>
                    <a:prstGeom prst="rect">
                      <a:avLst/>
                    </a:prstGeom>
                  </pic:spPr>
                </pic:pic>
              </a:graphicData>
            </a:graphic>
          </wp:inline>
        </w:drawing>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Aumento del turismo rural</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turismo rural refleja el atractivo de las zonas rurales y es un factor de crecimiento y diversificación económica. En los últimos años en las áreas rurales, el peso de los servicios (por ejemplo, turismo, recreación) aumentó y marcó un cambio estructural en muchas economías rurales, mientras que la participación del sector de la industria y la construcción se mantuvo constante.</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1510" cy="3061704"/>
            <wp:effectExtent l="0" t="0" r="2540" b="5715"/>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3061704"/>
                    </a:xfrm>
                    <a:prstGeom prst="rect">
                      <a:avLst/>
                    </a:prstGeom>
                  </pic:spPr>
                </pic:pic>
              </a:graphicData>
            </a:graphic>
          </wp:inline>
        </w:drawing>
      </w:r>
    </w:p>
    <w:p w:rsidR="00DD78C0" w:rsidRDefault="00DD78C0" w:rsidP="00DD78C0">
      <w:pPr>
        <w:spacing w:after="0" w:line="240" w:lineRule="auto"/>
        <w:jc w:val="both"/>
        <w:outlineLvl w:val="0"/>
        <w:rPr>
          <w:rFonts w:ascii="Times New Roman" w:eastAsia="Times New Roman" w:hAnsi="Times New Roman" w:cs="Times New Roman"/>
          <w:b/>
          <w:bCs/>
          <w:kern w:val="36"/>
          <w:sz w:val="24"/>
          <w:szCs w:val="24"/>
          <w:lang w:eastAsia="es-ES"/>
        </w:rPr>
      </w:pPr>
      <w:r w:rsidRPr="00187C8E">
        <w:rPr>
          <w:rFonts w:ascii="Times New Roman" w:eastAsia="Times New Roman" w:hAnsi="Times New Roman" w:cs="Times New Roman"/>
          <w:b/>
          <w:bCs/>
          <w:kern w:val="36"/>
          <w:sz w:val="24"/>
          <w:szCs w:val="24"/>
          <w:lang w:eastAsia="es-ES"/>
        </w:rPr>
        <w:lastRenderedPageBreak/>
        <w:t>Contribuyendo a la sostenibilidad alimentaria y la salud</w:t>
      </w:r>
    </w:p>
    <w:p w:rsidR="00DD78C0" w:rsidRPr="00187C8E" w:rsidRDefault="00DD78C0" w:rsidP="00DD78C0">
      <w:pPr>
        <w:spacing w:after="0" w:line="240" w:lineRule="auto"/>
        <w:jc w:val="both"/>
        <w:outlineLvl w:val="0"/>
        <w:rPr>
          <w:rFonts w:ascii="Times New Roman" w:eastAsia="Times New Roman" w:hAnsi="Times New Roman" w:cs="Times New Roman"/>
          <w:b/>
          <w:bCs/>
          <w:kern w:val="36"/>
          <w:sz w:val="24"/>
          <w:szCs w:val="24"/>
          <w:lang w:eastAsia="es-ES"/>
        </w:rPr>
      </w:pP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Mejorar la respuesta de la agricultura de la Unión a las demandas sociales en materia de alimentación y salud, incluidos alimentos de alta calidad, seguros y nutritivos producidos de manera sostenible, para reducir el desperdicio de alimentos, así como para mejorar el bienestar animal y combatir la resistencia a los antimicrobianos.</w:t>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Limitar el uso de antibióticos en la agricultura</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Para evitar el desarrollo de resistencia a los antimicrobianos, es necesaria la reducción del uso general de antimicrobianos para los animales de granja y para los seres humanos. En la UE-27, se observa una reducción continua en las ventas de agentes antimicrobianos veterinarios en mg por unidad de corrección de población (PCU). Sin embargo, existen diferencias significativas entre los Estados miembros.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Actualmente, los datos sobre las ventas de agentes antimicrobianos veterinarios son el mejor indicador para monitorear su uso. Para mejorar esto, los Estados miembros también deberán recopilar datos sobre el uso de antimicrobianos en animales de granja a partir de enero de 2022. </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1510" cy="2577342"/>
            <wp:effectExtent l="0" t="0" r="254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2577342"/>
                    </a:xfrm>
                    <a:prstGeom prst="rect">
                      <a:avLst/>
                    </a:prstGeom>
                  </pic:spPr>
                </pic:pic>
              </a:graphicData>
            </a:graphic>
          </wp:inline>
        </w:drawing>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Fomento del uso sostenible de plaguicidas</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Una transición hacia sistemas alimentarios sostenibles requiere, entre otras acciones, una reducción en el uso de pesticidas químicos. Los datos presentados en este gráfico incluyen las ventas de productos fitosanitarios en la agricultura y en otros sectores de nuestra economía. Las ventas incluyen sustancias químicas y no químicas.  </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Por el momento, los datos de ventas son el mejor indicador del uso de plaguicidas a nivel de explotación, ya que los datos sobre las cantidades de plaguicidas utilizados por cultivo (todavía) no están disponibles a nivel de la UE.</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lastRenderedPageBreak/>
        <w:drawing>
          <wp:inline distT="0" distB="0" distL="0" distR="0">
            <wp:extent cx="5731510" cy="2625717"/>
            <wp:effectExtent l="0" t="0" r="2540" b="381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2625717"/>
                    </a:xfrm>
                    <a:prstGeom prst="rect">
                      <a:avLst/>
                    </a:prstGeom>
                  </pic:spPr>
                </pic:pic>
              </a:graphicData>
            </a:graphic>
          </wp:inline>
        </w:drawing>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Reducir la intensidad de cultivo</w:t>
      </w:r>
    </w:p>
    <w:p w:rsidR="00DD78C0" w:rsidRDefault="00DD78C0" w:rsidP="00DD78C0">
      <w:pPr>
        <w:spacing w:after="0" w:line="240" w:lineRule="auto"/>
        <w:jc w:val="both"/>
        <w:rPr>
          <w:rFonts w:ascii="Times New Roman" w:eastAsia="Times New Roman" w:hAnsi="Times New Roman" w:cs="Times New Roman"/>
          <w:sz w:val="24"/>
          <w:szCs w:val="24"/>
          <w:lang w:eastAsia="es-ES"/>
        </w:rPr>
      </w:pPr>
      <w:r w:rsidRPr="00187C8E">
        <w:rPr>
          <w:rFonts w:ascii="Times New Roman" w:eastAsia="Times New Roman" w:hAnsi="Times New Roman" w:cs="Times New Roman"/>
          <w:sz w:val="24"/>
          <w:szCs w:val="24"/>
          <w:lang w:eastAsia="es-ES"/>
        </w:rPr>
        <w:t>La intensidad de los insumos agrícolas se refiere al nivel de insumos (p. ej., fertilizantes, pesticidas, otros productos fitosanitarios y alimentos comprados) por unidad de factor de producción (en general, tierra).  El gráfico muestra el nivel de intensidad de insumos agrícolas (bajo, medio y alto) expresado como porcentaje del área agrícola utilizada total (SAU) administrada por las granjas. </w:t>
      </w:r>
    </w:p>
    <w:p w:rsidR="00DD78C0" w:rsidRPr="00187C8E" w:rsidRDefault="00DD78C0" w:rsidP="00DD78C0">
      <w:pPr>
        <w:spacing w:after="0" w:line="240" w:lineRule="auto"/>
        <w:jc w:val="both"/>
        <w:rPr>
          <w:rFonts w:ascii="Times New Roman" w:eastAsia="Times New Roman" w:hAnsi="Times New Roman" w:cs="Times New Roman"/>
          <w:sz w:val="24"/>
          <w:szCs w:val="24"/>
          <w:lang w:eastAsia="es-ES"/>
        </w:rPr>
      </w:pPr>
    </w:p>
    <w:p w:rsidR="00DD78C0" w:rsidRDefault="00DD78C0" w:rsidP="00DD78C0">
      <w:pPr>
        <w:spacing w:after="0" w:line="240" w:lineRule="auto"/>
        <w:jc w:val="both"/>
        <w:rPr>
          <w:rFonts w:ascii="Times New Roman" w:eastAsia="Times New Roman" w:hAnsi="Times New Roman" w:cs="Times New Roman"/>
          <w:sz w:val="24"/>
          <w:szCs w:val="24"/>
          <w:lang w:eastAsia="es-ES"/>
        </w:rPr>
      </w:pPr>
      <w:r w:rsidRPr="00187C8E">
        <w:rPr>
          <w:rFonts w:ascii="Times New Roman" w:eastAsia="Times New Roman" w:hAnsi="Times New Roman" w:cs="Times New Roman"/>
          <w:sz w:val="24"/>
          <w:szCs w:val="24"/>
          <w:lang w:eastAsia="es-ES"/>
        </w:rPr>
        <w:t>La intensificación se define como el aumento de la intensidad agrícola, mientras que la extensificación describe la tendencia opuesta. Este enfoque permite cubrir tanto la producción agrícola como la ganadera.</w:t>
      </w:r>
    </w:p>
    <w:p w:rsidR="00DD78C0" w:rsidRPr="00187C8E" w:rsidRDefault="00DD78C0" w:rsidP="00DD78C0">
      <w:pPr>
        <w:spacing w:after="0" w:line="240" w:lineRule="auto"/>
        <w:jc w:val="both"/>
        <w:rPr>
          <w:rFonts w:ascii="Times New Roman" w:eastAsia="Times New Roman" w:hAnsi="Times New Roman" w:cs="Times New Roman"/>
          <w:sz w:val="24"/>
          <w:szCs w:val="24"/>
          <w:lang w:eastAsia="es-ES"/>
        </w:rPr>
      </w:pPr>
    </w:p>
    <w:p w:rsidR="00DD78C0" w:rsidRDefault="00DD78C0" w:rsidP="00DD78C0">
      <w:pPr>
        <w:spacing w:after="0" w:line="240" w:lineRule="auto"/>
        <w:jc w:val="both"/>
        <w:rPr>
          <w:rFonts w:ascii="Times New Roman" w:eastAsia="Times New Roman" w:hAnsi="Times New Roman" w:cs="Times New Roman"/>
          <w:sz w:val="24"/>
          <w:szCs w:val="24"/>
          <w:lang w:eastAsia="es-ES"/>
        </w:rPr>
      </w:pPr>
      <w:r w:rsidRPr="00187C8E">
        <w:rPr>
          <w:rFonts w:ascii="Times New Roman" w:eastAsia="Times New Roman" w:hAnsi="Times New Roman" w:cs="Times New Roman"/>
          <w:sz w:val="24"/>
          <w:szCs w:val="24"/>
          <w:lang w:eastAsia="es-ES"/>
        </w:rPr>
        <w:t>Los umbrales se han establecido de tal manera que la UAA en la UE se divide por igual en las tres categorías (baja, media, alta). Estos niveles no pretenden representar fronteras de agricultura extensiva e intensiva. Se establecen de manera pragmática para estudiar la evolución de la intensidad de cultivo a lo largo del tiempo.</w:t>
      </w:r>
    </w:p>
    <w:p w:rsidR="00DD78C0" w:rsidRPr="00C44C18" w:rsidRDefault="00DD78C0" w:rsidP="00DD78C0">
      <w:pPr>
        <w:spacing w:after="0" w:line="240" w:lineRule="auto"/>
        <w:jc w:val="both"/>
        <w:rPr>
          <w:rFonts w:ascii="Times New Roman" w:eastAsia="Times New Roman" w:hAnsi="Times New Roman" w:cs="Times New Roman"/>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1510" cy="2618369"/>
            <wp:effectExtent l="0" t="0" r="254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2618369"/>
                    </a:xfrm>
                    <a:prstGeom prst="rect">
                      <a:avLst/>
                    </a:prstGeom>
                  </pic:spPr>
                </pic:pic>
              </a:graphicData>
            </a:graphic>
          </wp:inline>
        </w:drawing>
      </w:r>
    </w:p>
    <w:p w:rsidR="00DD78C0"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lastRenderedPageBreak/>
        <w:t>Aumentar la cuota de agricultura ecológica</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agricultura ecológica tiene como objetivo producir alimentos utilizando sustancias y procesos naturales. Esto significa que la agricultura orgánica tiende a tener un impacto ambiental limitado ya que fomenta: el uso responsable de la energía y los recursos naturales; mantenimiento de la biodiversidad; preservación de los equilibrios ecológicos regionales; mejora de la fertilidad del suelo; mantenimiento de la calidad del agua.</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Además, las reglas de la agricultura orgánica fomentan un alto nivel de bienestar animal y requieren que los agricultores satisfagan las necesidades específicas de comportamiento de los animales.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Este gráfico muestra la proporción de la superficie dedicada a la agricultura ecológica en la superficie agrícola utilizada total (SAU), que comprende tanto la superficie totalmente convertida a la agricultura ecológica como la superficie convertida a la agricultura ecológica.</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En la UE-27, la agricultura orgánica está creciendo rápidamente, lo que es un resultado directo del mayor interés de los consumidores por los productos orgánicos. La SAU total de la UE-27 en agricultura ecológica fue del 8,5 % en 2019, con diferencias importantes entre los Estados miembros.</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1510" cy="2626330"/>
            <wp:effectExtent l="0" t="0" r="2540" b="317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2626330"/>
                    </a:xfrm>
                    <a:prstGeom prst="rect">
                      <a:avLst/>
                    </a:prstGeom>
                  </pic:spPr>
                </pic:pic>
              </a:graphicData>
            </a:graphic>
          </wp:inline>
        </w:drawing>
      </w:r>
    </w:p>
    <w:p w:rsidR="00DD78C0" w:rsidRDefault="00DD78C0" w:rsidP="00DD78C0">
      <w:pPr>
        <w:spacing w:after="0" w:line="240" w:lineRule="auto"/>
        <w:jc w:val="both"/>
        <w:outlineLvl w:val="0"/>
        <w:rPr>
          <w:rFonts w:ascii="Times New Roman" w:eastAsia="Times New Roman" w:hAnsi="Times New Roman" w:cs="Times New Roman"/>
          <w:b/>
          <w:bCs/>
          <w:color w:val="004494"/>
          <w:kern w:val="36"/>
          <w:sz w:val="24"/>
          <w:szCs w:val="24"/>
          <w:lang w:eastAsia="es-ES"/>
        </w:rPr>
      </w:pPr>
    </w:p>
    <w:p w:rsidR="00DD78C0" w:rsidRDefault="00DD78C0" w:rsidP="00DD78C0">
      <w:pPr>
        <w:spacing w:after="0" w:line="240" w:lineRule="auto"/>
        <w:jc w:val="both"/>
        <w:outlineLvl w:val="0"/>
        <w:rPr>
          <w:rFonts w:ascii="Times New Roman" w:eastAsia="Times New Roman" w:hAnsi="Times New Roman" w:cs="Times New Roman"/>
          <w:b/>
          <w:bCs/>
          <w:kern w:val="36"/>
          <w:sz w:val="24"/>
          <w:szCs w:val="24"/>
          <w:lang w:eastAsia="es-ES"/>
        </w:rPr>
      </w:pPr>
      <w:r w:rsidRPr="00187C8E">
        <w:rPr>
          <w:rFonts w:ascii="Times New Roman" w:eastAsia="Times New Roman" w:hAnsi="Times New Roman" w:cs="Times New Roman"/>
          <w:b/>
          <w:bCs/>
          <w:kern w:val="36"/>
          <w:sz w:val="24"/>
          <w:szCs w:val="24"/>
          <w:lang w:eastAsia="es-ES"/>
        </w:rPr>
        <w:t>Fomento y puesta en común del conocimiento, la innovación y la digitalización</w:t>
      </w:r>
    </w:p>
    <w:p w:rsidR="00DD78C0" w:rsidRPr="00187C8E" w:rsidRDefault="00DD78C0" w:rsidP="00DD78C0">
      <w:pPr>
        <w:spacing w:after="0" w:line="240" w:lineRule="auto"/>
        <w:jc w:val="both"/>
        <w:outlineLvl w:val="0"/>
        <w:rPr>
          <w:rFonts w:ascii="Times New Roman" w:eastAsia="Times New Roman" w:hAnsi="Times New Roman" w:cs="Times New Roman"/>
          <w:b/>
          <w:bCs/>
          <w:kern w:val="36"/>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Modernizar la agricultura y las zonas rurales mediante el fomento y el intercambio de conocimientos, la innovación y la digitalización en la agricultura y las zonas rurales, y fomentando su aceptación por parte de los agricultores, mediante un mejor acceso a la investigación, la innovación, el intercambio de conocimientos y la formación.</w:t>
      </w: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Aumentar la cooperación y el intercambio de conocimientos</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 xml:space="preserve">El apoyo al intercambio de conocimientos, la formación, el asesoramiento y la innovación es fundamental para garantizar una agricultura, una silvicultura y unas zonas rurales inteligentes y sostenibles. Incluye inversión en transferencia de conocimiento y acciones de información, servicios de asesoramiento, gestión de explotaciones y servicios de ayuda a explotaciones, y </w:t>
      </w:r>
      <w:r w:rsidRPr="00187C8E">
        <w:rPr>
          <w:rFonts w:ascii="Times New Roman" w:eastAsia="Times New Roman" w:hAnsi="Times New Roman" w:cs="Times New Roman"/>
          <w:color w:val="000000"/>
          <w:sz w:val="24"/>
          <w:szCs w:val="24"/>
          <w:lang w:eastAsia="es-ES"/>
        </w:rPr>
        <w:lastRenderedPageBreak/>
        <w:t>para la cooperación/Asociación Europea para la Innovación. El nivel de apoyo varía entre los Estados miembros de la UE, lo que refleja su contexto nacional específico y sus prioridades.</w:t>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Este gráfico muestra el dinero de desarrollo rural gastado en conocimiento e innovación como porcentaje de los gastos totales ya realizados para el presupuesto plurianual 2014-2020 (incluidas las contribuciones nacionales). En 2021, esto totalizó un poco más del 2 % del gasto real de 2014-2020. Es probable que esto cambie en los próximos años, ya que los Estados miembros todavía tienen la posibilidad de declarar gastos de desarrollo rural hasta 2025 para este período. </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1510" cy="2638577"/>
            <wp:effectExtent l="0" t="0" r="2540" b="9525"/>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2638577"/>
                    </a:xfrm>
                    <a:prstGeom prst="rect">
                      <a:avLst/>
                    </a:prstGeom>
                  </pic:spPr>
                </pic:pic>
              </a:graphicData>
            </a:graphic>
          </wp:inline>
        </w:drawing>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Asociación Europea de Innovación (EIP) para la productividad y la sostenibilidad agrícolas reúne a agricultores, investigadores, asesores y otros actores en proyectos de cooperación, los llamados Grupos Operativos, para promover la innovación en los sectores agrícola y forestal y las áreas rurales. Los Estados miembros de la UE emiten convocatorias regulares para proyectos de grupos operativos para abordar sus necesidades específicas de innovación a lo largo de todos los objetivos de la PAC. Desde 2014, se han lanzado más de 2000 proyectos innovadores en toda Europa y el número sigue creciendo. </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1510" cy="2670418"/>
            <wp:effectExtent l="0" t="0" r="254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2670418"/>
                    </a:xfrm>
                    <a:prstGeom prst="rect">
                      <a:avLst/>
                    </a:prstGeom>
                  </pic:spPr>
                </pic:pic>
              </a:graphicData>
            </a:graphic>
          </wp:inline>
        </w:drawing>
      </w: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lastRenderedPageBreak/>
        <w:t>Mejorar la formación agrícola</w:t>
      </w:r>
    </w:p>
    <w:p w:rsidR="00DD78C0"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conocimiento permite a los agricultores abordar mejor los desafíos económicos, ambientales y sociales. En la UE-27, la mayoría de los administradores de fincas adquieren conocimientos a través de la experiencia práctica en la finca. La proporción de aquellos que obtienen una formación básica (cualquier curso de formación completado en un colegio agrícola general o una institución similar, o un aprendizaje agrícola completo) y una formación agrícola completa (equivalente a al menos dos años a tiempo completo después de la educación obligat</w:t>
      </w:r>
      <w:r>
        <w:rPr>
          <w:rFonts w:ascii="Times New Roman" w:eastAsia="Times New Roman" w:hAnsi="Times New Roman" w:cs="Times New Roman"/>
          <w:color w:val="000000"/>
          <w:sz w:val="24"/>
          <w:szCs w:val="24"/>
          <w:lang w:eastAsia="es-ES"/>
        </w:rPr>
        <w:t xml:space="preserve">oria), aunque sigue aumentando, </w:t>
      </w:r>
      <w:r w:rsidRPr="00187C8E">
        <w:rPr>
          <w:rFonts w:ascii="Times New Roman" w:eastAsia="Times New Roman" w:hAnsi="Times New Roman" w:cs="Times New Roman"/>
          <w:color w:val="000000"/>
          <w:sz w:val="24"/>
          <w:szCs w:val="24"/>
          <w:lang w:eastAsia="es-ES"/>
        </w:rPr>
        <w:t>relativamente bajo.  </w:t>
      </w:r>
    </w:p>
    <w:p w:rsidR="00DD78C0" w:rsidRPr="00C44C18" w:rsidRDefault="00DD78C0" w:rsidP="00DD78C0">
      <w:pPr>
        <w:spacing w:after="0" w:line="240" w:lineRule="auto"/>
        <w:jc w:val="both"/>
        <w:rPr>
          <w:rFonts w:ascii="Times New Roman" w:eastAsia="Times New Roman" w:hAnsi="Times New Roman" w:cs="Times New Roman"/>
          <w:color w:val="000000"/>
          <w:sz w:val="24"/>
          <w:szCs w:val="24"/>
          <w:lang w:eastAsia="es-ES"/>
        </w:rPr>
      </w:pPr>
    </w:p>
    <w:p w:rsidR="00DD78C0" w:rsidRPr="00187C8E" w:rsidRDefault="00DD78C0" w:rsidP="00DD78C0">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val="en-GB" w:eastAsia="zh-CN"/>
        </w:rPr>
        <w:drawing>
          <wp:inline distT="0" distB="0" distL="0" distR="0">
            <wp:extent cx="5731510" cy="2636127"/>
            <wp:effectExtent l="0" t="0" r="254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2636127"/>
                    </a:xfrm>
                    <a:prstGeom prst="rect">
                      <a:avLst/>
                    </a:prstGeom>
                  </pic:spPr>
                </pic:pic>
              </a:graphicData>
            </a:graphic>
          </wp:inline>
        </w:drawing>
      </w:r>
    </w:p>
    <w:p w:rsidR="00DD78C0" w:rsidRDefault="00DD78C0" w:rsidP="00DD78C0">
      <w:pPr>
        <w:spacing w:line="240" w:lineRule="auto"/>
        <w:jc w:val="both"/>
        <w:rPr>
          <w:rFonts w:ascii="Times New Roman" w:hAnsi="Times New Roman" w:cs="Times New Roman"/>
          <w:sz w:val="24"/>
          <w:szCs w:val="24"/>
        </w:rPr>
      </w:pPr>
      <w:r>
        <w:rPr>
          <w:rFonts w:ascii="Times New Roman" w:hAnsi="Times New Roman" w:cs="Times New Roman"/>
          <w:sz w:val="24"/>
          <w:szCs w:val="24"/>
        </w:rPr>
        <w:t>(Fuente:</w:t>
      </w:r>
      <w:r w:rsidRPr="00773E3C">
        <w:rPr>
          <w:rFonts w:ascii="Times New Roman" w:hAnsi="Times New Roman" w:cs="Times New Roman"/>
          <w:sz w:val="24"/>
          <w:szCs w:val="24"/>
        </w:rPr>
        <w:t>https://agridata.ec.europa.eu/extensions/CountryFactsheets/CountryFactsheets.html?memberstate=Spain</w:t>
      </w:r>
      <w:r>
        <w:rPr>
          <w:rFonts w:ascii="Times New Roman" w:hAnsi="Times New Roman" w:cs="Times New Roman"/>
          <w:sz w:val="24"/>
          <w:szCs w:val="24"/>
        </w:rPr>
        <w:t>)</w:t>
      </w:r>
    </w:p>
    <w:p w:rsidR="00DD78C0" w:rsidRPr="00DE64B9" w:rsidRDefault="00DD78C0" w:rsidP="00DD78C0">
      <w:pPr>
        <w:spacing w:line="240" w:lineRule="auto"/>
        <w:jc w:val="both"/>
        <w:rPr>
          <w:rFonts w:ascii="Times New Roman" w:hAnsi="Times New Roman" w:cs="Times New Roman"/>
          <w:b/>
          <w:sz w:val="24"/>
          <w:szCs w:val="24"/>
        </w:rPr>
      </w:pPr>
      <w:r w:rsidRPr="00DE64B9">
        <w:rPr>
          <w:rFonts w:ascii="Times New Roman" w:hAnsi="Times New Roman" w:cs="Times New Roman"/>
          <w:b/>
          <w:sz w:val="24"/>
          <w:szCs w:val="24"/>
        </w:rPr>
        <w:t>Nota: Los planes quinquenales de la Unión Soviética (crónica de un fracaso anunciado)</w:t>
      </w:r>
    </w:p>
    <w:p w:rsidR="00DD78C0" w:rsidRPr="00DE64B9" w:rsidRDefault="00DD78C0" w:rsidP="00DD78C0">
      <w:pPr>
        <w:spacing w:line="240" w:lineRule="auto"/>
        <w:jc w:val="both"/>
        <w:rPr>
          <w:rFonts w:ascii="Times New Roman" w:hAnsi="Times New Roman" w:cs="Times New Roman"/>
          <w:sz w:val="24"/>
          <w:szCs w:val="24"/>
        </w:rPr>
      </w:pPr>
      <w:r w:rsidRPr="00DE64B9">
        <w:rPr>
          <w:rFonts w:ascii="Times New Roman" w:hAnsi="Times New Roman" w:cs="Times New Roman"/>
          <w:sz w:val="24"/>
          <w:szCs w:val="24"/>
        </w:rPr>
        <w:t>Los planes quinquenales para la economía nacional de la Unión Soviética fueron una serie de proyectos internacionales centralizados​ en el desarrollo económico de la creciente Unión Soviética. Estos proye</w:t>
      </w:r>
      <w:r>
        <w:rPr>
          <w:rFonts w:ascii="Times New Roman" w:hAnsi="Times New Roman" w:cs="Times New Roman"/>
          <w:sz w:val="24"/>
          <w:szCs w:val="24"/>
        </w:rPr>
        <w:t>ctos fueron desarrollados por el</w:t>
      </w:r>
      <w:r w:rsidRPr="00DE64B9">
        <w:rPr>
          <w:rFonts w:ascii="Times New Roman" w:hAnsi="Times New Roman" w:cs="Times New Roman"/>
          <w:sz w:val="24"/>
          <w:szCs w:val="24"/>
        </w:rPr>
        <w:t xml:space="preserve"> Gosplán basándose en la “Teoría de las fuerzas productivas”, que era parte de las directrices generales del Partido Comunista para el desarrollo económico. La realización del plan llegó a ser la insignia de la burocracia soviética. Esto ayudó al desarrollo rápido de la industria, y en especial de la industria pesada.</w:t>
      </w:r>
    </w:p>
    <w:p w:rsidR="00DD78C0" w:rsidRPr="00DE64B9" w:rsidRDefault="00DD78C0" w:rsidP="00DD78C0">
      <w:pPr>
        <w:spacing w:line="240" w:lineRule="auto"/>
        <w:jc w:val="both"/>
        <w:rPr>
          <w:rFonts w:ascii="Times New Roman" w:hAnsi="Times New Roman" w:cs="Times New Roman"/>
          <w:sz w:val="24"/>
          <w:szCs w:val="24"/>
        </w:rPr>
      </w:pPr>
      <w:r w:rsidRPr="00DE64B9">
        <w:rPr>
          <w:rFonts w:ascii="Times New Roman" w:hAnsi="Times New Roman" w:cs="Times New Roman"/>
          <w:sz w:val="24"/>
          <w:szCs w:val="24"/>
        </w:rPr>
        <w:t>Estos planes propuestos por Stalin consistían en la planificación de la economía cada cinco años. Varios planes quinquenales no se llevaron a cabo en su totalidad en el período asignado para ellos (unos satisfactoriamente fueron completados antes de lo esperado, mientras que otros fracasaron y fueron abandonados, o debieron ser suspendidos por alguna razón -por ejemplo inicio de una guerra-).</w:t>
      </w:r>
    </w:p>
    <w:p w:rsidR="00DD78C0" w:rsidRPr="00DE64B9" w:rsidRDefault="00DD78C0" w:rsidP="00DD78C0">
      <w:pPr>
        <w:spacing w:line="240" w:lineRule="auto"/>
        <w:jc w:val="both"/>
        <w:rPr>
          <w:rFonts w:ascii="Times New Roman" w:hAnsi="Times New Roman" w:cs="Times New Roman"/>
          <w:sz w:val="24"/>
          <w:szCs w:val="24"/>
        </w:rPr>
      </w:pPr>
      <w:r w:rsidRPr="00DE64B9">
        <w:rPr>
          <w:rFonts w:ascii="Times New Roman" w:hAnsi="Times New Roman" w:cs="Times New Roman"/>
          <w:sz w:val="24"/>
          <w:szCs w:val="24"/>
        </w:rPr>
        <w:t>Los planes quinquenales iniciales fueron creados para ayudar en la rápida industrialización de la Unión Soviética,​ concentrando sus esfuerzos en la industria pesada. En total, hubo 13 proyectos de cinco años. El primero fue aceptado en 1928 para el quinquenio de 1929 a 1933, y completado un año antes de lo previsto. El último plan quinquenal, el decimotercero, fue durante el período 1991-1995, y no fue completado debido a la disolución de la Unión Soviética en 1991.​ De 1928 a 1945 se decretaron tres planes: 1928-1932, 1933-1937 y 1938-1941. Este último se vio interrumpido por la invasión alemana, pero después de la Segunda Guerra Mundial (1939-1945) se volvieron a elaborar.</w:t>
      </w:r>
    </w:p>
    <w:p w:rsidR="00DD78C0" w:rsidRDefault="00DD78C0" w:rsidP="00DD78C0">
      <w:pPr>
        <w:spacing w:line="240" w:lineRule="auto"/>
        <w:jc w:val="both"/>
        <w:rPr>
          <w:rFonts w:ascii="Times New Roman" w:hAnsi="Times New Roman" w:cs="Times New Roman"/>
          <w:b/>
          <w:sz w:val="24"/>
          <w:szCs w:val="24"/>
        </w:rPr>
      </w:pPr>
      <w:r w:rsidRPr="004C40AD">
        <w:rPr>
          <w:rFonts w:ascii="Times New Roman" w:hAnsi="Times New Roman" w:cs="Times New Roman"/>
          <w:b/>
          <w:sz w:val="24"/>
          <w:szCs w:val="24"/>
        </w:rPr>
        <w:lastRenderedPageBreak/>
        <w:t xml:space="preserve">El </w:t>
      </w:r>
      <w:r>
        <w:rPr>
          <w:rFonts w:ascii="Times New Roman" w:hAnsi="Times New Roman" w:cs="Times New Roman"/>
          <w:b/>
          <w:sz w:val="24"/>
          <w:szCs w:val="24"/>
        </w:rPr>
        <w:t>“Plan Quinquenal”</w:t>
      </w:r>
      <w:r w:rsidRPr="004C40AD">
        <w:rPr>
          <w:rFonts w:ascii="Times New Roman" w:hAnsi="Times New Roman" w:cs="Times New Roman"/>
          <w:b/>
          <w:sz w:val="24"/>
          <w:szCs w:val="24"/>
        </w:rPr>
        <w:t xml:space="preserve"> d</w:t>
      </w:r>
      <w:r>
        <w:rPr>
          <w:rFonts w:ascii="Times New Roman" w:hAnsi="Times New Roman" w:cs="Times New Roman"/>
          <w:b/>
          <w:sz w:val="24"/>
          <w:szCs w:val="24"/>
        </w:rPr>
        <w:t>e la PAC (del “pensamiento Alicia”, a los “brócolis de la ira”</w:t>
      </w:r>
      <w:r w:rsidRPr="004C40AD">
        <w:rPr>
          <w:rFonts w:ascii="Times New Roman" w:hAnsi="Times New Roman" w:cs="Times New Roman"/>
          <w:b/>
          <w:sz w:val="24"/>
          <w:szCs w:val="24"/>
        </w:rPr>
        <w:t>)</w:t>
      </w:r>
    </w:p>
    <w:p w:rsidR="00DD78C0" w:rsidRDefault="00DD78C0" w:rsidP="00DD78C0">
      <w:pPr>
        <w:spacing w:line="240" w:lineRule="auto"/>
        <w:jc w:val="both"/>
        <w:rPr>
          <w:rFonts w:ascii="Times New Roman" w:hAnsi="Times New Roman" w:cs="Times New Roman"/>
          <w:sz w:val="24"/>
          <w:szCs w:val="24"/>
        </w:rPr>
      </w:pPr>
      <w:r>
        <w:rPr>
          <w:rFonts w:ascii="Times New Roman" w:hAnsi="Times New Roman" w:cs="Times New Roman"/>
          <w:sz w:val="24"/>
          <w:szCs w:val="24"/>
        </w:rPr>
        <w:t>Pago verde: p</w:t>
      </w:r>
      <w:r w:rsidRPr="00FC16A1">
        <w:rPr>
          <w:rFonts w:ascii="Times New Roman" w:hAnsi="Times New Roman" w:cs="Times New Roman"/>
          <w:sz w:val="24"/>
          <w:szCs w:val="24"/>
        </w:rPr>
        <w:t>ago de la PAC que fomenta las prácticas beneficiosas para el clima y medio ambiente. El pago verde, conocido también como greening, es un pago anual vinculado a un derecho de pago básico siempre que se respeten determinadas prácticas medioambientales.</w:t>
      </w:r>
    </w:p>
    <w:p w:rsidR="00DD78C0" w:rsidRPr="00FC16A1" w:rsidRDefault="00DD78C0" w:rsidP="00DD78C0">
      <w:pPr>
        <w:spacing w:line="240" w:lineRule="auto"/>
        <w:jc w:val="both"/>
        <w:rPr>
          <w:rFonts w:ascii="Times New Roman" w:hAnsi="Times New Roman" w:cs="Times New Roman"/>
          <w:sz w:val="24"/>
          <w:szCs w:val="24"/>
          <w:u w:val="single"/>
        </w:rPr>
      </w:pPr>
      <w:r w:rsidRPr="00FC16A1">
        <w:rPr>
          <w:rFonts w:ascii="Times New Roman" w:hAnsi="Times New Roman" w:cs="Times New Roman"/>
          <w:sz w:val="24"/>
          <w:szCs w:val="24"/>
          <w:u w:val="single"/>
        </w:rPr>
        <w:t>Pol</w:t>
      </w:r>
      <w:r>
        <w:rPr>
          <w:rFonts w:ascii="Times New Roman" w:hAnsi="Times New Roman" w:cs="Times New Roman"/>
          <w:sz w:val="24"/>
          <w:szCs w:val="24"/>
          <w:u w:val="single"/>
        </w:rPr>
        <w:t xml:space="preserve">ítica Agraria Común (PAC) 2022 - </w:t>
      </w:r>
      <w:r w:rsidRPr="00FC16A1">
        <w:rPr>
          <w:rFonts w:ascii="Times New Roman" w:hAnsi="Times New Roman" w:cs="Times New Roman"/>
          <w:sz w:val="24"/>
          <w:szCs w:val="24"/>
          <w:u w:val="single"/>
        </w:rPr>
        <w:t>Pago verde</w:t>
      </w:r>
    </w:p>
    <w:p w:rsidR="00DD78C0" w:rsidRPr="00FC16A1" w:rsidRDefault="00DD78C0" w:rsidP="00DD78C0">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Pago de la PAC que fomenta las prácticas beneficiosas para el clima y medio ambiente.</w:t>
      </w:r>
    </w:p>
    <w:p w:rsidR="00DD78C0" w:rsidRPr="00FC16A1" w:rsidRDefault="00DD78C0" w:rsidP="00DD78C0">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El pago verde, conocido también como greening, es un pago anual vinculado a un derecho de pago básico siempre que se respeten determinadas prácticas medioambientales.</w:t>
      </w:r>
    </w:p>
    <w:p w:rsidR="00DD78C0" w:rsidRPr="00FC16A1" w:rsidRDefault="00DD78C0" w:rsidP="00DD78C0">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Las prácticas medioambienta</w:t>
      </w:r>
      <w:r>
        <w:rPr>
          <w:rFonts w:ascii="Times New Roman" w:hAnsi="Times New Roman" w:cs="Times New Roman"/>
          <w:sz w:val="24"/>
          <w:szCs w:val="24"/>
        </w:rPr>
        <w:t>les vinculadas a este pago son:</w:t>
      </w:r>
    </w:p>
    <w:p w:rsidR="00DD78C0" w:rsidRPr="00FC16A1" w:rsidRDefault="00DD78C0" w:rsidP="00DD78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diversificación de cultivos</w:t>
      </w:r>
    </w:p>
    <w:p w:rsidR="00DD78C0" w:rsidRPr="00FC16A1" w:rsidRDefault="00DD78C0" w:rsidP="00DD78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mantenimiento de los pastos permanentes existentes</w:t>
      </w:r>
    </w:p>
    <w:p w:rsidR="00DD78C0" w:rsidRPr="00FC16A1" w:rsidRDefault="00DD78C0" w:rsidP="00DD78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contar con superficies de interés ecológico (SIE) en las explotaciones</w:t>
      </w:r>
    </w:p>
    <w:p w:rsidR="00DD78C0" w:rsidRPr="00FC16A1" w:rsidRDefault="00DD78C0" w:rsidP="00DD78C0">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La diversificación de cultivos consiste en sembrar varios cultivos diferentes en la tierra de cultivo de la explotación, que normalmente se cosechan con carácte</w:t>
      </w:r>
      <w:r>
        <w:rPr>
          <w:rFonts w:ascii="Times New Roman" w:hAnsi="Times New Roman" w:cs="Times New Roman"/>
          <w:sz w:val="24"/>
          <w:szCs w:val="24"/>
        </w:rPr>
        <w:t>r anual, o dejarla en barbecho.</w:t>
      </w:r>
    </w:p>
    <w:p w:rsidR="00DD78C0" w:rsidRPr="00FC16A1" w:rsidRDefault="00DD78C0" w:rsidP="00DD78C0">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Cuando se han convertido pastos permanente</w:t>
      </w:r>
      <w:r>
        <w:rPr>
          <w:rFonts w:ascii="Times New Roman" w:hAnsi="Times New Roman" w:cs="Times New Roman"/>
          <w:sz w:val="24"/>
          <w:szCs w:val="24"/>
        </w:rPr>
        <w:t>s</w:t>
      </w:r>
      <w:r w:rsidRPr="00FC16A1">
        <w:rPr>
          <w:rFonts w:ascii="Times New Roman" w:hAnsi="Times New Roman" w:cs="Times New Roman"/>
          <w:sz w:val="24"/>
          <w:szCs w:val="24"/>
        </w:rPr>
        <w:t xml:space="preserve"> a otros usos (tierra de cultivo), los agricultores tiene la obligación de restaurar esas superficies nuevamente como p</w:t>
      </w:r>
      <w:r>
        <w:rPr>
          <w:rFonts w:ascii="Times New Roman" w:hAnsi="Times New Roman" w:cs="Times New Roman"/>
          <w:sz w:val="24"/>
          <w:szCs w:val="24"/>
        </w:rPr>
        <w:t>astos. En ningún caso los pastos</w:t>
      </w:r>
      <w:r w:rsidRPr="00FC16A1">
        <w:rPr>
          <w:rFonts w:ascii="Times New Roman" w:hAnsi="Times New Roman" w:cs="Times New Roman"/>
          <w:sz w:val="24"/>
          <w:szCs w:val="24"/>
        </w:rPr>
        <w:t xml:space="preserve"> permanentes situados en zonas cubiertas por zonas de conservación de hábitats naturales y de la fauna y flora silvestre ZEC (Zonas de Especial Conservación) y ZEPAS  (Zonas de Especial Protección para las Aves) y que se han designado como medioambientalmente sensibles pueden convertirse a otros usos, ni labrarse ni efectuar labores más allá de las ne</w:t>
      </w:r>
      <w:r>
        <w:rPr>
          <w:rFonts w:ascii="Times New Roman" w:hAnsi="Times New Roman" w:cs="Times New Roman"/>
          <w:sz w:val="24"/>
          <w:szCs w:val="24"/>
        </w:rPr>
        <w:t>cesarias para su mantenimiento.</w:t>
      </w:r>
    </w:p>
    <w:p w:rsidR="00DD78C0" w:rsidRPr="00FC16A1" w:rsidRDefault="00DD78C0" w:rsidP="00DD78C0">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Las superficies de interés ecológico (SIE) son explotaciones que tienen más de 15 ha de tierra de cultivo, y al menos, el 5% de dicha tierra de cultivo y de las superficies que han sido forestadas se dedican a alguna de las estas categorías:</w:t>
      </w:r>
    </w:p>
    <w:p w:rsidR="00DD78C0" w:rsidRPr="00FC16A1" w:rsidRDefault="00DD78C0" w:rsidP="00DD78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tierras de barbecho</w:t>
      </w:r>
    </w:p>
    <w:p w:rsidR="00DD78C0" w:rsidRPr="00FC16A1" w:rsidRDefault="00DD78C0" w:rsidP="00DD78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superficies sembradas con cultivos fijadores de nitrógeno</w:t>
      </w:r>
    </w:p>
    <w:p w:rsidR="00DD78C0" w:rsidRPr="00FC16A1" w:rsidRDefault="00DD78C0" w:rsidP="00DD78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superficies forestadas</w:t>
      </w:r>
    </w:p>
    <w:p w:rsidR="00DD78C0" w:rsidRPr="00FC16A1" w:rsidRDefault="00DD78C0" w:rsidP="00DD78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superficies dedicadas a agrosilvicultura</w:t>
      </w:r>
    </w:p>
    <w:p w:rsidR="00DD78C0" w:rsidRPr="00FC16A1" w:rsidRDefault="00DD78C0" w:rsidP="00DD78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superficies con Miscanthus</w:t>
      </w:r>
    </w:p>
    <w:p w:rsidR="00DD78C0" w:rsidRPr="00FC16A1" w:rsidRDefault="00DD78C0" w:rsidP="00DD78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54497" w:rsidRPr="00FC16A1">
        <w:rPr>
          <w:rFonts w:ascii="Times New Roman" w:hAnsi="Times New Roman" w:cs="Times New Roman"/>
          <w:sz w:val="24"/>
          <w:szCs w:val="24"/>
        </w:rPr>
        <w:t>superficies</w:t>
      </w:r>
      <w:r w:rsidRPr="00FC16A1">
        <w:rPr>
          <w:rFonts w:ascii="Times New Roman" w:hAnsi="Times New Roman" w:cs="Times New Roman"/>
          <w:sz w:val="24"/>
          <w:szCs w:val="24"/>
        </w:rPr>
        <w:t xml:space="preserve"> con Silphium perfoliatum, silfo</w:t>
      </w:r>
    </w:p>
    <w:p w:rsidR="00DD78C0" w:rsidRPr="00FC16A1" w:rsidRDefault="00DD78C0" w:rsidP="00DD78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tierras en barbecho para plantas ricas en polen y néctar</w:t>
      </w:r>
    </w:p>
    <w:p w:rsidR="00DD78C0" w:rsidRPr="00FC16A1" w:rsidRDefault="00DD78C0" w:rsidP="00DD78C0">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Los agricultores que tienen derecho autom</w:t>
      </w:r>
      <w:r>
        <w:rPr>
          <w:rFonts w:ascii="Times New Roman" w:hAnsi="Times New Roman" w:cs="Times New Roman"/>
          <w:sz w:val="24"/>
          <w:szCs w:val="24"/>
        </w:rPr>
        <w:t>áticamente al pago son los que:</w:t>
      </w:r>
    </w:p>
    <w:p w:rsidR="00DD78C0" w:rsidRPr="00FC16A1" w:rsidRDefault="00DD78C0" w:rsidP="00DD78C0">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Se dedican a la agricultura ecológica, únicamente en las unidades de la explotación que sea una superficie destinada a la producción ecológica.</w:t>
      </w:r>
    </w:p>
    <w:p w:rsidR="00DD78C0" w:rsidRPr="00FC16A1" w:rsidRDefault="00DD78C0" w:rsidP="00DD78C0">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lastRenderedPageBreak/>
        <w:t>Están acogidos al régimen de pequeños agricultores que quedó establecido en el año 2015 para los productores que cobraron en la campaña menos de 1</w:t>
      </w:r>
      <w:r>
        <w:rPr>
          <w:rFonts w:ascii="Times New Roman" w:hAnsi="Times New Roman" w:cs="Times New Roman"/>
          <w:sz w:val="24"/>
          <w:szCs w:val="24"/>
        </w:rPr>
        <w:t>.</w:t>
      </w:r>
      <w:r w:rsidRPr="00FC16A1">
        <w:rPr>
          <w:rFonts w:ascii="Times New Roman" w:hAnsi="Times New Roman" w:cs="Times New Roman"/>
          <w:sz w:val="24"/>
          <w:szCs w:val="24"/>
        </w:rPr>
        <w:t>250 € de pagos directos.</w:t>
      </w:r>
    </w:p>
    <w:p w:rsidR="00DD78C0" w:rsidRPr="00FC16A1" w:rsidRDefault="00DD78C0" w:rsidP="00DD78C0">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Disponen de cultivos permanentes (viñedo, olivar, trigo, frutales) y, en general, cultivos que permanecen en terreno durante cinco años o más y no entran en rotación de cultivos de la explotación.</w:t>
      </w:r>
    </w:p>
    <w:p w:rsidR="00DD78C0" w:rsidRDefault="00DD78C0" w:rsidP="00DD78C0">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Si la explotación está situada, total o parcialmente en zonas de especial conservación (ZEC), de protección de las aves silvestres (ZEPAS) o en el ámbito de actuación de las políticas de aguas, se tienen que respetar estas prácticas:</w:t>
      </w:r>
    </w:p>
    <w:p w:rsidR="00DD78C0" w:rsidRDefault="00DD78C0" w:rsidP="00DD78C0">
      <w:pPr>
        <w:spacing w:line="240" w:lineRule="auto"/>
        <w:jc w:val="both"/>
        <w:rPr>
          <w:rFonts w:ascii="Times New Roman" w:hAnsi="Times New Roman" w:cs="Times New Roman"/>
          <w:b/>
          <w:sz w:val="24"/>
          <w:szCs w:val="24"/>
        </w:rPr>
      </w:pPr>
      <w:r w:rsidRPr="00DA6D55">
        <w:rPr>
          <w:rFonts w:ascii="Times New Roman" w:hAnsi="Times New Roman" w:cs="Times New Roman"/>
          <w:b/>
          <w:sz w:val="24"/>
          <w:szCs w:val="24"/>
        </w:rPr>
        <w:t>Prácticas de Pago Verde 2022</w:t>
      </w:r>
    </w:p>
    <w:p w:rsidR="00DD78C0" w:rsidRDefault="00DD78C0" w:rsidP="00DD78C0">
      <w:pPr>
        <w:spacing w:line="240" w:lineRule="auto"/>
        <w:jc w:val="both"/>
        <w:rPr>
          <w:rFonts w:ascii="Times New Roman" w:hAnsi="Times New Roman" w:cs="Times New Roman"/>
          <w:sz w:val="24"/>
          <w:szCs w:val="24"/>
        </w:rPr>
      </w:pPr>
      <w:r>
        <w:rPr>
          <w:rFonts w:ascii="Times New Roman" w:hAnsi="Times New Roman" w:cs="Times New Roman"/>
          <w:sz w:val="24"/>
          <w:szCs w:val="24"/>
        </w:rPr>
        <w:t>(Manual de Instrucciones del “Gosplán”, provisto por el Gobierno de Aragón - España)</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1. D</w:t>
      </w:r>
      <w:r>
        <w:rPr>
          <w:rFonts w:ascii="Times New Roman" w:hAnsi="Times New Roman" w:cs="Times New Roman"/>
          <w:sz w:val="24"/>
          <w:szCs w:val="24"/>
        </w:rPr>
        <w:t>iversificación de cultivos</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R</w:t>
      </w:r>
      <w:r>
        <w:rPr>
          <w:rFonts w:ascii="Times New Roman" w:hAnsi="Times New Roman" w:cs="Times New Roman"/>
          <w:sz w:val="24"/>
          <w:szCs w:val="24"/>
        </w:rPr>
        <w:t>equisitos de explotación:</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10 ha &lt; TC &lt; 30 ha: al menos 2 cultivos diferentes en la superficie de TC, y el cultivo principal debe ocupar &lt; 75% de la superficie.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TC &gt; 30 ha: al menos 3 cultivos diferentes en la superficie de TC, el cultivo principal debe ocupar &lt; 75% de la superficie y la suma de los 2 principales &lt; 95%. Cultivos: diferentes géneros botánicos (El cultivo de Triticum Spelta se considera cultivo diferenciado del género Triticum); diferentes especies de las familias Brassica, Solanáceas y Cucurbitáceas; tierras de barbecho; hierba u otros forrajes herbáceos. Las mezclas se consideran un único cultivo.</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1. D</w:t>
      </w:r>
      <w:r>
        <w:rPr>
          <w:rFonts w:ascii="Times New Roman" w:hAnsi="Times New Roman" w:cs="Times New Roman"/>
          <w:sz w:val="24"/>
          <w:szCs w:val="24"/>
        </w:rPr>
        <w:t>iversificación de cultivos</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w:t>
      </w:r>
      <w:r>
        <w:rPr>
          <w:rFonts w:ascii="Times New Roman" w:hAnsi="Times New Roman" w:cs="Times New Roman"/>
          <w:sz w:val="24"/>
          <w:szCs w:val="24"/>
        </w:rPr>
        <w:t xml:space="preserve"> Exenciones a la diversificación</w:t>
      </w:r>
      <w:r w:rsidRPr="00DA6D55">
        <w:rPr>
          <w:rFonts w:ascii="Times New Roman" w:hAnsi="Times New Roman" w:cs="Times New Roman"/>
          <w:sz w:val="24"/>
          <w:szCs w:val="24"/>
        </w:rPr>
        <w:t xml:space="preserve">: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TC75% de la TC con alguno de los siguientes productos o su combinación: hierba u otros forrajes herbáceos / barbechos / leguminosas.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&gt;75% de la superficie admisible con alguno de los siguientes productos o su combinación: pastos permanentes / hierba u otros forrajes herbáceos / cultivos bajo agua.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Exento de cumplir umbrales (no nº cultivos): &gt;75% de la TC con alguno de los siguientes productos: hierba u otros forrajes herbáceos / barbechos / cultivos bajo agua. El cultivo principal de la TC restante no incluye más del 75%, excepto si está cubierta por hierba/forrajes herbáceos o barbecho.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El solicitante marca acogerse a la comparación geoespacial de imágenes de las tierras de cultivo de la campaña actual y de la anterior.</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1. D</w:t>
      </w:r>
      <w:r>
        <w:rPr>
          <w:rFonts w:ascii="Times New Roman" w:hAnsi="Times New Roman" w:cs="Times New Roman"/>
          <w:sz w:val="24"/>
          <w:szCs w:val="24"/>
        </w:rPr>
        <w:t>iversificación de cultivos</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P</w:t>
      </w:r>
      <w:r>
        <w:rPr>
          <w:rFonts w:ascii="Times New Roman" w:hAnsi="Times New Roman" w:cs="Times New Roman"/>
          <w:sz w:val="24"/>
          <w:szCs w:val="24"/>
        </w:rPr>
        <w:t>eríodo de diversificación:</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El período de diversificación se extiende de marzo a agosto.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Los productos declarables se incluirán sin ciclo de cultivo.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D</w:t>
      </w:r>
      <w:r>
        <w:rPr>
          <w:rFonts w:ascii="Times New Roman" w:hAnsi="Times New Roman" w:cs="Times New Roman"/>
          <w:sz w:val="24"/>
          <w:szCs w:val="24"/>
        </w:rPr>
        <w:t>obles cosechas</w:t>
      </w:r>
      <w:r w:rsidRPr="00DA6D55">
        <w:rPr>
          <w:rFonts w:ascii="Times New Roman" w:hAnsi="Times New Roman" w:cs="Times New Roman"/>
          <w:sz w:val="24"/>
          <w:szCs w:val="24"/>
        </w:rPr>
        <w:t xml:space="preserve">: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lastRenderedPageBreak/>
        <w:t xml:space="preserve">• Aunque los cultivos predominantes durante el período de diversificación son los cultivos de primavera, se admiten cultivos de invierno como principales siempre que coexistan en el tiempo y en el terreno con los declarados como principales de primavera.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No se puede declarar un 2º cultivo si el principal es Barbecho ni declarar Barbecho como 2º cultivo.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O</w:t>
      </w:r>
      <w:r>
        <w:rPr>
          <w:rFonts w:ascii="Times New Roman" w:hAnsi="Times New Roman" w:cs="Times New Roman"/>
          <w:sz w:val="24"/>
          <w:szCs w:val="24"/>
        </w:rPr>
        <w:t>tras cuestiones</w:t>
      </w:r>
      <w:r w:rsidRPr="00DA6D55">
        <w:rPr>
          <w:rFonts w:ascii="Times New Roman" w:hAnsi="Times New Roman" w:cs="Times New Roman"/>
          <w:sz w:val="24"/>
          <w:szCs w:val="24"/>
        </w:rPr>
        <w:t>:</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Los productos del grupo “hierbas u otros forrajes herbáceos”, declarados 5 años consecutivos con el mismo producto pasarán a PR, si hay laboreo sigue TA.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2. S</w:t>
      </w:r>
      <w:r>
        <w:rPr>
          <w:rFonts w:ascii="Times New Roman" w:hAnsi="Times New Roman" w:cs="Times New Roman"/>
          <w:sz w:val="24"/>
          <w:szCs w:val="24"/>
        </w:rPr>
        <w:t>uperficies interés ecológico</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R</w:t>
      </w:r>
      <w:r>
        <w:rPr>
          <w:rFonts w:ascii="Times New Roman" w:hAnsi="Times New Roman" w:cs="Times New Roman"/>
          <w:sz w:val="24"/>
          <w:szCs w:val="24"/>
        </w:rPr>
        <w:t>equisitos explotación</w:t>
      </w:r>
      <w:r w:rsidRPr="00DA6D55">
        <w:rPr>
          <w:rFonts w:ascii="Times New Roman" w:hAnsi="Times New Roman" w:cs="Times New Roman"/>
          <w:sz w:val="24"/>
          <w:szCs w:val="24"/>
        </w:rPr>
        <w:t xml:space="preserve">: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TC &gt; 15 ha: mantener una SIE de al menos un 5% de la (TC + FOR).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En la solicitud única se marcarán los recintos elegidos para computar como SIE.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E</w:t>
      </w:r>
      <w:r>
        <w:rPr>
          <w:rFonts w:ascii="Times New Roman" w:hAnsi="Times New Roman" w:cs="Times New Roman"/>
          <w:sz w:val="24"/>
          <w:szCs w:val="24"/>
        </w:rPr>
        <w:t>xenciones al mantenimiento de SIE</w:t>
      </w:r>
      <w:r w:rsidRPr="00DA6D55">
        <w:rPr>
          <w:rFonts w:ascii="Times New Roman" w:hAnsi="Times New Roman" w:cs="Times New Roman"/>
          <w:sz w:val="24"/>
          <w:szCs w:val="24"/>
        </w:rPr>
        <w:t xml:space="preserve">: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TC75% de la TC con alguno de los siguientes productos o combinación: hierba u otros forrajes herbáceos / barbechos / leguminosas.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&gt;75% de la superficie agraria admisible con alguno de los siguientes productos o combinación: PP/hierba u otros forrajes herbáceos/cultivos bajo agua.</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2. S</w:t>
      </w:r>
      <w:r>
        <w:rPr>
          <w:rFonts w:ascii="Times New Roman" w:hAnsi="Times New Roman" w:cs="Times New Roman"/>
          <w:sz w:val="24"/>
          <w:szCs w:val="24"/>
        </w:rPr>
        <w:t>uperficies interés ecológico</w:t>
      </w:r>
    </w:p>
    <w:p w:rsidR="00DD78C0" w:rsidRPr="00DA6D55" w:rsidRDefault="00DD78C0" w:rsidP="00DD78C0">
      <w:pPr>
        <w:spacing w:line="240" w:lineRule="auto"/>
        <w:jc w:val="both"/>
        <w:rPr>
          <w:rFonts w:ascii="Times New Roman" w:hAnsi="Times New Roman" w:cs="Times New Roman"/>
          <w:sz w:val="24"/>
          <w:szCs w:val="24"/>
        </w:rPr>
      </w:pPr>
      <w:r>
        <w:rPr>
          <w:rFonts w:ascii="Times New Roman" w:hAnsi="Times New Roman" w:cs="Times New Roman"/>
          <w:sz w:val="24"/>
          <w:szCs w:val="24"/>
        </w:rPr>
        <w:t>• Superficies</w:t>
      </w:r>
      <w:r w:rsidRPr="00DA6D55">
        <w:rPr>
          <w:rFonts w:ascii="Times New Roman" w:hAnsi="Times New Roman" w:cs="Times New Roman"/>
          <w:sz w:val="24"/>
          <w:szCs w:val="24"/>
        </w:rPr>
        <w:t xml:space="preserve"> SIE: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Tierras de barbecho: Se mantendrán sin producción entre el 1 de marzo y el 31 de agosto y no se podrán aplicar fitosanitarios durante el período de no producción.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Barbechos melíferos: además de los requisitos de no producción ni aplicación de fitosanitarios, se sembrarán con una mezcla de mínimo 4 especies elegibles, respetando una dosis mínima de siembra razonable para alcanzar una cubierta herbácea adecuada. Se permite la colocación de colmenas. En la campaña 2020 se ha actu</w:t>
      </w:r>
      <w:r>
        <w:rPr>
          <w:rFonts w:ascii="Times New Roman" w:hAnsi="Times New Roman" w:cs="Times New Roman"/>
          <w:sz w:val="24"/>
          <w:szCs w:val="24"/>
        </w:rPr>
        <w:t>a</w:t>
      </w:r>
      <w:r w:rsidRPr="00DA6D55">
        <w:rPr>
          <w:rFonts w:ascii="Times New Roman" w:hAnsi="Times New Roman" w:cs="Times New Roman"/>
          <w:sz w:val="24"/>
          <w:szCs w:val="24"/>
        </w:rPr>
        <w:t xml:space="preserve">lizado el listado de especies melíferas elegibles.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Cultivos fijadores de nitrógeno (CFN): se incluyen los cultivos de soja, cacahuete, Crotalaria J. y mezclas de CFN con otros cultivos siempre que el CFN sea el cultivo principal). No se puede aplicar fitosanitarios durante el ciclo de cultivo.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Superficies forestadas: incluidas obligatoriamente en un programa PDR válido.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Superficies declaradas de Miscanthus y Silphium perfoliatum: no se puede aplicar productos fitosanitarios ni fertilizantes minerales.</w:t>
      </w:r>
    </w:p>
    <w:p w:rsidR="00DD78C0"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2. S</w:t>
      </w:r>
      <w:r>
        <w:rPr>
          <w:rFonts w:ascii="Times New Roman" w:hAnsi="Times New Roman" w:cs="Times New Roman"/>
          <w:sz w:val="24"/>
          <w:szCs w:val="24"/>
        </w:rPr>
        <w:t>uperficies interés ecológico</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L</w:t>
      </w:r>
      <w:r>
        <w:rPr>
          <w:rFonts w:ascii="Times New Roman" w:hAnsi="Times New Roman" w:cs="Times New Roman"/>
          <w:sz w:val="24"/>
          <w:szCs w:val="24"/>
        </w:rPr>
        <w:t>istado especies melíferas elegibles</w:t>
      </w:r>
      <w:r w:rsidRPr="00DA6D55">
        <w:rPr>
          <w:rFonts w:ascii="Times New Roman" w:hAnsi="Times New Roman" w:cs="Times New Roman"/>
          <w:sz w:val="24"/>
          <w:szCs w:val="24"/>
        </w:rPr>
        <w:t>: (se señalan 27 especies)</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2. S</w:t>
      </w:r>
      <w:r>
        <w:rPr>
          <w:rFonts w:ascii="Times New Roman" w:hAnsi="Times New Roman" w:cs="Times New Roman"/>
          <w:sz w:val="24"/>
          <w:szCs w:val="24"/>
        </w:rPr>
        <w:t>uperficies interés ecológico</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lastRenderedPageBreak/>
        <w:t>• R</w:t>
      </w:r>
      <w:r>
        <w:rPr>
          <w:rFonts w:ascii="Times New Roman" w:hAnsi="Times New Roman" w:cs="Times New Roman"/>
          <w:sz w:val="24"/>
          <w:szCs w:val="24"/>
        </w:rPr>
        <w:t>otación de cultivos</w:t>
      </w:r>
      <w:r w:rsidRPr="00DA6D55">
        <w:rPr>
          <w:rFonts w:ascii="Times New Roman" w:hAnsi="Times New Roman" w:cs="Times New Roman"/>
          <w:sz w:val="24"/>
          <w:szCs w:val="24"/>
        </w:rPr>
        <w:t xml:space="preserve">: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Las superficies de barbecho que pretendan computarse como de interés ecológico, no deberán haber estado precedidas por ningún cultivo fijador de nitrógeno (haya computado como SIE o no).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Al objeto de evitar el riesgo de lixiviación del nitrógeno fijado por los cultivos fijadores de nitrógeno en otoño, así como de aprovechar la mejora del suelo, las superficies de CFN que pretendan computar como SIE no podrán ir seguidas en la rotación de cultivos por tierras de barbecho (computen como SIE o no).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O</w:t>
      </w:r>
      <w:r>
        <w:rPr>
          <w:rFonts w:ascii="Times New Roman" w:hAnsi="Times New Roman" w:cs="Times New Roman"/>
          <w:sz w:val="24"/>
          <w:szCs w:val="24"/>
        </w:rPr>
        <w:t>tras cuestiones</w:t>
      </w:r>
      <w:r w:rsidRPr="00DA6D55">
        <w:rPr>
          <w:rFonts w:ascii="Times New Roman" w:hAnsi="Times New Roman" w:cs="Times New Roman"/>
          <w:sz w:val="24"/>
          <w:szCs w:val="24"/>
        </w:rPr>
        <w:t xml:space="preserve">: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Los cultivos secundarios CFN (otros cultivos) computan a efectos de SIE (siempre que no se contabilice el cultivo principal).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3. M</w:t>
      </w:r>
      <w:r>
        <w:rPr>
          <w:rFonts w:ascii="Times New Roman" w:hAnsi="Times New Roman" w:cs="Times New Roman"/>
          <w:sz w:val="24"/>
          <w:szCs w:val="24"/>
        </w:rPr>
        <w:t>antenimiento pastos</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R</w:t>
      </w:r>
      <w:r>
        <w:rPr>
          <w:rFonts w:ascii="Times New Roman" w:hAnsi="Times New Roman" w:cs="Times New Roman"/>
          <w:sz w:val="24"/>
          <w:szCs w:val="24"/>
        </w:rPr>
        <w:t>equisitos explotación</w:t>
      </w:r>
      <w:r w:rsidRPr="00DA6D55">
        <w:rPr>
          <w:rFonts w:ascii="Times New Roman" w:hAnsi="Times New Roman" w:cs="Times New Roman"/>
          <w:sz w:val="24"/>
          <w:szCs w:val="24"/>
        </w:rPr>
        <w:t xml:space="preserve">: Esta práctica se subdivide en dos: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Mantenimiento de pastos medioambientalmente sensibles: los productores no pueden convertir ni labrar, ni efectuar labores más allá del mantenimiento de los PMS, situados en la</w:t>
      </w:r>
      <w:r>
        <w:rPr>
          <w:rFonts w:ascii="Times New Roman" w:hAnsi="Times New Roman" w:cs="Times New Roman"/>
          <w:sz w:val="24"/>
          <w:szCs w:val="24"/>
        </w:rPr>
        <w:t>s zonas contempladas en las Directivas</w:t>
      </w:r>
      <w:r w:rsidRPr="00DA6D55">
        <w:rPr>
          <w:rFonts w:ascii="Times New Roman" w:hAnsi="Times New Roman" w:cs="Times New Roman"/>
          <w:sz w:val="24"/>
          <w:szCs w:val="24"/>
        </w:rPr>
        <w:t xml:space="preserve"> de Hábitats o de Aves. - Aragón: Pastos situados en zonas RN2000 y más de 1500 m. - En caso de roturación, se avisa al solicitante de la obligación de revertir los PMS a la situación inicial de pasto permanente. </w:t>
      </w:r>
    </w:p>
    <w:p w:rsidR="00DD78C0" w:rsidRPr="00DA6D55"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Mantenimiento de la proporción de PP: La proporción de PP a nivel nacional no puede disminuir más de un 5% respecto a la proporción de referencia establecida.</w:t>
      </w:r>
    </w:p>
    <w:p w:rsidR="00DD78C0" w:rsidRDefault="00DD78C0" w:rsidP="00DD78C0">
      <w:pPr>
        <w:spacing w:line="240" w:lineRule="auto"/>
        <w:jc w:val="both"/>
        <w:rPr>
          <w:rFonts w:ascii="Times New Roman" w:hAnsi="Times New Roman" w:cs="Times New Roman"/>
          <w:sz w:val="24"/>
          <w:szCs w:val="24"/>
        </w:rPr>
      </w:pPr>
      <w:r w:rsidRPr="00DA6D55">
        <w:rPr>
          <w:rFonts w:ascii="Times New Roman" w:hAnsi="Times New Roman" w:cs="Times New Roman"/>
          <w:b/>
          <w:sz w:val="24"/>
          <w:szCs w:val="24"/>
        </w:rPr>
        <w:t>Basta para mí:</w:t>
      </w:r>
      <w:r>
        <w:rPr>
          <w:rFonts w:ascii="Times New Roman" w:hAnsi="Times New Roman" w:cs="Times New Roman"/>
          <w:sz w:val="24"/>
          <w:szCs w:val="24"/>
        </w:rPr>
        <w:t xml:space="preserve"> creo que Orwell, no podría haber escrito un “Manual del Pensamiento Único” (</w:t>
      </w:r>
      <w:r w:rsidRPr="00DA6D55">
        <w:rPr>
          <w:rFonts w:ascii="Times New Roman" w:hAnsi="Times New Roman" w:cs="Times New Roman"/>
          <w:sz w:val="24"/>
          <w:szCs w:val="24"/>
        </w:rPr>
        <w:t>Prácticas beneficiosas para el clima y el medio ambiente</w:t>
      </w:r>
      <w:r>
        <w:rPr>
          <w:rFonts w:ascii="Times New Roman" w:hAnsi="Times New Roman" w:cs="Times New Roman"/>
          <w:sz w:val="24"/>
          <w:szCs w:val="24"/>
        </w:rPr>
        <w:t xml:space="preserve">) con mayor grado de detalle. </w:t>
      </w:r>
      <w:r w:rsidRPr="00DA6D55">
        <w:rPr>
          <w:rFonts w:ascii="Times New Roman" w:hAnsi="Times New Roman" w:cs="Times New Roman"/>
          <w:sz w:val="24"/>
          <w:szCs w:val="24"/>
        </w:rPr>
        <w:t>El pensam</w:t>
      </w:r>
      <w:r>
        <w:rPr>
          <w:rFonts w:ascii="Times New Roman" w:hAnsi="Times New Roman" w:cs="Times New Roman"/>
          <w:sz w:val="24"/>
          <w:szCs w:val="24"/>
        </w:rPr>
        <w:t>iento único se sostiene con lo “políticamente correcto”. “Q</w:t>
      </w:r>
      <w:r w:rsidRPr="00DA6D55">
        <w:rPr>
          <w:rFonts w:ascii="Times New Roman" w:hAnsi="Times New Roman" w:cs="Times New Roman"/>
          <w:sz w:val="24"/>
          <w:szCs w:val="24"/>
        </w:rPr>
        <w:t>uien controla el poder de definir las palab</w:t>
      </w:r>
      <w:r>
        <w:rPr>
          <w:rFonts w:ascii="Times New Roman" w:hAnsi="Times New Roman" w:cs="Times New Roman"/>
          <w:sz w:val="24"/>
          <w:szCs w:val="24"/>
        </w:rPr>
        <w:t>ras controla también las mentes”</w:t>
      </w:r>
      <w:r w:rsidRPr="00DA6D55">
        <w:rPr>
          <w:rFonts w:ascii="Times New Roman" w:hAnsi="Times New Roman" w:cs="Times New Roman"/>
          <w:sz w:val="24"/>
          <w:szCs w:val="24"/>
        </w:rPr>
        <w:t>.</w:t>
      </w:r>
      <w:r>
        <w:rPr>
          <w:rFonts w:ascii="Times New Roman" w:hAnsi="Times New Roman" w:cs="Times New Roman"/>
          <w:sz w:val="24"/>
          <w:szCs w:val="24"/>
        </w:rPr>
        <w:t xml:space="preserve"> Tampoco a Kafka, le hubiera ido mal buscando ejemplos de autoritarismo: “</w:t>
      </w:r>
      <w:r w:rsidRPr="00173D1F">
        <w:rPr>
          <w:rFonts w:ascii="Times New Roman" w:hAnsi="Times New Roman" w:cs="Times New Roman"/>
          <w:sz w:val="24"/>
          <w:szCs w:val="24"/>
        </w:rPr>
        <w:t>El progreso se evapora y deja</w:t>
      </w:r>
      <w:r>
        <w:rPr>
          <w:rFonts w:ascii="Times New Roman" w:hAnsi="Times New Roman" w:cs="Times New Roman"/>
          <w:sz w:val="24"/>
          <w:szCs w:val="24"/>
        </w:rPr>
        <w:t xml:space="preserve"> atrás una estela de burocracia”</w:t>
      </w:r>
      <w:r w:rsidRPr="00173D1F">
        <w:rPr>
          <w:rFonts w:ascii="Times New Roman" w:hAnsi="Times New Roman" w:cs="Times New Roman"/>
          <w:sz w:val="24"/>
          <w:szCs w:val="24"/>
        </w:rPr>
        <w:t>.</w:t>
      </w:r>
      <w:r>
        <w:rPr>
          <w:rFonts w:ascii="Times New Roman" w:hAnsi="Times New Roman" w:cs="Times New Roman"/>
          <w:sz w:val="24"/>
          <w:szCs w:val="24"/>
        </w:rPr>
        <w:t xml:space="preserve"> “</w:t>
      </w:r>
      <w:r w:rsidRPr="00173D1F">
        <w:rPr>
          <w:rFonts w:ascii="Times New Roman" w:hAnsi="Times New Roman" w:cs="Times New Roman"/>
          <w:sz w:val="24"/>
          <w:szCs w:val="24"/>
        </w:rPr>
        <w:t>Todos los errores humanos son fruto de la impaciencia, interrupción prematura de un proceso ordenado, obstáculo artificial levantado alred</w:t>
      </w:r>
      <w:r>
        <w:rPr>
          <w:rFonts w:ascii="Times New Roman" w:hAnsi="Times New Roman" w:cs="Times New Roman"/>
          <w:sz w:val="24"/>
          <w:szCs w:val="24"/>
        </w:rPr>
        <w:t>edor de una realidad artificial”</w:t>
      </w:r>
      <w:r w:rsidRPr="00173D1F">
        <w:rPr>
          <w:rFonts w:ascii="Times New Roman" w:hAnsi="Times New Roman" w:cs="Times New Roman"/>
          <w:sz w:val="24"/>
          <w:szCs w:val="24"/>
        </w:rPr>
        <w:t>.</w:t>
      </w:r>
    </w:p>
    <w:p w:rsidR="00DD78C0" w:rsidRDefault="00DD78C0" w:rsidP="00DD78C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efecto Greta (zombi) </w:t>
      </w:r>
      <w:r w:rsidRPr="0078269C">
        <w:rPr>
          <w:rFonts w:ascii="Times New Roman" w:hAnsi="Times New Roman" w:cs="Times New Roman"/>
          <w:b/>
          <w:sz w:val="24"/>
          <w:szCs w:val="24"/>
        </w:rPr>
        <w:t>Thunberg</w:t>
      </w:r>
      <w:r>
        <w:rPr>
          <w:rFonts w:ascii="Times New Roman" w:hAnsi="Times New Roman" w:cs="Times New Roman"/>
          <w:b/>
          <w:sz w:val="24"/>
          <w:szCs w:val="24"/>
        </w:rPr>
        <w:t xml:space="preserve"> en la UE (transformar su zona agrícola en un gran campo de golf con ovejas protegidas, y a sus agricultores en jardineros o </w:t>
      </w:r>
      <w:r w:rsidRPr="00A752FA">
        <w:rPr>
          <w:rFonts w:ascii="Times New Roman" w:hAnsi="Times New Roman" w:cs="Times New Roman"/>
          <w:b/>
          <w:sz w:val="24"/>
          <w:szCs w:val="24"/>
        </w:rPr>
        <w:t>birdwatch</w:t>
      </w:r>
      <w:r>
        <w:rPr>
          <w:rFonts w:ascii="Times New Roman" w:hAnsi="Times New Roman" w:cs="Times New Roman"/>
          <w:b/>
          <w:sz w:val="24"/>
          <w:szCs w:val="24"/>
        </w:rPr>
        <w:t>ers</w:t>
      </w:r>
      <w:r w:rsidRPr="0078269C">
        <w:rPr>
          <w:rFonts w:ascii="Times New Roman" w:hAnsi="Times New Roman" w:cs="Times New Roman"/>
          <w:b/>
          <w:sz w:val="24"/>
          <w:szCs w:val="24"/>
        </w:rPr>
        <w:t>)</w:t>
      </w:r>
    </w:p>
    <w:p w:rsidR="00DD78C0" w:rsidRDefault="00DD78C0" w:rsidP="00DD78C0">
      <w:pPr>
        <w:spacing w:line="240" w:lineRule="auto"/>
        <w:jc w:val="both"/>
        <w:rPr>
          <w:rFonts w:ascii="Times New Roman" w:hAnsi="Times New Roman" w:cs="Times New Roman"/>
          <w:sz w:val="24"/>
          <w:szCs w:val="24"/>
        </w:rPr>
      </w:pPr>
      <w:r w:rsidRPr="0078269C">
        <w:rPr>
          <w:rFonts w:ascii="Times New Roman" w:hAnsi="Times New Roman" w:cs="Times New Roman"/>
          <w:sz w:val="24"/>
          <w:szCs w:val="24"/>
        </w:rPr>
        <w:t xml:space="preserve">(Fuente: Comisión Europea - </w:t>
      </w:r>
      <w:r>
        <w:rPr>
          <w:rFonts w:ascii="Times New Roman" w:hAnsi="Times New Roman" w:cs="Times New Roman"/>
          <w:sz w:val="24"/>
          <w:szCs w:val="24"/>
        </w:rPr>
        <w:t xml:space="preserve">información disponible al </w:t>
      </w:r>
      <w:r w:rsidRPr="00DD78C0">
        <w:rPr>
          <w:rFonts w:ascii="Times New Roman" w:hAnsi="Times New Roman" w:cs="Times New Roman"/>
          <w:b/>
          <w:sz w:val="24"/>
          <w:szCs w:val="24"/>
        </w:rPr>
        <w:t>21/3/22</w:t>
      </w:r>
      <w:r>
        <w:rPr>
          <w:rFonts w:ascii="Times New Roman" w:hAnsi="Times New Roman" w:cs="Times New Roman"/>
          <w:sz w:val="24"/>
          <w:szCs w:val="24"/>
        </w:rPr>
        <w:t>)</w:t>
      </w:r>
    </w:p>
    <w:p w:rsidR="00DD78C0" w:rsidRPr="0078269C" w:rsidRDefault="00DD78C0" w:rsidP="00DD78C0">
      <w:pPr>
        <w:spacing w:line="240" w:lineRule="auto"/>
        <w:jc w:val="both"/>
        <w:rPr>
          <w:rFonts w:ascii="Times New Roman" w:hAnsi="Times New Roman" w:cs="Times New Roman"/>
          <w:b/>
          <w:sz w:val="24"/>
          <w:szCs w:val="24"/>
        </w:rPr>
      </w:pPr>
      <w:r w:rsidRPr="0078269C">
        <w:rPr>
          <w:rFonts w:ascii="Times New Roman" w:hAnsi="Times New Roman" w:cs="Times New Roman"/>
          <w:b/>
          <w:sz w:val="24"/>
          <w:szCs w:val="24"/>
        </w:rPr>
        <w:t>Sostenibilidad medioambiental en la PAC</w:t>
      </w:r>
    </w:p>
    <w:p w:rsidR="00DD78C0" w:rsidRPr="00B4374C" w:rsidRDefault="00DD78C0" w:rsidP="00DD78C0">
      <w:pPr>
        <w:pStyle w:val="NormalWeb"/>
        <w:shd w:val="clear" w:color="auto" w:fill="FFFFFF"/>
        <w:jc w:val="both"/>
      </w:pPr>
      <w:r w:rsidRPr="00B4374C">
        <w:t>La política agrícola común (PAC) tiene tres objetivos medioambientales claros que se recogen en el </w:t>
      </w:r>
      <w:hyperlink r:id="rId84" w:history="1">
        <w:r w:rsidRPr="00B4374C">
          <w:rPr>
            <w:rStyle w:val="Hipervnculo"/>
            <w:color w:val="auto"/>
            <w:u w:val="none"/>
          </w:rPr>
          <w:t>Pacto Verde Europeo</w:t>
        </w:r>
      </w:hyperlink>
      <w:r w:rsidRPr="00B4374C">
        <w:t> y en la estrategia “</w:t>
      </w:r>
      <w:hyperlink r:id="rId85" w:history="1">
        <w:r w:rsidRPr="00B4374C">
          <w:rPr>
            <w:rStyle w:val="Hipervnculo"/>
            <w:color w:val="auto"/>
            <w:u w:val="none"/>
          </w:rPr>
          <w:t>De la granja a la mesa</w:t>
        </w:r>
      </w:hyperlink>
      <w:r w:rsidRPr="00B4374C">
        <w:t>”:</w:t>
      </w:r>
    </w:p>
    <w:p w:rsidR="00DD78C0" w:rsidRPr="00B4374C" w:rsidRDefault="00DD78C0" w:rsidP="00DD78C0">
      <w:pPr>
        <w:numPr>
          <w:ilvl w:val="0"/>
          <w:numId w:val="8"/>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luchar contra el cambio climático;</w:t>
      </w:r>
    </w:p>
    <w:p w:rsidR="00DD78C0" w:rsidRPr="00B4374C" w:rsidRDefault="00DD78C0" w:rsidP="00DD78C0">
      <w:pPr>
        <w:numPr>
          <w:ilvl w:val="0"/>
          <w:numId w:val="8"/>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proteger los recursos naturales;</w:t>
      </w:r>
    </w:p>
    <w:p w:rsidR="00DD78C0" w:rsidRPr="00B4374C" w:rsidRDefault="00DD78C0" w:rsidP="00DD78C0">
      <w:pPr>
        <w:numPr>
          <w:ilvl w:val="0"/>
          <w:numId w:val="8"/>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reforzar la biodiversidad.</w:t>
      </w:r>
    </w:p>
    <w:p w:rsidR="00DD78C0" w:rsidRPr="00B4374C" w:rsidRDefault="00DD78C0" w:rsidP="00DD78C0">
      <w:pPr>
        <w:pStyle w:val="NormalWeb"/>
        <w:shd w:val="clear" w:color="auto" w:fill="FFFFFF"/>
        <w:jc w:val="both"/>
      </w:pPr>
      <w:r w:rsidRPr="00B4374C">
        <w:t>Para alcanzar estos objetivos, la PAC fomenta la </w:t>
      </w:r>
      <w:hyperlink r:id="rId86" w:history="1">
        <w:r w:rsidRPr="00B4374C">
          <w:rPr>
            <w:rStyle w:val="Hipervnculo"/>
            <w:color w:val="auto"/>
            <w:u w:val="none"/>
          </w:rPr>
          <w:t>agricultura ecológica</w:t>
        </w:r>
      </w:hyperlink>
      <w:r w:rsidRPr="00B4374C">
        <w:t> y la </w:t>
      </w:r>
      <w:hyperlink r:id="rId87" w:history="1">
        <w:r w:rsidRPr="00B4374C">
          <w:rPr>
            <w:rStyle w:val="Hipervnculo"/>
            <w:color w:val="auto"/>
            <w:u w:val="none"/>
          </w:rPr>
          <w:t>gestión responsable de insumos</w:t>
        </w:r>
      </w:hyperlink>
      <w:r w:rsidRPr="00B4374C">
        <w:t> tales como plaguicidas y fertilizantes.</w:t>
      </w:r>
    </w:p>
    <w:p w:rsidR="00DD78C0" w:rsidRPr="00B4374C" w:rsidRDefault="00DD78C0" w:rsidP="00DD78C0">
      <w:pPr>
        <w:pStyle w:val="NormalWeb"/>
        <w:shd w:val="clear" w:color="auto" w:fill="FFFFFF"/>
        <w:jc w:val="both"/>
      </w:pPr>
      <w:r w:rsidRPr="00B4374C">
        <w:lastRenderedPageBreak/>
        <w:t>La PAC pretende alcanzar sus objetivos medioambientales de una manera social y económicamente sostenible para los agricultores, las comunidades rurales y la UE en su conjunto.</w:t>
      </w:r>
    </w:p>
    <w:p w:rsidR="00DD78C0" w:rsidRPr="00B4374C" w:rsidRDefault="00DD78C0" w:rsidP="00DD78C0">
      <w:pPr>
        <w:pStyle w:val="Ttulo3"/>
        <w:shd w:val="clear" w:color="auto" w:fill="FFFFFF"/>
        <w:spacing w:line="240" w:lineRule="auto"/>
        <w:jc w:val="both"/>
        <w:rPr>
          <w:rFonts w:ascii="Times New Roman" w:hAnsi="Times New Roman" w:cs="Times New Roman"/>
          <w:color w:val="auto"/>
          <w:sz w:val="24"/>
          <w:szCs w:val="24"/>
        </w:rPr>
      </w:pPr>
      <w:r w:rsidRPr="00B4374C">
        <w:rPr>
          <w:rFonts w:ascii="Times New Roman" w:hAnsi="Times New Roman" w:cs="Times New Roman"/>
          <w:color w:val="auto"/>
          <w:sz w:val="24"/>
          <w:szCs w:val="24"/>
        </w:rPr>
        <w:t>Medidas medioambientales en la PAC</w:t>
      </w:r>
    </w:p>
    <w:p w:rsidR="00DD78C0" w:rsidRPr="00B4374C" w:rsidRDefault="00DD78C0" w:rsidP="00DD78C0">
      <w:pPr>
        <w:pStyle w:val="NormalWeb"/>
        <w:shd w:val="clear" w:color="auto" w:fill="FFFFFF"/>
        <w:jc w:val="both"/>
      </w:pPr>
      <w:r w:rsidRPr="00B4374C">
        <w:t>Las medidas que fomentan la agricultura ecológica y la aplicación de las normas medioambientales constituyen una parte fundamental de la PAC:</w:t>
      </w:r>
    </w:p>
    <w:p w:rsidR="00DD78C0" w:rsidRPr="00B4374C" w:rsidRDefault="00DD78C0" w:rsidP="00DD78C0">
      <w:pPr>
        <w:numPr>
          <w:ilvl w:val="0"/>
          <w:numId w:val="9"/>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las normas de </w:t>
      </w:r>
      <w:hyperlink r:id="rId88" w:history="1">
        <w:r w:rsidRPr="00B4374C">
          <w:rPr>
            <w:rStyle w:val="Hipervnculo"/>
            <w:rFonts w:ascii="Times New Roman" w:hAnsi="Times New Roman" w:cs="Times New Roman"/>
            <w:color w:val="auto"/>
            <w:sz w:val="24"/>
            <w:szCs w:val="24"/>
            <w:u w:val="none"/>
          </w:rPr>
          <w:t>condicionalidad</w:t>
        </w:r>
      </w:hyperlink>
      <w:r w:rsidRPr="00B4374C">
        <w:rPr>
          <w:rFonts w:ascii="Times New Roman" w:hAnsi="Times New Roman" w:cs="Times New Roman"/>
          <w:sz w:val="24"/>
          <w:szCs w:val="24"/>
        </w:rPr>
        <w:t> vinculan la ayuda financiera a las normas de la UE en materia de medio ambiente, salud humana y animal y fitosanidad;</w:t>
      </w:r>
    </w:p>
    <w:p w:rsidR="00DD78C0" w:rsidRPr="00B4374C" w:rsidRDefault="00DD78C0" w:rsidP="00DD78C0">
      <w:pPr>
        <w:numPr>
          <w:ilvl w:val="0"/>
          <w:numId w:val="9"/>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los </w:t>
      </w:r>
      <w:hyperlink r:id="rId89" w:history="1">
        <w:r w:rsidRPr="00B4374C">
          <w:rPr>
            <w:rStyle w:val="Hipervnculo"/>
            <w:rFonts w:ascii="Times New Roman" w:hAnsi="Times New Roman" w:cs="Times New Roman"/>
            <w:color w:val="auto"/>
            <w:sz w:val="24"/>
            <w:szCs w:val="24"/>
            <w:u w:val="none"/>
          </w:rPr>
          <w:t>pagos directos ecológicos</w:t>
        </w:r>
      </w:hyperlink>
      <w:r w:rsidRPr="00B4374C">
        <w:rPr>
          <w:rFonts w:ascii="Times New Roman" w:hAnsi="Times New Roman" w:cs="Times New Roman"/>
          <w:sz w:val="24"/>
          <w:szCs w:val="24"/>
        </w:rPr>
        <w:t> establecen acciones obligatorias (mantenimiento de pastos permanentes, diversidad de cultivos y superficies de interés ecológico) orientadas a la protección del medio ambiente y a la lucha contra el cambio climático;</w:t>
      </w:r>
    </w:p>
    <w:p w:rsidR="00DD78C0" w:rsidRPr="00B4374C" w:rsidRDefault="00DD78C0" w:rsidP="00DD78C0">
      <w:pPr>
        <w:numPr>
          <w:ilvl w:val="0"/>
          <w:numId w:val="9"/>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la política de </w:t>
      </w:r>
      <w:hyperlink r:id="rId90" w:history="1">
        <w:r w:rsidRPr="00B4374C">
          <w:rPr>
            <w:rStyle w:val="Hipervnculo"/>
            <w:rFonts w:ascii="Times New Roman" w:hAnsi="Times New Roman" w:cs="Times New Roman"/>
            <w:color w:val="auto"/>
            <w:sz w:val="24"/>
            <w:szCs w:val="24"/>
            <w:u w:val="none"/>
          </w:rPr>
          <w:t>desarrollo rural</w:t>
        </w:r>
      </w:hyperlink>
      <w:r w:rsidRPr="00B4374C">
        <w:rPr>
          <w:rFonts w:ascii="Times New Roman" w:hAnsi="Times New Roman" w:cs="Times New Roman"/>
          <w:sz w:val="24"/>
          <w:szCs w:val="24"/>
        </w:rPr>
        <w:t> apoya las inversiones y las actividades agrícolas que contribuyen a la acción por el clima y la gestión sostenible de los recursos naturales.</w:t>
      </w:r>
    </w:p>
    <w:p w:rsidR="00DD78C0" w:rsidRPr="00B4374C" w:rsidRDefault="00DD78C0" w:rsidP="00DD78C0">
      <w:pPr>
        <w:pStyle w:val="Ttulo3"/>
        <w:shd w:val="clear" w:color="auto" w:fill="FFFFFF"/>
        <w:spacing w:line="240" w:lineRule="auto"/>
        <w:jc w:val="both"/>
        <w:rPr>
          <w:rFonts w:ascii="Times New Roman" w:hAnsi="Times New Roman" w:cs="Times New Roman"/>
          <w:color w:val="auto"/>
          <w:sz w:val="24"/>
          <w:szCs w:val="24"/>
        </w:rPr>
      </w:pPr>
      <w:r w:rsidRPr="00B4374C">
        <w:rPr>
          <w:rFonts w:ascii="Times New Roman" w:hAnsi="Times New Roman" w:cs="Times New Roman"/>
          <w:color w:val="auto"/>
          <w:sz w:val="24"/>
          <w:szCs w:val="24"/>
        </w:rPr>
        <w:t>La nueva PAC: 2023-2027</w:t>
      </w:r>
    </w:p>
    <w:p w:rsidR="00DD78C0" w:rsidRPr="00B4374C" w:rsidRDefault="00DD78C0" w:rsidP="00DD78C0">
      <w:pPr>
        <w:pStyle w:val="NormalWeb"/>
        <w:shd w:val="clear" w:color="auto" w:fill="FFFFFF"/>
        <w:jc w:val="both"/>
      </w:pPr>
      <w:r w:rsidRPr="00B4374C">
        <w:t>La </w:t>
      </w:r>
      <w:hyperlink r:id="rId91" w:history="1">
        <w:r w:rsidRPr="00B4374C">
          <w:rPr>
            <w:rStyle w:val="Hipervnculo"/>
            <w:color w:val="auto"/>
            <w:u w:val="none"/>
          </w:rPr>
          <w:t>nueva PAC</w:t>
        </w:r>
      </w:hyperlink>
      <w:r w:rsidRPr="00B4374C">
        <w:t> adoptará otras medidas para conseguir una agricultura ecológica y sostenible en la UE. Comprenderá lo siguiente:</w:t>
      </w:r>
    </w:p>
    <w:p w:rsidR="00DD78C0" w:rsidRPr="00B4374C" w:rsidRDefault="00DD78C0" w:rsidP="00DD78C0">
      <w:pPr>
        <w:numPr>
          <w:ilvl w:val="0"/>
          <w:numId w:val="10"/>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un enfoque más simplificado, más flexible y más específico;</w:t>
      </w:r>
    </w:p>
    <w:p w:rsidR="00DD78C0" w:rsidRPr="00B4374C" w:rsidRDefault="00DD78C0" w:rsidP="00DD78C0">
      <w:pPr>
        <w:numPr>
          <w:ilvl w:val="0"/>
          <w:numId w:val="10"/>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unas condiciones y normas medioambientales más estrictas para los agricultores;</w:t>
      </w:r>
    </w:p>
    <w:p w:rsidR="00DD78C0" w:rsidRPr="00B4374C" w:rsidRDefault="00DD78C0" w:rsidP="00DD78C0">
      <w:pPr>
        <w:numPr>
          <w:ilvl w:val="0"/>
          <w:numId w:val="10"/>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un mayor número de medidas medioambientales voluntarias para los agricultores, a través de regímenes ecológicos y de la política de desarrollo rural.</w:t>
      </w:r>
    </w:p>
    <w:p w:rsidR="00DD78C0" w:rsidRPr="00B4374C" w:rsidRDefault="00DD78C0" w:rsidP="00DD78C0">
      <w:pPr>
        <w:shd w:val="clear" w:color="auto" w:fill="FFFFFF"/>
        <w:spacing w:before="100" w:beforeAutospacing="1" w:after="100" w:afterAutospacing="1" w:line="240" w:lineRule="auto"/>
        <w:jc w:val="both"/>
        <w:rPr>
          <w:rFonts w:ascii="Times New Roman" w:hAnsi="Times New Roman" w:cs="Times New Roman"/>
          <w:b/>
          <w:sz w:val="24"/>
          <w:szCs w:val="24"/>
        </w:rPr>
      </w:pPr>
      <w:r w:rsidRPr="00B4374C">
        <w:rPr>
          <w:rFonts w:ascii="Times New Roman" w:hAnsi="Times New Roman" w:cs="Times New Roman"/>
          <w:b/>
          <w:sz w:val="24"/>
          <w:szCs w:val="24"/>
        </w:rPr>
        <w:t>Luchar contra el cambio climático</w:t>
      </w:r>
    </w:p>
    <w:p w:rsidR="00DD78C0" w:rsidRPr="00B4374C" w:rsidRDefault="00DD78C0" w:rsidP="00DD78C0">
      <w:pPr>
        <w:pStyle w:val="NormalWeb"/>
        <w:shd w:val="clear" w:color="auto" w:fill="FFFFFF"/>
        <w:jc w:val="both"/>
      </w:pPr>
      <w:r w:rsidRPr="00B4374C">
        <w:t>La PAC es un instrumento fundamental para liberar el potencial de la agricultura en la lucha contra el cambio climático. Un total estimado de 104 000 millones de euros (el 25 %) de la financiación de la PAC para el período 2014-2020 se destinó a medidas relacionadas con el clima, tales como:</w:t>
      </w:r>
    </w:p>
    <w:p w:rsidR="00DD78C0" w:rsidRPr="00B4374C" w:rsidRDefault="00DD78C0" w:rsidP="00DD78C0">
      <w:pPr>
        <w:numPr>
          <w:ilvl w:val="0"/>
          <w:numId w:val="11"/>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reducir las emisiones de gases de efecto invernadero mediante la mejora de los métodos de gestión y cría de la ganadería, y la inversión en el almacenamiento y el tratamiento del estiércol;</w:t>
      </w:r>
    </w:p>
    <w:p w:rsidR="00DD78C0" w:rsidRPr="00B4374C" w:rsidRDefault="00DD78C0" w:rsidP="00DD78C0">
      <w:pPr>
        <w:numPr>
          <w:ilvl w:val="0"/>
          <w:numId w:val="11"/>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aumentar la captura y el almacenamiento de carbono a través de medidas e inversiones en protección del suelo y restauración forestal;</w:t>
      </w:r>
    </w:p>
    <w:p w:rsidR="00DD78C0" w:rsidRPr="00B4374C" w:rsidRDefault="00DD78C0" w:rsidP="00DD78C0">
      <w:pPr>
        <w:numPr>
          <w:ilvl w:val="0"/>
          <w:numId w:val="11"/>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ayudar a los agricultores a adaptarse a los retos que plantea el cambio climático mediante inversiones y asesoramiento sobre nuevos métodos y tecnologías.</w:t>
      </w:r>
    </w:p>
    <w:p w:rsidR="00DD78C0" w:rsidRDefault="00DD78C0" w:rsidP="00DD78C0">
      <w:pPr>
        <w:pStyle w:val="NormalWeb"/>
        <w:shd w:val="clear" w:color="auto" w:fill="FFFFFF"/>
        <w:jc w:val="both"/>
      </w:pPr>
      <w:r w:rsidRPr="00B4374C">
        <w:t>Gracias a estas medidas, las emisiones de la agricultura disminuyeron un 21 % entre 1990 y 2017, sin reducir los niveles de producción. La nueva PAC incluye un mayor apoyo a la mitigación del cambio climático y contribuirán al objetivo de </w:t>
      </w:r>
      <w:hyperlink r:id="rId92" w:history="1">
        <w:r w:rsidRPr="00B4374C">
          <w:rPr>
            <w:rStyle w:val="Hipervnculo"/>
            <w:color w:val="auto"/>
            <w:u w:val="none"/>
          </w:rPr>
          <w:t>acción por el clima</w:t>
        </w:r>
      </w:hyperlink>
      <w:r w:rsidRPr="00B4374C">
        <w:t> del Pacto Verde de lograr cero emisiones netas de gases de efecto invernadero en toda la UE de aquí a 2050.</w:t>
      </w:r>
    </w:p>
    <w:p w:rsidR="0012435A" w:rsidRPr="00B4374C" w:rsidRDefault="0012435A" w:rsidP="00DD78C0">
      <w:pPr>
        <w:pStyle w:val="NormalWeb"/>
        <w:shd w:val="clear" w:color="auto" w:fill="FFFFFF"/>
        <w:jc w:val="both"/>
      </w:pPr>
    </w:p>
    <w:p w:rsidR="00DD78C0" w:rsidRPr="00B4374C" w:rsidRDefault="00DD78C0" w:rsidP="00DD78C0">
      <w:pPr>
        <w:pStyle w:val="NormalWeb"/>
        <w:shd w:val="clear" w:color="auto" w:fill="FFFFFF"/>
        <w:jc w:val="both"/>
        <w:rPr>
          <w:b/>
        </w:rPr>
      </w:pPr>
      <w:r w:rsidRPr="00B4374C">
        <w:rPr>
          <w:b/>
        </w:rPr>
        <w:lastRenderedPageBreak/>
        <w:t>Proteger los recursos naturales</w:t>
      </w:r>
    </w:p>
    <w:p w:rsidR="00DD78C0" w:rsidRPr="00B4374C" w:rsidRDefault="00DD78C0" w:rsidP="00DD78C0">
      <w:pPr>
        <w:pStyle w:val="NormalWeb"/>
        <w:shd w:val="clear" w:color="auto" w:fill="FFFFFF"/>
        <w:jc w:val="both"/>
      </w:pPr>
      <w:r w:rsidRPr="00B4374C">
        <w:t>Con el fin de proteger los recursos naturales esenciales para la agricultura, la PAC:</w:t>
      </w:r>
    </w:p>
    <w:p w:rsidR="00DD78C0" w:rsidRPr="00B4374C" w:rsidRDefault="00DD78C0" w:rsidP="00DD78C0">
      <w:pPr>
        <w:numPr>
          <w:ilvl w:val="0"/>
          <w:numId w:val="12"/>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salvaguarda la cantidad y la calidad del </w:t>
      </w:r>
      <w:hyperlink r:id="rId93" w:history="1">
        <w:r w:rsidRPr="00B4374C">
          <w:rPr>
            <w:rStyle w:val="Hipervnculo"/>
            <w:rFonts w:ascii="Times New Roman" w:hAnsi="Times New Roman" w:cs="Times New Roman"/>
            <w:color w:val="auto"/>
            <w:sz w:val="24"/>
            <w:szCs w:val="24"/>
            <w:u w:val="none"/>
          </w:rPr>
          <w:t>agua</w:t>
        </w:r>
      </w:hyperlink>
      <w:r w:rsidRPr="00B4374C">
        <w:rPr>
          <w:rFonts w:ascii="Times New Roman" w:hAnsi="Times New Roman" w:cs="Times New Roman"/>
          <w:sz w:val="24"/>
          <w:szCs w:val="24"/>
        </w:rPr>
        <w:t> utilizada en la agricultura mediante la creación de franjas de protección a lo largo de los ríos, el apoyo a sistemas de riego más eficaces y la mejora del cumplimiento de las normas en las zonas vulnerables a los nitratos;</w:t>
      </w:r>
    </w:p>
    <w:p w:rsidR="00DD78C0" w:rsidRPr="00B4374C" w:rsidRDefault="00DD78C0" w:rsidP="00DD78C0">
      <w:pPr>
        <w:numPr>
          <w:ilvl w:val="0"/>
          <w:numId w:val="12"/>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establece normas obligatorias para la cobertura mínima del </w:t>
      </w:r>
      <w:hyperlink r:id="rId94" w:history="1">
        <w:r w:rsidRPr="00B4374C">
          <w:rPr>
            <w:rStyle w:val="Hipervnculo"/>
            <w:rFonts w:ascii="Times New Roman" w:hAnsi="Times New Roman" w:cs="Times New Roman"/>
            <w:color w:val="auto"/>
            <w:sz w:val="24"/>
            <w:szCs w:val="24"/>
            <w:u w:val="none"/>
          </w:rPr>
          <w:t>suelo</w:t>
        </w:r>
      </w:hyperlink>
      <w:r w:rsidRPr="00B4374C">
        <w:rPr>
          <w:rFonts w:ascii="Times New Roman" w:hAnsi="Times New Roman" w:cs="Times New Roman"/>
          <w:sz w:val="24"/>
          <w:szCs w:val="24"/>
        </w:rPr>
        <w:t> y alienta nuevas prácticas que limiten la erosión del suelo y mantengan la materia orgánica;</w:t>
      </w:r>
    </w:p>
    <w:p w:rsidR="00DD78C0" w:rsidRPr="00B4374C" w:rsidRDefault="00DD78C0" w:rsidP="00DD78C0">
      <w:pPr>
        <w:numPr>
          <w:ilvl w:val="0"/>
          <w:numId w:val="12"/>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protege la </w:t>
      </w:r>
      <w:hyperlink r:id="rId95" w:history="1">
        <w:r w:rsidRPr="00B4374C">
          <w:rPr>
            <w:rStyle w:val="Hipervnculo"/>
            <w:rFonts w:ascii="Times New Roman" w:hAnsi="Times New Roman" w:cs="Times New Roman"/>
            <w:color w:val="auto"/>
            <w:sz w:val="24"/>
            <w:szCs w:val="24"/>
            <w:u w:val="none"/>
          </w:rPr>
          <w:t>calidad del aire</w:t>
        </w:r>
      </w:hyperlink>
      <w:r w:rsidRPr="00B4374C">
        <w:rPr>
          <w:rFonts w:ascii="Times New Roman" w:hAnsi="Times New Roman" w:cs="Times New Roman"/>
          <w:sz w:val="24"/>
          <w:szCs w:val="24"/>
        </w:rPr>
        <w:t> mediante el fomento de la reducción de las emisiones de amoníaco, la imposición de restricciones a la combustión de residuos y la prohibición de la pulverización de plaguicidas en condiciones ventosas.</w:t>
      </w:r>
    </w:p>
    <w:p w:rsidR="00DD78C0" w:rsidRPr="00B4374C" w:rsidRDefault="00DD78C0" w:rsidP="00DD78C0">
      <w:pPr>
        <w:pStyle w:val="NormalWeb"/>
        <w:shd w:val="clear" w:color="auto" w:fill="FFFFFF"/>
        <w:jc w:val="both"/>
      </w:pPr>
      <w:r w:rsidRPr="00B4374C">
        <w:t>A través de la política de desarrollo rural, la PAC también contribuye a la </w:t>
      </w:r>
      <w:hyperlink r:id="rId96" w:anchor="theeuforeststrategy" w:history="1">
        <w:r w:rsidRPr="00B4374C">
          <w:rPr>
            <w:rStyle w:val="Hipervnculo"/>
            <w:color w:val="auto"/>
            <w:u w:val="none"/>
          </w:rPr>
          <w:t>estrategia forestal</w:t>
        </w:r>
      </w:hyperlink>
      <w:r w:rsidRPr="00B4374C">
        <w:t> de la UE apoyando la protección, el establecimiento, la restauración y la gestión sostenible de los bosques en toda Europa.</w:t>
      </w:r>
    </w:p>
    <w:p w:rsidR="00DD78C0" w:rsidRPr="00B4374C" w:rsidRDefault="00DD78C0" w:rsidP="00DD78C0">
      <w:pPr>
        <w:pStyle w:val="NormalWeb"/>
        <w:shd w:val="clear" w:color="auto" w:fill="FFFFFF"/>
        <w:jc w:val="both"/>
      </w:pPr>
      <w:r w:rsidRPr="00B4374C">
        <w:t>Al proteger los recursos naturales esenciales para la agricultura y la silvicultura, la PAC contribuye al objetivo del Pacto Verde de </w:t>
      </w:r>
      <w:hyperlink r:id="rId97" w:history="1">
        <w:r w:rsidRPr="00B4374C">
          <w:rPr>
            <w:rStyle w:val="Hipervnculo"/>
            <w:color w:val="auto"/>
            <w:u w:val="none"/>
          </w:rPr>
          <w:t>eliminar la contaminación</w:t>
        </w:r>
      </w:hyperlink>
      <w:r w:rsidRPr="00B4374C">
        <w:t> en toda la UE.</w:t>
      </w:r>
    </w:p>
    <w:p w:rsidR="00DD78C0" w:rsidRPr="00B4374C" w:rsidRDefault="00DD78C0" w:rsidP="00DD78C0">
      <w:pPr>
        <w:pStyle w:val="NormalWeb"/>
        <w:shd w:val="clear" w:color="auto" w:fill="FFFFFF"/>
        <w:jc w:val="both"/>
        <w:rPr>
          <w:b/>
        </w:rPr>
      </w:pPr>
      <w:r w:rsidRPr="00B4374C">
        <w:rPr>
          <w:b/>
        </w:rPr>
        <w:t>Reforzar la biodiversidad</w:t>
      </w:r>
    </w:p>
    <w:p w:rsidR="00DD78C0" w:rsidRPr="00B4374C" w:rsidRDefault="00DD78C0" w:rsidP="00DD78C0">
      <w:pPr>
        <w:pStyle w:val="NormalWeb"/>
        <w:shd w:val="clear" w:color="auto" w:fill="FFFFFF"/>
        <w:jc w:val="both"/>
      </w:pPr>
      <w:r w:rsidRPr="00B4374C">
        <w:t>Con el fin de proteger el ecosistema de las tierras agrícolas, la PAC enlaza con las directivas de la UE sobre especies silvestres y en sus propósitos estará alcanzar los objetivos de la nueva </w:t>
      </w:r>
      <w:hyperlink r:id="rId98" w:history="1">
        <w:r w:rsidRPr="00B4374C">
          <w:rPr>
            <w:rStyle w:val="Hipervnculo"/>
            <w:color w:val="auto"/>
            <w:u w:val="none"/>
          </w:rPr>
          <w:t>estrategia sobre biodiversidad</w:t>
        </w:r>
      </w:hyperlink>
      <w:r w:rsidRPr="00B4374C">
        <w:t> de la Comisión, que forma parte del Pacto Verde.</w:t>
      </w:r>
    </w:p>
    <w:p w:rsidR="00DD78C0" w:rsidRPr="00B4374C" w:rsidRDefault="00DD78C0" w:rsidP="00DD78C0">
      <w:pPr>
        <w:pStyle w:val="NormalWeb"/>
        <w:shd w:val="clear" w:color="auto" w:fill="FFFFFF"/>
        <w:jc w:val="both"/>
      </w:pPr>
      <w:r w:rsidRPr="00B4374C">
        <w:t>La PAC protege la biodiversidad de diversas maneras:</w:t>
      </w:r>
    </w:p>
    <w:p w:rsidR="00DD78C0" w:rsidRPr="00B4374C" w:rsidRDefault="00DD78C0" w:rsidP="00DD78C0">
      <w:pPr>
        <w:numPr>
          <w:ilvl w:val="0"/>
          <w:numId w:val="13"/>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las normas de condicionalidad cubren tanto la Directiva sobre aves como la Directiva sobre hábitats, así como las medidas destinadas a conservar los elementos paisajísticos y reducir el uso de plaguicidas;</w:t>
      </w:r>
    </w:p>
    <w:p w:rsidR="00DD78C0" w:rsidRPr="00B4374C" w:rsidRDefault="00DD78C0" w:rsidP="00DD78C0">
      <w:pPr>
        <w:numPr>
          <w:ilvl w:val="0"/>
          <w:numId w:val="13"/>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la creación de superficies de interés ecológico mediante pagos directos ecológicos ha permitido conservar elementos paisajísticos y poner un mayor número de tierras en barbecho, lo que ha beneficiado a la biodiversidad al facilitar la polinización y proteger los hábitats;</w:t>
      </w:r>
    </w:p>
    <w:p w:rsidR="00DD78C0" w:rsidRPr="00B4374C" w:rsidRDefault="00DD78C0" w:rsidP="00DD78C0">
      <w:pPr>
        <w:numPr>
          <w:ilvl w:val="0"/>
          <w:numId w:val="13"/>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la política de desarrollo rural favorece medidas que conservan y mejoran la biodiversidad, como la aportación de fondos para la creación y el mantenimiento de elementos paisajísticos y “pasillos ecológicos” y el apoyo a sistemas agrícolas de gran valor natural y planes de gestión de la naturaleza que mantengan zonas respetuosas con la vida salvaje.</w:t>
      </w:r>
    </w:p>
    <w:p w:rsidR="00DD78C0" w:rsidRPr="00B4374C" w:rsidRDefault="00DD78C0" w:rsidP="00DD78C0">
      <w:pPr>
        <w:shd w:val="clear" w:color="auto" w:fill="FFFFFF"/>
        <w:spacing w:before="100" w:beforeAutospacing="1" w:after="100" w:afterAutospacing="1" w:line="240" w:lineRule="auto"/>
        <w:jc w:val="both"/>
        <w:rPr>
          <w:rFonts w:ascii="Times New Roman" w:hAnsi="Times New Roman" w:cs="Times New Roman"/>
          <w:b/>
          <w:sz w:val="24"/>
          <w:szCs w:val="24"/>
        </w:rPr>
      </w:pPr>
      <w:r w:rsidRPr="00B4374C">
        <w:rPr>
          <w:rFonts w:ascii="Times New Roman" w:hAnsi="Times New Roman" w:cs="Times New Roman"/>
          <w:b/>
          <w:sz w:val="24"/>
          <w:szCs w:val="24"/>
        </w:rPr>
        <w:t>Fomentar la agricultura de bajos insumos</w:t>
      </w:r>
    </w:p>
    <w:p w:rsidR="00DD78C0" w:rsidRDefault="00DD78C0" w:rsidP="00DD78C0">
      <w:pPr>
        <w:pStyle w:val="NormalWeb"/>
        <w:shd w:val="clear" w:color="auto" w:fill="FFFFFF"/>
        <w:jc w:val="both"/>
      </w:pPr>
      <w:r w:rsidRPr="00B4374C">
        <w:t>Los plaguicidas, los fertilizantes y los antibióticos se utilizan ampliamente en toda la UE para ayudar a la agricultura a producir alimentos y otras materias esenciales para la sociedad. Sin embargo, un uso excesivo e indebido de esos productos puede dañar el medio ambiente, así como la salud de las plantas, los animales y las personas.</w:t>
      </w:r>
    </w:p>
    <w:p w:rsidR="0012435A" w:rsidRPr="00B4374C" w:rsidRDefault="0012435A" w:rsidP="00DD78C0">
      <w:pPr>
        <w:pStyle w:val="NormalWeb"/>
        <w:shd w:val="clear" w:color="auto" w:fill="FFFFFF"/>
        <w:jc w:val="both"/>
      </w:pPr>
    </w:p>
    <w:p w:rsidR="00DD78C0" w:rsidRPr="00B4374C" w:rsidRDefault="00DD78C0" w:rsidP="00DD78C0">
      <w:pPr>
        <w:pStyle w:val="NormalWeb"/>
        <w:shd w:val="clear" w:color="auto" w:fill="FFFFFF"/>
        <w:jc w:val="both"/>
      </w:pPr>
      <w:r w:rsidRPr="00B4374C">
        <w:lastRenderedPageBreak/>
        <w:t>Entre los objetivos de la PAC está fomentar un uso reducido y responsable de estos insumos, además de:</w:t>
      </w:r>
    </w:p>
    <w:p w:rsidR="00DD78C0" w:rsidRPr="00B4374C" w:rsidRDefault="00DD78C0" w:rsidP="00DD78C0">
      <w:pPr>
        <w:numPr>
          <w:ilvl w:val="0"/>
          <w:numId w:val="14"/>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promover la agricultura ecológica;</w:t>
      </w:r>
    </w:p>
    <w:p w:rsidR="00DD78C0" w:rsidRPr="00B4374C" w:rsidRDefault="00DD78C0" w:rsidP="00DD78C0">
      <w:pPr>
        <w:numPr>
          <w:ilvl w:val="0"/>
          <w:numId w:val="14"/>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ayudar a los agricultores a utilizar plaguicidas y fertilizantes de manera responsable y a aplicar técnicas de gestión respetuosas con el medio ambiente, métodos alternativos y nuevas tecnologías;</w:t>
      </w:r>
    </w:p>
    <w:p w:rsidR="00DD78C0" w:rsidRPr="00B4374C" w:rsidRDefault="00DD78C0" w:rsidP="00DD78C0">
      <w:pPr>
        <w:numPr>
          <w:ilvl w:val="0"/>
          <w:numId w:val="14"/>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reducir la necesidad de antibióticos mediante inversiones y asesoramiento que redunden en beneficio de la salud y el bienestar de los animales.</w:t>
      </w:r>
    </w:p>
    <w:p w:rsidR="00DD78C0" w:rsidRPr="00B4374C" w:rsidRDefault="00DD78C0" w:rsidP="00DD78C0">
      <w:pPr>
        <w:pStyle w:val="NormalWeb"/>
        <w:shd w:val="clear" w:color="auto" w:fill="FFFFFF"/>
        <w:jc w:val="both"/>
        <w:rPr>
          <w:b/>
        </w:rPr>
      </w:pPr>
      <w:r w:rsidRPr="00B4374C">
        <w:rPr>
          <w:b/>
        </w:rPr>
        <w:t>Evaluación de las medidas medioambientales</w:t>
      </w:r>
    </w:p>
    <w:p w:rsidR="00DD78C0" w:rsidRPr="00B4374C" w:rsidRDefault="00DD78C0" w:rsidP="00DD78C0">
      <w:pPr>
        <w:pStyle w:val="NormalWeb"/>
        <w:shd w:val="clear" w:color="auto" w:fill="FFFFFF"/>
        <w:jc w:val="both"/>
      </w:pPr>
      <w:r w:rsidRPr="00B4374C">
        <w:t>La Comisión Europea evalúa constantemente la eficacia de la PAC en el cumplimiento de sus objetivos medioambientales:</w:t>
      </w:r>
    </w:p>
    <w:p w:rsidR="00DD78C0" w:rsidRPr="00B4374C" w:rsidRDefault="00DD78C0" w:rsidP="00DD78C0">
      <w:pPr>
        <w:numPr>
          <w:ilvl w:val="0"/>
          <w:numId w:val="15"/>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en el conjunto de </w:t>
      </w:r>
      <w:hyperlink r:id="rId99" w:history="1">
        <w:r w:rsidRPr="00B4374C">
          <w:rPr>
            <w:rStyle w:val="Hipervnculo"/>
            <w:rFonts w:ascii="Times New Roman" w:hAnsi="Times New Roman" w:cs="Times New Roman"/>
            <w:color w:val="auto"/>
            <w:sz w:val="24"/>
            <w:szCs w:val="24"/>
            <w:u w:val="none"/>
          </w:rPr>
          <w:t>indicadores</w:t>
        </w:r>
      </w:hyperlink>
      <w:r w:rsidRPr="00B4374C">
        <w:rPr>
          <w:rFonts w:ascii="Times New Roman" w:hAnsi="Times New Roman" w:cs="Times New Roman"/>
          <w:sz w:val="24"/>
          <w:szCs w:val="24"/>
        </w:rPr>
        <w:t> recogidos en el </w:t>
      </w:r>
      <w:hyperlink r:id="rId100" w:history="1">
        <w:r w:rsidRPr="00B4374C">
          <w:rPr>
            <w:rStyle w:val="Hipervnculo"/>
            <w:rFonts w:ascii="Times New Roman" w:hAnsi="Times New Roman" w:cs="Times New Roman"/>
            <w:color w:val="auto"/>
            <w:sz w:val="24"/>
            <w:szCs w:val="24"/>
            <w:u w:val="none"/>
          </w:rPr>
          <w:t>marco común de seguimiento y evaluación</w:t>
        </w:r>
      </w:hyperlink>
      <w:r w:rsidRPr="00B4374C">
        <w:rPr>
          <w:rFonts w:ascii="Times New Roman" w:hAnsi="Times New Roman" w:cs="Times New Roman"/>
          <w:sz w:val="24"/>
          <w:szCs w:val="24"/>
        </w:rPr>
        <w:t> (MCSE) se incluye una amplia gama de datos medioambientales;</w:t>
      </w:r>
    </w:p>
    <w:p w:rsidR="00DD78C0" w:rsidRPr="00B4374C" w:rsidRDefault="00DD78C0" w:rsidP="00DD78C0">
      <w:pPr>
        <w:numPr>
          <w:ilvl w:val="0"/>
          <w:numId w:val="15"/>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un conjunto complementario de 28 </w:t>
      </w:r>
      <w:hyperlink r:id="rId101" w:history="1">
        <w:r w:rsidRPr="00B4374C">
          <w:rPr>
            <w:rStyle w:val="Hipervnculo"/>
            <w:rFonts w:ascii="Times New Roman" w:hAnsi="Times New Roman" w:cs="Times New Roman"/>
            <w:color w:val="auto"/>
            <w:sz w:val="24"/>
            <w:szCs w:val="24"/>
            <w:u w:val="none"/>
          </w:rPr>
          <w:t>indicadores agroambientales</w:t>
        </w:r>
      </w:hyperlink>
      <w:r w:rsidRPr="00B4374C">
        <w:rPr>
          <w:rFonts w:ascii="Times New Roman" w:hAnsi="Times New Roman" w:cs="Times New Roman"/>
          <w:sz w:val="24"/>
          <w:szCs w:val="24"/>
        </w:rPr>
        <w:t> permite seguir la pista de la integración de las cuestiones medioambientales en la PAC;</w:t>
      </w:r>
    </w:p>
    <w:p w:rsidR="00DD78C0" w:rsidRPr="00B4374C" w:rsidRDefault="00DD78C0" w:rsidP="00DD78C0">
      <w:pPr>
        <w:numPr>
          <w:ilvl w:val="0"/>
          <w:numId w:val="15"/>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como parte del MCSE, expertos independientes realizan en nombre de la Comisión </w:t>
      </w:r>
      <w:hyperlink r:id="rId102" w:history="1">
        <w:r w:rsidRPr="00B4374C">
          <w:rPr>
            <w:rStyle w:val="Hipervnculo"/>
            <w:rFonts w:ascii="Times New Roman" w:hAnsi="Times New Roman" w:cs="Times New Roman"/>
            <w:color w:val="auto"/>
            <w:sz w:val="24"/>
            <w:szCs w:val="24"/>
            <w:u w:val="none"/>
          </w:rPr>
          <w:t>evaluaciones y estudios externos sobre sostenibilidad medioambiental</w:t>
        </w:r>
      </w:hyperlink>
      <w:r w:rsidRPr="00B4374C">
        <w:rPr>
          <w:rFonts w:ascii="Times New Roman" w:hAnsi="Times New Roman" w:cs="Times New Roman"/>
          <w:sz w:val="24"/>
          <w:szCs w:val="24"/>
        </w:rPr>
        <w:t>.</w:t>
      </w:r>
    </w:p>
    <w:p w:rsidR="00DD78C0" w:rsidRPr="00B4374C" w:rsidRDefault="00DD78C0" w:rsidP="00DD78C0">
      <w:pPr>
        <w:pStyle w:val="NormalWeb"/>
        <w:shd w:val="clear" w:color="auto" w:fill="FFFFFF"/>
        <w:jc w:val="both"/>
      </w:pPr>
      <w:r w:rsidRPr="00B4374C">
        <w:t>Los datos recopilados por la Comisión proporcionan información exhaustiva sobre:</w:t>
      </w:r>
    </w:p>
    <w:p w:rsidR="00DD78C0" w:rsidRPr="00B4374C" w:rsidRDefault="00DD78C0" w:rsidP="00DD78C0">
      <w:pPr>
        <w:numPr>
          <w:ilvl w:val="0"/>
          <w:numId w:val="16"/>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la situación del medio rural en la UE y su evolución a lo largo del tiempo;</w:t>
      </w:r>
    </w:p>
    <w:p w:rsidR="00DD78C0" w:rsidRPr="00B4374C" w:rsidRDefault="00DD78C0" w:rsidP="00DD78C0">
      <w:pPr>
        <w:numPr>
          <w:ilvl w:val="0"/>
          <w:numId w:val="16"/>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el impacto de la agricultura en el clima, los recursos naturales y la biodiversidad;</w:t>
      </w:r>
    </w:p>
    <w:p w:rsidR="00DD78C0" w:rsidRPr="00B4374C" w:rsidRDefault="00DD78C0" w:rsidP="00DD78C0">
      <w:pPr>
        <w:numPr>
          <w:ilvl w:val="0"/>
          <w:numId w:val="16"/>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la aplicación de las medidas medioambientales de la PAC en toda la UE;</w:t>
      </w:r>
    </w:p>
    <w:p w:rsidR="00DD78C0" w:rsidRPr="00B4374C" w:rsidRDefault="00DD78C0" w:rsidP="00DD78C0">
      <w:pPr>
        <w:numPr>
          <w:ilvl w:val="0"/>
          <w:numId w:val="16"/>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el éxito de las medidas medioambientales a la hora de alcanzar sus metas y su impacto más amplio que los objetivos declarados.</w:t>
      </w:r>
    </w:p>
    <w:p w:rsidR="00DD78C0" w:rsidRPr="00B4374C" w:rsidRDefault="00DD78C0" w:rsidP="00DD78C0">
      <w:pPr>
        <w:pStyle w:val="NormalWeb"/>
        <w:shd w:val="clear" w:color="auto" w:fill="FFFFFF"/>
        <w:jc w:val="both"/>
      </w:pPr>
      <w:r w:rsidRPr="00B4374C">
        <w:t>La evaluación de las medidas medioambientales de la PAC tiene en cuenta los complejos vínculos entre las medidas políticas, los cambios en las prácticas agrícolas y las mejoras medioambientales, así como otros muchos factores, como los fenómenos meteorológicos, el impacto de las tendencias del mercado y las diferencias de las condiciones medioambientales entre los países y regiones de la UE.</w:t>
      </w:r>
    </w:p>
    <w:p w:rsidR="00DD78C0" w:rsidRPr="00B4374C" w:rsidRDefault="00DD78C0" w:rsidP="00DD78C0">
      <w:pPr>
        <w:pStyle w:val="NormalWeb"/>
        <w:shd w:val="clear" w:color="auto" w:fill="FFFFFF"/>
        <w:jc w:val="both"/>
        <w:rPr>
          <w:b/>
        </w:rPr>
      </w:pPr>
      <w:r w:rsidRPr="00B4374C">
        <w:rPr>
          <w:b/>
        </w:rPr>
        <w:t>El papel del conocimiento y la innovación</w:t>
      </w:r>
    </w:p>
    <w:p w:rsidR="00DD78C0" w:rsidRPr="00B4374C" w:rsidRDefault="00DD78C0" w:rsidP="00DD78C0">
      <w:pPr>
        <w:pStyle w:val="NormalWeb"/>
        <w:shd w:val="clear" w:color="auto" w:fill="FFFFFF"/>
        <w:jc w:val="both"/>
      </w:pPr>
      <w:r w:rsidRPr="00B4374C">
        <w:t>El conocimiento, la investigación y la innovación favorecen una agricultura sostenible desde el punto de vista medioambiental en la UE:</w:t>
      </w:r>
    </w:p>
    <w:p w:rsidR="00DD78C0" w:rsidRPr="00B4374C" w:rsidRDefault="0038402B" w:rsidP="00DD78C0">
      <w:pPr>
        <w:numPr>
          <w:ilvl w:val="0"/>
          <w:numId w:val="17"/>
        </w:numPr>
        <w:shd w:val="clear" w:color="auto" w:fill="FFFFFF"/>
        <w:spacing w:before="100" w:beforeAutospacing="1" w:after="100" w:afterAutospacing="1" w:line="240" w:lineRule="auto"/>
        <w:jc w:val="both"/>
        <w:rPr>
          <w:rFonts w:ascii="Times New Roman" w:hAnsi="Times New Roman" w:cs="Times New Roman"/>
          <w:sz w:val="24"/>
          <w:szCs w:val="24"/>
        </w:rPr>
      </w:pPr>
      <w:hyperlink r:id="rId103" w:history="1">
        <w:r w:rsidR="00DD78C0" w:rsidRPr="00B4374C">
          <w:rPr>
            <w:rStyle w:val="Hipervnculo"/>
            <w:rFonts w:ascii="Times New Roman" w:hAnsi="Times New Roman" w:cs="Times New Roman"/>
            <w:color w:val="auto"/>
            <w:sz w:val="24"/>
            <w:szCs w:val="24"/>
            <w:u w:val="none"/>
          </w:rPr>
          <w:t>la investigación y la innovación</w:t>
        </w:r>
      </w:hyperlink>
      <w:r w:rsidR="00DD78C0" w:rsidRPr="00B4374C">
        <w:rPr>
          <w:rFonts w:ascii="Times New Roman" w:hAnsi="Times New Roman" w:cs="Times New Roman"/>
          <w:sz w:val="24"/>
          <w:szCs w:val="24"/>
        </w:rPr>
        <w:t> aportan a la agricultura nuevas técnicas respetuosas con el medio ambiente y nuevas tecnologías para la agricultura;</w:t>
      </w:r>
    </w:p>
    <w:p w:rsidR="00DD78C0" w:rsidRPr="00B4374C" w:rsidRDefault="00DD78C0" w:rsidP="00DD78C0">
      <w:pPr>
        <w:numPr>
          <w:ilvl w:val="0"/>
          <w:numId w:val="17"/>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el </w:t>
      </w:r>
      <w:hyperlink r:id="rId104" w:history="1">
        <w:r w:rsidRPr="00B4374C">
          <w:rPr>
            <w:rStyle w:val="Hipervnculo"/>
            <w:rFonts w:ascii="Times New Roman" w:hAnsi="Times New Roman" w:cs="Times New Roman"/>
            <w:color w:val="auto"/>
            <w:sz w:val="24"/>
            <w:szCs w:val="24"/>
            <w:u w:val="none"/>
          </w:rPr>
          <w:t>sistema de asesoramiento a las explotaciones</w:t>
        </w:r>
      </w:hyperlink>
      <w:r w:rsidRPr="00B4374C">
        <w:rPr>
          <w:rFonts w:ascii="Times New Roman" w:hAnsi="Times New Roman" w:cs="Times New Roman"/>
          <w:sz w:val="24"/>
          <w:szCs w:val="24"/>
        </w:rPr>
        <w:t> mantendrá informados a los agricultores sobre la utilización de la investigación y los nuevos métodos y tecnologías para garantizar una agricultura respetuosa con el medio ambiente;</w:t>
      </w:r>
    </w:p>
    <w:p w:rsidR="00DD78C0" w:rsidRDefault="00DD78C0" w:rsidP="00DD78C0">
      <w:pPr>
        <w:numPr>
          <w:ilvl w:val="0"/>
          <w:numId w:val="17"/>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la </w:t>
      </w:r>
      <w:hyperlink r:id="rId105" w:history="1">
        <w:r w:rsidRPr="00B4374C">
          <w:rPr>
            <w:rStyle w:val="Hipervnculo"/>
            <w:rFonts w:ascii="Times New Roman" w:hAnsi="Times New Roman" w:cs="Times New Roman"/>
            <w:color w:val="auto"/>
            <w:sz w:val="24"/>
            <w:szCs w:val="24"/>
            <w:u w:val="none"/>
          </w:rPr>
          <w:t>Asociación Europea para la Innovación Agrícola</w:t>
        </w:r>
      </w:hyperlink>
      <w:r w:rsidRPr="00B4374C">
        <w:rPr>
          <w:rFonts w:ascii="Times New Roman" w:hAnsi="Times New Roman" w:cs="Times New Roman"/>
          <w:sz w:val="24"/>
          <w:szCs w:val="24"/>
        </w:rPr>
        <w:t> (AEI-AGRI) impulsa las ideas innovadoras que fomenten la agricultura y la silvicultura sostenibles en la UE.</w:t>
      </w:r>
    </w:p>
    <w:p w:rsidR="0012435A" w:rsidRPr="00B4374C" w:rsidRDefault="0012435A" w:rsidP="0012435A">
      <w:pPr>
        <w:shd w:val="clear" w:color="auto" w:fill="FFFFFF"/>
        <w:spacing w:before="100" w:beforeAutospacing="1" w:after="100" w:afterAutospacing="1" w:line="240" w:lineRule="auto"/>
        <w:ind w:left="720"/>
        <w:jc w:val="both"/>
        <w:rPr>
          <w:rFonts w:ascii="Times New Roman" w:hAnsi="Times New Roman" w:cs="Times New Roman"/>
          <w:sz w:val="24"/>
          <w:szCs w:val="24"/>
        </w:rPr>
      </w:pPr>
    </w:p>
    <w:p w:rsidR="00DD78C0" w:rsidRPr="00B4374C" w:rsidRDefault="00DD78C0" w:rsidP="00DD78C0">
      <w:pPr>
        <w:shd w:val="clear" w:color="auto" w:fill="FFFFFF"/>
        <w:spacing w:before="100" w:beforeAutospacing="1" w:after="100" w:afterAutospacing="1" w:line="240" w:lineRule="auto"/>
        <w:jc w:val="both"/>
        <w:rPr>
          <w:rFonts w:ascii="Times New Roman" w:hAnsi="Times New Roman" w:cs="Times New Roman"/>
          <w:b/>
          <w:sz w:val="24"/>
          <w:szCs w:val="24"/>
        </w:rPr>
      </w:pPr>
      <w:r w:rsidRPr="00B4374C">
        <w:rPr>
          <w:rFonts w:ascii="Times New Roman" w:hAnsi="Times New Roman" w:cs="Times New Roman"/>
          <w:b/>
          <w:sz w:val="24"/>
          <w:szCs w:val="24"/>
        </w:rPr>
        <w:lastRenderedPageBreak/>
        <w:t>Indicadores agroambientales</w:t>
      </w:r>
    </w:p>
    <w:p w:rsidR="00DD78C0" w:rsidRPr="00B4374C" w:rsidRDefault="00DD78C0" w:rsidP="00DD78C0">
      <w:pPr>
        <w:shd w:val="clear" w:color="auto" w:fill="FFFFFF"/>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(Fuente: Eurostat - I</w:t>
      </w:r>
      <w:r w:rsidRPr="00B4374C">
        <w:rPr>
          <w:rFonts w:ascii="Times New Roman" w:hAnsi="Times New Roman" w:cs="Times New Roman"/>
          <w:sz w:val="24"/>
          <w:szCs w:val="24"/>
        </w:rPr>
        <w:t xml:space="preserve">nformación disponible al </w:t>
      </w:r>
      <w:r w:rsidRPr="00DD78C0">
        <w:rPr>
          <w:rFonts w:ascii="Times New Roman" w:hAnsi="Times New Roman" w:cs="Times New Roman"/>
          <w:b/>
          <w:sz w:val="24"/>
          <w:szCs w:val="24"/>
        </w:rPr>
        <w:t>21/3/22</w:t>
      </w:r>
      <w:r w:rsidRPr="00B4374C">
        <w:rPr>
          <w:rFonts w:ascii="Times New Roman" w:hAnsi="Times New Roman" w:cs="Times New Roman"/>
          <w:sz w:val="24"/>
          <w:szCs w:val="24"/>
        </w:rPr>
        <w:t>)</w:t>
      </w:r>
    </w:p>
    <w:p w:rsidR="00DD78C0" w:rsidRPr="00B4374C" w:rsidRDefault="00DD78C0" w:rsidP="00DD78C0">
      <w:p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Esta publicación en línea de Eurostat presenta una descripción detallada de un conjunto actualizado de 28 indicadores agroambientales para la Unión Europea (UE) destinados a monitorear la integración de las preocupaciones ambientales en la Política Agrícola Común (PAC).</w:t>
      </w:r>
    </w:p>
    <w:p w:rsidR="00DD78C0" w:rsidRPr="00DD78C0" w:rsidRDefault="00DD78C0" w:rsidP="00DD78C0">
      <w:pPr>
        <w:pStyle w:val="Ttulo2"/>
        <w:shd w:val="clear" w:color="auto" w:fill="FFFFFF"/>
        <w:spacing w:before="210" w:after="105"/>
        <w:rPr>
          <w:rStyle w:val="mw-headline"/>
          <w:rFonts w:ascii="Times New Roman" w:hAnsi="Times New Roman" w:cs="Times New Roman"/>
          <w:b w:val="0"/>
          <w:bCs w:val="0"/>
          <w:color w:val="auto"/>
          <w:sz w:val="24"/>
          <w:szCs w:val="24"/>
        </w:rPr>
      </w:pPr>
      <w:r w:rsidRPr="00DD78C0">
        <w:rPr>
          <w:rStyle w:val="mw-headline"/>
          <w:rFonts w:ascii="Times New Roman" w:hAnsi="Times New Roman" w:cs="Times New Roman"/>
          <w:color w:val="auto"/>
          <w:sz w:val="24"/>
          <w:szCs w:val="24"/>
        </w:rPr>
        <w:t>Tabla de contenido</w:t>
      </w:r>
    </w:p>
    <w:p w:rsidR="00DD78C0" w:rsidRPr="00DD78C0" w:rsidRDefault="00DD78C0" w:rsidP="00DD78C0">
      <w:pPr>
        <w:pStyle w:val="Ttulo2"/>
        <w:shd w:val="clear" w:color="auto" w:fill="FFFFFF"/>
        <w:spacing w:before="210" w:after="105"/>
        <w:rPr>
          <w:rFonts w:ascii="Times New Roman" w:hAnsi="Times New Roman" w:cs="Times New Roman"/>
          <w:b w:val="0"/>
          <w:bCs w:val="0"/>
          <w:color w:val="auto"/>
          <w:sz w:val="24"/>
          <w:szCs w:val="24"/>
        </w:rPr>
      </w:pPr>
      <w:r w:rsidRPr="00DD78C0">
        <w:rPr>
          <w:rStyle w:val="mw-headline"/>
          <w:rFonts w:ascii="Times New Roman" w:hAnsi="Times New Roman" w:cs="Times New Roman"/>
          <w:color w:val="auto"/>
          <w:sz w:val="24"/>
          <w:szCs w:val="24"/>
        </w:rPr>
        <w:t>(…)</w:t>
      </w:r>
    </w:p>
    <w:p w:rsidR="00DD78C0" w:rsidRPr="00B4374C" w:rsidRDefault="00DD78C0" w:rsidP="00DD78C0">
      <w:pPr>
        <w:pStyle w:val="Ttulo4"/>
        <w:shd w:val="clear" w:color="auto" w:fill="FFFFFF"/>
        <w:spacing w:before="105" w:after="105" w:line="240" w:lineRule="auto"/>
        <w:rPr>
          <w:rFonts w:ascii="Times New Roman" w:hAnsi="Times New Roman" w:cs="Times New Roman"/>
          <w:b w:val="0"/>
          <w:bCs w:val="0"/>
          <w:i w:val="0"/>
          <w:color w:val="auto"/>
          <w:sz w:val="24"/>
          <w:szCs w:val="24"/>
        </w:rPr>
      </w:pPr>
      <w:r w:rsidRPr="00B4374C">
        <w:rPr>
          <w:rStyle w:val="mw-headline"/>
          <w:rFonts w:ascii="Times New Roman" w:hAnsi="Times New Roman" w:cs="Times New Roman"/>
          <w:i w:val="0"/>
          <w:color w:val="auto"/>
          <w:sz w:val="24"/>
          <w:szCs w:val="24"/>
        </w:rPr>
        <w:t>2.2 Fuerzas impulsoras</w:t>
      </w:r>
    </w:p>
    <w:p w:rsidR="00DD78C0" w:rsidRPr="00B4374C" w:rsidRDefault="0038402B" w:rsidP="00DD78C0">
      <w:pPr>
        <w:shd w:val="clear" w:color="auto" w:fill="FFFFFF"/>
        <w:spacing w:line="240" w:lineRule="auto"/>
        <w:ind w:left="720"/>
        <w:rPr>
          <w:rFonts w:ascii="Times New Roman" w:hAnsi="Times New Roman" w:cs="Times New Roman"/>
          <w:sz w:val="24"/>
          <w:szCs w:val="24"/>
        </w:rPr>
      </w:pPr>
      <w:hyperlink r:id="rId106" w:tooltip="Indicador agroambiental - consumo de fertilizantes minerales" w:history="1">
        <w:r w:rsidR="00DD78C0" w:rsidRPr="00B4374C">
          <w:rPr>
            <w:rStyle w:val="Hipervnculo"/>
            <w:rFonts w:ascii="Times New Roman" w:hAnsi="Times New Roman" w:cs="Times New Roman"/>
            <w:color w:val="auto"/>
            <w:sz w:val="24"/>
            <w:szCs w:val="24"/>
            <w:u w:val="none"/>
          </w:rPr>
          <w:t>2.2.1 Consumo de fertilizantes minerales</w:t>
        </w:r>
      </w:hyperlink>
    </w:p>
    <w:p w:rsidR="00DD78C0" w:rsidRPr="00B4374C" w:rsidRDefault="0038402B" w:rsidP="00DD78C0">
      <w:pPr>
        <w:shd w:val="clear" w:color="auto" w:fill="FFFFFF"/>
        <w:spacing w:line="240" w:lineRule="auto"/>
        <w:ind w:left="720"/>
        <w:rPr>
          <w:rFonts w:ascii="Times New Roman" w:hAnsi="Times New Roman" w:cs="Times New Roman"/>
          <w:sz w:val="24"/>
          <w:szCs w:val="24"/>
        </w:rPr>
      </w:pPr>
      <w:hyperlink r:id="rId107" w:tooltip="Indicador agroambiental - consumo de plaguicidas" w:history="1">
        <w:r w:rsidR="00DD78C0" w:rsidRPr="00B4374C">
          <w:rPr>
            <w:rStyle w:val="Hipervnculo"/>
            <w:rFonts w:ascii="Times New Roman" w:hAnsi="Times New Roman" w:cs="Times New Roman"/>
            <w:color w:val="auto"/>
            <w:sz w:val="24"/>
            <w:szCs w:val="24"/>
            <w:u w:val="none"/>
          </w:rPr>
          <w:t>2.2.2 Consumo de plaguicidas</w:t>
        </w:r>
      </w:hyperlink>
    </w:p>
    <w:p w:rsidR="00DD78C0" w:rsidRPr="00B4374C" w:rsidRDefault="0038402B" w:rsidP="00DD78C0">
      <w:pPr>
        <w:shd w:val="clear" w:color="auto" w:fill="FFFFFF"/>
        <w:spacing w:line="240" w:lineRule="auto"/>
        <w:ind w:left="720"/>
        <w:rPr>
          <w:rFonts w:ascii="Times New Roman" w:hAnsi="Times New Roman" w:cs="Times New Roman"/>
          <w:sz w:val="24"/>
          <w:szCs w:val="24"/>
        </w:rPr>
      </w:pPr>
      <w:hyperlink r:id="rId108" w:tooltip="Indicador agroambiental - riego" w:history="1">
        <w:r w:rsidR="00DD78C0" w:rsidRPr="00B4374C">
          <w:rPr>
            <w:rStyle w:val="Hipervnculo"/>
            <w:rFonts w:ascii="Times New Roman" w:hAnsi="Times New Roman" w:cs="Times New Roman"/>
            <w:color w:val="auto"/>
            <w:sz w:val="24"/>
            <w:szCs w:val="24"/>
            <w:u w:val="none"/>
          </w:rPr>
          <w:t>2.2.3 Irrigación</w:t>
        </w:r>
      </w:hyperlink>
    </w:p>
    <w:p w:rsidR="00DD78C0" w:rsidRPr="00B4374C" w:rsidRDefault="0038402B" w:rsidP="00DD78C0">
      <w:pPr>
        <w:shd w:val="clear" w:color="auto" w:fill="FFFFFF"/>
        <w:spacing w:line="240" w:lineRule="auto"/>
        <w:ind w:left="720"/>
        <w:rPr>
          <w:rFonts w:ascii="Times New Roman" w:hAnsi="Times New Roman" w:cs="Times New Roman"/>
          <w:sz w:val="24"/>
          <w:szCs w:val="24"/>
        </w:rPr>
      </w:pPr>
      <w:hyperlink r:id="rId109" w:tooltip="Indicador agroambiental - uso de energía" w:history="1">
        <w:r w:rsidR="00DD78C0" w:rsidRPr="00B4374C">
          <w:rPr>
            <w:rStyle w:val="Hipervnculo"/>
            <w:rFonts w:ascii="Times New Roman" w:hAnsi="Times New Roman" w:cs="Times New Roman"/>
            <w:color w:val="auto"/>
            <w:sz w:val="24"/>
            <w:szCs w:val="24"/>
            <w:u w:val="none"/>
          </w:rPr>
          <w:t>2.2.4 Uso de energía</w:t>
        </w:r>
      </w:hyperlink>
    </w:p>
    <w:p w:rsidR="00DD78C0" w:rsidRPr="00B4374C" w:rsidRDefault="0038402B" w:rsidP="00DD78C0">
      <w:pPr>
        <w:shd w:val="clear" w:color="auto" w:fill="FFFFFF"/>
        <w:spacing w:line="240" w:lineRule="auto"/>
        <w:ind w:left="720"/>
        <w:rPr>
          <w:rFonts w:ascii="Times New Roman" w:hAnsi="Times New Roman" w:cs="Times New Roman"/>
          <w:sz w:val="24"/>
          <w:szCs w:val="24"/>
        </w:rPr>
      </w:pPr>
      <w:hyperlink r:id="rId110" w:tgtFrame="_blank" w:history="1">
        <w:r w:rsidR="00DD78C0" w:rsidRPr="00B4374C">
          <w:rPr>
            <w:rStyle w:val="Hipervnculo"/>
            <w:rFonts w:ascii="Times New Roman" w:hAnsi="Times New Roman" w:cs="Times New Roman"/>
            <w:color w:val="auto"/>
            <w:sz w:val="24"/>
            <w:szCs w:val="24"/>
            <w:u w:val="none"/>
          </w:rPr>
          <w:t>2.2.5 Cambio de uso del suelo</w:t>
        </w:r>
      </w:hyperlink>
    </w:p>
    <w:p w:rsidR="00DD78C0" w:rsidRPr="00B4374C" w:rsidRDefault="0038402B" w:rsidP="00DD78C0">
      <w:pPr>
        <w:shd w:val="clear" w:color="auto" w:fill="FFFFFF"/>
        <w:spacing w:line="240" w:lineRule="auto"/>
        <w:ind w:left="720"/>
        <w:rPr>
          <w:rFonts w:ascii="Times New Roman" w:hAnsi="Times New Roman" w:cs="Times New Roman"/>
          <w:sz w:val="24"/>
          <w:szCs w:val="24"/>
        </w:rPr>
      </w:pPr>
      <w:hyperlink r:id="rId111" w:tooltip="Indicador agroambiental - patrones de cultivo" w:history="1">
        <w:r w:rsidR="00DD78C0" w:rsidRPr="00B4374C">
          <w:rPr>
            <w:rStyle w:val="Hipervnculo"/>
            <w:rFonts w:ascii="Times New Roman" w:hAnsi="Times New Roman" w:cs="Times New Roman"/>
            <w:color w:val="auto"/>
            <w:sz w:val="24"/>
            <w:szCs w:val="24"/>
            <w:u w:val="none"/>
          </w:rPr>
          <w:t>2.2.6 Patrones</w:t>
        </w:r>
      </w:hyperlink>
      <w:r w:rsidR="00DD78C0" w:rsidRPr="00B4374C">
        <w:rPr>
          <w:rFonts w:ascii="Times New Roman" w:hAnsi="Times New Roman" w:cs="Times New Roman"/>
          <w:sz w:val="24"/>
          <w:szCs w:val="24"/>
        </w:rPr>
        <w:t> de cultivo y</w:t>
      </w:r>
      <w:hyperlink r:id="rId112" w:tooltip="Indicador agroambiental - patrones ganaderos" w:history="1">
        <w:r w:rsidR="00DD78C0" w:rsidRPr="00B4374C">
          <w:rPr>
            <w:rStyle w:val="Hipervnculo"/>
            <w:rFonts w:ascii="Times New Roman" w:hAnsi="Times New Roman" w:cs="Times New Roman"/>
            <w:color w:val="auto"/>
            <w:sz w:val="24"/>
            <w:szCs w:val="24"/>
            <w:u w:val="none"/>
          </w:rPr>
          <w:t> patrones de ganadería</w:t>
        </w:r>
      </w:hyperlink>
    </w:p>
    <w:p w:rsidR="00DD78C0" w:rsidRPr="00B4374C" w:rsidRDefault="0038402B" w:rsidP="00DD78C0">
      <w:pPr>
        <w:shd w:val="clear" w:color="auto" w:fill="FFFFFF"/>
        <w:spacing w:line="240" w:lineRule="auto"/>
        <w:ind w:left="720"/>
        <w:rPr>
          <w:rFonts w:ascii="Times New Roman" w:hAnsi="Times New Roman" w:cs="Times New Roman"/>
          <w:sz w:val="24"/>
          <w:szCs w:val="24"/>
        </w:rPr>
      </w:pPr>
      <w:hyperlink r:id="rId113" w:tooltip="Indicador agroambiental - cobertura del suelo" w:history="1">
        <w:r w:rsidR="00DD78C0" w:rsidRPr="00B4374C">
          <w:rPr>
            <w:rStyle w:val="Hipervnculo"/>
            <w:rFonts w:ascii="Times New Roman" w:hAnsi="Times New Roman" w:cs="Times New Roman"/>
            <w:color w:val="auto"/>
            <w:sz w:val="24"/>
            <w:szCs w:val="24"/>
            <w:u w:val="none"/>
          </w:rPr>
          <w:t>2.2.7 Cobertura del suelo</w:t>
        </w:r>
      </w:hyperlink>
      <w:r w:rsidR="00DD78C0" w:rsidRPr="00B4374C">
        <w:rPr>
          <w:rFonts w:ascii="Times New Roman" w:hAnsi="Times New Roman" w:cs="Times New Roman"/>
          <w:sz w:val="24"/>
          <w:szCs w:val="24"/>
        </w:rPr>
        <w:t> ,</w:t>
      </w:r>
      <w:hyperlink r:id="rId114" w:tooltip="Indicador agroambiental - prácticas de labranza" w:history="1">
        <w:r w:rsidR="00DD78C0" w:rsidRPr="00B4374C">
          <w:rPr>
            <w:rStyle w:val="Hipervnculo"/>
            <w:rFonts w:ascii="Times New Roman" w:hAnsi="Times New Roman" w:cs="Times New Roman"/>
            <w:color w:val="auto"/>
            <w:sz w:val="24"/>
            <w:szCs w:val="24"/>
            <w:u w:val="none"/>
          </w:rPr>
          <w:t> Prácticas de labranza</w:t>
        </w:r>
      </w:hyperlink>
      <w:r w:rsidR="00DD78C0" w:rsidRPr="00B4374C">
        <w:rPr>
          <w:rFonts w:ascii="Times New Roman" w:hAnsi="Times New Roman" w:cs="Times New Roman"/>
          <w:sz w:val="24"/>
          <w:szCs w:val="24"/>
        </w:rPr>
        <w:t> , Almacenamiento de estiércol</w:t>
      </w:r>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2.2.8 Intensificación/extensificación - </w:t>
      </w:r>
      <w:hyperlink r:id="rId115" w:tgtFrame="_blank" w:history="1">
        <w:r w:rsidRPr="00B4374C">
          <w:rPr>
            <w:rStyle w:val="Hipervnculo"/>
            <w:rFonts w:ascii="Times New Roman" w:hAnsi="Times New Roman" w:cs="Times New Roman"/>
            <w:color w:val="auto"/>
            <w:sz w:val="24"/>
            <w:szCs w:val="24"/>
            <w:u w:val="none"/>
          </w:rPr>
          <w:t>Véase el indicador 33 del contexto de la PAC: Intensidad agrícola</w:t>
        </w:r>
      </w:hyperlink>
    </w:p>
    <w:p w:rsidR="00DD78C0" w:rsidRPr="00B4374C" w:rsidRDefault="0038402B" w:rsidP="00DD78C0">
      <w:pPr>
        <w:shd w:val="clear" w:color="auto" w:fill="FFFFFF"/>
        <w:spacing w:line="240" w:lineRule="auto"/>
        <w:ind w:left="720"/>
        <w:rPr>
          <w:rFonts w:ascii="Times New Roman" w:hAnsi="Times New Roman" w:cs="Times New Roman"/>
          <w:sz w:val="24"/>
          <w:szCs w:val="24"/>
        </w:rPr>
      </w:pPr>
      <w:hyperlink r:id="rId116" w:tooltip="Indicador agroambiental - especialización" w:history="1">
        <w:r w:rsidR="00DD78C0" w:rsidRPr="00B4374C">
          <w:rPr>
            <w:rStyle w:val="Hipervnculo"/>
            <w:rFonts w:ascii="Times New Roman" w:hAnsi="Times New Roman" w:cs="Times New Roman"/>
            <w:color w:val="auto"/>
            <w:sz w:val="24"/>
            <w:szCs w:val="24"/>
            <w:u w:val="none"/>
          </w:rPr>
          <w:t>2.2.9 Especialización</w:t>
        </w:r>
      </w:hyperlink>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2.2.10 Riesgo de abandono de tierras (archivado)</w:t>
      </w:r>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2.3 Presiones y riesgos</w:t>
      </w:r>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2.3.1 Balance bruto de nitrógeno (archivado)</w:t>
      </w:r>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2.3.2 Riesgo de contaminación por fósforo (archivado)</w:t>
      </w:r>
    </w:p>
    <w:p w:rsidR="00DD78C0" w:rsidRPr="00B4374C" w:rsidRDefault="0038402B" w:rsidP="00DD78C0">
      <w:pPr>
        <w:shd w:val="clear" w:color="auto" w:fill="FFFFFF"/>
        <w:spacing w:line="240" w:lineRule="auto"/>
        <w:ind w:left="720"/>
        <w:rPr>
          <w:rFonts w:ascii="Times New Roman" w:hAnsi="Times New Roman" w:cs="Times New Roman"/>
          <w:sz w:val="24"/>
          <w:szCs w:val="24"/>
        </w:rPr>
      </w:pPr>
      <w:hyperlink r:id="rId117" w:tgtFrame="_blank" w:history="1">
        <w:r w:rsidR="00DD78C0" w:rsidRPr="00B4374C">
          <w:rPr>
            <w:rStyle w:val="Hipervnculo"/>
            <w:rFonts w:ascii="Times New Roman" w:hAnsi="Times New Roman" w:cs="Times New Roman"/>
            <w:color w:val="auto"/>
            <w:sz w:val="24"/>
            <w:szCs w:val="24"/>
            <w:u w:val="none"/>
          </w:rPr>
          <w:t>2.3.3 Riesgo de plaguicidas</w:t>
        </w:r>
      </w:hyperlink>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2.3.4 Emisiones de amoníaco (archivado)</w:t>
      </w:r>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2.3.5 Emisiones de gases de efecto invernadero - </w:t>
      </w:r>
      <w:hyperlink r:id="rId118" w:tgtFrame="_blank" w:history="1">
        <w:r w:rsidRPr="00B4374C">
          <w:rPr>
            <w:rStyle w:val="Hipervnculo"/>
            <w:rFonts w:ascii="Times New Roman" w:hAnsi="Times New Roman" w:cs="Times New Roman"/>
            <w:color w:val="auto"/>
            <w:sz w:val="24"/>
            <w:szCs w:val="24"/>
            <w:u w:val="none"/>
          </w:rPr>
          <w:t>Véase Cambio climático - fuerzas motrices</w:t>
        </w:r>
      </w:hyperlink>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2.3.6 Captación de agua - </w:t>
      </w:r>
      <w:hyperlink r:id="rId119" w:tgtFrame="_blank" w:history="1">
        <w:r w:rsidRPr="00B4374C">
          <w:rPr>
            <w:rStyle w:val="Hipervnculo"/>
            <w:rFonts w:ascii="Times New Roman" w:hAnsi="Times New Roman" w:cs="Times New Roman"/>
            <w:color w:val="auto"/>
            <w:sz w:val="24"/>
            <w:szCs w:val="24"/>
            <w:u w:val="none"/>
          </w:rPr>
          <w:t>Véase el indicador 39 del contexto de la PAC: Captación de agua en la agricultura</w:t>
        </w:r>
      </w:hyperlink>
    </w:p>
    <w:p w:rsidR="00DD78C0" w:rsidRPr="00B4374C" w:rsidRDefault="0038402B" w:rsidP="00DD78C0">
      <w:pPr>
        <w:shd w:val="clear" w:color="auto" w:fill="FFFFFF"/>
        <w:spacing w:line="240" w:lineRule="auto"/>
        <w:ind w:left="720"/>
        <w:rPr>
          <w:rFonts w:ascii="Times New Roman" w:hAnsi="Times New Roman" w:cs="Times New Roman"/>
          <w:sz w:val="24"/>
          <w:szCs w:val="24"/>
        </w:rPr>
      </w:pPr>
      <w:hyperlink r:id="rId120" w:tooltip="Indicador agroambiental - erosión del suelo" w:history="1">
        <w:r w:rsidR="00DD78C0" w:rsidRPr="00B4374C">
          <w:rPr>
            <w:rStyle w:val="Hipervnculo"/>
            <w:rFonts w:ascii="Times New Roman" w:hAnsi="Times New Roman" w:cs="Times New Roman"/>
            <w:color w:val="auto"/>
            <w:sz w:val="24"/>
            <w:szCs w:val="24"/>
            <w:u w:val="none"/>
          </w:rPr>
          <w:t>2.3.7 Erosión del suelo</w:t>
        </w:r>
      </w:hyperlink>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2.3.8 Diversidad genética</w:t>
      </w:r>
    </w:p>
    <w:p w:rsidR="00DD78C0" w:rsidRPr="00B4374C" w:rsidRDefault="0038402B" w:rsidP="00DD78C0">
      <w:pPr>
        <w:shd w:val="clear" w:color="auto" w:fill="FFFFFF"/>
        <w:spacing w:line="240" w:lineRule="auto"/>
        <w:ind w:left="720"/>
        <w:rPr>
          <w:rFonts w:ascii="Times New Roman" w:hAnsi="Times New Roman" w:cs="Times New Roman"/>
          <w:sz w:val="24"/>
          <w:szCs w:val="24"/>
        </w:rPr>
      </w:pPr>
      <w:hyperlink r:id="rId121" w:tooltip="Indicador agroambiental - Tierras de Alto Valor Natural" w:history="1">
        <w:r w:rsidR="00DD78C0" w:rsidRPr="00B4374C">
          <w:rPr>
            <w:rStyle w:val="Hipervnculo"/>
            <w:rFonts w:ascii="Times New Roman" w:hAnsi="Times New Roman" w:cs="Times New Roman"/>
            <w:color w:val="auto"/>
            <w:sz w:val="24"/>
            <w:szCs w:val="24"/>
            <w:u w:val="none"/>
          </w:rPr>
          <w:t>2.3.9 Suelos de Alto Valor Natural</w:t>
        </w:r>
      </w:hyperlink>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2.3.10 Producción de energías renovables - </w:t>
      </w:r>
      <w:hyperlink r:id="rId122" w:tgtFrame="_blank" w:history="1">
        <w:r w:rsidRPr="00B4374C">
          <w:rPr>
            <w:rStyle w:val="Hipervnculo"/>
            <w:rFonts w:ascii="Times New Roman" w:hAnsi="Times New Roman" w:cs="Times New Roman"/>
            <w:color w:val="auto"/>
            <w:sz w:val="24"/>
            <w:szCs w:val="24"/>
            <w:u w:val="none"/>
          </w:rPr>
          <w:t>Véase el indicador 43 del contexto de la PAC: Producción de energías renovables a partir de la agricultura y la silvicultura</w:t>
        </w:r>
      </w:hyperlink>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2.4 Estado / impacto</w:t>
      </w:r>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2.4.1 Tendencias de la población de aves de tierras agrícolas - Ver Estadísticas de biodiversidad o Aves comunes de tierras agrícolas en la UE</w:t>
      </w:r>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2.4.2 Calidad del suelo (archivado)</w:t>
      </w:r>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2.4.3 Calidad del agua - Contaminación por nitratos (archivado) - Ver Waterbase</w:t>
      </w:r>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2.4.4 Calidad del agua - Contaminación por pesticidas (archivado) - Ver Waterbase</w:t>
      </w:r>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2.4.5 Paisaje - estado y diversidad (archivado)</w:t>
      </w:r>
    </w:p>
    <w:p w:rsidR="00DD78C0" w:rsidRPr="00B4374C" w:rsidRDefault="00DD78C0" w:rsidP="00DD78C0">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w:t>
      </w:r>
    </w:p>
    <w:p w:rsidR="00CC5715" w:rsidRPr="00CC5715" w:rsidRDefault="00CC5715" w:rsidP="00CC5715">
      <w:pPr>
        <w:spacing w:line="240" w:lineRule="auto"/>
        <w:jc w:val="both"/>
        <w:rPr>
          <w:rFonts w:ascii="Times New Roman" w:hAnsi="Times New Roman" w:cs="Times New Roman"/>
          <w:b/>
          <w:sz w:val="24"/>
          <w:szCs w:val="24"/>
        </w:rPr>
      </w:pPr>
      <w:r w:rsidRPr="00CC5715">
        <w:rPr>
          <w:rFonts w:ascii="Times New Roman" w:hAnsi="Times New Roman" w:cs="Times New Roman"/>
          <w:b/>
          <w:sz w:val="24"/>
          <w:szCs w:val="24"/>
        </w:rPr>
        <w:t>La PAC de la UE es enemiga de la soberanía alimentaria (hipocresía de escaparate)</w:t>
      </w:r>
    </w:p>
    <w:p w:rsidR="00CC5715" w:rsidRPr="005D20D7" w:rsidRDefault="00CC5715" w:rsidP="00CC5715">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t xml:space="preserve">¿Porqué se antepone el beneficio económico (de unos pocos) por </w:t>
      </w:r>
      <w:r>
        <w:rPr>
          <w:rFonts w:ascii="Times New Roman" w:hAnsi="Times New Roman" w:cs="Times New Roman"/>
          <w:sz w:val="24"/>
          <w:szCs w:val="24"/>
        </w:rPr>
        <w:t>delante de cualquier otra cosa?</w:t>
      </w:r>
    </w:p>
    <w:p w:rsidR="00CC5715" w:rsidRPr="005D20D7" w:rsidRDefault="00CC5715" w:rsidP="00CC5715">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t>La Política Agraria Común (PAC) tiene como objetivo la industrialización de la agricultura para el aumento de la productividad, anteponiéndola a cualquier razón social, ecológica, territorial, de segurida</w:t>
      </w:r>
      <w:r>
        <w:rPr>
          <w:rFonts w:ascii="Times New Roman" w:hAnsi="Times New Roman" w:cs="Times New Roman"/>
          <w:sz w:val="24"/>
          <w:szCs w:val="24"/>
        </w:rPr>
        <w:t>d alimentaria y de solidaridad.</w:t>
      </w:r>
    </w:p>
    <w:p w:rsidR="00CC5715" w:rsidRPr="005D20D7" w:rsidRDefault="00CC5715" w:rsidP="00CC5715">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t>En lugar de proteger la producción campesina, los mercados locales y l</w:t>
      </w:r>
      <w:r>
        <w:rPr>
          <w:rFonts w:ascii="Times New Roman" w:hAnsi="Times New Roman" w:cs="Times New Roman"/>
          <w:sz w:val="24"/>
          <w:szCs w:val="24"/>
        </w:rPr>
        <w:t>a seguridad alimentaria para los consumidores, la PAC:</w:t>
      </w:r>
    </w:p>
    <w:p w:rsidR="00CC5715" w:rsidRPr="005D20D7" w:rsidRDefault="00CC5715" w:rsidP="00CC57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D20D7">
        <w:rPr>
          <w:rFonts w:ascii="Times New Roman" w:hAnsi="Times New Roman" w:cs="Times New Roman"/>
          <w:sz w:val="24"/>
          <w:szCs w:val="24"/>
        </w:rPr>
        <w:t>favorece la producción para la exportación;</w:t>
      </w:r>
    </w:p>
    <w:p w:rsidR="00CC5715" w:rsidRPr="005D20D7" w:rsidRDefault="00CC5715" w:rsidP="00CC57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D20D7">
        <w:rPr>
          <w:rFonts w:ascii="Times New Roman" w:hAnsi="Times New Roman" w:cs="Times New Roman"/>
          <w:sz w:val="24"/>
          <w:szCs w:val="24"/>
        </w:rPr>
        <w:t>propicia un modelo de agricultura y ganadería industrial y mercantil que, bajo el acicate de la competitividad, obliga a un aumento constante de la productividad y elimina a las explotaciones menos competitivas;</w:t>
      </w:r>
    </w:p>
    <w:p w:rsidR="00CC5715" w:rsidRPr="005D20D7" w:rsidRDefault="00CC5715" w:rsidP="00CC5715">
      <w:pPr>
        <w:spacing w:line="240" w:lineRule="auto"/>
        <w:jc w:val="both"/>
        <w:rPr>
          <w:rFonts w:ascii="Times New Roman" w:hAnsi="Times New Roman" w:cs="Times New Roman"/>
          <w:sz w:val="24"/>
          <w:szCs w:val="24"/>
        </w:rPr>
      </w:pPr>
      <w:r>
        <w:rPr>
          <w:rFonts w:ascii="Times New Roman" w:hAnsi="Times New Roman" w:cs="Times New Roman"/>
          <w:sz w:val="24"/>
          <w:szCs w:val="24"/>
        </w:rPr>
        <w:t>- p</w:t>
      </w:r>
      <w:r w:rsidRPr="005D20D7">
        <w:rPr>
          <w:rFonts w:ascii="Times New Roman" w:hAnsi="Times New Roman" w:cs="Times New Roman"/>
          <w:sz w:val="24"/>
          <w:szCs w:val="24"/>
        </w:rPr>
        <w:t>recariza y proletariza el trabajo en el campo;</w:t>
      </w:r>
    </w:p>
    <w:p w:rsidR="00CC5715" w:rsidRPr="005D20D7" w:rsidRDefault="00CC5715" w:rsidP="00CC5715">
      <w:pPr>
        <w:spacing w:line="240" w:lineRule="auto"/>
        <w:jc w:val="both"/>
        <w:rPr>
          <w:rFonts w:ascii="Times New Roman" w:hAnsi="Times New Roman" w:cs="Times New Roman"/>
          <w:sz w:val="24"/>
          <w:szCs w:val="24"/>
        </w:rPr>
      </w:pPr>
      <w:r>
        <w:rPr>
          <w:rFonts w:ascii="Times New Roman" w:hAnsi="Times New Roman" w:cs="Times New Roman"/>
          <w:sz w:val="24"/>
          <w:szCs w:val="24"/>
        </w:rPr>
        <w:t>- f</w:t>
      </w:r>
      <w:r w:rsidRPr="005D20D7">
        <w:rPr>
          <w:rFonts w:ascii="Times New Roman" w:hAnsi="Times New Roman" w:cs="Times New Roman"/>
          <w:sz w:val="24"/>
          <w:szCs w:val="24"/>
        </w:rPr>
        <w:t>avorece la concentración y verticalización del sector, siendo las multinacionales agroalimentarias las que dictan las normas para la agricultura y la alimentación;</w:t>
      </w:r>
    </w:p>
    <w:p w:rsidR="00CC5715" w:rsidRDefault="00CC5715" w:rsidP="00CC5715">
      <w:pPr>
        <w:spacing w:line="240" w:lineRule="auto"/>
        <w:jc w:val="both"/>
        <w:rPr>
          <w:rFonts w:ascii="Times New Roman" w:hAnsi="Times New Roman" w:cs="Times New Roman"/>
          <w:sz w:val="24"/>
          <w:szCs w:val="24"/>
        </w:rPr>
      </w:pPr>
      <w:r>
        <w:rPr>
          <w:rFonts w:ascii="Times New Roman" w:hAnsi="Times New Roman" w:cs="Times New Roman"/>
          <w:sz w:val="24"/>
          <w:szCs w:val="24"/>
        </w:rPr>
        <w:t>- utiliza a los agricultores y ganadero</w:t>
      </w:r>
      <w:r w:rsidRPr="005D20D7">
        <w:rPr>
          <w:rFonts w:ascii="Times New Roman" w:hAnsi="Times New Roman" w:cs="Times New Roman"/>
          <w:sz w:val="24"/>
          <w:szCs w:val="24"/>
        </w:rPr>
        <w:t>s como meros instrumentos del proceso de producción y distribución global de mercancías alimentarias, espoleando a los consumidores hacia la comida basura.</w:t>
      </w:r>
    </w:p>
    <w:p w:rsidR="00CC5715" w:rsidRPr="005D20D7" w:rsidRDefault="00CC5715" w:rsidP="00CC5715">
      <w:pPr>
        <w:spacing w:line="240" w:lineRule="auto"/>
        <w:jc w:val="both"/>
        <w:rPr>
          <w:rFonts w:ascii="Times New Roman" w:hAnsi="Times New Roman" w:cs="Times New Roman"/>
          <w:sz w:val="24"/>
          <w:szCs w:val="24"/>
        </w:rPr>
      </w:pPr>
      <w:r>
        <w:rPr>
          <w:rFonts w:ascii="Times New Roman" w:hAnsi="Times New Roman" w:cs="Times New Roman"/>
          <w:sz w:val="24"/>
          <w:szCs w:val="24"/>
        </w:rPr>
        <w:t>La PAC motoriza</w:t>
      </w:r>
      <w:r w:rsidRPr="005D20D7">
        <w:rPr>
          <w:rFonts w:ascii="Times New Roman" w:hAnsi="Times New Roman" w:cs="Times New Roman"/>
          <w:sz w:val="24"/>
          <w:szCs w:val="24"/>
        </w:rPr>
        <w:t xml:space="preserve"> un modelomercantil-industrial globalizado de alimentos</w:t>
      </w:r>
      <w:r>
        <w:rPr>
          <w:rFonts w:ascii="Times New Roman" w:hAnsi="Times New Roman" w:cs="Times New Roman"/>
          <w:sz w:val="24"/>
          <w:szCs w:val="24"/>
        </w:rPr>
        <w:t>,</w:t>
      </w:r>
      <w:r w:rsidRPr="005D20D7">
        <w:rPr>
          <w:rFonts w:ascii="Times New Roman" w:hAnsi="Times New Roman" w:cs="Times New Roman"/>
          <w:sz w:val="24"/>
          <w:szCs w:val="24"/>
        </w:rPr>
        <w:t xml:space="preserve"> y sus formas de distribución y consumo, </w:t>
      </w:r>
      <w:r>
        <w:rPr>
          <w:rFonts w:ascii="Times New Roman" w:hAnsi="Times New Roman" w:cs="Times New Roman"/>
          <w:sz w:val="24"/>
          <w:szCs w:val="24"/>
        </w:rPr>
        <w:t xml:space="preserve"> bajo una óptica agroalimentaria</w:t>
      </w:r>
      <w:r w:rsidRPr="005D20D7">
        <w:rPr>
          <w:rFonts w:ascii="Times New Roman" w:hAnsi="Times New Roman" w:cs="Times New Roman"/>
          <w:sz w:val="24"/>
          <w:szCs w:val="24"/>
        </w:rPr>
        <w:t xml:space="preserve"> internacional</w:t>
      </w:r>
      <w:r>
        <w:rPr>
          <w:rFonts w:ascii="Times New Roman" w:hAnsi="Times New Roman" w:cs="Times New Roman"/>
          <w:sz w:val="24"/>
          <w:szCs w:val="24"/>
        </w:rPr>
        <w:t>.</w:t>
      </w:r>
    </w:p>
    <w:p w:rsidR="00CC5715" w:rsidRPr="005D20D7" w:rsidRDefault="00CC5715" w:rsidP="00CC5715">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t>Por una vez, la Comisión Europea ha conseguido una rara unanimidad: se ha puesto en contra a todas las organizaciones profesionales agrarias y de coo</w:t>
      </w:r>
      <w:r>
        <w:rPr>
          <w:rFonts w:ascii="Times New Roman" w:hAnsi="Times New Roman" w:cs="Times New Roman"/>
          <w:sz w:val="24"/>
          <w:szCs w:val="24"/>
        </w:rPr>
        <w:t>perativas de los países miembro de la UE. En mayo de 2020 el</w:t>
      </w:r>
      <w:r w:rsidRPr="005D20D7">
        <w:rPr>
          <w:rFonts w:ascii="Times New Roman" w:hAnsi="Times New Roman" w:cs="Times New Roman"/>
          <w:sz w:val="24"/>
          <w:szCs w:val="24"/>
        </w:rPr>
        <w:t xml:space="preserve"> campoeurop</w:t>
      </w:r>
      <w:r>
        <w:rPr>
          <w:rFonts w:ascii="Times New Roman" w:hAnsi="Times New Roman" w:cs="Times New Roman"/>
          <w:sz w:val="24"/>
          <w:szCs w:val="24"/>
        </w:rPr>
        <w:t>eo rechazó</w:t>
      </w:r>
      <w:r w:rsidRPr="005D20D7">
        <w:rPr>
          <w:rFonts w:ascii="Times New Roman" w:hAnsi="Times New Roman" w:cs="Times New Roman"/>
          <w:sz w:val="24"/>
          <w:szCs w:val="24"/>
        </w:rPr>
        <w:t xml:space="preserve"> de plano la propuesta que acaba de lanzar Bruselas revestida con</w:t>
      </w:r>
      <w:r>
        <w:rPr>
          <w:rFonts w:ascii="Times New Roman" w:hAnsi="Times New Roman" w:cs="Times New Roman"/>
          <w:sz w:val="24"/>
          <w:szCs w:val="24"/>
        </w:rPr>
        <w:t xml:space="preserve"> los pretenciosos conceptos de “Pacto Verde” y la estrategia “De la granja a la Mesa”.</w:t>
      </w:r>
    </w:p>
    <w:p w:rsidR="00CC5715" w:rsidRPr="005D20D7" w:rsidRDefault="00CC5715" w:rsidP="00CC5715">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lastRenderedPageBreak/>
        <w:t>Bajo tales pri</w:t>
      </w:r>
      <w:r>
        <w:rPr>
          <w:rFonts w:ascii="Times New Roman" w:hAnsi="Times New Roman" w:cs="Times New Roman"/>
          <w:sz w:val="24"/>
          <w:szCs w:val="24"/>
        </w:rPr>
        <w:t>ncipios, tan sugerentes, figuraban</w:t>
      </w:r>
      <w:r w:rsidRPr="005D20D7">
        <w:rPr>
          <w:rFonts w:ascii="Times New Roman" w:hAnsi="Times New Roman" w:cs="Times New Roman"/>
          <w:sz w:val="24"/>
          <w:szCs w:val="24"/>
        </w:rPr>
        <w:t xml:space="preserve"> los anuncios de próximas políticas encaminadas a imponer drásticas reducciones de la capacidad productiva de los agricultores y ganaderos, que lo hará caer aún más su renta</w:t>
      </w:r>
      <w:r>
        <w:rPr>
          <w:rFonts w:ascii="Times New Roman" w:hAnsi="Times New Roman" w:cs="Times New Roman"/>
          <w:sz w:val="24"/>
          <w:szCs w:val="24"/>
        </w:rPr>
        <w:t>bilidad y su viabilidad futura.</w:t>
      </w:r>
    </w:p>
    <w:p w:rsidR="00CC5715" w:rsidRPr="005D20D7" w:rsidRDefault="00CC5715" w:rsidP="00CC5715">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t>Los g</w:t>
      </w:r>
      <w:r>
        <w:rPr>
          <w:rFonts w:ascii="Times New Roman" w:hAnsi="Times New Roman" w:cs="Times New Roman"/>
          <w:sz w:val="24"/>
          <w:szCs w:val="24"/>
        </w:rPr>
        <w:t>randes postulados anunciados fueron</w:t>
      </w:r>
      <w:r w:rsidRPr="005D20D7">
        <w:rPr>
          <w:rFonts w:ascii="Times New Roman" w:hAnsi="Times New Roman" w:cs="Times New Roman"/>
          <w:sz w:val="24"/>
          <w:szCs w:val="24"/>
        </w:rPr>
        <w:t xml:space="preserve"> estos: severos recortes en el listado de plaguicidas químicos (un 30% menos y restricciones de uso añadidas), reducción del 20% de los fertilizantes utilizados (en especial de nitrógeno y fósforo), obligación de destinar un 10% de la tierra cultivada a fines no </w:t>
      </w:r>
      <w:r>
        <w:rPr>
          <w:rFonts w:ascii="Times New Roman" w:hAnsi="Times New Roman" w:cs="Times New Roman"/>
          <w:sz w:val="24"/>
          <w:szCs w:val="24"/>
        </w:rPr>
        <w:t>productivos y catalogados como “</w:t>
      </w:r>
      <w:r w:rsidRPr="005D20D7">
        <w:rPr>
          <w:rFonts w:ascii="Times New Roman" w:hAnsi="Times New Roman" w:cs="Times New Roman"/>
          <w:sz w:val="24"/>
          <w:szCs w:val="24"/>
        </w:rPr>
        <w:t>elementos del paisaje</w:t>
      </w:r>
      <w:r>
        <w:rPr>
          <w:rFonts w:ascii="Times New Roman" w:hAnsi="Times New Roman" w:cs="Times New Roman"/>
          <w:sz w:val="24"/>
          <w:szCs w:val="24"/>
        </w:rPr>
        <w:t>”…</w:t>
      </w:r>
    </w:p>
    <w:p w:rsidR="00CC5715" w:rsidRPr="005D20D7" w:rsidRDefault="00CC5715" w:rsidP="00CC5715">
      <w:pPr>
        <w:spacing w:line="240" w:lineRule="auto"/>
        <w:jc w:val="both"/>
        <w:rPr>
          <w:rFonts w:ascii="Times New Roman" w:hAnsi="Times New Roman" w:cs="Times New Roman"/>
          <w:sz w:val="24"/>
          <w:szCs w:val="24"/>
        </w:rPr>
      </w:pPr>
      <w:r>
        <w:rPr>
          <w:rFonts w:ascii="Times New Roman" w:hAnsi="Times New Roman" w:cs="Times New Roman"/>
          <w:sz w:val="24"/>
          <w:szCs w:val="24"/>
        </w:rPr>
        <w:t>La pretensión era</w:t>
      </w:r>
      <w:r w:rsidRPr="005D20D7">
        <w:rPr>
          <w:rFonts w:ascii="Times New Roman" w:hAnsi="Times New Roman" w:cs="Times New Roman"/>
          <w:sz w:val="24"/>
          <w:szCs w:val="24"/>
        </w:rPr>
        <w:t xml:space="preserve"> que este p</w:t>
      </w:r>
      <w:r>
        <w:rPr>
          <w:rFonts w:ascii="Times New Roman" w:hAnsi="Times New Roman" w:cs="Times New Roman"/>
          <w:sz w:val="24"/>
          <w:szCs w:val="24"/>
        </w:rPr>
        <w:t>rimer “impulso” se lograra entre 2020 y</w:t>
      </w:r>
      <w:r w:rsidRPr="005D20D7">
        <w:rPr>
          <w:rFonts w:ascii="Times New Roman" w:hAnsi="Times New Roman" w:cs="Times New Roman"/>
          <w:sz w:val="24"/>
          <w:szCs w:val="24"/>
        </w:rPr>
        <w:t xml:space="preserve"> 2030, diez años, porque para 2050 se quiere que todo sea ecológico, b</w:t>
      </w:r>
      <w:r>
        <w:rPr>
          <w:rFonts w:ascii="Times New Roman" w:hAnsi="Times New Roman" w:cs="Times New Roman"/>
          <w:sz w:val="24"/>
          <w:szCs w:val="24"/>
        </w:rPr>
        <w:t>ajo el paraguas supremo de la “</w:t>
      </w:r>
      <w:r w:rsidRPr="005D20D7">
        <w:rPr>
          <w:rFonts w:ascii="Times New Roman" w:hAnsi="Times New Roman" w:cs="Times New Roman"/>
          <w:sz w:val="24"/>
          <w:szCs w:val="24"/>
        </w:rPr>
        <w:t>descarbo</w:t>
      </w:r>
      <w:r>
        <w:rPr>
          <w:rFonts w:ascii="Times New Roman" w:hAnsi="Times New Roman" w:cs="Times New Roman"/>
          <w:sz w:val="24"/>
          <w:szCs w:val="24"/>
        </w:rPr>
        <w:t xml:space="preserve">nización de la economía europea”. Empezaban </w:t>
      </w:r>
      <w:r w:rsidRPr="005D20D7">
        <w:rPr>
          <w:rFonts w:ascii="Times New Roman" w:hAnsi="Times New Roman" w:cs="Times New Roman"/>
          <w:sz w:val="24"/>
          <w:szCs w:val="24"/>
        </w:rPr>
        <w:t>por el sector agrario, pero sin el concurso del sector agrario, ni siquiera de las autoridades agrarias. Como aqu</w:t>
      </w:r>
      <w:r>
        <w:rPr>
          <w:rFonts w:ascii="Times New Roman" w:hAnsi="Times New Roman" w:cs="Times New Roman"/>
          <w:sz w:val="24"/>
          <w:szCs w:val="24"/>
        </w:rPr>
        <w:t>ello del despotismo ilustrado: “</w:t>
      </w:r>
      <w:r w:rsidRPr="005D20D7">
        <w:rPr>
          <w:rFonts w:ascii="Times New Roman" w:hAnsi="Times New Roman" w:cs="Times New Roman"/>
          <w:sz w:val="24"/>
          <w:szCs w:val="24"/>
        </w:rPr>
        <w:t xml:space="preserve">para el pueblo, </w:t>
      </w:r>
      <w:r>
        <w:rPr>
          <w:rFonts w:ascii="Times New Roman" w:hAnsi="Times New Roman" w:cs="Times New Roman"/>
          <w:sz w:val="24"/>
          <w:szCs w:val="24"/>
        </w:rPr>
        <w:t>pero sin el pueblo”</w:t>
      </w:r>
      <w:r w:rsidRPr="005D20D7">
        <w:rPr>
          <w:rFonts w:ascii="Times New Roman" w:hAnsi="Times New Roman" w:cs="Times New Roman"/>
          <w:sz w:val="24"/>
          <w:szCs w:val="24"/>
        </w:rPr>
        <w:t>.</w:t>
      </w:r>
    </w:p>
    <w:p w:rsidR="00CC5715" w:rsidRPr="005D20D7" w:rsidRDefault="00CC5715" w:rsidP="00CC5715">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t>En la p</w:t>
      </w:r>
      <w:r>
        <w:rPr>
          <w:rFonts w:ascii="Times New Roman" w:hAnsi="Times New Roman" w:cs="Times New Roman"/>
          <w:sz w:val="24"/>
          <w:szCs w:val="24"/>
        </w:rPr>
        <w:t>resentación de estos objetivos “verdes”</w:t>
      </w:r>
      <w:r w:rsidRPr="005D20D7">
        <w:rPr>
          <w:rFonts w:ascii="Times New Roman" w:hAnsi="Times New Roman" w:cs="Times New Roman"/>
          <w:sz w:val="24"/>
          <w:szCs w:val="24"/>
        </w:rPr>
        <w:t xml:space="preserve"> y ecologistas de la Comisión Europea hubo ausencias que más que notables</w:t>
      </w:r>
      <w:r>
        <w:rPr>
          <w:rFonts w:ascii="Times New Roman" w:hAnsi="Times New Roman" w:cs="Times New Roman"/>
          <w:sz w:val="24"/>
          <w:szCs w:val="24"/>
        </w:rPr>
        <w:t>,</w:t>
      </w:r>
      <w:r w:rsidRPr="005D20D7">
        <w:rPr>
          <w:rFonts w:ascii="Times New Roman" w:hAnsi="Times New Roman" w:cs="Times New Roman"/>
          <w:sz w:val="24"/>
          <w:szCs w:val="24"/>
        </w:rPr>
        <w:t xml:space="preserve"> re</w:t>
      </w:r>
      <w:r>
        <w:rPr>
          <w:rFonts w:ascii="Times New Roman" w:hAnsi="Times New Roman" w:cs="Times New Roman"/>
          <w:sz w:val="24"/>
          <w:szCs w:val="24"/>
        </w:rPr>
        <w:t>sultaron escandalosas. No estuvo</w:t>
      </w:r>
      <w:r w:rsidRPr="005D20D7">
        <w:rPr>
          <w:rFonts w:ascii="Times New Roman" w:hAnsi="Times New Roman" w:cs="Times New Roman"/>
          <w:sz w:val="24"/>
          <w:szCs w:val="24"/>
        </w:rPr>
        <w:t xml:space="preserve"> el comisario de Agricultura, el polaco Janusz Wojciechowski, ni los ministros de Agricultura de los países (no han sido consultados directamente sobre el asunto), ni tampoco miembros de la Comisión de Agricultura del Parlamento Europeo, ni mucho menos representan</w:t>
      </w:r>
      <w:r>
        <w:rPr>
          <w:rFonts w:ascii="Times New Roman" w:hAnsi="Times New Roman" w:cs="Times New Roman"/>
          <w:sz w:val="24"/>
          <w:szCs w:val="24"/>
        </w:rPr>
        <w:t>tes de los propios interesados.</w:t>
      </w:r>
    </w:p>
    <w:p w:rsidR="00CC5715" w:rsidRPr="005D20D7" w:rsidRDefault="00CC5715" w:rsidP="00CC5715">
      <w:pPr>
        <w:spacing w:line="240" w:lineRule="auto"/>
        <w:jc w:val="both"/>
        <w:rPr>
          <w:rFonts w:ascii="Times New Roman" w:hAnsi="Times New Roman" w:cs="Times New Roman"/>
          <w:sz w:val="24"/>
          <w:szCs w:val="24"/>
        </w:rPr>
      </w:pPr>
      <w:r>
        <w:rPr>
          <w:rFonts w:ascii="Times New Roman" w:hAnsi="Times New Roman" w:cs="Times New Roman"/>
          <w:sz w:val="24"/>
          <w:szCs w:val="24"/>
        </w:rPr>
        <w:t>La indignación fue</w:t>
      </w:r>
      <w:r w:rsidRPr="005D20D7">
        <w:rPr>
          <w:rFonts w:ascii="Times New Roman" w:hAnsi="Times New Roman" w:cs="Times New Roman"/>
          <w:sz w:val="24"/>
          <w:szCs w:val="24"/>
        </w:rPr>
        <w:t xml:space="preserve"> total en los diversos estamentos agrarios del continente; en todos los países, en cada sitio con predo</w:t>
      </w:r>
      <w:r>
        <w:rPr>
          <w:rFonts w:ascii="Times New Roman" w:hAnsi="Times New Roman" w:cs="Times New Roman"/>
          <w:sz w:val="24"/>
          <w:szCs w:val="24"/>
        </w:rPr>
        <w:t>minio de unos aspectos u otros.</w:t>
      </w:r>
    </w:p>
    <w:p w:rsidR="00CC5715" w:rsidRPr="005D20D7" w:rsidRDefault="00CC5715" w:rsidP="00CC5715">
      <w:pPr>
        <w:spacing w:line="240" w:lineRule="auto"/>
        <w:jc w:val="both"/>
        <w:rPr>
          <w:rFonts w:ascii="Times New Roman" w:hAnsi="Times New Roman" w:cs="Times New Roman"/>
          <w:sz w:val="24"/>
          <w:szCs w:val="24"/>
        </w:rPr>
      </w:pPr>
      <w:r>
        <w:rPr>
          <w:rFonts w:ascii="Times New Roman" w:hAnsi="Times New Roman" w:cs="Times New Roman"/>
          <w:sz w:val="24"/>
          <w:szCs w:val="24"/>
        </w:rPr>
        <w:t>Se hizo</w:t>
      </w:r>
      <w:r w:rsidRPr="005D20D7">
        <w:rPr>
          <w:rFonts w:ascii="Times New Roman" w:hAnsi="Times New Roman" w:cs="Times New Roman"/>
          <w:sz w:val="24"/>
          <w:szCs w:val="24"/>
        </w:rPr>
        <w:t xml:space="preserve"> más que evidente que el aparato burocrático de Bruselas no tomó nota de las </w:t>
      </w:r>
      <w:r>
        <w:rPr>
          <w:rFonts w:ascii="Times New Roman" w:hAnsi="Times New Roman" w:cs="Times New Roman"/>
          <w:sz w:val="24"/>
          <w:szCs w:val="24"/>
        </w:rPr>
        <w:t xml:space="preserve">protestas agrarias de </w:t>
      </w:r>
      <w:r w:rsidRPr="005D20D7">
        <w:rPr>
          <w:rFonts w:ascii="Times New Roman" w:hAnsi="Times New Roman" w:cs="Times New Roman"/>
          <w:sz w:val="24"/>
          <w:szCs w:val="24"/>
        </w:rPr>
        <w:t>meses</w:t>
      </w:r>
      <w:r>
        <w:rPr>
          <w:rFonts w:ascii="Times New Roman" w:hAnsi="Times New Roman" w:cs="Times New Roman"/>
          <w:sz w:val="24"/>
          <w:szCs w:val="24"/>
        </w:rPr>
        <w:t xml:space="preserve"> anteriores</w:t>
      </w:r>
      <w:r w:rsidRPr="005D20D7">
        <w:rPr>
          <w:rFonts w:ascii="Times New Roman" w:hAnsi="Times New Roman" w:cs="Times New Roman"/>
          <w:sz w:val="24"/>
          <w:szCs w:val="24"/>
        </w:rPr>
        <w:t>. Para nada. Ni caso. Porque el detonante que empujó las manifestaciones y tractoradas que empezaron por Holanda, Alemania, Bélgica</w:t>
      </w:r>
      <w:r>
        <w:rPr>
          <w:rFonts w:ascii="Times New Roman" w:hAnsi="Times New Roman" w:cs="Times New Roman"/>
          <w:sz w:val="24"/>
          <w:szCs w:val="24"/>
        </w:rPr>
        <w:t>…</w:t>
      </w:r>
      <w:r w:rsidRPr="005D20D7">
        <w:rPr>
          <w:rFonts w:ascii="Times New Roman" w:hAnsi="Times New Roman" w:cs="Times New Roman"/>
          <w:sz w:val="24"/>
          <w:szCs w:val="24"/>
        </w:rPr>
        <w:t xml:space="preserve"> fue el hartazgo general de agricultores y ganaderos ante las crecientes condiciones y restricciones de tipo ecologista, que suponen aumentos de carga burocrática, pérdidas productivas, nuevos gastos y consiguientemente descensos de rentabilidad y de reconocimiento de la pr</w:t>
      </w:r>
      <w:r>
        <w:rPr>
          <w:rFonts w:ascii="Times New Roman" w:hAnsi="Times New Roman" w:cs="Times New Roman"/>
          <w:sz w:val="24"/>
          <w:szCs w:val="24"/>
        </w:rPr>
        <w:t>ofesión.</w:t>
      </w:r>
    </w:p>
    <w:p w:rsidR="00CC5715" w:rsidRPr="005D20D7" w:rsidRDefault="00CC5715" w:rsidP="00CC5715">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t>La re</w:t>
      </w:r>
      <w:r>
        <w:rPr>
          <w:rFonts w:ascii="Times New Roman" w:hAnsi="Times New Roman" w:cs="Times New Roman"/>
          <w:sz w:val="24"/>
          <w:szCs w:val="24"/>
        </w:rPr>
        <w:t>spuesta de rechazo general vino</w:t>
      </w:r>
      <w:r w:rsidRPr="005D20D7">
        <w:rPr>
          <w:rFonts w:ascii="Times New Roman" w:hAnsi="Times New Roman" w:cs="Times New Roman"/>
          <w:sz w:val="24"/>
          <w:szCs w:val="24"/>
        </w:rPr>
        <w:t xml:space="preserve"> a indicar que es imposible y hasta utópico lo que quiere conseguir Bruselas, porque no se puede producir lo mismo con mucho menos, y, en todo caso, si no se mejora el aspecto financiero, si no aumentan los precios unitarios, ni mejoran las ayudas públicas (</w:t>
      </w:r>
      <w:r>
        <w:rPr>
          <w:rFonts w:ascii="Times New Roman" w:hAnsi="Times New Roman" w:cs="Times New Roman"/>
          <w:sz w:val="24"/>
          <w:szCs w:val="24"/>
        </w:rPr>
        <w:t xml:space="preserve">que </w:t>
      </w:r>
      <w:r w:rsidRPr="005D20D7">
        <w:rPr>
          <w:rFonts w:ascii="Times New Roman" w:hAnsi="Times New Roman" w:cs="Times New Roman"/>
          <w:sz w:val="24"/>
          <w:szCs w:val="24"/>
        </w:rPr>
        <w:t>al con</w:t>
      </w:r>
      <w:r>
        <w:rPr>
          <w:rFonts w:ascii="Times New Roman" w:hAnsi="Times New Roman" w:cs="Times New Roman"/>
          <w:sz w:val="24"/>
          <w:szCs w:val="24"/>
        </w:rPr>
        <w:t xml:space="preserve">trario, van a bajar), será </w:t>
      </w:r>
      <w:r w:rsidRPr="005D20D7">
        <w:rPr>
          <w:rFonts w:ascii="Times New Roman" w:hAnsi="Times New Roman" w:cs="Times New Roman"/>
          <w:sz w:val="24"/>
          <w:szCs w:val="24"/>
        </w:rPr>
        <w:t>pretender la cuadratura del círc</w:t>
      </w:r>
      <w:r>
        <w:rPr>
          <w:rFonts w:ascii="Times New Roman" w:hAnsi="Times New Roman" w:cs="Times New Roman"/>
          <w:sz w:val="24"/>
          <w:szCs w:val="24"/>
        </w:rPr>
        <w:t>ulo.</w:t>
      </w:r>
    </w:p>
    <w:p w:rsidR="00CC5715" w:rsidRPr="005D20D7" w:rsidRDefault="00CC5715" w:rsidP="00CC5715">
      <w:pPr>
        <w:spacing w:line="240" w:lineRule="auto"/>
        <w:jc w:val="both"/>
        <w:rPr>
          <w:rFonts w:ascii="Times New Roman" w:hAnsi="Times New Roman" w:cs="Times New Roman"/>
          <w:sz w:val="24"/>
          <w:szCs w:val="24"/>
        </w:rPr>
      </w:pPr>
      <w:r>
        <w:rPr>
          <w:rFonts w:ascii="Times New Roman" w:hAnsi="Times New Roman" w:cs="Times New Roman"/>
          <w:sz w:val="24"/>
          <w:szCs w:val="24"/>
        </w:rPr>
        <w:t>Como no se anunciaron</w:t>
      </w:r>
      <w:r w:rsidRPr="005D20D7">
        <w:rPr>
          <w:rFonts w:ascii="Times New Roman" w:hAnsi="Times New Roman" w:cs="Times New Roman"/>
          <w:sz w:val="24"/>
          <w:szCs w:val="24"/>
        </w:rPr>
        <w:t xml:space="preserve"> pagos por los servicios de reducción pro</w:t>
      </w:r>
      <w:r>
        <w:rPr>
          <w:rFonts w:ascii="Times New Roman" w:hAnsi="Times New Roman" w:cs="Times New Roman"/>
          <w:sz w:val="24"/>
          <w:szCs w:val="24"/>
        </w:rPr>
        <w:t>ductiva que se quieren exigir, l</w:t>
      </w:r>
      <w:r w:rsidRPr="005D20D7">
        <w:rPr>
          <w:rFonts w:ascii="Times New Roman" w:hAnsi="Times New Roman" w:cs="Times New Roman"/>
          <w:sz w:val="24"/>
          <w:szCs w:val="24"/>
        </w:rPr>
        <w:t>a</w:t>
      </w:r>
      <w:r>
        <w:rPr>
          <w:rFonts w:ascii="Times New Roman" w:hAnsi="Times New Roman" w:cs="Times New Roman"/>
          <w:sz w:val="24"/>
          <w:szCs w:val="24"/>
        </w:rPr>
        <w:t>s asociaciones de agricultores tuvieron muy claro cuál era el objetivo: “</w:t>
      </w:r>
      <w:r w:rsidRPr="005D20D7">
        <w:rPr>
          <w:rFonts w:ascii="Times New Roman" w:hAnsi="Times New Roman" w:cs="Times New Roman"/>
          <w:sz w:val="24"/>
          <w:szCs w:val="24"/>
        </w:rPr>
        <w:t>Europa renu</w:t>
      </w:r>
      <w:r>
        <w:rPr>
          <w:rFonts w:ascii="Times New Roman" w:hAnsi="Times New Roman" w:cs="Times New Roman"/>
          <w:sz w:val="24"/>
          <w:szCs w:val="24"/>
        </w:rPr>
        <w:t>ncia a la soberanía alimentaria”</w:t>
      </w:r>
      <w:r w:rsidRPr="005D20D7">
        <w:rPr>
          <w:rFonts w:ascii="Times New Roman" w:hAnsi="Times New Roman" w:cs="Times New Roman"/>
          <w:sz w:val="24"/>
          <w:szCs w:val="24"/>
        </w:rPr>
        <w:t>. Su razonamiento indica</w:t>
      </w:r>
      <w:r>
        <w:rPr>
          <w:rFonts w:ascii="Times New Roman" w:hAnsi="Times New Roman" w:cs="Times New Roman"/>
          <w:sz w:val="24"/>
          <w:szCs w:val="24"/>
        </w:rPr>
        <w:t>ba que “</w:t>
      </w:r>
      <w:r w:rsidRPr="005D20D7">
        <w:rPr>
          <w:rFonts w:ascii="Times New Roman" w:hAnsi="Times New Roman" w:cs="Times New Roman"/>
          <w:sz w:val="24"/>
          <w:szCs w:val="24"/>
        </w:rPr>
        <w:t>se trata de una tapadera para reducir la producción agraria europ</w:t>
      </w:r>
      <w:r>
        <w:rPr>
          <w:rFonts w:ascii="Times New Roman" w:hAnsi="Times New Roman" w:cs="Times New Roman"/>
          <w:sz w:val="24"/>
          <w:szCs w:val="24"/>
        </w:rPr>
        <w:t>ea y sustituirla por la foránea”. ¿Por qué? La respuesta de los agricultores fue: “</w:t>
      </w:r>
      <w:r w:rsidRPr="005D20D7">
        <w:rPr>
          <w:rFonts w:ascii="Times New Roman" w:hAnsi="Times New Roman" w:cs="Times New Roman"/>
          <w:sz w:val="24"/>
          <w:szCs w:val="24"/>
        </w:rPr>
        <w:t>No les importa que perdamos la independencia alimentaria y nos arruinemos los productores porque es eso lo que buscan: traer alimentos de fuera para poder exportar a cambio más coches y más productos industriales a los países que dejarán que sigan siendo agrícolas para aba</w:t>
      </w:r>
      <w:r>
        <w:rPr>
          <w:rFonts w:ascii="Times New Roman" w:hAnsi="Times New Roman" w:cs="Times New Roman"/>
          <w:sz w:val="24"/>
          <w:szCs w:val="24"/>
        </w:rPr>
        <w:t>stecernos, como ya está pasando”</w:t>
      </w:r>
      <w:r w:rsidRPr="005D20D7">
        <w:rPr>
          <w:rFonts w:ascii="Times New Roman" w:hAnsi="Times New Roman" w:cs="Times New Roman"/>
          <w:sz w:val="24"/>
          <w:szCs w:val="24"/>
        </w:rPr>
        <w:t>.</w:t>
      </w:r>
    </w:p>
    <w:p w:rsidR="00CC5715" w:rsidRPr="005D20D7" w:rsidRDefault="00CC5715" w:rsidP="00CC5715">
      <w:pPr>
        <w:spacing w:line="240" w:lineRule="auto"/>
        <w:jc w:val="both"/>
        <w:rPr>
          <w:rFonts w:ascii="Times New Roman" w:hAnsi="Times New Roman" w:cs="Times New Roman"/>
          <w:sz w:val="24"/>
          <w:szCs w:val="24"/>
        </w:rPr>
      </w:pPr>
      <w:r>
        <w:rPr>
          <w:rFonts w:ascii="Times New Roman" w:hAnsi="Times New Roman" w:cs="Times New Roman"/>
          <w:sz w:val="24"/>
          <w:szCs w:val="24"/>
        </w:rPr>
        <w:t>En apoyo de esta tesis recordaron que “</w:t>
      </w:r>
      <w:r w:rsidRPr="005D20D7">
        <w:rPr>
          <w:rFonts w:ascii="Times New Roman" w:hAnsi="Times New Roman" w:cs="Times New Roman"/>
          <w:sz w:val="24"/>
          <w:szCs w:val="24"/>
        </w:rPr>
        <w:t>los grandes impulsores de estas estrategias son la presidenta de la comisión, Úrsula Von der Leyen, alemana, y el vicepresidente Frans Timmermans, holandés. Alemania, primer motor industrial de exportación; Holanda, primer receptor de las importaciones agroalimentarias de países terceros que lu</w:t>
      </w:r>
      <w:r>
        <w:rPr>
          <w:rFonts w:ascii="Times New Roman" w:hAnsi="Times New Roman" w:cs="Times New Roman"/>
          <w:sz w:val="24"/>
          <w:szCs w:val="24"/>
        </w:rPr>
        <w:t>ego reexporta al resto de la UE”</w:t>
      </w:r>
      <w:r w:rsidRPr="005D20D7">
        <w:rPr>
          <w:rFonts w:ascii="Times New Roman" w:hAnsi="Times New Roman" w:cs="Times New Roman"/>
          <w:sz w:val="24"/>
          <w:szCs w:val="24"/>
        </w:rPr>
        <w:t>.</w:t>
      </w:r>
    </w:p>
    <w:p w:rsidR="00CC5715" w:rsidRDefault="00CC5715" w:rsidP="00CC5715">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lastRenderedPageBreak/>
        <w:t xml:space="preserve">La organización de las </w:t>
      </w:r>
      <w:r>
        <w:rPr>
          <w:rFonts w:ascii="Times New Roman" w:hAnsi="Times New Roman" w:cs="Times New Roman"/>
          <w:sz w:val="24"/>
          <w:szCs w:val="24"/>
        </w:rPr>
        <w:t xml:space="preserve">cooperativas agrarias </w:t>
      </w:r>
      <w:r w:rsidRPr="005D20D7">
        <w:rPr>
          <w:rFonts w:ascii="Times New Roman" w:hAnsi="Times New Roman" w:cs="Times New Roman"/>
          <w:sz w:val="24"/>
          <w:szCs w:val="24"/>
        </w:rPr>
        <w:t>reclama</w:t>
      </w:r>
      <w:r>
        <w:rPr>
          <w:rFonts w:ascii="Times New Roman" w:hAnsi="Times New Roman" w:cs="Times New Roman"/>
          <w:sz w:val="24"/>
          <w:szCs w:val="24"/>
        </w:rPr>
        <w:t>ba: “</w:t>
      </w:r>
      <w:r w:rsidRPr="005D20D7">
        <w:rPr>
          <w:rFonts w:ascii="Times New Roman" w:hAnsi="Times New Roman" w:cs="Times New Roman"/>
          <w:sz w:val="24"/>
          <w:szCs w:val="24"/>
        </w:rPr>
        <w:t>objetivos basados en evidencias científicas</w:t>
      </w:r>
      <w:r>
        <w:rPr>
          <w:rFonts w:ascii="Times New Roman" w:hAnsi="Times New Roman" w:cs="Times New Roman"/>
          <w:sz w:val="24"/>
          <w:szCs w:val="24"/>
        </w:rPr>
        <w:t xml:space="preserve"> y no en argumentos ideológicos”</w:t>
      </w:r>
      <w:r w:rsidRPr="005D20D7">
        <w:rPr>
          <w:rFonts w:ascii="Times New Roman" w:hAnsi="Times New Roman" w:cs="Times New Roman"/>
          <w:sz w:val="24"/>
          <w:szCs w:val="24"/>
        </w:rPr>
        <w:t>, mi</w:t>
      </w:r>
      <w:r>
        <w:rPr>
          <w:rFonts w:ascii="Times New Roman" w:hAnsi="Times New Roman" w:cs="Times New Roman"/>
          <w:sz w:val="24"/>
          <w:szCs w:val="24"/>
        </w:rPr>
        <w:t>entras que otras entidades gremiales</w:t>
      </w:r>
      <w:r w:rsidRPr="005D20D7">
        <w:rPr>
          <w:rFonts w:ascii="Times New Roman" w:hAnsi="Times New Roman" w:cs="Times New Roman"/>
          <w:sz w:val="24"/>
          <w:szCs w:val="24"/>
        </w:rPr>
        <w:t xml:space="preserve"> rechaza</w:t>
      </w:r>
      <w:r>
        <w:rPr>
          <w:rFonts w:ascii="Times New Roman" w:hAnsi="Times New Roman" w:cs="Times New Roman"/>
          <w:sz w:val="24"/>
          <w:szCs w:val="24"/>
        </w:rPr>
        <w:t>n “</w:t>
      </w:r>
      <w:r w:rsidRPr="005D20D7">
        <w:rPr>
          <w:rFonts w:ascii="Times New Roman" w:hAnsi="Times New Roman" w:cs="Times New Roman"/>
          <w:sz w:val="24"/>
          <w:szCs w:val="24"/>
        </w:rPr>
        <w:t>la hipocresía de las políticas de escaparate de la UE, porque su estrategia exige más compromisos a los agricultores, con el incremento de costes de producción, sin re</w:t>
      </w:r>
      <w:r>
        <w:rPr>
          <w:rFonts w:ascii="Times New Roman" w:hAnsi="Times New Roman" w:cs="Times New Roman"/>
          <w:sz w:val="24"/>
          <w:szCs w:val="24"/>
        </w:rPr>
        <w:t>forzar el presupuesto de la PAC”</w:t>
      </w:r>
      <w:r w:rsidRPr="005D20D7">
        <w:rPr>
          <w:rFonts w:ascii="Times New Roman" w:hAnsi="Times New Roman" w:cs="Times New Roman"/>
          <w:sz w:val="24"/>
          <w:szCs w:val="24"/>
        </w:rPr>
        <w:t>.</w:t>
      </w:r>
    </w:p>
    <w:p w:rsidR="00CC5715" w:rsidRDefault="00CC5715" w:rsidP="00CC5715">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“papanatismo” alimentario: c</w:t>
      </w:r>
      <w:r w:rsidRPr="00BA7BDF">
        <w:rPr>
          <w:rFonts w:ascii="Times New Roman" w:hAnsi="Times New Roman" w:cs="Times New Roman"/>
          <w:b/>
          <w:sz w:val="24"/>
          <w:szCs w:val="24"/>
        </w:rPr>
        <w:t>uando las barbas de tu vecino</w:t>
      </w:r>
      <w:r>
        <w:rPr>
          <w:rFonts w:ascii="Times New Roman" w:hAnsi="Times New Roman" w:cs="Times New Roman"/>
          <w:b/>
          <w:sz w:val="24"/>
          <w:szCs w:val="24"/>
        </w:rPr>
        <w:t xml:space="preserve"> veas afeitar (ya es tarde) </w:t>
      </w:r>
    </w:p>
    <w:p w:rsidR="00CC5715" w:rsidRDefault="00CC5715" w:rsidP="00CC5715">
      <w:pPr>
        <w:spacing w:after="0" w:line="240" w:lineRule="auto"/>
        <w:jc w:val="both"/>
        <w:outlineLvl w:val="0"/>
        <w:rPr>
          <w:rFonts w:ascii="Times New Roman" w:eastAsia="Times New Roman" w:hAnsi="Times New Roman" w:cs="Times New Roman"/>
          <w:b/>
          <w:bCs/>
          <w:kern w:val="36"/>
          <w:sz w:val="24"/>
          <w:szCs w:val="24"/>
          <w:lang w:eastAsia="es-ES"/>
        </w:rPr>
      </w:pPr>
      <w:r>
        <w:rPr>
          <w:rFonts w:ascii="Times New Roman" w:eastAsia="Times New Roman" w:hAnsi="Times New Roman" w:cs="Times New Roman"/>
          <w:b/>
          <w:bCs/>
          <w:kern w:val="36"/>
          <w:sz w:val="24"/>
          <w:szCs w:val="24"/>
          <w:lang w:eastAsia="es-ES"/>
        </w:rPr>
        <w:t xml:space="preserve">A modo de ejemplo: </w:t>
      </w:r>
      <w:r w:rsidRPr="00187C8E">
        <w:rPr>
          <w:rFonts w:ascii="Times New Roman" w:eastAsia="Times New Roman" w:hAnsi="Times New Roman" w:cs="Times New Roman"/>
          <w:b/>
          <w:bCs/>
          <w:kern w:val="36"/>
          <w:sz w:val="24"/>
          <w:szCs w:val="24"/>
          <w:lang w:eastAsia="es-ES"/>
        </w:rPr>
        <w:t>España</w:t>
      </w:r>
      <w:r>
        <w:rPr>
          <w:rFonts w:ascii="Times New Roman" w:eastAsia="Times New Roman" w:hAnsi="Times New Roman" w:cs="Times New Roman"/>
          <w:b/>
          <w:bCs/>
          <w:kern w:val="36"/>
          <w:sz w:val="24"/>
          <w:szCs w:val="24"/>
          <w:lang w:eastAsia="es-ES"/>
        </w:rPr>
        <w:t xml:space="preserve"> y los “girasoles de Ucrania”</w:t>
      </w:r>
    </w:p>
    <w:p w:rsidR="00CC5715" w:rsidRPr="00C44C18" w:rsidRDefault="00CC5715" w:rsidP="00CC5715">
      <w:pPr>
        <w:spacing w:after="0" w:line="240" w:lineRule="auto"/>
        <w:jc w:val="both"/>
        <w:outlineLvl w:val="0"/>
        <w:rPr>
          <w:rFonts w:ascii="Times New Roman" w:eastAsia="Times New Roman" w:hAnsi="Times New Roman" w:cs="Times New Roman"/>
          <w:b/>
          <w:bCs/>
          <w:kern w:val="36"/>
          <w:sz w:val="24"/>
          <w:szCs w:val="24"/>
          <w:lang w:eastAsia="es-ES"/>
        </w:rPr>
      </w:pPr>
    </w:p>
    <w:p w:rsidR="00CC5715" w:rsidRDefault="00CC5715" w:rsidP="00CC5715">
      <w:pPr>
        <w:spacing w:line="240" w:lineRule="auto"/>
        <w:jc w:val="both"/>
        <w:rPr>
          <w:rFonts w:ascii="Times New Roman" w:hAnsi="Times New Roman" w:cs="Times New Roman"/>
          <w:sz w:val="24"/>
          <w:szCs w:val="24"/>
        </w:rPr>
      </w:pPr>
      <w:r w:rsidRPr="00BA7BDF">
        <w:rPr>
          <w:rFonts w:ascii="Times New Roman" w:hAnsi="Times New Roman" w:cs="Times New Roman"/>
          <w:sz w:val="24"/>
          <w:szCs w:val="24"/>
        </w:rPr>
        <w:t>España depende en una buena parte del cereal que llega de Ucrania y la guerra amenaza con falta de maíz, trigo y, sobre todo, girasol, tanto en forma de aceite como de pipas, las importaciones de cereales de este país suponen más del 50%.</w:t>
      </w:r>
    </w:p>
    <w:p w:rsidR="00CC5715" w:rsidRDefault="00CC5715" w:rsidP="00CC5715">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Los dos principales productos que la economía española importó de Ucrania en 2021 fueron cereales por valor de 545 millones de euros, y grasas y aceites vegetales, por 422,5 millones de euros, según el Instituto de Comercio Exterior (ICEX).</w:t>
      </w:r>
    </w:p>
    <w:p w:rsidR="00CC5715" w:rsidRDefault="00CC5715" w:rsidP="00CC5715">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“En la importación de productos ucranianos en España destacaría un aspecto que es la alimentación, concretamente, los cereales. En el caso del maíz, hay que tener en cuenta que España importa un 30% de Ucrania. En cuanto al girasol, estamos hablando de un 60%. Si nos centramos, por ejemplo en trigo, está alrededor del 17%. Las leguminosas de grano, es decir, las semillas, un 15%”, explica a El HuffPost</w:t>
      </w:r>
      <w:r>
        <w:rPr>
          <w:rFonts w:ascii="Times New Roman" w:hAnsi="Times New Roman" w:cs="Times New Roman"/>
          <w:sz w:val="24"/>
          <w:szCs w:val="24"/>
        </w:rPr>
        <w:t xml:space="preserve"> (</w:t>
      </w:r>
      <w:r w:rsidRPr="00383DF0">
        <w:rPr>
          <w:rFonts w:ascii="Times New Roman" w:hAnsi="Times New Roman" w:cs="Times New Roman"/>
          <w:b/>
          <w:sz w:val="24"/>
          <w:szCs w:val="24"/>
        </w:rPr>
        <w:t>3/3/22</w:t>
      </w:r>
      <w:r>
        <w:rPr>
          <w:rFonts w:ascii="Times New Roman" w:hAnsi="Times New Roman" w:cs="Times New Roman"/>
          <w:sz w:val="24"/>
          <w:szCs w:val="24"/>
        </w:rPr>
        <w:t>)</w:t>
      </w:r>
      <w:r w:rsidRPr="00383DF0">
        <w:rPr>
          <w:rFonts w:ascii="Times New Roman" w:hAnsi="Times New Roman" w:cs="Times New Roman"/>
          <w:sz w:val="24"/>
          <w:szCs w:val="24"/>
        </w:rPr>
        <w:t xml:space="preserve">, Cristian Castillo, profesor de Estudios </w:t>
      </w:r>
      <w:r>
        <w:rPr>
          <w:rFonts w:ascii="Times New Roman" w:hAnsi="Times New Roman" w:cs="Times New Roman"/>
          <w:sz w:val="24"/>
          <w:szCs w:val="24"/>
        </w:rPr>
        <w:t>de Economía y Empresa de la UOC.</w:t>
      </w:r>
    </w:p>
    <w:p w:rsidR="00CC5715" w:rsidRDefault="00CC5715" w:rsidP="00CC5715">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Según el último informe del Ministerio de agricultura, pesca y alimentación, en la última campaña 2020/21 se importaron 303.542 toneladas de aceite de girasol, 718 toneladas de pipas de girasol y 126.000 toneladas de harina de girasol, utilizada principalmente para piensos.</w:t>
      </w:r>
    </w:p>
    <w:p w:rsidR="00CC5715" w:rsidRPr="00383DF0" w:rsidRDefault="00CC5715" w:rsidP="00CC5715">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383DF0">
        <w:rPr>
          <w:rFonts w:ascii="Times New Roman" w:hAnsi="Times New Roman" w:cs="Times New Roman"/>
          <w:sz w:val="24"/>
          <w:szCs w:val="24"/>
        </w:rPr>
        <w:t>a guerra puede provocar desabastecimiento de estos productos si se prolonga durante más tiempo. “Estamos hablando de una afectación importante en cuanto a esas importaciones que llevamos haciendo desde hace muchos años, porque España es def</w:t>
      </w:r>
      <w:r>
        <w:rPr>
          <w:rFonts w:ascii="Times New Roman" w:hAnsi="Times New Roman" w:cs="Times New Roman"/>
          <w:sz w:val="24"/>
          <w:szCs w:val="24"/>
        </w:rPr>
        <w:t>icitaria en cereales”, recuerda Castillo.</w:t>
      </w:r>
    </w:p>
    <w:p w:rsidR="00CC5715" w:rsidRDefault="00CC5715" w:rsidP="00CC5715">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“Aunque existen alternativas como Brasil, Estados Unidos o Francia de los que se podrían importar también esta materia prima, quitar de la ecuación a Ucrania por un lado, incrementará los costes al reducirse la disponibilidad y, por otro, podrá tener plazos</w:t>
      </w:r>
      <w:r>
        <w:rPr>
          <w:rFonts w:ascii="Times New Roman" w:hAnsi="Times New Roman" w:cs="Times New Roman"/>
          <w:sz w:val="24"/>
          <w:szCs w:val="24"/>
        </w:rPr>
        <w:t xml:space="preserve"> de entrega más largos”, sostiene</w:t>
      </w:r>
      <w:r w:rsidRPr="00383DF0">
        <w:rPr>
          <w:rFonts w:ascii="Times New Roman" w:hAnsi="Times New Roman" w:cs="Times New Roman"/>
          <w:sz w:val="24"/>
          <w:szCs w:val="24"/>
        </w:rPr>
        <w:t>.</w:t>
      </w:r>
    </w:p>
    <w:p w:rsidR="00CC5715" w:rsidRPr="00383DF0" w:rsidRDefault="00CC5715" w:rsidP="00CC5715">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El especialista señala que para buscar estas alternativas también hay que tener en cuenta las dificultades burocráticas que hay con algunos de ellos. “Por ejemplo, Estados Unidos o incluso Brasil, utilizan métodos de fabricación transgénicos, que a la hora de importar a la Comunidad Europea por las normativas que tenemos aquí, pueden provocar sanciones. Con lo cual existen alternativas a esos volúmenes, pero no son inm</w:t>
      </w:r>
      <w:r>
        <w:rPr>
          <w:rFonts w:ascii="Times New Roman" w:hAnsi="Times New Roman" w:cs="Times New Roman"/>
          <w:sz w:val="24"/>
          <w:szCs w:val="24"/>
        </w:rPr>
        <w:t>ediatas ni fáciles”, sentencia.</w:t>
      </w:r>
    </w:p>
    <w:p w:rsidR="00CC5715" w:rsidRPr="00383DF0" w:rsidRDefault="00CC5715" w:rsidP="00CC5715">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Para ello, habría que regular de nuevo estas directrices europeas y permitir mayor flexibilidad en las normativas debido a la situación de emergencia. Sin embargo, Estados Unidos se puede convertir en una alternativa para la importación de pipas. De hecho, en los últimos años le había comido terreno a la ucraniana con un 14% de la importación de pipas de girasol de países fuera de la UE, con un total de 9.369 tone</w:t>
      </w:r>
      <w:r>
        <w:rPr>
          <w:rFonts w:ascii="Times New Roman" w:hAnsi="Times New Roman" w:cs="Times New Roman"/>
          <w:sz w:val="24"/>
          <w:szCs w:val="24"/>
        </w:rPr>
        <w:t>ladas, según datos de Eurostat.</w:t>
      </w:r>
    </w:p>
    <w:p w:rsidR="00CC5715" w:rsidRDefault="00CC5715" w:rsidP="00CC5715">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lastRenderedPageBreak/>
        <w:t>Todo esto, dependerá de la evolución de la crisis, al igual que el efecto en el bolsillo del consumidor. “Si la guerra se sigue prolongando, los precios van a subir y el consumidor lo va a notar en el bolsillo”, enfatiza el experto, que apunta a que hay muchos otros países que importan de Ucrania y qu</w:t>
      </w:r>
      <w:r>
        <w:rPr>
          <w:rFonts w:ascii="Times New Roman" w:hAnsi="Times New Roman" w:cs="Times New Roman"/>
          <w:sz w:val="24"/>
          <w:szCs w:val="24"/>
        </w:rPr>
        <w:t>e buscarán estas alternativas. “</w:t>
      </w:r>
      <w:r w:rsidRPr="00383DF0">
        <w:rPr>
          <w:rFonts w:ascii="Times New Roman" w:hAnsi="Times New Roman" w:cs="Times New Roman"/>
          <w:sz w:val="24"/>
          <w:szCs w:val="24"/>
        </w:rPr>
        <w:t>Nos vamos a encontrar con esa saturación y subidas de precios que van a afectar al consumidor”, añade.</w:t>
      </w:r>
    </w:p>
    <w:p w:rsidR="00CC5715" w:rsidRPr="00383DF0" w:rsidRDefault="00CC5715" w:rsidP="00CC5715">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Del mismo modo, España podría ver reducida la importación de otros países como Francia, Bulgaria y Rumanía, que acumulan según Eurostat un porcentaje cercano al 60% en las importaciones de pipas de girasol, al tener est</w:t>
      </w:r>
      <w:r>
        <w:rPr>
          <w:rFonts w:ascii="Times New Roman" w:hAnsi="Times New Roman" w:cs="Times New Roman"/>
          <w:sz w:val="24"/>
          <w:szCs w:val="24"/>
        </w:rPr>
        <w:t>os, más demanda de otros países.</w:t>
      </w:r>
    </w:p>
    <w:p w:rsidR="00CC5715" w:rsidRPr="00383DF0" w:rsidRDefault="00CC5715" w:rsidP="00CC5715">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A pesar de lo que se pudiera pensar por el buen clima y las extensiones del terreno, en España no se ha invertido en los últimos años en la agricultura del cereal, a pesar de la tradición castellana de este cultivo, por lo que una producción p</w:t>
      </w:r>
      <w:r>
        <w:rPr>
          <w:rFonts w:ascii="Times New Roman" w:hAnsi="Times New Roman" w:cs="Times New Roman"/>
          <w:sz w:val="24"/>
          <w:szCs w:val="24"/>
        </w:rPr>
        <w:t>ropia sería por ahora inviable.</w:t>
      </w:r>
    </w:p>
    <w:p w:rsidR="00CC5715" w:rsidRPr="00383DF0" w:rsidRDefault="00CC5715" w:rsidP="00CC5715">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“Es una contradicción. Sorprende que en España, que es un país con buen clima, pase esto. A veces es por todo el tema de los costes internos, por los que desgraciadamente sale casi más a cuenta e importar que fabricar”, apunta.</w:t>
      </w:r>
    </w:p>
    <w:p w:rsidR="00CC5715" w:rsidRDefault="00CC5715" w:rsidP="00CC5715">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“No somos capaces con la fabricación actual interna de poder cumplir con las necesidades reales y nos obligan a tener importar. Pero evidentemente como reflexión, seguramente a largo plazo, haya que invertir para poder tener este tipo de fabricación de producción en territorio. Ya estamos viendo la dependencia que tenemos de algunos productos, que podríamos ser nosotros también exportadores”, señala Castillo.</w:t>
      </w:r>
    </w:p>
    <w:p w:rsidR="00CC5715" w:rsidRDefault="00CC5715" w:rsidP="00CC5715">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Más allá de las pipas, el problema principal en España lo tienen los agricultores debido a la dependencia que tienen del cereal que llega de Ucrania para la fabricación de piensos. Según los datos del ICEX, este supuso el 30% del total importado.</w:t>
      </w:r>
    </w:p>
    <w:p w:rsidR="00CC5715" w:rsidRPr="00383DF0" w:rsidRDefault="00CC5715" w:rsidP="00CC5715">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Sin embargo, los fabricantes de piensos para fabricación animal no se han mostrado preocupados por ahora ya que han recalcado que cuentan con existencias hasta abril en puertos y almacenes, pero sí recuerdan en declaraciones a EFE que ahora es cuando se cerraban las compras de este cereal hasta agosto, frente a la compra de junio a diciembre que se lleva a cabo desde Brasil. Sin embargo, la conjunción de la falta de cereal y la sequía puede suponer un aume</w:t>
      </w:r>
      <w:r>
        <w:rPr>
          <w:rFonts w:ascii="Times New Roman" w:hAnsi="Times New Roman" w:cs="Times New Roman"/>
          <w:sz w:val="24"/>
          <w:szCs w:val="24"/>
        </w:rPr>
        <w:t>nto de precios en la ganadería.</w:t>
      </w:r>
    </w:p>
    <w:p w:rsidR="00CC5715" w:rsidRDefault="00CC5715" w:rsidP="00CC5715">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“El destino de todas estas importaciones es, fundamentalmente, la elaboración de piensos para nuestra ganadería y una falta de suministro derivará en el encarecimiento de estas materias primas, algo que para los ganaderos españoles sería de fatales consecuencias en estos momentos que nos vemos afectados por la sequía que padece España”, señalan desde la Asociación de Jóvenes Agri</w:t>
      </w:r>
      <w:r>
        <w:rPr>
          <w:rFonts w:ascii="Times New Roman" w:hAnsi="Times New Roman" w:cs="Times New Roman"/>
          <w:sz w:val="24"/>
          <w:szCs w:val="24"/>
        </w:rPr>
        <w:t>cultores (ASAJA).</w:t>
      </w:r>
    </w:p>
    <w:p w:rsidR="00CC5715" w:rsidRDefault="00CC5715" w:rsidP="00CC5715">
      <w:pPr>
        <w:spacing w:line="240" w:lineRule="auto"/>
        <w:jc w:val="both"/>
        <w:rPr>
          <w:rFonts w:ascii="Times New Roman" w:hAnsi="Times New Roman" w:cs="Times New Roman"/>
          <w:sz w:val="24"/>
          <w:szCs w:val="24"/>
        </w:rPr>
      </w:pPr>
      <w:r w:rsidRPr="00F1367C">
        <w:rPr>
          <w:rFonts w:ascii="Times New Roman" w:hAnsi="Times New Roman" w:cs="Times New Roman"/>
          <w:sz w:val="24"/>
          <w:szCs w:val="24"/>
        </w:rPr>
        <w:t>Al final es una cadena y las conse</w:t>
      </w:r>
      <w:r>
        <w:rPr>
          <w:rFonts w:ascii="Times New Roman" w:hAnsi="Times New Roman" w:cs="Times New Roman"/>
          <w:sz w:val="24"/>
          <w:szCs w:val="24"/>
        </w:rPr>
        <w:t>cuencias de todo este conflicto</w:t>
      </w:r>
      <w:r w:rsidRPr="00F1367C">
        <w:rPr>
          <w:rFonts w:ascii="Times New Roman" w:hAnsi="Times New Roman" w:cs="Times New Roman"/>
          <w:sz w:val="24"/>
          <w:szCs w:val="24"/>
        </w:rPr>
        <w:t xml:space="preserve"> ya no son incluso para estas importaciones sino también a nivel de exportaciones. Evidentemente, a nivel de ganadería e industria tanto en sus compras de materia prima para poder alimentar a los animales, como poder exportar el tema de la alimentación, esta situación repercute al comercio y genera ten</w:t>
      </w:r>
      <w:r>
        <w:rPr>
          <w:rFonts w:ascii="Times New Roman" w:hAnsi="Times New Roman" w:cs="Times New Roman"/>
          <w:sz w:val="24"/>
          <w:szCs w:val="24"/>
        </w:rPr>
        <w:t>sión en las empresas.</w:t>
      </w:r>
    </w:p>
    <w:p w:rsidR="00CC5715" w:rsidRPr="00F1367C" w:rsidRDefault="00CC5715" w:rsidP="00CC5715">
      <w:pPr>
        <w:spacing w:line="240" w:lineRule="auto"/>
        <w:jc w:val="both"/>
        <w:rPr>
          <w:rFonts w:ascii="Times New Roman" w:hAnsi="Times New Roman" w:cs="Times New Roman"/>
          <w:b/>
          <w:sz w:val="24"/>
          <w:szCs w:val="24"/>
        </w:rPr>
      </w:pPr>
      <w:r w:rsidRPr="00F1367C">
        <w:rPr>
          <w:rFonts w:ascii="Times New Roman" w:hAnsi="Times New Roman" w:cs="Times New Roman"/>
          <w:b/>
          <w:sz w:val="24"/>
          <w:szCs w:val="24"/>
        </w:rPr>
        <w:t xml:space="preserve">Viaje a la autosuficiencia: producir en España lo que falta desde Ucrania </w:t>
      </w:r>
    </w:p>
    <w:p w:rsidR="00CC5715" w:rsidRDefault="00CC5715" w:rsidP="00CC5715">
      <w:pPr>
        <w:spacing w:line="240" w:lineRule="auto"/>
        <w:jc w:val="both"/>
        <w:rPr>
          <w:rFonts w:ascii="Times New Roman" w:hAnsi="Times New Roman" w:cs="Times New Roman"/>
          <w:sz w:val="24"/>
          <w:szCs w:val="24"/>
        </w:rPr>
      </w:pPr>
      <w:r w:rsidRPr="00F1367C">
        <w:rPr>
          <w:rFonts w:ascii="Times New Roman" w:hAnsi="Times New Roman" w:cs="Times New Roman"/>
          <w:sz w:val="24"/>
          <w:szCs w:val="24"/>
        </w:rPr>
        <w:t xml:space="preserve">Tiempos de acopio. Tras arrasar con el papel higiénico en la pandemia, los ciudadanos se han lanzado ahora a por </w:t>
      </w:r>
      <w:r>
        <w:rPr>
          <w:rFonts w:ascii="Times New Roman" w:hAnsi="Times New Roman" w:cs="Times New Roman"/>
          <w:sz w:val="24"/>
          <w:szCs w:val="24"/>
        </w:rPr>
        <w:t>el aceite de girasol. Tanto el C</w:t>
      </w:r>
      <w:r w:rsidRPr="00F1367C">
        <w:rPr>
          <w:rFonts w:ascii="Times New Roman" w:hAnsi="Times New Roman" w:cs="Times New Roman"/>
          <w:sz w:val="24"/>
          <w:szCs w:val="24"/>
        </w:rPr>
        <w:t xml:space="preserve">ovid como la guerra de Ucrania han puesto en tela de juicio muchos valores que en Europa dábamos por sentados, entre ellos, el de la autosuficiencia. El ministro de Agricultura alemán, Cem Oezdemir, hizo esta semana un </w:t>
      </w:r>
      <w:r w:rsidRPr="00F1367C">
        <w:rPr>
          <w:rFonts w:ascii="Times New Roman" w:hAnsi="Times New Roman" w:cs="Times New Roman"/>
          <w:sz w:val="24"/>
          <w:szCs w:val="24"/>
        </w:rPr>
        <w:lastRenderedPageBreak/>
        <w:t>llamamiento a los ministros de los países G7 a abordar el tema de la seguridad alimentaria. Unas declaraciones que también compartió Luis Planas ante el Congreso de los Diputados, cuando destacó</w:t>
      </w:r>
      <w:r>
        <w:rPr>
          <w:rFonts w:ascii="Times New Roman" w:hAnsi="Times New Roman" w:cs="Times New Roman"/>
          <w:sz w:val="24"/>
          <w:szCs w:val="24"/>
        </w:rPr>
        <w:t xml:space="preserve"> la autonomía estratégica como “un tema fundamental”</w:t>
      </w:r>
      <w:r w:rsidRPr="00F1367C">
        <w:rPr>
          <w:rFonts w:ascii="Times New Roman" w:hAnsi="Times New Roman" w:cs="Times New Roman"/>
          <w:sz w:val="24"/>
          <w:szCs w:val="24"/>
        </w:rPr>
        <w:t xml:space="preserve"> para la Unión Europea. La guerra en Ucrania pone en el foco sobre un tema que España lleva años arrastrando: el descontento del sector agrario y el poco interés económico por su desarrollo. La autosuficiencia tiene un precio.</w:t>
      </w:r>
    </w:p>
    <w:p w:rsidR="00CC5715" w:rsidRDefault="00CC5715" w:rsidP="00CC5715">
      <w:pPr>
        <w:spacing w:line="240" w:lineRule="auto"/>
        <w:jc w:val="both"/>
        <w:rPr>
          <w:rFonts w:ascii="Times New Roman" w:hAnsi="Times New Roman" w:cs="Times New Roman"/>
          <w:sz w:val="24"/>
          <w:szCs w:val="24"/>
        </w:rPr>
      </w:pPr>
      <w:r>
        <w:rPr>
          <w:rFonts w:ascii="Times New Roman" w:hAnsi="Times New Roman" w:cs="Times New Roman"/>
          <w:sz w:val="24"/>
          <w:szCs w:val="24"/>
        </w:rPr>
        <w:t>El presidente de ASAJA</w:t>
      </w:r>
      <w:r w:rsidRPr="00F1367C">
        <w:rPr>
          <w:rFonts w:ascii="Times New Roman" w:hAnsi="Times New Roman" w:cs="Times New Roman"/>
          <w:sz w:val="24"/>
          <w:szCs w:val="24"/>
        </w:rPr>
        <w:t xml:space="preserve"> Extremadura, Ángel García Blanco, cree que la guerra en Ucrania obligará a la Unión Europea a tomar la decisión de que se siembren las tierras en barbecho de proteaginosas, como la soja o el girasol, para evitar el desabastecimiento, debido a que el país invadido por Rusia es el principal exportador de estos productos. </w:t>
      </w:r>
    </w:p>
    <w:p w:rsidR="00CC5715" w:rsidRPr="00882658" w:rsidRDefault="00CC5715" w:rsidP="00CC5715">
      <w:pPr>
        <w:pStyle w:val="titulo"/>
        <w:shd w:val="clear" w:color="auto" w:fill="F7F7F7"/>
        <w:spacing w:before="0" w:beforeAutospacing="0"/>
        <w:jc w:val="both"/>
        <w:rPr>
          <w:color w:val="000000"/>
        </w:rPr>
      </w:pPr>
      <w:r>
        <w:rPr>
          <w:color w:val="000000"/>
        </w:rPr>
        <w:t>Y es que Ucrania “era el granero de Europa”</w:t>
      </w:r>
      <w:r w:rsidRPr="00882658">
        <w:rPr>
          <w:color w:val="000000"/>
        </w:rPr>
        <w:t xml:space="preserve"> y casi el 40% del maíz que se consume en España y más del 50% del aceite de girasol procede de este país, por lo que el líder agrario cree que en la próxima reunión de ministros de Agricultura de la Unión Europea (UE) se va a </w:t>
      </w:r>
      <w:r>
        <w:rPr>
          <w:color w:val="000000"/>
        </w:rPr>
        <w:t>cambiar “radicalmente”</w:t>
      </w:r>
      <w:r w:rsidRPr="00882658">
        <w:rPr>
          <w:color w:val="000000"/>
        </w:rPr>
        <w:t xml:space="preserve"> la Política Agraria Comunitaria (PAC) en determinadas normativas.</w:t>
      </w:r>
      <w:r w:rsidRPr="00882658">
        <w:rPr>
          <w:color w:val="000000"/>
        </w:rPr>
        <w:br/>
      </w:r>
      <w:r w:rsidRPr="00882658">
        <w:rPr>
          <w:color w:val="000000"/>
        </w:rPr>
        <w:br/>
        <w:t>Por ejemplo, en el caso de la obligatoriedad de dejar tierras en bar</w:t>
      </w:r>
      <w:r>
        <w:rPr>
          <w:color w:val="000000"/>
        </w:rPr>
        <w:t>becho porque “</w:t>
      </w:r>
      <w:r w:rsidRPr="00882658">
        <w:rPr>
          <w:color w:val="000000"/>
        </w:rPr>
        <w:t>van a obligar que se siembren de proteaginosas con el fin de garantizar la autonomía alimentari</w:t>
      </w:r>
      <w:r>
        <w:rPr>
          <w:color w:val="000000"/>
        </w:rPr>
        <w:t>a por parte de la Unión Europea”</w:t>
      </w:r>
      <w:r w:rsidRPr="00882658">
        <w:rPr>
          <w:color w:val="000000"/>
        </w:rPr>
        <w:t>, ha explicado este martes en una rueda de prensa a preguntas sobre los efectos que tendrá la guerra en la agricultura. García Blanco ha recordado que la PAC surge en el Tratado de Roma, firmado en marzo de 1957, con la intenci</w:t>
      </w:r>
      <w:r>
        <w:rPr>
          <w:color w:val="000000"/>
        </w:rPr>
        <w:t xml:space="preserve">ón de garantizar la autonomía </w:t>
      </w:r>
      <w:r w:rsidRPr="00882658">
        <w:rPr>
          <w:color w:val="000000"/>
        </w:rPr>
        <w:t>alimentaria de Europa y,</w:t>
      </w:r>
      <w:r>
        <w:rPr>
          <w:color w:val="000000"/>
        </w:rPr>
        <w:t xml:space="preserve"> una vez que se ha conseguido, “</w:t>
      </w:r>
      <w:r w:rsidRPr="00882658">
        <w:rPr>
          <w:color w:val="000000"/>
        </w:rPr>
        <w:t>hemos pasado de una PAC con característica medioambiental sin fijarse en la autonomía pero, desgraciadamente, esta guerra nos pone en que no podemos tener una dependencia exterior y hay que establecer claramente la posibilidad de que Europa se autoabaste</w:t>
      </w:r>
      <w:r>
        <w:rPr>
          <w:color w:val="000000"/>
        </w:rPr>
        <w:t>zca de sus propias producciones”</w:t>
      </w:r>
      <w:r w:rsidRPr="00882658">
        <w:rPr>
          <w:color w:val="000000"/>
        </w:rPr>
        <w:t>.</w:t>
      </w:r>
    </w:p>
    <w:p w:rsidR="00CC5715" w:rsidRPr="00882658" w:rsidRDefault="00CC5715" w:rsidP="00CC5715">
      <w:pPr>
        <w:pStyle w:val="titulo"/>
        <w:shd w:val="clear" w:color="auto" w:fill="F7F7F7"/>
        <w:jc w:val="both"/>
        <w:rPr>
          <w:color w:val="000000"/>
        </w:rPr>
      </w:pPr>
      <w:r w:rsidRPr="00882658">
        <w:rPr>
          <w:color w:val="000000"/>
        </w:rPr>
        <w:t>Las aceiteras prevén escasez de girasol a partir de mayo y piden impulsar el cultivo rápido en España</w:t>
      </w:r>
      <w:r>
        <w:rPr>
          <w:color w:val="000000"/>
        </w:rPr>
        <w:t xml:space="preserve">. </w:t>
      </w:r>
      <w:r w:rsidRPr="00882658">
        <w:rPr>
          <w:color w:val="000000"/>
        </w:rPr>
        <w:t>La industria del dulce, las conserveras y otros productos como las salsas van a ser los principales perjudicados por el encarecimient</w:t>
      </w:r>
      <w:r>
        <w:rPr>
          <w:color w:val="000000"/>
        </w:rPr>
        <w:t>o de este líquido. La industria del dulce está “reformulando”</w:t>
      </w:r>
      <w:r w:rsidRPr="00882658">
        <w:rPr>
          <w:color w:val="000000"/>
        </w:rPr>
        <w:t xml:space="preserve"> sus productos para emplear otros aceites y pide flexibilidad para el etiquetadopara que se puedan emp</w:t>
      </w:r>
      <w:r>
        <w:rPr>
          <w:color w:val="000000"/>
        </w:rPr>
        <w:t xml:space="preserve">lear otras grasas vegetales. </w:t>
      </w:r>
    </w:p>
    <w:p w:rsidR="00CC5715" w:rsidRPr="00882658" w:rsidRDefault="00CC5715" w:rsidP="00CC5715">
      <w:pPr>
        <w:pStyle w:val="titulo"/>
        <w:shd w:val="clear" w:color="auto" w:fill="F7F7F7"/>
        <w:jc w:val="both"/>
        <w:rPr>
          <w:color w:val="000000"/>
        </w:rPr>
      </w:pPr>
      <w:r w:rsidRPr="00882658">
        <w:rPr>
          <w:color w:val="000000"/>
        </w:rPr>
        <w:t>Otra solución es que se impulsen los cultiv</w:t>
      </w:r>
      <w:r>
        <w:rPr>
          <w:color w:val="000000"/>
        </w:rPr>
        <w:t xml:space="preserve">os rápidos o de ciclos cortos. </w:t>
      </w:r>
      <w:r w:rsidRPr="00882658">
        <w:rPr>
          <w:color w:val="000000"/>
        </w:rPr>
        <w:t xml:space="preserve">Justo es en los meses de primavera cuando se empiezan a cultivar en el sur de España las semillas de girasol, que se recogen a partir del mes de octubre. Algunas variedades de ciclos cortos -cultivos que se dan en menos meses y con menor rentabilidad- incluso podrían llegar a cosecharse para verano. </w:t>
      </w:r>
    </w:p>
    <w:p w:rsidR="00CC5715" w:rsidRPr="00882658" w:rsidRDefault="00CC5715" w:rsidP="00CC5715">
      <w:pPr>
        <w:pStyle w:val="titulo"/>
        <w:shd w:val="clear" w:color="auto" w:fill="F7F7F7"/>
        <w:jc w:val="both"/>
        <w:rPr>
          <w:color w:val="000000"/>
        </w:rPr>
      </w:pPr>
      <w:r>
        <w:rPr>
          <w:color w:val="000000"/>
        </w:rPr>
        <w:t>“</w:t>
      </w:r>
      <w:r w:rsidRPr="00882658">
        <w:rPr>
          <w:color w:val="000000"/>
        </w:rPr>
        <w:t xml:space="preserve">Se trata de un cultivo que, a diferencia de los cereales como el trigo o el maíz, sí podría sembrarse en zonas como Castilla y León porque no </w:t>
      </w:r>
      <w:r>
        <w:rPr>
          <w:color w:val="000000"/>
        </w:rPr>
        <w:t xml:space="preserve">tiene un uso intensivo del agua”, explica </w:t>
      </w:r>
      <w:r w:rsidRPr="00882658">
        <w:rPr>
          <w:color w:val="000000"/>
        </w:rPr>
        <w:t>Jorge de Saja, el presidente de la Asociación nacional de empresas para el fomento de las oleaginosas y su extracción (Afoex).</w:t>
      </w:r>
    </w:p>
    <w:p w:rsidR="00CC5715" w:rsidRDefault="00CC5715" w:rsidP="00CC5715">
      <w:pPr>
        <w:pStyle w:val="titulo"/>
        <w:shd w:val="clear" w:color="auto" w:fill="F7F7F7"/>
        <w:jc w:val="both"/>
        <w:rPr>
          <w:color w:val="000000"/>
        </w:rPr>
      </w:pPr>
      <w:r w:rsidRPr="00882658">
        <w:rPr>
          <w:color w:val="000000"/>
        </w:rPr>
        <w:t>Las hectáreas de girasol en España se han venido reduciendo desd</w:t>
      </w:r>
      <w:r>
        <w:rPr>
          <w:color w:val="000000"/>
        </w:rPr>
        <w:t>e hace años por ser un cultivo “poco rentable” y que, además, “no estaba favorecido en la PAC”</w:t>
      </w:r>
      <w:r w:rsidRPr="00882658">
        <w:rPr>
          <w:color w:val="000000"/>
        </w:rPr>
        <w:t xml:space="preserve">. En concreto, España produjo 878.000 toneladas de semilla de girasol e importó 228.000 toneladas en 2020, según datos de la Federación Europea de Aceites y Oleaginosas (Fediol). En cuanto a los litros de este aceite, España produjo 507.000 toneladas e importó 606.000 toneladas. </w:t>
      </w:r>
    </w:p>
    <w:p w:rsidR="00BA7235" w:rsidRDefault="00BA7235" w:rsidP="00CC5715">
      <w:pPr>
        <w:pStyle w:val="titulo"/>
        <w:shd w:val="clear" w:color="auto" w:fill="F7F7F7"/>
        <w:jc w:val="both"/>
        <w:rPr>
          <w:b/>
          <w:color w:val="000000"/>
        </w:rPr>
      </w:pPr>
    </w:p>
    <w:p w:rsidR="00BA7235" w:rsidRPr="00BA7235" w:rsidRDefault="00BA7235" w:rsidP="00BA7235">
      <w:pPr>
        <w:spacing w:after="0" w:line="240" w:lineRule="auto"/>
        <w:jc w:val="both"/>
        <w:outlineLvl w:val="0"/>
        <w:rPr>
          <w:rFonts w:ascii="Times New Roman" w:eastAsia="Times New Roman" w:hAnsi="Times New Roman" w:cs="Times New Roman"/>
          <w:b/>
          <w:bCs/>
          <w:kern w:val="36"/>
          <w:sz w:val="24"/>
          <w:szCs w:val="24"/>
          <w:lang w:eastAsia="es-ES"/>
        </w:rPr>
      </w:pPr>
      <w:r w:rsidRPr="00BA7235">
        <w:rPr>
          <w:rFonts w:ascii="Times New Roman" w:hAnsi="Times New Roman" w:cs="Times New Roman"/>
          <w:b/>
          <w:color w:val="000000"/>
          <w:sz w:val="24"/>
          <w:szCs w:val="24"/>
        </w:rPr>
        <w:lastRenderedPageBreak/>
        <w:t xml:space="preserve">Anexo: un </w:t>
      </w:r>
      <w:r w:rsidR="00C930B7">
        <w:rPr>
          <w:rFonts w:ascii="Times New Roman" w:hAnsi="Times New Roman" w:cs="Times New Roman"/>
          <w:b/>
          <w:color w:val="000000"/>
          <w:sz w:val="24"/>
          <w:szCs w:val="24"/>
        </w:rPr>
        <w:t xml:space="preserve">breve </w:t>
      </w:r>
      <w:r w:rsidRPr="00BA7235">
        <w:rPr>
          <w:rFonts w:ascii="Times New Roman" w:hAnsi="Times New Roman" w:cs="Times New Roman"/>
          <w:b/>
          <w:color w:val="000000"/>
          <w:sz w:val="24"/>
          <w:szCs w:val="24"/>
        </w:rPr>
        <w:t>recorrido por la “maldita” hemeroteca</w:t>
      </w:r>
      <w:r w:rsidR="00C930B7">
        <w:rPr>
          <w:rFonts w:ascii="Times New Roman" w:hAnsi="Times New Roman" w:cs="Times New Roman"/>
          <w:b/>
          <w:color w:val="000000"/>
          <w:sz w:val="24"/>
          <w:szCs w:val="24"/>
        </w:rPr>
        <w:t xml:space="preserve"> sobre</w:t>
      </w:r>
      <w:r w:rsidRPr="00BA7235">
        <w:rPr>
          <w:rFonts w:ascii="Times New Roman" w:eastAsia="Times New Roman" w:hAnsi="Times New Roman" w:cs="Times New Roman"/>
          <w:b/>
          <w:bCs/>
          <w:kern w:val="36"/>
          <w:sz w:val="24"/>
          <w:szCs w:val="24"/>
          <w:lang w:eastAsia="es-ES"/>
        </w:rPr>
        <w:t>España y los “girasoles de Ucrania”</w:t>
      </w:r>
      <w:r w:rsidR="00C930B7">
        <w:rPr>
          <w:rFonts w:ascii="Times New Roman" w:eastAsia="Times New Roman" w:hAnsi="Times New Roman" w:cs="Times New Roman"/>
          <w:b/>
          <w:bCs/>
          <w:kern w:val="36"/>
          <w:sz w:val="24"/>
          <w:szCs w:val="24"/>
          <w:lang w:eastAsia="es-ES"/>
        </w:rPr>
        <w:t xml:space="preserve"> (lectura complementaria)</w:t>
      </w:r>
    </w:p>
    <w:p w:rsidR="00CC5715" w:rsidRDefault="00CC5715" w:rsidP="00CC5715">
      <w:pPr>
        <w:pStyle w:val="titulo"/>
        <w:shd w:val="clear" w:color="auto" w:fill="F7F7F7"/>
        <w:jc w:val="both"/>
        <w:rPr>
          <w:color w:val="000000"/>
          <w:u w:val="single"/>
        </w:rPr>
      </w:pPr>
      <w:r w:rsidRPr="00942247">
        <w:rPr>
          <w:color w:val="000000"/>
          <w:u w:val="single"/>
        </w:rPr>
        <w:t>Pasado y presente del cultivo de girasol</w:t>
      </w:r>
      <w:r>
        <w:rPr>
          <w:color w:val="000000"/>
          <w:u w:val="single"/>
        </w:rPr>
        <w:t xml:space="preserve"> (</w:t>
      </w:r>
      <w:r w:rsidRPr="001E53AE">
        <w:rPr>
          <w:color w:val="000000"/>
          <w:u w:val="single"/>
        </w:rPr>
        <w:t>begin the beguine</w:t>
      </w:r>
      <w:r>
        <w:rPr>
          <w:color w:val="000000"/>
          <w:u w:val="single"/>
        </w:rPr>
        <w:t>)</w:t>
      </w:r>
    </w:p>
    <w:p w:rsidR="00CC5715" w:rsidRPr="003D46A9" w:rsidRDefault="00CC5715" w:rsidP="00CC5715">
      <w:pPr>
        <w:pStyle w:val="titulo"/>
        <w:shd w:val="clear" w:color="auto" w:fill="F7F7F7"/>
        <w:jc w:val="both"/>
        <w:rPr>
          <w:color w:val="000000"/>
        </w:rPr>
      </w:pPr>
      <w:r>
        <w:rPr>
          <w:color w:val="000000"/>
        </w:rPr>
        <w:t xml:space="preserve">(Fuente: profesionalagro.com - </w:t>
      </w:r>
      <w:r w:rsidRPr="001E53AE">
        <w:rPr>
          <w:b/>
          <w:color w:val="000000"/>
        </w:rPr>
        <w:t>2018</w:t>
      </w:r>
      <w:r>
        <w:rPr>
          <w:color w:val="000000"/>
        </w:rPr>
        <w:t>)</w:t>
      </w:r>
    </w:p>
    <w:p w:rsidR="00CC5715" w:rsidRDefault="00CC5715" w:rsidP="00CC5715">
      <w:pPr>
        <w:pStyle w:val="NormalWeb"/>
        <w:shd w:val="clear" w:color="auto" w:fill="F7F7F7"/>
        <w:spacing w:before="0" w:beforeAutospacing="0"/>
        <w:jc w:val="both"/>
        <w:rPr>
          <w:color w:val="000000"/>
        </w:rPr>
      </w:pPr>
      <w:r w:rsidRPr="00942247">
        <w:rPr>
          <w:color w:val="000000"/>
        </w:rPr>
        <w:t>Lo que en su día fue una alternativa rentable y agronómicamente deseable, como es el cultivo del girasol, se ha visto cada vez más reducido por la falta rentabilidad para los agricultores, a pesar de la reconocida calidad de la producción nacional.</w:t>
      </w:r>
    </w:p>
    <w:p w:rsidR="00CC5715" w:rsidRDefault="00CC5715" w:rsidP="00CC5715">
      <w:pPr>
        <w:pStyle w:val="NormalWeb"/>
        <w:shd w:val="clear" w:color="auto" w:fill="F7F7F7"/>
        <w:spacing w:before="0" w:beforeAutospacing="0"/>
        <w:jc w:val="both"/>
        <w:rPr>
          <w:color w:val="000000"/>
        </w:rPr>
      </w:pPr>
      <w:r w:rsidRPr="00942247">
        <w:rPr>
          <w:color w:val="000000"/>
        </w:rPr>
        <w:t>La decisión de miles de agricultores españoles de sembrar sus tierras con plantas oleaginosas como el girasol, la colza y la soja, fue motivada por la animación de unos precios que guardaban relación con los costos de producción. Pero campaña tras campaña se han ido produciendo cambios negativos en alguno de estos cultivos.</w:t>
      </w:r>
    </w:p>
    <w:p w:rsidR="00CC5715" w:rsidRDefault="00CC5715" w:rsidP="00CC5715">
      <w:pPr>
        <w:pStyle w:val="NormalWeb"/>
        <w:shd w:val="clear" w:color="auto" w:fill="F7F7F7"/>
        <w:spacing w:before="0" w:beforeAutospacing="0"/>
        <w:jc w:val="both"/>
        <w:rPr>
          <w:color w:val="000000"/>
        </w:rPr>
      </w:pPr>
      <w:r w:rsidRPr="00942247">
        <w:rPr>
          <w:color w:val="000000"/>
        </w:rPr>
        <w:t>El cultivo del girasol en España se ha centrado en varias comunidades: Andalucía, Castilla La Mancha y Castilla y León. La siembra se ha llevado a cabo sobre todo en fincas de secano, aunque en menor medida también se ha plantado en regadío. En cualquier caso, la profesionalidad de los productores ha permitido obtener pipas de gran contenido en ácido oleico y de alta calidad reconocida.</w:t>
      </w:r>
    </w:p>
    <w:p w:rsidR="00CC5715" w:rsidRPr="00942247" w:rsidRDefault="00CC5715" w:rsidP="00CC5715">
      <w:pPr>
        <w:pStyle w:val="NormalWeb"/>
        <w:shd w:val="clear" w:color="auto" w:fill="F7F7F7"/>
        <w:jc w:val="both"/>
        <w:rPr>
          <w:color w:val="000000"/>
        </w:rPr>
      </w:pPr>
      <w:r>
        <w:rPr>
          <w:color w:val="000000"/>
        </w:rPr>
        <w:t>Como ya se ha dicho</w:t>
      </w:r>
      <w:r w:rsidRPr="00942247">
        <w:rPr>
          <w:color w:val="000000"/>
        </w:rPr>
        <w:t>, el girasol en España principalmente se siembra en fincas de secano, poco exigente en condiciones “Edafoclimáticas”, aunque precisa de suelos bien drenados, siendo un cultivo oleaginoso que mantenía unas líneas de compensación sobre los gastos generales, tales como la adquisición de las semillas, siembra, seguimi</w:t>
      </w:r>
      <w:r>
        <w:rPr>
          <w:color w:val="000000"/>
        </w:rPr>
        <w:t>ento, recolección y almacenaje.</w:t>
      </w:r>
    </w:p>
    <w:p w:rsidR="00CC5715" w:rsidRPr="00942247" w:rsidRDefault="00CC5715" w:rsidP="00CC5715">
      <w:pPr>
        <w:pStyle w:val="NormalWeb"/>
        <w:shd w:val="clear" w:color="auto" w:fill="F7F7F7"/>
        <w:jc w:val="both"/>
        <w:rPr>
          <w:color w:val="000000"/>
        </w:rPr>
      </w:pPr>
      <w:r w:rsidRPr="00942247">
        <w:rPr>
          <w:color w:val="000000"/>
        </w:rPr>
        <w:t>Se trata de un cultivo adecuado como tipo de rotación, consigue destruir el ciclo de plagas y otras enfermedades del cereal. Hablamos del tercer cultivo herbáceo de España, por detrás de la cebada y el trigo, aunque según comunidades su influencia, lamentablemente</w:t>
      </w:r>
      <w:r>
        <w:rPr>
          <w:color w:val="000000"/>
        </w:rPr>
        <w:t>, va decreciendo.</w:t>
      </w:r>
    </w:p>
    <w:p w:rsidR="00CC5715" w:rsidRPr="00942247" w:rsidRDefault="00CC5715" w:rsidP="00CC5715">
      <w:pPr>
        <w:pStyle w:val="NormalWeb"/>
        <w:shd w:val="clear" w:color="auto" w:fill="F7F7F7"/>
        <w:jc w:val="both"/>
        <w:rPr>
          <w:color w:val="000000"/>
        </w:rPr>
      </w:pPr>
      <w:r w:rsidRPr="00942247">
        <w:rPr>
          <w:color w:val="000000"/>
        </w:rPr>
        <w:t>La producción por hectárea varía según campañas, como es normal, pero la media oscila sobre los 950/1.300 kilogramos, aproximadamente, aunque siempre llegan años malos, regulares, buenos y, los menos, excepcionales; algo que nuestros agricultores han ido asumiendo de forma, totalme</w:t>
      </w:r>
      <w:r>
        <w:rPr>
          <w:color w:val="000000"/>
        </w:rPr>
        <w:t>nte, profesional y responsable.</w:t>
      </w:r>
    </w:p>
    <w:p w:rsidR="00CC5715" w:rsidRPr="00942247" w:rsidRDefault="00CC5715" w:rsidP="00CC5715">
      <w:pPr>
        <w:pStyle w:val="NormalWeb"/>
        <w:shd w:val="clear" w:color="auto" w:fill="F7F7F7"/>
        <w:jc w:val="both"/>
        <w:rPr>
          <w:color w:val="000000"/>
        </w:rPr>
      </w:pPr>
      <w:r>
        <w:rPr>
          <w:color w:val="000000"/>
        </w:rPr>
        <w:t>E</w:t>
      </w:r>
      <w:r w:rsidRPr="00942247">
        <w:rPr>
          <w:color w:val="000000"/>
        </w:rPr>
        <w:t>n los campos españoles, normalmente en regadío, es dónde se producen semillas de variantes hibridas de girasol, manteniendo unas características muy valoradas por distintos países. El avance de distintos tipos de variedades con magníficas calidades de aceite, citando como ejemplo del género Helianthus L., familia Asteraceae, desglosando decenas de especies diferentes, nos ofrece semillas con una alta calidad Oleica, resistentes a posibles enfermedades com</w:t>
      </w:r>
      <w:r>
        <w:rPr>
          <w:color w:val="000000"/>
        </w:rPr>
        <w:t>o “jopo y mildiu”, por ejemplo.</w:t>
      </w:r>
    </w:p>
    <w:p w:rsidR="00CC5715" w:rsidRPr="00942247" w:rsidRDefault="00CC5715" w:rsidP="00CC5715">
      <w:pPr>
        <w:pStyle w:val="NormalWeb"/>
        <w:shd w:val="clear" w:color="auto" w:fill="F7F7F7"/>
        <w:jc w:val="both"/>
        <w:rPr>
          <w:color w:val="000000"/>
        </w:rPr>
      </w:pPr>
      <w:r w:rsidRPr="00942247">
        <w:rPr>
          <w:color w:val="000000"/>
        </w:rPr>
        <w:t xml:space="preserve">Dependiendo de la variedad y seguimiento en el desarrollo de las plantas, se han conseguido semillas con un 35/45% de contenido en materias grasas, algo muy importante a la hora de ser valorado el producto final. Los agricultores españoles han dedicado décadas a colaborar con distintas empresas de semillas, siempre bajo la finalidad de obtener variedades mejor </w:t>
      </w:r>
      <w:r w:rsidRPr="00942247">
        <w:rPr>
          <w:color w:val="000000"/>
        </w:rPr>
        <w:lastRenderedPageBreak/>
        <w:t>adaptadas a distintos microclimas, tanto en variedades “Oleicas como Linoleicas”, consiguiendo mejores calidades en las semillas, algo reconocido a nivel mundial.</w:t>
      </w:r>
    </w:p>
    <w:p w:rsidR="00CC5715" w:rsidRPr="00942247" w:rsidRDefault="00CC5715" w:rsidP="00CC5715">
      <w:pPr>
        <w:pStyle w:val="NormalWeb"/>
        <w:shd w:val="clear" w:color="auto" w:fill="F7F7F7"/>
        <w:jc w:val="both"/>
        <w:rPr>
          <w:color w:val="000000"/>
        </w:rPr>
      </w:pPr>
      <w:r w:rsidRPr="00942247">
        <w:rPr>
          <w:color w:val="000000"/>
        </w:rPr>
        <w:t>La relación entre los agricultores y las industrias que obtienen aceite de girasol, siempre han resultado con una concordancia plena, pero esta relación se ha ido diluyendo con la subida de costes para el agricultor y la bajada de precios de venta a las industrias, algo que se va repitiendo en otros productos, lamentablemente.</w:t>
      </w:r>
    </w:p>
    <w:p w:rsidR="00CC5715" w:rsidRPr="00942247" w:rsidRDefault="00CC5715" w:rsidP="00CC5715">
      <w:pPr>
        <w:pStyle w:val="NormalWeb"/>
        <w:shd w:val="clear" w:color="auto" w:fill="F7F7F7"/>
        <w:jc w:val="both"/>
        <w:rPr>
          <w:color w:val="000000"/>
        </w:rPr>
      </w:pPr>
      <w:r w:rsidRPr="00942247">
        <w:rPr>
          <w:color w:val="000000"/>
        </w:rPr>
        <w:t>Actualmente se observa una desvalorización en los precios de compra al agricultor, sobre el girasol producido, mientras el resto de gastos como las semillas, aperos, maquinaria, recambios, combustibles, Ad-Blue, lubricantes, seguros, impuestos, etc., no dejan de subir campaña tras campaña. Las empresas comercializadoras del girasol siguen manteniendo su ascensión económica, pero el agricultor ajusta continuamente sus márgenes, a la baja, s</w:t>
      </w:r>
      <w:r>
        <w:rPr>
          <w:color w:val="000000"/>
        </w:rPr>
        <w:t>obre la producción del girasol.</w:t>
      </w:r>
    </w:p>
    <w:p w:rsidR="00CC5715" w:rsidRPr="00942247" w:rsidRDefault="00CC5715" w:rsidP="00CC5715">
      <w:pPr>
        <w:pStyle w:val="NormalWeb"/>
        <w:shd w:val="clear" w:color="auto" w:fill="F7F7F7"/>
        <w:jc w:val="both"/>
        <w:rPr>
          <w:color w:val="000000"/>
        </w:rPr>
      </w:pPr>
      <w:r w:rsidRPr="00942247">
        <w:rPr>
          <w:color w:val="000000"/>
        </w:rPr>
        <w:t>Cuándo se calcula una línea de costos de producción, comparada con el precio de venta final y la diferencia no repercute en compensar los gastos presentes, tampoco los porcentajes en la amortización sobre la maquinaria, aperos, inversión en tierras, etc., entramos en riesgos de pérdidas, algo que debemos evitar por muchos cantos de sirena que nos quieran vender.</w:t>
      </w:r>
    </w:p>
    <w:p w:rsidR="00CC5715" w:rsidRDefault="00CC5715" w:rsidP="00CC5715">
      <w:pPr>
        <w:pStyle w:val="NormalWeb"/>
        <w:shd w:val="clear" w:color="auto" w:fill="F7F7F7"/>
        <w:spacing w:before="0" w:beforeAutospacing="0"/>
        <w:jc w:val="both"/>
        <w:rPr>
          <w:color w:val="000000"/>
        </w:rPr>
      </w:pPr>
      <w:r w:rsidRPr="00942247">
        <w:rPr>
          <w:color w:val="000000"/>
        </w:rPr>
        <w:t>El agricultor/a y ganadero/a, no debe analizar sus esfuerzos cómo alguien que invierte en bolsa, no puede permitirse ese altísimo riesgo, sus pasos deben ser certeros, buscando productos de salida anticipada y con precios mínimos compensables a sus gastos y reservas.</w:t>
      </w:r>
    </w:p>
    <w:p w:rsidR="00CC5715" w:rsidRPr="00942247" w:rsidRDefault="00CC5715" w:rsidP="00CC5715">
      <w:pPr>
        <w:pStyle w:val="NormalWeb"/>
        <w:shd w:val="clear" w:color="auto" w:fill="F7F7F7"/>
        <w:jc w:val="both"/>
        <w:rPr>
          <w:color w:val="000000"/>
        </w:rPr>
      </w:pPr>
      <w:r>
        <w:rPr>
          <w:color w:val="000000"/>
        </w:rPr>
        <w:t>Según los analistas</w:t>
      </w:r>
      <w:r w:rsidRPr="00942247">
        <w:rPr>
          <w:color w:val="000000"/>
        </w:rPr>
        <w:t xml:space="preserve">, la importación descontrolada de pipas de menor calidad, origen Europa del Este (Ucrania), es uno de los motivos de este descalabro para los agricultores españoles. </w:t>
      </w:r>
      <w:r>
        <w:rPr>
          <w:color w:val="000000"/>
        </w:rPr>
        <w:t>Según los productores</w:t>
      </w:r>
      <w:r w:rsidRPr="00942247">
        <w:rPr>
          <w:color w:val="000000"/>
        </w:rPr>
        <w:t>, se están buscando otras alternativas a este cultivo milenario, incluso se están celebrando reuniones con las empresas del sector para tratar que tanto para las empresas como para los agricultore</w:t>
      </w:r>
      <w:r>
        <w:rPr>
          <w:color w:val="000000"/>
        </w:rPr>
        <w:t>s el cultivo sea rentable. Esto</w:t>
      </w:r>
      <w:r w:rsidRPr="00942247">
        <w:rPr>
          <w:color w:val="000000"/>
        </w:rPr>
        <w:t xml:space="preserve"> ha sido así durante décadas, pero actualmente no se cubren los gastos de producción, según campañas, incluso sumando la ayuda por hectárea por la producción de oleaginosas, algo muy lamentable.</w:t>
      </w:r>
    </w:p>
    <w:p w:rsidR="00CC5715" w:rsidRDefault="00CC5715" w:rsidP="00CC5715">
      <w:pPr>
        <w:pStyle w:val="NormalWeb"/>
        <w:shd w:val="clear" w:color="auto" w:fill="F7F7F7"/>
        <w:spacing w:before="0" w:beforeAutospacing="0"/>
        <w:jc w:val="both"/>
        <w:rPr>
          <w:color w:val="000000"/>
        </w:rPr>
      </w:pPr>
      <w:r w:rsidRPr="00942247">
        <w:rPr>
          <w:color w:val="000000"/>
        </w:rPr>
        <w:t>La Comunidad de Castilla y León, ha alcanzado durante la campaña 2018, el 38,3% de la superficie nacional en la producción de girasol, resultando ser la comunidad española que más girasol ha sembrado, superando a Andalucía y Castilla La Mancha, lo que ya es un indicativo de la apuesta de los agricultore</w:t>
      </w:r>
      <w:r>
        <w:rPr>
          <w:color w:val="000000"/>
        </w:rPr>
        <w:t>s de esta comunidad</w:t>
      </w:r>
      <w:r w:rsidRPr="00942247">
        <w:rPr>
          <w:color w:val="000000"/>
        </w:rPr>
        <w:t>, pero que no repercute, adecuadamente, en sus bolsillos y nadie hace nada positivo, lo que resulta mucho más lamentable.</w:t>
      </w:r>
    </w:p>
    <w:p w:rsidR="00CC5715" w:rsidRPr="001E53AE" w:rsidRDefault="00CC5715" w:rsidP="00CC5715">
      <w:pPr>
        <w:pStyle w:val="NormalWeb"/>
        <w:shd w:val="clear" w:color="auto" w:fill="F7F7F7"/>
        <w:spacing w:before="0" w:beforeAutospacing="0"/>
        <w:jc w:val="both"/>
        <w:rPr>
          <w:color w:val="000000"/>
          <w:u w:val="single"/>
        </w:rPr>
      </w:pPr>
      <w:r w:rsidRPr="001E53AE">
        <w:rPr>
          <w:color w:val="000000"/>
          <w:u w:val="single"/>
        </w:rPr>
        <w:t>Nunca llueve a gusto de todos</w:t>
      </w:r>
    </w:p>
    <w:p w:rsidR="00CC5715" w:rsidRDefault="00CC5715" w:rsidP="00CC5715">
      <w:pPr>
        <w:pStyle w:val="NormalWeb"/>
        <w:shd w:val="clear" w:color="auto" w:fill="F7F7F7"/>
        <w:spacing w:before="0" w:beforeAutospacing="0"/>
        <w:jc w:val="both"/>
        <w:rPr>
          <w:color w:val="000000"/>
        </w:rPr>
      </w:pPr>
      <w:r>
        <w:rPr>
          <w:color w:val="000000"/>
        </w:rPr>
        <w:t xml:space="preserve">(Fuente: informaciongastronomica.com - </w:t>
      </w:r>
      <w:r w:rsidRPr="001E53AE">
        <w:rPr>
          <w:b/>
          <w:color w:val="000000"/>
        </w:rPr>
        <w:t>2020</w:t>
      </w:r>
      <w:r>
        <w:rPr>
          <w:color w:val="000000"/>
        </w:rPr>
        <w:t>)</w:t>
      </w:r>
    </w:p>
    <w:p w:rsidR="00CC5715" w:rsidRPr="003D46A9" w:rsidRDefault="00CC5715" w:rsidP="00CC5715">
      <w:pPr>
        <w:pStyle w:val="NormalWeb"/>
        <w:shd w:val="clear" w:color="auto" w:fill="F7F7F7"/>
        <w:spacing w:before="0" w:beforeAutospacing="0"/>
        <w:jc w:val="both"/>
        <w:rPr>
          <w:color w:val="000000"/>
        </w:rPr>
      </w:pPr>
      <w:r>
        <w:rPr>
          <w:color w:val="000000"/>
        </w:rPr>
        <w:t>La escasez de lluvias ha</w:t>
      </w:r>
      <w:r w:rsidRPr="003D46A9">
        <w:rPr>
          <w:color w:val="000000"/>
        </w:rPr>
        <w:t xml:space="preserve"> ido haciendo mella en el cultivo de girasol en España, más pronunciada en tierras sureñas.Y entre los culpables está la climatología, concretamente la sequía, pues solo el 11 % de la extensión sembrada es de regadío. A ese aspecto negativo se suman otros factores como la alta temperatura (olas de calor frecuentes) o las enfermedades que afectan a la planta. Pero más allá de estas condiciones imposibles de controlar por parte de los agricultores, existen otras vinculadas al mercado y a las autoridades competentes.</w:t>
      </w:r>
    </w:p>
    <w:p w:rsidR="00CC5715" w:rsidRDefault="00CC5715" w:rsidP="00CC5715">
      <w:pPr>
        <w:pStyle w:val="NormalWeb"/>
        <w:shd w:val="clear" w:color="auto" w:fill="F7F7F7"/>
        <w:spacing w:before="0" w:beforeAutospacing="0"/>
        <w:jc w:val="both"/>
        <w:rPr>
          <w:color w:val="000000"/>
        </w:rPr>
      </w:pPr>
      <w:r w:rsidRPr="003D46A9">
        <w:rPr>
          <w:color w:val="000000"/>
        </w:rPr>
        <w:lastRenderedPageBreak/>
        <w:t>El etiquetado poco controlado de la procedencia de los aceites de girasol supone otra traba al que es originario del campo español y podría tener un precio acorde a su calidad. Mientras que el otro producto resultante de esta oleaginosa (la pipa) también sufre las consecuencias de la importación de dicho alimento desde Europa del Este, especialmente de Ucrania. Con pipas llegadas al mercado nacional de países como Rusia o Argentina también, la devaluación de su precio es una losa muy pesada.</w:t>
      </w:r>
    </w:p>
    <w:p w:rsidR="00CC5715" w:rsidRPr="00042936" w:rsidRDefault="00CC5715" w:rsidP="00CC5715">
      <w:pPr>
        <w:pStyle w:val="NormalWeb"/>
        <w:shd w:val="clear" w:color="auto" w:fill="F7F7F7"/>
        <w:jc w:val="both"/>
        <w:rPr>
          <w:color w:val="000000"/>
        </w:rPr>
      </w:pPr>
      <w:r w:rsidRPr="00042936">
        <w:rPr>
          <w:color w:val="000000"/>
        </w:rPr>
        <w:t>La historia se repite, al igual que sucede con otros productos agrícolas: no se cubren costes de producción. Los consumidores no saben con certeza qué aceite de girasol están tomando y compran a precios más bajos las pipas extranjeras. Además, el gobierno español no da ayudas fiscales suficientes a un sector que acumula resultados nefastos frecuentes en los últimos años. En muchos casos, ya han terminado con el abandono del cultivo de girasol en</w:t>
      </w:r>
      <w:r>
        <w:rPr>
          <w:color w:val="000000"/>
        </w:rPr>
        <w:t xml:space="preserve"> España. Sobre todo, en el sur.</w:t>
      </w:r>
    </w:p>
    <w:p w:rsidR="00CC5715" w:rsidRPr="00042936" w:rsidRDefault="00CC5715" w:rsidP="00CC5715">
      <w:pPr>
        <w:pStyle w:val="NormalWeb"/>
        <w:shd w:val="clear" w:color="auto" w:fill="F7F7F7"/>
        <w:jc w:val="both"/>
        <w:rPr>
          <w:color w:val="000000"/>
        </w:rPr>
      </w:pPr>
      <w:r w:rsidRPr="00042936">
        <w:rPr>
          <w:color w:val="000000"/>
        </w:rPr>
        <w:t>En este momento y con esas circunstancias, el futuro pinta más negro que dorado y próspero. Las empresas agrícolas se están esforzando por concentrar la oferta, ahorrar costes e innovar. Para esta última tarea, se buscan nuevas variedades de semillas híbridas que puedan beneficiar a los agricultores. Ofreciendo una planta más resistente y sana, así como permitiendo que las pipas retengan más aceite.</w:t>
      </w:r>
    </w:p>
    <w:p w:rsidR="00CC5715" w:rsidRDefault="00CC5715" w:rsidP="00CC5715">
      <w:pPr>
        <w:pStyle w:val="NormalWeb"/>
        <w:shd w:val="clear" w:color="auto" w:fill="F7F7F7"/>
        <w:jc w:val="both"/>
        <w:rPr>
          <w:color w:val="000000"/>
        </w:rPr>
      </w:pPr>
      <w:r w:rsidRPr="00042936">
        <w:rPr>
          <w:color w:val="000000"/>
        </w:rPr>
        <w:t>En conclusión, el devenir del cultivo de girasol en España pasa por la investigación, mientras la oleaginosa más tradicional se sigue dejando perder en amplias hectáreas. Es la única salida a una amenaza cada vez más presente y que transforma los bellos campos teñidos de amarillo en grises escenarios de esas épocas proliferas del pasado.</w:t>
      </w:r>
    </w:p>
    <w:p w:rsidR="00CC5715" w:rsidRPr="001E53AE" w:rsidRDefault="00CC5715" w:rsidP="00CC5715">
      <w:pPr>
        <w:pStyle w:val="NormalWeb"/>
        <w:shd w:val="clear" w:color="auto" w:fill="F7F7F7"/>
        <w:jc w:val="both"/>
        <w:rPr>
          <w:color w:val="000000"/>
          <w:u w:val="single"/>
        </w:rPr>
      </w:pPr>
      <w:r w:rsidRPr="001E53AE">
        <w:rPr>
          <w:color w:val="000000"/>
          <w:u w:val="single"/>
        </w:rPr>
        <w:t>¿Por qué importamos aceite de girasol si España también lo produce en cantidad?</w:t>
      </w:r>
    </w:p>
    <w:p w:rsidR="00CC5715" w:rsidRDefault="00CC5715" w:rsidP="00CC5715">
      <w:pPr>
        <w:pStyle w:val="NormalWeb"/>
        <w:shd w:val="clear" w:color="auto" w:fill="F7F7F7"/>
        <w:jc w:val="both"/>
        <w:rPr>
          <w:color w:val="000000"/>
        </w:rPr>
      </w:pPr>
      <w:r>
        <w:rPr>
          <w:color w:val="000000"/>
        </w:rPr>
        <w:t xml:space="preserve">(Fuente: lasexta.com - </w:t>
      </w:r>
      <w:r w:rsidRPr="001E53AE">
        <w:rPr>
          <w:b/>
          <w:color w:val="000000"/>
        </w:rPr>
        <w:t>2022</w:t>
      </w:r>
      <w:r>
        <w:rPr>
          <w:color w:val="000000"/>
        </w:rPr>
        <w:t>)</w:t>
      </w:r>
    </w:p>
    <w:p w:rsidR="00CC5715" w:rsidRPr="00E044BF" w:rsidRDefault="00CC5715" w:rsidP="00CC5715">
      <w:pPr>
        <w:pStyle w:val="NormalWeb"/>
        <w:shd w:val="clear" w:color="auto" w:fill="F7F7F7"/>
        <w:jc w:val="both"/>
        <w:rPr>
          <w:color w:val="000000"/>
        </w:rPr>
      </w:pPr>
      <w:r w:rsidRPr="00E044BF">
        <w:rPr>
          <w:color w:val="000000"/>
        </w:rPr>
        <w:t xml:space="preserve">España cultiva girasol, a lo largo y ancho del país, pero su rendimiento no es competitivo... hasta ahora. </w:t>
      </w:r>
    </w:p>
    <w:p w:rsidR="00CC5715" w:rsidRPr="00E044BF" w:rsidRDefault="00CC5715" w:rsidP="00CC5715">
      <w:pPr>
        <w:pStyle w:val="NormalWeb"/>
        <w:shd w:val="clear" w:color="auto" w:fill="F7F7F7"/>
        <w:jc w:val="both"/>
        <w:rPr>
          <w:color w:val="000000"/>
        </w:rPr>
      </w:pPr>
      <w:r w:rsidRPr="00E044BF">
        <w:rPr>
          <w:color w:val="000000"/>
        </w:rPr>
        <w:t>No es habitual, cada día menos, que las gotas de aceite de girasol que se utilizan a diario en nuestro país provengan de una pipa que haya crecido en algún campo ibérico. El líquido, presente en nuestro día a día de manera indirecta en multitud de productos, tiene tal peso en la industria alimentaria que la falta de importaciones de Rusia y Ucrania ha derivado</w:t>
      </w:r>
      <w:r>
        <w:rPr>
          <w:color w:val="000000"/>
        </w:rPr>
        <w:t xml:space="preserve"> en una crisis sin precedentes.</w:t>
      </w:r>
    </w:p>
    <w:p w:rsidR="00CC5715" w:rsidRPr="00E044BF" w:rsidRDefault="00CC5715" w:rsidP="00CC5715">
      <w:pPr>
        <w:pStyle w:val="NormalWeb"/>
        <w:shd w:val="clear" w:color="auto" w:fill="F7F7F7"/>
        <w:jc w:val="both"/>
        <w:rPr>
          <w:color w:val="000000"/>
        </w:rPr>
      </w:pPr>
      <w:r w:rsidRPr="00E044BF">
        <w:rPr>
          <w:color w:val="000000"/>
        </w:rPr>
        <w:t>Lo cierto es que sí, España sí cultiva girasol. Lo hace a lo largo y ancho del país, según los últimos datos disponibles del Ministerio de Agricultura. Pero el rendimiento por hectárea no es competitivo con el de otros países, co</w:t>
      </w:r>
      <w:r>
        <w:rPr>
          <w:color w:val="000000"/>
        </w:rPr>
        <w:t>mo Rumanía, Bulgaria o Hungría.</w:t>
      </w:r>
    </w:p>
    <w:p w:rsidR="00CC5715" w:rsidRDefault="00CC5715" w:rsidP="00CC5715">
      <w:pPr>
        <w:pStyle w:val="NormalWeb"/>
        <w:shd w:val="clear" w:color="auto" w:fill="F7F7F7"/>
        <w:jc w:val="both"/>
        <w:rPr>
          <w:color w:val="000000"/>
        </w:rPr>
      </w:pPr>
      <w:r w:rsidRPr="00E044BF">
        <w:rPr>
          <w:color w:val="000000"/>
        </w:rPr>
        <w:t>Pero, entonces, ahora, en mitad de la guerra, con los suministros que exportaban tanto Rusia como Ucrania en escasez y una demanda no sólo mantenida, sino que va en aumento, ¿van a verse beneficiados los agricultores españoles? ¿Es esta la oportun</w:t>
      </w:r>
      <w:r>
        <w:rPr>
          <w:color w:val="000000"/>
        </w:rPr>
        <w:t>idad de oro para nuestro campo?</w:t>
      </w:r>
    </w:p>
    <w:p w:rsidR="00C930B7" w:rsidRDefault="00C930B7" w:rsidP="00CC5715">
      <w:pPr>
        <w:pStyle w:val="NormalWeb"/>
        <w:shd w:val="clear" w:color="auto" w:fill="F7F7F7"/>
        <w:jc w:val="both"/>
        <w:rPr>
          <w:color w:val="000000"/>
        </w:rPr>
      </w:pPr>
    </w:p>
    <w:p w:rsidR="00C930B7" w:rsidRPr="00E044BF" w:rsidRDefault="00C930B7" w:rsidP="00CC5715">
      <w:pPr>
        <w:pStyle w:val="NormalWeb"/>
        <w:shd w:val="clear" w:color="auto" w:fill="F7F7F7"/>
        <w:jc w:val="both"/>
        <w:rPr>
          <w:color w:val="000000"/>
        </w:rPr>
      </w:pPr>
    </w:p>
    <w:p w:rsidR="00CC5715" w:rsidRPr="00E044BF" w:rsidRDefault="00CC5715" w:rsidP="00CC5715">
      <w:pPr>
        <w:pStyle w:val="NormalWeb"/>
        <w:shd w:val="clear" w:color="auto" w:fill="F7F7F7"/>
        <w:jc w:val="both"/>
        <w:rPr>
          <w:color w:val="000000"/>
        </w:rPr>
      </w:pPr>
      <w:r w:rsidRPr="00E044BF">
        <w:rPr>
          <w:color w:val="000000"/>
        </w:rPr>
        <w:lastRenderedPageBreak/>
        <w:t>Poco re</w:t>
      </w:r>
      <w:r>
        <w:rPr>
          <w:color w:val="000000"/>
        </w:rPr>
        <w:t>ndimiento del girasol español</w:t>
      </w:r>
    </w:p>
    <w:p w:rsidR="00CC5715" w:rsidRPr="00E044BF" w:rsidRDefault="00CC5715" w:rsidP="00CC5715">
      <w:pPr>
        <w:pStyle w:val="NormalWeb"/>
        <w:shd w:val="clear" w:color="auto" w:fill="F7F7F7"/>
        <w:jc w:val="both"/>
        <w:rPr>
          <w:color w:val="000000"/>
        </w:rPr>
      </w:pPr>
      <w:r>
        <w:rPr>
          <w:color w:val="000000"/>
        </w:rPr>
        <w:t>“</w:t>
      </w:r>
      <w:r w:rsidRPr="00E044BF">
        <w:rPr>
          <w:color w:val="000000"/>
        </w:rPr>
        <w:t>E</w:t>
      </w:r>
      <w:r>
        <w:rPr>
          <w:color w:val="000000"/>
        </w:rPr>
        <w:t>spaña es deficitaria en girasol”</w:t>
      </w:r>
      <w:r w:rsidRPr="00E044BF">
        <w:rPr>
          <w:color w:val="000000"/>
        </w:rPr>
        <w:t>,</w:t>
      </w:r>
      <w:r>
        <w:rPr>
          <w:color w:val="000000"/>
        </w:rPr>
        <w:t xml:space="preserve"> señala</w:t>
      </w:r>
      <w:r w:rsidRPr="00E044BF">
        <w:rPr>
          <w:color w:val="000000"/>
        </w:rPr>
        <w:t>, Pedro Gallardo, el presidente del grupo de Oleaginosas -denominación que incluye al girasol, la colza y la soja- del Comité de Organizaciones Agrícolas-Comité General de la Cooperación Agrícola de la Unión Europea (conocid</w:t>
      </w:r>
      <w:r>
        <w:rPr>
          <w:color w:val="000000"/>
        </w:rPr>
        <w:t>o por sus siglas COPA-COGECA). “</w:t>
      </w:r>
      <w:r w:rsidRPr="00E044BF">
        <w:rPr>
          <w:color w:val="000000"/>
        </w:rPr>
        <w:t>Ahora mismo estamos en la mitad de lo que ll</w:t>
      </w:r>
      <w:r>
        <w:rPr>
          <w:color w:val="000000"/>
        </w:rPr>
        <w:t>egamos a producir en su momento”.</w:t>
      </w:r>
    </w:p>
    <w:p w:rsidR="00CC5715" w:rsidRPr="00E044BF" w:rsidRDefault="00CC5715" w:rsidP="00CC5715">
      <w:pPr>
        <w:pStyle w:val="NormalWeb"/>
        <w:shd w:val="clear" w:color="auto" w:fill="F7F7F7"/>
        <w:jc w:val="both"/>
        <w:rPr>
          <w:color w:val="000000"/>
        </w:rPr>
      </w:pPr>
      <w:r w:rsidRPr="00E044BF">
        <w:rPr>
          <w:color w:val="000000"/>
        </w:rPr>
        <w:t>Lo consumimos, lo usamos, en mayor cantidad de lo que somos capaces de producir</w:t>
      </w:r>
      <w:r>
        <w:rPr>
          <w:color w:val="000000"/>
        </w:rPr>
        <w:t>. “</w:t>
      </w:r>
      <w:r w:rsidRPr="00E044BF">
        <w:rPr>
          <w:color w:val="000000"/>
        </w:rPr>
        <w:t>España es un país que importa grano y aceite de girasol, que lo con</w:t>
      </w:r>
      <w:r>
        <w:rPr>
          <w:color w:val="000000"/>
        </w:rPr>
        <w:t>vierte en pienso para el ganado”, explica Gallardo. “</w:t>
      </w:r>
      <w:r w:rsidRPr="00E044BF">
        <w:rPr>
          <w:color w:val="000000"/>
        </w:rPr>
        <w:t>Transformamos grano en carne, que sale al exterior en muchos casos. El aceite para la formulación de pienso es de girasol. Por eso necesitamos girasol de fuera</w:t>
      </w:r>
      <w:r>
        <w:rPr>
          <w:color w:val="000000"/>
        </w:rPr>
        <w:t>. El principal es el de Ucrania”.</w:t>
      </w:r>
    </w:p>
    <w:p w:rsidR="00CC5715" w:rsidRPr="00E044BF" w:rsidRDefault="00CC5715" w:rsidP="00CC5715">
      <w:pPr>
        <w:pStyle w:val="NormalWeb"/>
        <w:shd w:val="clear" w:color="auto" w:fill="F7F7F7"/>
        <w:jc w:val="both"/>
        <w:rPr>
          <w:color w:val="000000"/>
        </w:rPr>
      </w:pPr>
      <w:r w:rsidRPr="00E044BF">
        <w:rPr>
          <w:color w:val="000000"/>
        </w:rPr>
        <w:t>¿Por qué no tiene mayor rendimiento el campo español? Por la sequía que España sí padece, algo especialmente relevante para este tipo d</w:t>
      </w:r>
      <w:r>
        <w:rPr>
          <w:color w:val="000000"/>
        </w:rPr>
        <w:t>e cultivo dado que se trata de “</w:t>
      </w:r>
      <w:r w:rsidRPr="00E044BF">
        <w:rPr>
          <w:color w:val="000000"/>
        </w:rPr>
        <w:t>un factor limitante al giras</w:t>
      </w:r>
      <w:r>
        <w:rPr>
          <w:color w:val="000000"/>
        </w:rPr>
        <w:t>ol”</w:t>
      </w:r>
      <w:r w:rsidRPr="00E044BF">
        <w:rPr>
          <w:color w:val="000000"/>
        </w:rPr>
        <w:t>.</w:t>
      </w:r>
    </w:p>
    <w:p w:rsidR="00CC5715" w:rsidRPr="00E044BF" w:rsidRDefault="00CC5715" w:rsidP="00CC5715">
      <w:pPr>
        <w:pStyle w:val="NormalWeb"/>
        <w:shd w:val="clear" w:color="auto" w:fill="F7F7F7"/>
        <w:jc w:val="both"/>
        <w:rPr>
          <w:color w:val="000000"/>
        </w:rPr>
      </w:pPr>
      <w:r w:rsidRPr="00E044BF">
        <w:rPr>
          <w:color w:val="000000"/>
        </w:rPr>
        <w:t xml:space="preserve">Tras la invasión de Rusia a Ucrania y el desarrollo de la guerra que, por el momento, no tiene visos de finalizar a pesar de las rondas de negociaciones, el vacío en girasol a nivel mundial es notorio. </w:t>
      </w:r>
      <w:r>
        <w:rPr>
          <w:color w:val="000000"/>
        </w:rPr>
        <w:t>“</w:t>
      </w:r>
      <w:r w:rsidRPr="00E044BF">
        <w:rPr>
          <w:color w:val="000000"/>
        </w:rPr>
        <w:t xml:space="preserve">Ucrania seguramente este año no siembre girasol, aunque el conflicto termine mañana. Porque no hay combustible; la semilla no ha llegado. Y va a ser complicado que Ucrania siembre girasol, que se siembra entre mayo </w:t>
      </w:r>
      <w:r>
        <w:rPr>
          <w:color w:val="000000"/>
        </w:rPr>
        <w:t>y junio”</w:t>
      </w:r>
      <w:r w:rsidRPr="00E044BF">
        <w:rPr>
          <w:color w:val="000000"/>
        </w:rPr>
        <w:t>, ahonda el agricultor y representante de una de las mayores organizaciones agrarias a nivel europeo.</w:t>
      </w:r>
    </w:p>
    <w:p w:rsidR="00CC5715" w:rsidRPr="00E044BF" w:rsidRDefault="00CC5715" w:rsidP="00CC5715">
      <w:pPr>
        <w:pStyle w:val="NormalWeb"/>
        <w:shd w:val="clear" w:color="auto" w:fill="F7F7F7"/>
        <w:jc w:val="both"/>
        <w:rPr>
          <w:color w:val="000000"/>
        </w:rPr>
      </w:pPr>
      <w:r w:rsidRPr="00E044BF">
        <w:rPr>
          <w:color w:val="000000"/>
        </w:rPr>
        <w:t>En España, la temporada de siembra es más amplia, porque el clima lo permite. Eso sí, con diferencia del territorio. Lo habitual es sembrar entre</w:t>
      </w:r>
      <w:r>
        <w:rPr>
          <w:color w:val="000000"/>
        </w:rPr>
        <w:t xml:space="preserve"> febrero y mayo. “</w:t>
      </w:r>
      <w:r w:rsidRPr="00E044BF">
        <w:rPr>
          <w:color w:val="000000"/>
        </w:rPr>
        <w:t xml:space="preserve">Pero hay girasoles en </w:t>
      </w:r>
      <w:r>
        <w:rPr>
          <w:color w:val="000000"/>
        </w:rPr>
        <w:t>Burgos que se siembran en junio”, dice Gallardo. “</w:t>
      </w:r>
      <w:r w:rsidRPr="00E044BF">
        <w:rPr>
          <w:color w:val="000000"/>
        </w:rPr>
        <w:t>En la zona de Sevilla-Córdoba-Cádiz se suele sembrar en marzo y abril. Este añ</w:t>
      </w:r>
      <w:r>
        <w:rPr>
          <w:color w:val="000000"/>
        </w:rPr>
        <w:t>o no vamos tarde para sembrarlo”, sostiene.</w:t>
      </w:r>
    </w:p>
    <w:p w:rsidR="00CC5715" w:rsidRPr="00E044BF" w:rsidRDefault="00CC5715" w:rsidP="00CC5715">
      <w:pPr>
        <w:pStyle w:val="NormalWeb"/>
        <w:shd w:val="clear" w:color="auto" w:fill="F7F7F7"/>
        <w:jc w:val="both"/>
        <w:rPr>
          <w:color w:val="000000"/>
        </w:rPr>
      </w:pPr>
      <w:r w:rsidRPr="00E044BF">
        <w:rPr>
          <w:color w:val="000000"/>
        </w:rPr>
        <w:t>Pero, ¿qué ha pasado? ¿Por qué no se ha hecho aún? La sequía, que hemos sufrido intensamente hasta las lluvias de hace unos días.</w:t>
      </w:r>
    </w:p>
    <w:p w:rsidR="00CC5715" w:rsidRPr="00E044BF" w:rsidRDefault="00CC5715" w:rsidP="00CC5715">
      <w:pPr>
        <w:pStyle w:val="NormalWeb"/>
        <w:shd w:val="clear" w:color="auto" w:fill="F7F7F7"/>
        <w:jc w:val="both"/>
        <w:rPr>
          <w:color w:val="000000"/>
        </w:rPr>
      </w:pPr>
      <w:r>
        <w:rPr>
          <w:color w:val="000000"/>
        </w:rPr>
        <w:t>“El agricultor no se ha atrevido”, ejemplifica Pedro Gallardo. “</w:t>
      </w:r>
      <w:r w:rsidRPr="00E044BF">
        <w:rPr>
          <w:color w:val="000000"/>
        </w:rPr>
        <w:t>Yo, en otros años, me he atrevido a sembrar en enero. En este l</w:t>
      </w:r>
      <w:r>
        <w:rPr>
          <w:color w:val="000000"/>
        </w:rPr>
        <w:t>o he hecho a finales de febrero”</w:t>
      </w:r>
      <w:r w:rsidRPr="00E044BF">
        <w:rPr>
          <w:color w:val="000000"/>
        </w:rPr>
        <w:t>.</w:t>
      </w:r>
    </w:p>
    <w:p w:rsidR="00CC5715" w:rsidRPr="00E044BF" w:rsidRDefault="00CC5715" w:rsidP="00CC5715">
      <w:pPr>
        <w:pStyle w:val="NormalWeb"/>
        <w:shd w:val="clear" w:color="auto" w:fill="F7F7F7"/>
        <w:jc w:val="both"/>
        <w:rPr>
          <w:color w:val="000000"/>
        </w:rPr>
      </w:pPr>
      <w:r w:rsidRPr="00E044BF">
        <w:rPr>
          <w:color w:val="000000"/>
        </w:rPr>
        <w:t xml:space="preserve">Parecía que la temporada estaba perdida para los agricultores españoles. Por la sequía, principalmente, un factor diferencial. Pero también por la normativa europea que </w:t>
      </w:r>
      <w:r>
        <w:rPr>
          <w:color w:val="000000"/>
        </w:rPr>
        <w:t>rige la producción del girasol.</w:t>
      </w:r>
    </w:p>
    <w:p w:rsidR="00CC5715" w:rsidRPr="00E044BF" w:rsidRDefault="00CC5715" w:rsidP="00CC5715">
      <w:pPr>
        <w:pStyle w:val="NormalWeb"/>
        <w:shd w:val="clear" w:color="auto" w:fill="F7F7F7"/>
        <w:jc w:val="both"/>
        <w:rPr>
          <w:color w:val="000000"/>
        </w:rPr>
      </w:pPr>
      <w:r w:rsidRPr="00E044BF">
        <w:rPr>
          <w:color w:val="000000"/>
        </w:rPr>
        <w:t xml:space="preserve">No todos los años se planta girasol, sino que, como otros cereales, se rota y el terreno que un año es para esta planta, el siguiente es para garbanzo u otro similar, como el trigo. Es </w:t>
      </w:r>
      <w:r>
        <w:rPr>
          <w:color w:val="000000"/>
        </w:rPr>
        <w:t>así para toda la Unión Europea.</w:t>
      </w:r>
    </w:p>
    <w:p w:rsidR="00CC5715" w:rsidRPr="00E044BF" w:rsidRDefault="00CC5715" w:rsidP="00CC5715">
      <w:pPr>
        <w:pStyle w:val="NormalWeb"/>
        <w:shd w:val="clear" w:color="auto" w:fill="F7F7F7"/>
        <w:jc w:val="both"/>
        <w:rPr>
          <w:color w:val="000000"/>
        </w:rPr>
      </w:pPr>
      <w:r w:rsidRPr="00E044BF">
        <w:rPr>
          <w:color w:val="000000"/>
        </w:rPr>
        <w:t>Legalmente, se debe dejar libre entre un 5-7% del terreno. Realme</w:t>
      </w:r>
      <w:r>
        <w:rPr>
          <w:color w:val="000000"/>
        </w:rPr>
        <w:t>nte, suele dejarse entre 5-10% “por no ir justos”</w:t>
      </w:r>
      <w:r w:rsidRPr="00E044BF">
        <w:rPr>
          <w:color w:val="000000"/>
        </w:rPr>
        <w:t>, apunta Gallardo. Asociaciones como ASAJA ya han elevado una petición a Agricultura para solicitar una excepcionalidad en el Consejo de Ministros de Agricultura comunitario del 21 de marzo</w:t>
      </w:r>
      <w:r>
        <w:rPr>
          <w:color w:val="000000"/>
        </w:rPr>
        <w:t xml:space="preserve"> (2022).</w:t>
      </w:r>
    </w:p>
    <w:p w:rsidR="00CC5715" w:rsidRPr="00E044BF" w:rsidRDefault="00CC5715" w:rsidP="00CC5715">
      <w:pPr>
        <w:pStyle w:val="NormalWeb"/>
        <w:shd w:val="clear" w:color="auto" w:fill="F7F7F7"/>
        <w:jc w:val="both"/>
        <w:rPr>
          <w:color w:val="000000"/>
        </w:rPr>
      </w:pPr>
      <w:r w:rsidRPr="00E044BF">
        <w:rPr>
          <w:color w:val="000000"/>
        </w:rPr>
        <w:lastRenderedPageBreak/>
        <w:t>Tanto es así que fuentes del Ministerio de Agr</w:t>
      </w:r>
      <w:r>
        <w:rPr>
          <w:color w:val="000000"/>
        </w:rPr>
        <w:t>icultura precisan que “</w:t>
      </w:r>
      <w:r w:rsidRPr="00E044BF">
        <w:rPr>
          <w:color w:val="000000"/>
        </w:rPr>
        <w:t xml:space="preserve">todo lo referente a determinación de superficies de cultivo o rotación son normativas de la UE, que están en </w:t>
      </w:r>
      <w:r>
        <w:rPr>
          <w:color w:val="000000"/>
        </w:rPr>
        <w:t>la Política Agraria Común (PAC)”. “</w:t>
      </w:r>
      <w:r w:rsidRPr="00E044BF">
        <w:rPr>
          <w:color w:val="000000"/>
        </w:rPr>
        <w:t xml:space="preserve">Precisamente lo que España y otros países están pidiendo de cara al Consejo </w:t>
      </w:r>
      <w:r>
        <w:rPr>
          <w:color w:val="000000"/>
        </w:rPr>
        <w:t xml:space="preserve">de Ministros de Agricultura próximo </w:t>
      </w:r>
      <w:r w:rsidRPr="00E044BF">
        <w:rPr>
          <w:color w:val="000000"/>
        </w:rPr>
        <w:t>es que se flexibilicen esas normas para poder aumentar las superficie</w:t>
      </w:r>
      <w:r>
        <w:rPr>
          <w:color w:val="000000"/>
        </w:rPr>
        <w:t>s de producción dentro de la UE”.</w:t>
      </w:r>
    </w:p>
    <w:p w:rsidR="00CC5715" w:rsidRPr="00E044BF" w:rsidRDefault="00CC5715" w:rsidP="00CC5715">
      <w:pPr>
        <w:pStyle w:val="NormalWeb"/>
        <w:shd w:val="clear" w:color="auto" w:fill="F7F7F7"/>
        <w:jc w:val="both"/>
        <w:rPr>
          <w:color w:val="000000"/>
        </w:rPr>
      </w:pPr>
      <w:r w:rsidRPr="00E044BF">
        <w:rPr>
          <w:color w:val="000000"/>
        </w:rPr>
        <w:t>Gabriel Trenzado es el director de Asuntos para la Unión Europea e Internacional de Cooperativas Agroalimentarias de España. Es taxativ</w:t>
      </w:r>
      <w:r>
        <w:rPr>
          <w:color w:val="000000"/>
        </w:rPr>
        <w:t>o: “</w:t>
      </w:r>
      <w:r w:rsidRPr="00E044BF">
        <w:rPr>
          <w:color w:val="000000"/>
        </w:rPr>
        <w:t>La UE es deficitaria de oleaginosas, y España se ha convertido en un gran dependiente del girasol que procede de Ucrania. Es una fuente de abastecimiento para la industria agroalimenta</w:t>
      </w:r>
      <w:r>
        <w:rPr>
          <w:color w:val="000000"/>
        </w:rPr>
        <w:t>ria y la elaboración de piensos”.</w:t>
      </w:r>
    </w:p>
    <w:p w:rsidR="00CC5715" w:rsidRPr="00E044BF" w:rsidRDefault="00CC5715" w:rsidP="00CC5715">
      <w:pPr>
        <w:pStyle w:val="NormalWeb"/>
        <w:shd w:val="clear" w:color="auto" w:fill="F7F7F7"/>
        <w:jc w:val="both"/>
        <w:rPr>
          <w:color w:val="000000"/>
        </w:rPr>
      </w:pPr>
      <w:r w:rsidRPr="00E044BF">
        <w:rPr>
          <w:color w:val="000000"/>
        </w:rPr>
        <w:t>Aun así, las cosas pueden cambiar. El margen es ajustado, pero se está a tiempo.</w:t>
      </w:r>
    </w:p>
    <w:p w:rsidR="00CC5715" w:rsidRPr="00E044BF" w:rsidRDefault="00CC5715" w:rsidP="00CC5715">
      <w:pPr>
        <w:pStyle w:val="NormalWeb"/>
        <w:shd w:val="clear" w:color="auto" w:fill="F7F7F7"/>
        <w:jc w:val="both"/>
        <w:rPr>
          <w:color w:val="000000"/>
        </w:rPr>
      </w:pPr>
      <w:r>
        <w:rPr>
          <w:color w:val="000000"/>
        </w:rPr>
        <w:t>(</w:t>
      </w:r>
      <w:r w:rsidRPr="00463E11">
        <w:rPr>
          <w:b/>
          <w:color w:val="000000"/>
        </w:rPr>
        <w:t>18/3/22</w:t>
      </w:r>
      <w:r>
        <w:rPr>
          <w:color w:val="000000"/>
        </w:rPr>
        <w:t>) “Vamos con retraso”</w:t>
      </w:r>
      <w:r w:rsidRPr="00E044BF">
        <w:rPr>
          <w:color w:val="000000"/>
        </w:rPr>
        <w:t>, reconoce Pedro Gallardo, pero lanza un mensaje de aliento</w:t>
      </w:r>
      <w:r>
        <w:rPr>
          <w:color w:val="000000"/>
        </w:rPr>
        <w:t>. “</w:t>
      </w:r>
      <w:r w:rsidRPr="00E044BF">
        <w:rPr>
          <w:color w:val="000000"/>
        </w:rPr>
        <w:t>Vamos a tener un porcentaje menor de siembra, porque ya tendríamos que tener un 50% del terreno cultivado y llevamos entre un 20 o 30%. Pero, con lo que ha llovido en la última semana y con los precios, está haciendo que al agricultor le apetezca sembra</w:t>
      </w:r>
      <w:r>
        <w:rPr>
          <w:color w:val="000000"/>
        </w:rPr>
        <w:t>r mucho girasol”.</w:t>
      </w:r>
    </w:p>
    <w:p w:rsidR="00CC5715" w:rsidRDefault="00CC5715" w:rsidP="00CC5715">
      <w:pPr>
        <w:pStyle w:val="NormalWeb"/>
        <w:shd w:val="clear" w:color="auto" w:fill="F7F7F7"/>
        <w:jc w:val="both"/>
        <w:rPr>
          <w:color w:val="000000"/>
        </w:rPr>
      </w:pPr>
      <w:r w:rsidRPr="00E044BF">
        <w:rPr>
          <w:color w:val="000000"/>
        </w:rPr>
        <w:t>La situación es jugosa. En la actualidad se están ofreciendo contratos a más de 850€/tonelada. Por comparar, el año pasado la cifra general estaba en 550€/tonelada, y hace dos, 360€/tonelada.</w:t>
      </w:r>
    </w:p>
    <w:p w:rsidR="00CC5715" w:rsidRPr="00E044BF" w:rsidRDefault="00CC5715" w:rsidP="00CC5715">
      <w:pPr>
        <w:pStyle w:val="NormalWeb"/>
        <w:shd w:val="clear" w:color="auto" w:fill="F7F7F7"/>
        <w:jc w:val="both"/>
        <w:rPr>
          <w:color w:val="000000"/>
        </w:rPr>
      </w:pPr>
      <w:r w:rsidRPr="00E044BF">
        <w:rPr>
          <w:color w:val="000000"/>
        </w:rPr>
        <w:t>El sector está en ebullición, y otros cultivos se están viendo también ben</w:t>
      </w:r>
      <w:r>
        <w:rPr>
          <w:color w:val="000000"/>
        </w:rPr>
        <w:t>eficiados. Cuenta Gallardo que “</w:t>
      </w:r>
      <w:r w:rsidRPr="00E044BF">
        <w:rPr>
          <w:color w:val="000000"/>
        </w:rPr>
        <w:t>hay contratos de las cooperativas alemanas de colza, que se recolecta dentro de meses, en agosto, a 840€ la tonelada. Porque ya se sabe que los precios pueden ir por ahí. Esto siempre va con pinzas, porque al final no se sabe. Porque hay mucha volati</w:t>
      </w:r>
      <w:r>
        <w:rPr>
          <w:color w:val="000000"/>
        </w:rPr>
        <w:t>lidad. Pero así está el mercado”.</w:t>
      </w:r>
    </w:p>
    <w:p w:rsidR="00CC5715" w:rsidRPr="00E044BF" w:rsidRDefault="00CC5715" w:rsidP="00CC5715">
      <w:pPr>
        <w:pStyle w:val="NormalWeb"/>
        <w:shd w:val="clear" w:color="auto" w:fill="F7F7F7"/>
        <w:jc w:val="both"/>
        <w:rPr>
          <w:color w:val="000000"/>
        </w:rPr>
      </w:pPr>
      <w:r w:rsidRPr="00E044BF">
        <w:rPr>
          <w:color w:val="000000"/>
        </w:rPr>
        <w:t>Trenzado se</w:t>
      </w:r>
      <w:r>
        <w:rPr>
          <w:color w:val="000000"/>
        </w:rPr>
        <w:t xml:space="preserve"> manifiesta en la misma línea. “</w:t>
      </w:r>
      <w:r w:rsidRPr="00E044BF">
        <w:rPr>
          <w:color w:val="000000"/>
        </w:rPr>
        <w:t xml:space="preserve">Ahora puede convertirse por los precios en una oportunidad. Esto no ocurre de la noche a la mañana. Y en España, con la sequía, es complicado. En regadío siempre se utiliza con otros cereales, pero va a haber escasez por la falta de suministro. En </w:t>
      </w:r>
      <w:r>
        <w:rPr>
          <w:color w:val="000000"/>
        </w:rPr>
        <w:t>maíz también somos dependientes”, subraya.</w:t>
      </w:r>
    </w:p>
    <w:p w:rsidR="00CC5715" w:rsidRPr="00E044BF" w:rsidRDefault="00CC5715" w:rsidP="00CC5715">
      <w:pPr>
        <w:pStyle w:val="NormalWeb"/>
        <w:shd w:val="clear" w:color="auto" w:fill="F7F7F7"/>
        <w:jc w:val="both"/>
        <w:rPr>
          <w:color w:val="000000"/>
        </w:rPr>
      </w:pPr>
      <w:r w:rsidRPr="00E044BF">
        <w:rPr>
          <w:color w:val="000000"/>
        </w:rPr>
        <w:t xml:space="preserve">No es extraña la imagen tradicional de campos de girasol pudriéndose en nuestro país, </w:t>
      </w:r>
      <w:r>
        <w:rPr>
          <w:color w:val="000000"/>
        </w:rPr>
        <w:t>pero es cosa del pasado. “</w:t>
      </w:r>
      <w:r w:rsidRPr="00E044BF">
        <w:rPr>
          <w:color w:val="000000"/>
        </w:rPr>
        <w:t>En España no es que se prohíba el girasol, pero económicamente no es interesante. Hay otros pa</w:t>
      </w:r>
      <w:r>
        <w:rPr>
          <w:color w:val="000000"/>
        </w:rPr>
        <w:t>íses que tienen más rendimiento”</w:t>
      </w:r>
      <w:r w:rsidRPr="00E044BF">
        <w:rPr>
          <w:color w:val="000000"/>
        </w:rPr>
        <w:t>, afirma el dirigente de las Cooperati</w:t>
      </w:r>
      <w:r>
        <w:rPr>
          <w:color w:val="000000"/>
        </w:rPr>
        <w:t>vas Agroalimentarias de España.</w:t>
      </w:r>
    </w:p>
    <w:p w:rsidR="00CC5715" w:rsidRPr="00E044BF" w:rsidRDefault="00CC5715" w:rsidP="00CC5715">
      <w:pPr>
        <w:pStyle w:val="NormalWeb"/>
        <w:shd w:val="clear" w:color="auto" w:fill="F7F7F7"/>
        <w:jc w:val="both"/>
        <w:rPr>
          <w:color w:val="000000"/>
        </w:rPr>
      </w:pPr>
      <w:r>
        <w:rPr>
          <w:color w:val="000000"/>
        </w:rPr>
        <w:t>“</w:t>
      </w:r>
      <w:r w:rsidRPr="00E044BF">
        <w:rPr>
          <w:color w:val="000000"/>
        </w:rPr>
        <w:t>La PAC no desincentiva ni controla el girasol, ni ningún cultivo. Un agricultor recibe una ayuda PAC porque mantiene sus tierras en buenas condiciones agrícolas y medioambientales. La filosofía es orien</w:t>
      </w:r>
      <w:r>
        <w:rPr>
          <w:color w:val="000000"/>
        </w:rPr>
        <w:t>tar las producciones al mercado”</w:t>
      </w:r>
      <w:r w:rsidRPr="00E044BF">
        <w:rPr>
          <w:color w:val="000000"/>
        </w:rPr>
        <w:t>, insiste Gabriel Trenzado.</w:t>
      </w:r>
    </w:p>
    <w:p w:rsidR="00CC5715" w:rsidRPr="00E044BF" w:rsidRDefault="00CC5715" w:rsidP="00CC5715">
      <w:pPr>
        <w:pStyle w:val="NormalWeb"/>
        <w:shd w:val="clear" w:color="auto" w:fill="F7F7F7"/>
        <w:jc w:val="both"/>
        <w:rPr>
          <w:color w:val="000000"/>
        </w:rPr>
      </w:pPr>
      <w:r w:rsidRPr="00E044BF">
        <w:rPr>
          <w:color w:val="000000"/>
        </w:rPr>
        <w:t>Antes de 2004 existía un pago al girasol extraordinario, porque es un cultivo que se utilizar para rotar con cereales. Se pagaba al cultivar y no se recogía. Pero con la implantación de la Agenda 2000 comuni</w:t>
      </w:r>
      <w:r>
        <w:rPr>
          <w:color w:val="000000"/>
        </w:rPr>
        <w:t>taria eso cambió. Ya no existe.</w:t>
      </w:r>
    </w:p>
    <w:p w:rsidR="00CC5715" w:rsidRPr="00E044BF" w:rsidRDefault="00CC5715" w:rsidP="00CC5715">
      <w:pPr>
        <w:pStyle w:val="NormalWeb"/>
        <w:shd w:val="clear" w:color="auto" w:fill="F7F7F7"/>
        <w:jc w:val="both"/>
        <w:rPr>
          <w:color w:val="000000"/>
        </w:rPr>
      </w:pPr>
      <w:r w:rsidRPr="00E044BF">
        <w:rPr>
          <w:color w:val="000000"/>
        </w:rPr>
        <w:t>Y ahora el girasol es más rentable que nunca. Sin los dos mayores productores de aceite de girasol a nivel global, el tablero es otro. Por comparar: Ucrania es el mayor productor de aceite de girasol del mundo con 4.400.324 t</w:t>
      </w:r>
      <w:r>
        <w:rPr>
          <w:color w:val="000000"/>
        </w:rPr>
        <w:t>oneladas de producción por año.</w:t>
      </w:r>
    </w:p>
    <w:p w:rsidR="00CC5715" w:rsidRPr="00E044BF" w:rsidRDefault="00CC5715" w:rsidP="00CC5715">
      <w:pPr>
        <w:pStyle w:val="NormalWeb"/>
        <w:shd w:val="clear" w:color="auto" w:fill="F7F7F7"/>
        <w:jc w:val="both"/>
        <w:rPr>
          <w:color w:val="000000"/>
        </w:rPr>
      </w:pPr>
      <w:r>
        <w:rPr>
          <w:color w:val="000000"/>
        </w:rPr>
        <w:lastRenderedPageBreak/>
        <w:t>España, “según la campaña y año”</w:t>
      </w:r>
      <w:r w:rsidRPr="00E044BF">
        <w:rPr>
          <w:color w:val="000000"/>
        </w:rPr>
        <w:t>, precisa el director general de la Asociación Nacional de Industriales Envasadores y Refinadores de Aceites Comestibles (</w:t>
      </w:r>
      <w:r>
        <w:rPr>
          <w:color w:val="000000"/>
        </w:rPr>
        <w:t>Anierac), Primitivo Fernández, “</w:t>
      </w:r>
      <w:r w:rsidRPr="00E044BF">
        <w:rPr>
          <w:color w:val="000000"/>
        </w:rPr>
        <w:t xml:space="preserve">tenemos 800.000 hectáreas de este cultivo que producen más o menos la misma cantidad de pipa de girasol, en toneladas. El rendimiento de la pipa en aceite es del 40-42%. Esto nos da una cifra en torno a 300.000 toneladas de aceite </w:t>
      </w:r>
      <w:r>
        <w:rPr>
          <w:color w:val="000000"/>
        </w:rPr>
        <w:t>de girasol, algo arriba o abajo”</w:t>
      </w:r>
      <w:r w:rsidRPr="00E044BF">
        <w:rPr>
          <w:color w:val="000000"/>
        </w:rPr>
        <w:t>.</w:t>
      </w:r>
    </w:p>
    <w:p w:rsidR="00CC5715" w:rsidRPr="00E044BF" w:rsidRDefault="00CC5715" w:rsidP="00CC5715">
      <w:pPr>
        <w:pStyle w:val="NormalWeb"/>
        <w:shd w:val="clear" w:color="auto" w:fill="F7F7F7"/>
        <w:jc w:val="both"/>
        <w:rPr>
          <w:color w:val="000000"/>
        </w:rPr>
      </w:pPr>
      <w:r>
        <w:rPr>
          <w:color w:val="000000"/>
        </w:rPr>
        <w:t>“</w:t>
      </w:r>
      <w:r w:rsidRPr="00E044BF">
        <w:rPr>
          <w:color w:val="000000"/>
        </w:rPr>
        <w:t>Este es un año</w:t>
      </w:r>
      <w:r>
        <w:rPr>
          <w:color w:val="000000"/>
        </w:rPr>
        <w:t xml:space="preserve"> para sembrar hasta las macetas”</w:t>
      </w:r>
      <w:r w:rsidRPr="00E044BF">
        <w:rPr>
          <w:color w:val="000000"/>
        </w:rPr>
        <w:t>, senten</w:t>
      </w:r>
      <w:r>
        <w:rPr>
          <w:color w:val="000000"/>
        </w:rPr>
        <w:t>cia Pedro Gallardo. “</w:t>
      </w:r>
      <w:r w:rsidRPr="00E044BF">
        <w:rPr>
          <w:color w:val="000000"/>
        </w:rPr>
        <w:t>Es un año que hay rentabilidad, que puede haber rentabilidad en el cultivo a estos precios. Cierto es que el combustible vale un 270% más que el año pasado, los fertilizantes también, pero aun</w:t>
      </w:r>
      <w:r>
        <w:rPr>
          <w:color w:val="000000"/>
        </w:rPr>
        <w:t xml:space="preserve"> así, compensa”.</w:t>
      </w:r>
    </w:p>
    <w:p w:rsidR="00CC5715" w:rsidRPr="00E044BF" w:rsidRDefault="00CC5715" w:rsidP="00CC5715">
      <w:pPr>
        <w:pStyle w:val="NormalWeb"/>
        <w:shd w:val="clear" w:color="auto" w:fill="F7F7F7"/>
        <w:jc w:val="both"/>
        <w:rPr>
          <w:color w:val="000000"/>
        </w:rPr>
      </w:pPr>
      <w:r w:rsidRPr="00E044BF">
        <w:rPr>
          <w:color w:val="000000"/>
        </w:rPr>
        <w:t>Los principales territorios de produ</w:t>
      </w:r>
      <w:r>
        <w:rPr>
          <w:color w:val="000000"/>
        </w:rPr>
        <w:t>cción de girasol en España</w:t>
      </w:r>
      <w:r w:rsidRPr="00E044BF">
        <w:rPr>
          <w:color w:val="000000"/>
        </w:rPr>
        <w:t xml:space="preserve"> son Sevilla, Cuenca y Burgos. Las tres provincias, en ese orden, son las mayores productoras de girasol de las 773.787 toneladas que se cultivaron en 2019, según los últimos datos disponibles del Ministerio de Agricult</w:t>
      </w:r>
      <w:r>
        <w:rPr>
          <w:color w:val="000000"/>
        </w:rPr>
        <w:t>ura. Le siguen Cádiz y Córdoba.</w:t>
      </w:r>
    </w:p>
    <w:p w:rsidR="00CC5715" w:rsidRPr="00E044BF" w:rsidRDefault="00CC5715" w:rsidP="00CC5715">
      <w:pPr>
        <w:pStyle w:val="NormalWeb"/>
        <w:shd w:val="clear" w:color="auto" w:fill="F7F7F7"/>
        <w:jc w:val="both"/>
        <w:rPr>
          <w:color w:val="000000"/>
        </w:rPr>
      </w:pPr>
      <w:r w:rsidRPr="00E044BF">
        <w:rPr>
          <w:color w:val="000000"/>
        </w:rPr>
        <w:t>Así, la</w:t>
      </w:r>
      <w:r>
        <w:rPr>
          <w:color w:val="000000"/>
        </w:rPr>
        <w:t xml:space="preserve"> campaña no está perdida, sino “todo lo contrario”, sostiene Gallardo. “</w:t>
      </w:r>
      <w:r w:rsidRPr="00E044BF">
        <w:rPr>
          <w:color w:val="000000"/>
        </w:rPr>
        <w:t xml:space="preserve">En Andalucía podemos sembrar hasta final de abril. </w:t>
      </w:r>
      <w:r>
        <w:rPr>
          <w:color w:val="000000"/>
        </w:rPr>
        <w:t>En Cuenca y Burgos queda mucho”</w:t>
      </w:r>
      <w:r w:rsidRPr="00E044BF">
        <w:rPr>
          <w:color w:val="000000"/>
        </w:rPr>
        <w:t>.</w:t>
      </w:r>
    </w:p>
    <w:p w:rsidR="00CC5715" w:rsidRPr="00E044BF" w:rsidRDefault="00CC5715" w:rsidP="00CC5715">
      <w:pPr>
        <w:pStyle w:val="NormalWeb"/>
        <w:shd w:val="clear" w:color="auto" w:fill="F7F7F7"/>
        <w:jc w:val="both"/>
        <w:rPr>
          <w:color w:val="000000"/>
        </w:rPr>
      </w:pPr>
      <w:r>
        <w:rPr>
          <w:color w:val="000000"/>
        </w:rPr>
        <w:t>“</w:t>
      </w:r>
      <w:r w:rsidRPr="00E044BF">
        <w:rPr>
          <w:color w:val="000000"/>
        </w:rPr>
        <w:t>En Andalucía, con lo llovido estos días, con una primavera suave, y nos caen entre 50-100L, el girasol se puede criar muy bien. Hasta 2 toneladas por hectárea. Si la primavera acompaña y nos cae eso, el girasol se puede c</w:t>
      </w:r>
      <w:r>
        <w:rPr>
          <w:color w:val="000000"/>
        </w:rPr>
        <w:t>riar muy bien”.</w:t>
      </w:r>
    </w:p>
    <w:p w:rsidR="00CC5715" w:rsidRDefault="00CC5715" w:rsidP="00CC5715">
      <w:pPr>
        <w:pStyle w:val="NormalWeb"/>
        <w:shd w:val="clear" w:color="auto" w:fill="F7F7F7"/>
        <w:jc w:val="both"/>
        <w:rPr>
          <w:color w:val="000000"/>
        </w:rPr>
      </w:pPr>
      <w:r w:rsidRPr="00E044BF">
        <w:rPr>
          <w:color w:val="000000"/>
        </w:rPr>
        <w:t>El primer girasol se recoge a finales de junio o las dos primeras semanas de julio, siempre y cuando las condiciones sean normales. De momento, todo está con el viento de cara. Está por ver si se consigue aprovechar la oportunidad... o qué pasa con nuestros campos de girasoles.</w:t>
      </w:r>
    </w:p>
    <w:p w:rsidR="00CC5715" w:rsidRDefault="00CC5715" w:rsidP="00CC5715">
      <w:pPr>
        <w:pStyle w:val="NormalWeb"/>
        <w:shd w:val="clear" w:color="auto" w:fill="F7F7F7"/>
        <w:jc w:val="both"/>
        <w:rPr>
          <w:b/>
          <w:color w:val="000000"/>
        </w:rPr>
      </w:pPr>
      <w:r w:rsidRPr="006A79EB">
        <w:rPr>
          <w:b/>
          <w:color w:val="000000"/>
        </w:rPr>
        <w:t>E</w:t>
      </w:r>
      <w:r>
        <w:rPr>
          <w:b/>
          <w:color w:val="000000"/>
        </w:rPr>
        <w:t xml:space="preserve">ntre </w:t>
      </w:r>
      <w:r w:rsidR="00372E47">
        <w:rPr>
          <w:b/>
          <w:color w:val="000000"/>
        </w:rPr>
        <w:t>“</w:t>
      </w:r>
      <w:r>
        <w:rPr>
          <w:b/>
          <w:color w:val="000000"/>
        </w:rPr>
        <w:t>los gozos y las</w:t>
      </w:r>
      <w:r w:rsidRPr="006A79EB">
        <w:rPr>
          <w:b/>
          <w:color w:val="000000"/>
        </w:rPr>
        <w:t xml:space="preserve"> so</w:t>
      </w:r>
      <w:r>
        <w:rPr>
          <w:b/>
          <w:color w:val="000000"/>
        </w:rPr>
        <w:t>m</w:t>
      </w:r>
      <w:r w:rsidRPr="006A79EB">
        <w:rPr>
          <w:b/>
          <w:color w:val="000000"/>
        </w:rPr>
        <w:t>bras</w:t>
      </w:r>
      <w:r w:rsidR="00372E47">
        <w:rPr>
          <w:b/>
          <w:color w:val="000000"/>
        </w:rPr>
        <w:t>”</w:t>
      </w:r>
      <w:r w:rsidRPr="006A79EB">
        <w:rPr>
          <w:b/>
          <w:color w:val="000000"/>
        </w:rPr>
        <w:t>, E</w:t>
      </w:r>
      <w:r>
        <w:rPr>
          <w:b/>
          <w:color w:val="000000"/>
        </w:rPr>
        <w:t>spaña sirve como ejemplo del</w:t>
      </w:r>
      <w:r w:rsidRPr="006A79EB">
        <w:rPr>
          <w:b/>
          <w:color w:val="000000"/>
        </w:rPr>
        <w:t xml:space="preserve"> esperpento de la PAC</w:t>
      </w:r>
    </w:p>
    <w:p w:rsidR="00CC5715" w:rsidRPr="00C930B7" w:rsidRDefault="00CC5715" w:rsidP="00CC5715">
      <w:pPr>
        <w:pStyle w:val="NormalWeb"/>
        <w:shd w:val="clear" w:color="auto" w:fill="F7F7F7"/>
        <w:jc w:val="both"/>
        <w:rPr>
          <w:b/>
          <w:color w:val="000000"/>
        </w:rPr>
      </w:pPr>
      <w:r w:rsidRPr="00C930B7">
        <w:rPr>
          <w:b/>
          <w:color w:val="000000"/>
        </w:rPr>
        <w:t>¿Cómo podré explicarle a mis nietos, que han sido “condenados a ser más pobres”, que sus padres, por unos burócratas de Bruselas, que en su “puta vida” han trabajado en el campo, o en una empresa; que nunca han tenido que hacer sacrificios para pagar una nómina, o los seguros sociales, o los impuestos, con los que luego los expolia, la misma entidad que dice defenderlos?</w:t>
      </w:r>
    </w:p>
    <w:p w:rsidR="00CC5715" w:rsidRPr="00C930B7" w:rsidRDefault="00CC5715" w:rsidP="00CC5715">
      <w:pPr>
        <w:spacing w:line="240" w:lineRule="auto"/>
        <w:jc w:val="both"/>
        <w:rPr>
          <w:rFonts w:ascii="Times New Roman" w:hAnsi="Times New Roman" w:cs="Times New Roman"/>
          <w:b/>
          <w:sz w:val="24"/>
          <w:szCs w:val="24"/>
        </w:rPr>
      </w:pPr>
      <w:r w:rsidRPr="00C930B7">
        <w:rPr>
          <w:rFonts w:ascii="Times New Roman" w:hAnsi="Times New Roman" w:cs="Times New Roman"/>
          <w:b/>
          <w:sz w:val="24"/>
          <w:szCs w:val="24"/>
        </w:rPr>
        <w:t>El daño colateral de la guerra en la cesta de la compra: el precio del trigo y del maíz sube un 43% y un 18%.</w:t>
      </w:r>
    </w:p>
    <w:p w:rsidR="00CC5715" w:rsidRPr="00C930B7" w:rsidRDefault="00CC5715" w:rsidP="00CC5715">
      <w:pPr>
        <w:spacing w:line="240" w:lineRule="auto"/>
        <w:jc w:val="both"/>
        <w:rPr>
          <w:rFonts w:ascii="Times New Roman" w:hAnsi="Times New Roman" w:cs="Times New Roman"/>
          <w:b/>
          <w:sz w:val="24"/>
          <w:szCs w:val="24"/>
        </w:rPr>
      </w:pPr>
      <w:r w:rsidRPr="00C930B7">
        <w:rPr>
          <w:rFonts w:ascii="Times New Roman" w:hAnsi="Times New Roman" w:cs="Times New Roman"/>
          <w:b/>
          <w:sz w:val="24"/>
          <w:szCs w:val="24"/>
        </w:rPr>
        <w:t>España pide a Bruselas usar el 10% de sus tierras de cultivo para plantar el cereal perdido por la guerra en Ucrania. Reclama que deje de ser obligatorio que haya tierras en barbecho para cobrar la PAC.</w:t>
      </w:r>
    </w:p>
    <w:p w:rsidR="00CC5715" w:rsidRPr="00C930B7" w:rsidRDefault="00CC5715" w:rsidP="00CC5715">
      <w:pPr>
        <w:spacing w:line="240" w:lineRule="auto"/>
        <w:jc w:val="both"/>
        <w:rPr>
          <w:rFonts w:ascii="Times New Roman" w:hAnsi="Times New Roman" w:cs="Times New Roman"/>
          <w:b/>
          <w:sz w:val="24"/>
          <w:szCs w:val="24"/>
        </w:rPr>
      </w:pPr>
      <w:r w:rsidRPr="00C930B7">
        <w:rPr>
          <w:rFonts w:ascii="Times New Roman" w:hAnsi="Times New Roman" w:cs="Times New Roman"/>
          <w:b/>
          <w:sz w:val="24"/>
          <w:szCs w:val="24"/>
        </w:rPr>
        <w:t>Alerta en la ganadería: los productores de pienso prevén escasez de maíz en un mes por la guerra de Ucrania.</w:t>
      </w:r>
    </w:p>
    <w:p w:rsidR="00CC5715" w:rsidRPr="00C930B7" w:rsidRDefault="00CC5715" w:rsidP="00CC5715">
      <w:pPr>
        <w:spacing w:line="240" w:lineRule="auto"/>
        <w:jc w:val="both"/>
        <w:rPr>
          <w:rFonts w:ascii="Times New Roman" w:hAnsi="Times New Roman" w:cs="Times New Roman"/>
          <w:b/>
          <w:sz w:val="24"/>
          <w:szCs w:val="24"/>
        </w:rPr>
      </w:pPr>
      <w:r w:rsidRPr="00C930B7">
        <w:rPr>
          <w:rFonts w:ascii="Times New Roman" w:hAnsi="Times New Roman" w:cs="Times New Roman"/>
          <w:b/>
          <w:sz w:val="24"/>
          <w:szCs w:val="24"/>
        </w:rPr>
        <w:t xml:space="preserve">España podría cultivar en un 10% más de hectáreas si dejara de tener tierras en barbecho.  </w:t>
      </w:r>
    </w:p>
    <w:p w:rsidR="00CC5715" w:rsidRPr="00C930B7" w:rsidRDefault="00CC5715" w:rsidP="00CC5715">
      <w:pPr>
        <w:spacing w:line="240" w:lineRule="auto"/>
        <w:jc w:val="both"/>
        <w:rPr>
          <w:rFonts w:ascii="Times New Roman" w:hAnsi="Times New Roman" w:cs="Times New Roman"/>
          <w:b/>
          <w:sz w:val="24"/>
          <w:szCs w:val="24"/>
        </w:rPr>
      </w:pPr>
      <w:r w:rsidRPr="00C930B7">
        <w:rPr>
          <w:rFonts w:ascii="Times New Roman" w:hAnsi="Times New Roman" w:cs="Times New Roman"/>
          <w:b/>
          <w:sz w:val="24"/>
          <w:szCs w:val="24"/>
        </w:rPr>
        <w:t>¿Aceptará Bruselas que deje de ser obligatorio para los agricultores tener tierras sin cultivar para poder ser beneficiarios de la Política Agraria Común (PAC)?</w:t>
      </w:r>
    </w:p>
    <w:p w:rsidR="00CC5715" w:rsidRPr="00C930B7" w:rsidRDefault="00CC5715" w:rsidP="00CC5715">
      <w:pPr>
        <w:spacing w:line="240" w:lineRule="auto"/>
        <w:jc w:val="both"/>
        <w:rPr>
          <w:rFonts w:ascii="Times New Roman" w:hAnsi="Times New Roman" w:cs="Times New Roman"/>
          <w:b/>
          <w:sz w:val="24"/>
          <w:szCs w:val="24"/>
        </w:rPr>
      </w:pPr>
      <w:r w:rsidRPr="00C930B7">
        <w:rPr>
          <w:rFonts w:ascii="Times New Roman" w:hAnsi="Times New Roman" w:cs="Times New Roman"/>
          <w:b/>
          <w:sz w:val="24"/>
          <w:szCs w:val="24"/>
        </w:rPr>
        <w:lastRenderedPageBreak/>
        <w:t>¿Cómo podré explicarle a mis nietos que en la moderna, ecológica, sostenible, circular, feminista, global, virtual, resiliente, disruptiva, progresista, democrática, dialogante, consensual, unánime… Unión Europea, los contribuyentes estamos condenados a “pagar los platos rotos sin tener nada que ver”?</w:t>
      </w:r>
    </w:p>
    <w:p w:rsidR="00CC5715" w:rsidRPr="00C930B7" w:rsidRDefault="00CC5715" w:rsidP="00CC5715">
      <w:pPr>
        <w:spacing w:line="240" w:lineRule="auto"/>
        <w:jc w:val="both"/>
        <w:rPr>
          <w:rFonts w:ascii="Times New Roman" w:hAnsi="Times New Roman" w:cs="Times New Roman"/>
          <w:b/>
          <w:sz w:val="24"/>
          <w:szCs w:val="24"/>
        </w:rPr>
      </w:pPr>
      <w:r w:rsidRPr="00C930B7">
        <w:rPr>
          <w:rFonts w:ascii="Times New Roman" w:hAnsi="Times New Roman" w:cs="Times New Roman"/>
          <w:b/>
          <w:sz w:val="24"/>
          <w:szCs w:val="24"/>
        </w:rPr>
        <w:t>¿Cómo podré explicarle a mis nietos que la Unión Europea renunció, “voluntariamente”, a su “autosuficiencia alimentaria”, a su “soberanía energética”  y su “riqueza industrial”?</w:t>
      </w:r>
    </w:p>
    <w:p w:rsidR="00CC5715" w:rsidRPr="00C930B7" w:rsidRDefault="00CC5715" w:rsidP="00CC5715">
      <w:pPr>
        <w:spacing w:line="240" w:lineRule="auto"/>
        <w:jc w:val="both"/>
        <w:rPr>
          <w:rFonts w:ascii="Times New Roman" w:hAnsi="Times New Roman" w:cs="Times New Roman"/>
          <w:b/>
          <w:sz w:val="24"/>
          <w:szCs w:val="24"/>
        </w:rPr>
      </w:pPr>
      <w:r w:rsidRPr="00C930B7">
        <w:rPr>
          <w:rFonts w:ascii="Times New Roman" w:hAnsi="Times New Roman" w:cs="Times New Roman"/>
          <w:b/>
          <w:sz w:val="24"/>
          <w:szCs w:val="24"/>
        </w:rPr>
        <w:t>Y luego de haberles “explicado lo inexplicable”, ¿cómo podré convencerles para que sean unos “eurófilos”? ¿ilusionarlos con la “ciudadanía” de los Estados Unidos de Europa?</w:t>
      </w:r>
    </w:p>
    <w:p w:rsidR="00CC5715" w:rsidRPr="00C930B7" w:rsidRDefault="00CC5715" w:rsidP="00CC5715">
      <w:pPr>
        <w:spacing w:line="240" w:lineRule="auto"/>
        <w:jc w:val="both"/>
        <w:rPr>
          <w:rFonts w:ascii="Times New Roman" w:hAnsi="Times New Roman" w:cs="Times New Roman"/>
          <w:b/>
          <w:sz w:val="24"/>
          <w:szCs w:val="24"/>
        </w:rPr>
      </w:pPr>
      <w:r w:rsidRPr="00C930B7">
        <w:rPr>
          <w:rFonts w:ascii="Times New Roman" w:hAnsi="Times New Roman" w:cs="Times New Roman"/>
          <w:b/>
          <w:sz w:val="24"/>
          <w:szCs w:val="24"/>
        </w:rPr>
        <w:t>¿Habrá llegado el momento que para ser “eurófilo”, habrá que ser “eurofobo”?</w:t>
      </w:r>
    </w:p>
    <w:p w:rsidR="00CC5715" w:rsidRPr="00C930B7" w:rsidRDefault="00CC5715" w:rsidP="00CC5715">
      <w:pPr>
        <w:pStyle w:val="NormalWeb"/>
        <w:spacing w:after="360"/>
        <w:jc w:val="both"/>
        <w:rPr>
          <w:b/>
          <w:color w:val="000000"/>
        </w:rPr>
      </w:pPr>
      <w:r w:rsidRPr="00C930B7">
        <w:rPr>
          <w:rFonts w:eastAsiaTheme="minorHAnsi"/>
          <w:b/>
          <w:lang w:eastAsia="en-US"/>
        </w:rPr>
        <w:t xml:space="preserve">¿Hasta dónde es socialmente tolerable, </w:t>
      </w:r>
      <w:r w:rsidRPr="00C930B7">
        <w:rPr>
          <w:b/>
          <w:color w:val="000000"/>
        </w:rPr>
        <w:t>que trabas burocráticas, reticencias políticas, y boicots ecologistas, hayan hecho prácticamente imposibl</w:t>
      </w:r>
      <w:r w:rsidR="00372E47">
        <w:rPr>
          <w:b/>
          <w:color w:val="000000"/>
        </w:rPr>
        <w:t>e el progreso económico de la Unión Europea</w:t>
      </w:r>
      <w:r w:rsidRPr="00C930B7">
        <w:rPr>
          <w:b/>
          <w:color w:val="000000"/>
        </w:rPr>
        <w:t>?</w:t>
      </w:r>
    </w:p>
    <w:p w:rsidR="00CC5715" w:rsidRDefault="00CC5715" w:rsidP="00CC5715">
      <w:pPr>
        <w:pStyle w:val="NormalWeb"/>
        <w:spacing w:after="360"/>
        <w:jc w:val="both"/>
        <w:rPr>
          <w:b/>
          <w:color w:val="000000"/>
        </w:rPr>
      </w:pPr>
      <w:r w:rsidRPr="00C930B7">
        <w:rPr>
          <w:b/>
          <w:color w:val="000000"/>
        </w:rPr>
        <w:t>¿Cuánto tiempo más la sociedad europea tolerará el despropósito de que unos “burócratas” (que nadie ha elegido democráticamente) hayan amputado la mera posibilidad de que cada ciudadano busque su propio progreso?</w:t>
      </w:r>
    </w:p>
    <w:p w:rsidR="00C930B7" w:rsidRPr="00C930B7" w:rsidRDefault="00C930B7" w:rsidP="00CC5715">
      <w:pPr>
        <w:pStyle w:val="NormalWeb"/>
        <w:spacing w:after="360"/>
        <w:jc w:val="both"/>
        <w:rPr>
          <w:b/>
          <w:color w:val="000000"/>
        </w:rPr>
      </w:pPr>
      <w:r>
        <w:rPr>
          <w:b/>
          <w:color w:val="000000"/>
        </w:rPr>
        <w:t>Tarde, mal, o nunca: la Unión Europea, parece querer abandonar su ceguera voluntaria</w:t>
      </w:r>
    </w:p>
    <w:p w:rsidR="00C930B7" w:rsidRPr="00B261A1" w:rsidRDefault="00C930B7" w:rsidP="00C930B7">
      <w:pPr>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w:t>
      </w:r>
      <w:r w:rsidR="00A075BD" w:rsidRPr="00C930B7">
        <w:rPr>
          <w:rFonts w:ascii="Times New Roman" w:eastAsia="Times New Roman" w:hAnsi="Times New Roman" w:cs="Times New Roman"/>
          <w:color w:val="000000"/>
          <w:sz w:val="24"/>
          <w:szCs w:val="24"/>
          <w:lang w:eastAsia="es-ES"/>
        </w:rPr>
        <w:t>La Comisión Europea ha aprobado este miércoles un plan de acción en materia de seguridad alimentaria cuyo objetivo es amortiguar el impacto de la guerra de Rusia contra Ucrania. Los dos países suman el 30% de las exportaciones mundiales de trigo y tienen además una cuota de mercado elevada en cebada, maíz y aceite de girasol, pero las cosechas es</w:t>
      </w:r>
      <w:r w:rsidRPr="00C930B7">
        <w:rPr>
          <w:rFonts w:ascii="Times New Roman" w:eastAsia="Times New Roman" w:hAnsi="Times New Roman" w:cs="Times New Roman"/>
          <w:color w:val="000000"/>
          <w:sz w:val="24"/>
          <w:szCs w:val="24"/>
          <w:lang w:eastAsia="es-ES"/>
        </w:rPr>
        <w:t>tán en riesgo por el conflicto</w:t>
      </w:r>
      <w:r>
        <w:rPr>
          <w:rFonts w:ascii="Times New Roman" w:eastAsia="Times New Roman" w:hAnsi="Times New Roman" w:cs="Times New Roman"/>
          <w:color w:val="000000"/>
          <w:sz w:val="24"/>
          <w:szCs w:val="24"/>
          <w:lang w:eastAsia="es-ES"/>
        </w:rPr>
        <w:t xml:space="preserve">”(El Español - </w:t>
      </w:r>
      <w:r w:rsidRPr="00B261A1">
        <w:rPr>
          <w:rFonts w:ascii="Times New Roman" w:eastAsia="Times New Roman" w:hAnsi="Times New Roman" w:cs="Times New Roman"/>
          <w:b/>
          <w:color w:val="000000"/>
          <w:sz w:val="24"/>
          <w:szCs w:val="24"/>
          <w:lang w:eastAsia="es-ES"/>
        </w:rPr>
        <w:t>23/3/22</w:t>
      </w:r>
      <w:r>
        <w:rPr>
          <w:rFonts w:ascii="Times New Roman" w:eastAsia="Times New Roman" w:hAnsi="Times New Roman" w:cs="Times New Roman"/>
          <w:color w:val="000000"/>
          <w:sz w:val="24"/>
          <w:szCs w:val="24"/>
          <w:lang w:eastAsia="es-ES"/>
        </w:rPr>
        <w:t>).</w:t>
      </w:r>
    </w:p>
    <w:p w:rsidR="00A075BD" w:rsidRPr="00C930B7" w:rsidRDefault="00A075BD" w:rsidP="00A075BD">
      <w:pPr>
        <w:spacing w:after="360" w:line="240" w:lineRule="auto"/>
        <w:jc w:val="both"/>
        <w:rPr>
          <w:rFonts w:ascii="Times New Roman" w:eastAsia="Times New Roman" w:hAnsi="Times New Roman" w:cs="Times New Roman"/>
          <w:color w:val="000000"/>
          <w:sz w:val="24"/>
          <w:szCs w:val="24"/>
          <w:lang w:eastAsia="es-ES"/>
        </w:rPr>
      </w:pPr>
      <w:r w:rsidRPr="00C930B7">
        <w:rPr>
          <w:rFonts w:ascii="Times New Roman" w:eastAsia="Times New Roman" w:hAnsi="Times New Roman" w:cs="Times New Roman"/>
          <w:color w:val="000000"/>
          <w:sz w:val="24"/>
          <w:szCs w:val="24"/>
          <w:lang w:eastAsia="es-ES"/>
        </w:rPr>
        <w:t>El plan de Bruselas pretende además ayudar a los agricultores más afectados por la guerra a hacer frente al aumento de costes de producción, como la energía o los fertilizantes. También recoge un catálogo de medidas que pueden utilizar los Estados miembros para minimizar el impacto en los consumidores de la subida de los precios de los alimentos.</w:t>
      </w:r>
    </w:p>
    <w:p w:rsidR="00A075BD" w:rsidRPr="00C930B7" w:rsidRDefault="00A075BD" w:rsidP="00A075BD">
      <w:pPr>
        <w:spacing w:after="360" w:line="240" w:lineRule="auto"/>
        <w:jc w:val="both"/>
        <w:rPr>
          <w:rFonts w:ascii="Times New Roman" w:eastAsia="Times New Roman" w:hAnsi="Times New Roman" w:cs="Times New Roman"/>
          <w:color w:val="000000"/>
          <w:sz w:val="24"/>
          <w:szCs w:val="24"/>
          <w:lang w:eastAsia="es-ES"/>
        </w:rPr>
      </w:pPr>
      <w:r w:rsidRPr="00C930B7">
        <w:rPr>
          <w:rFonts w:ascii="Times New Roman" w:eastAsia="Times New Roman" w:hAnsi="Times New Roman" w:cs="Times New Roman"/>
          <w:color w:val="000000"/>
          <w:sz w:val="24"/>
          <w:szCs w:val="24"/>
          <w:lang w:eastAsia="es-ES"/>
        </w:rPr>
        <w:t>La principal medida que plantea la Comisión es activar un fondo anticrisis europeo con una dotación total de 500 millones de euros. Este mecanismo permitirá compensar directamente a los agricultores más golpeados por el aumento de los costes de producción y el cierre de mercados de exportación.</w:t>
      </w:r>
    </w:p>
    <w:p w:rsidR="00A075BD" w:rsidRPr="00B261A1" w:rsidRDefault="00A075BD" w:rsidP="00A075BD">
      <w:pPr>
        <w:spacing w:after="360" w:line="240" w:lineRule="auto"/>
        <w:jc w:val="both"/>
        <w:rPr>
          <w:rFonts w:ascii="Times New Roman" w:eastAsia="Times New Roman" w:hAnsi="Times New Roman" w:cs="Times New Roman"/>
          <w:color w:val="000000"/>
          <w:sz w:val="24"/>
          <w:szCs w:val="24"/>
          <w:lang w:eastAsia="es-ES"/>
        </w:rPr>
      </w:pPr>
      <w:r w:rsidRPr="00B261A1">
        <w:rPr>
          <w:rFonts w:ascii="Times New Roman" w:eastAsia="Times New Roman" w:hAnsi="Times New Roman" w:cs="Times New Roman"/>
          <w:color w:val="000000"/>
          <w:sz w:val="24"/>
          <w:szCs w:val="24"/>
          <w:lang w:eastAsia="es-ES"/>
        </w:rPr>
        <w:t>España es el segundo país de la UE más beneficiado por este fondo anticrisis, ya que recibirá 64,5 millones de euros, según el reparto anunciado por Bruselas. Francia ocupa la primera posición con 89 millones, mientras que Alemania recibirá 60 millones, a Italia le corresponden 48 millone</w:t>
      </w:r>
      <w:r>
        <w:rPr>
          <w:rFonts w:ascii="Times New Roman" w:eastAsia="Times New Roman" w:hAnsi="Times New Roman" w:cs="Times New Roman"/>
          <w:color w:val="000000"/>
          <w:sz w:val="24"/>
          <w:szCs w:val="24"/>
          <w:lang w:eastAsia="es-ES"/>
        </w:rPr>
        <w:t>s y Polonia tendrá 44 millones.</w:t>
      </w:r>
    </w:p>
    <w:p w:rsidR="00A075BD" w:rsidRPr="009423E0" w:rsidRDefault="00A075BD" w:rsidP="00A075BD">
      <w:pPr>
        <w:spacing w:after="360" w:line="240" w:lineRule="auto"/>
        <w:jc w:val="both"/>
        <w:rPr>
          <w:rFonts w:ascii="Times New Roman" w:eastAsia="Times New Roman" w:hAnsi="Times New Roman" w:cs="Times New Roman"/>
          <w:color w:val="000000"/>
          <w:sz w:val="24"/>
          <w:szCs w:val="24"/>
          <w:lang w:eastAsia="es-ES"/>
        </w:rPr>
      </w:pPr>
      <w:r w:rsidRPr="009423E0">
        <w:rPr>
          <w:rFonts w:ascii="Times New Roman" w:eastAsia="Times New Roman" w:hAnsi="Times New Roman" w:cs="Times New Roman"/>
          <w:color w:val="000000"/>
          <w:sz w:val="24"/>
          <w:szCs w:val="24"/>
          <w:lang w:eastAsia="es-ES"/>
        </w:rPr>
        <w:t>Los Estados miembros podrán complementar esta ayuda europea hasta un 200% con fondos nacionales. Eso significa que la ayuda máxima para los agricultores en el caso de España podría llegar hasta 193,5 millones de euros.</w:t>
      </w:r>
    </w:p>
    <w:p w:rsidR="00A075BD" w:rsidRPr="009423E0" w:rsidRDefault="00A075BD" w:rsidP="00A075BD">
      <w:pPr>
        <w:spacing w:after="360" w:line="240" w:lineRule="auto"/>
        <w:jc w:val="both"/>
        <w:rPr>
          <w:rFonts w:ascii="Times New Roman" w:eastAsia="Times New Roman" w:hAnsi="Times New Roman" w:cs="Times New Roman"/>
          <w:color w:val="000000"/>
          <w:sz w:val="24"/>
          <w:szCs w:val="24"/>
          <w:lang w:eastAsia="es-ES"/>
        </w:rPr>
      </w:pPr>
      <w:r w:rsidRPr="009423E0">
        <w:rPr>
          <w:rFonts w:ascii="Times New Roman" w:eastAsia="Times New Roman" w:hAnsi="Times New Roman" w:cs="Times New Roman"/>
          <w:color w:val="000000"/>
          <w:sz w:val="24"/>
          <w:szCs w:val="24"/>
          <w:lang w:eastAsia="es-ES"/>
        </w:rPr>
        <w:lastRenderedPageBreak/>
        <w:t>En paralelo, Bruselas ha aprobado un nuevo régimen extraordinario de ayudas públicas para hacer frente al impacto de la guerra en Ucrania. Un plan que autoriza subvenciones nacionales de hasta 35.000 euros para las empresas agrícolas y pesqueras.</w:t>
      </w:r>
    </w:p>
    <w:p w:rsidR="00A075BD" w:rsidRPr="009423E0" w:rsidRDefault="00A075BD" w:rsidP="00A075BD">
      <w:pPr>
        <w:spacing w:after="360" w:line="240" w:lineRule="auto"/>
        <w:jc w:val="both"/>
        <w:rPr>
          <w:rFonts w:ascii="Times New Roman" w:eastAsia="Times New Roman" w:hAnsi="Times New Roman" w:cs="Times New Roman"/>
          <w:color w:val="000000"/>
          <w:sz w:val="24"/>
          <w:szCs w:val="24"/>
          <w:lang w:eastAsia="es-ES"/>
        </w:rPr>
      </w:pPr>
      <w:r w:rsidRPr="009423E0">
        <w:rPr>
          <w:rFonts w:ascii="Times New Roman" w:eastAsia="Times New Roman" w:hAnsi="Times New Roman" w:cs="Times New Roman"/>
          <w:color w:val="000000"/>
          <w:sz w:val="24"/>
          <w:szCs w:val="24"/>
          <w:lang w:eastAsia="es-ES"/>
        </w:rPr>
        <w:t>Tal y como había reclamado España, Bruselas flexibilizará de forma temporal los requisitos para la importación de alimentos para animales, con el fin de contribuir a aliviar la presión sobre el mercado de piensos.</w:t>
      </w:r>
    </w:p>
    <w:p w:rsidR="00A075BD" w:rsidRPr="009423E0" w:rsidRDefault="00A075BD" w:rsidP="00A075BD">
      <w:pPr>
        <w:spacing w:after="360" w:line="240" w:lineRule="auto"/>
        <w:jc w:val="both"/>
        <w:rPr>
          <w:rFonts w:ascii="Times New Roman" w:eastAsia="Times New Roman" w:hAnsi="Times New Roman" w:cs="Times New Roman"/>
          <w:color w:val="000000"/>
          <w:sz w:val="24"/>
          <w:szCs w:val="24"/>
          <w:lang w:eastAsia="es-ES"/>
        </w:rPr>
      </w:pPr>
      <w:r w:rsidRPr="009423E0">
        <w:rPr>
          <w:rFonts w:ascii="Times New Roman" w:eastAsia="Times New Roman" w:hAnsi="Times New Roman" w:cs="Times New Roman"/>
          <w:color w:val="000000"/>
          <w:sz w:val="24"/>
          <w:szCs w:val="24"/>
          <w:lang w:eastAsia="es-ES"/>
        </w:rPr>
        <w:t>Finalmente, el plan prevé una excepción excepcional y temporal, que se activará con efecto inmediato, para permitir la producción de cualquier cultivo para alimentos y piensos en tierras en barbecho. El objetivo de esta medida es ampliar la capacidad de producción de la UE a pesar de la limitada disponibilidad de tierra fértil.</w:t>
      </w:r>
    </w:p>
    <w:p w:rsidR="00A075BD" w:rsidRPr="009423E0" w:rsidRDefault="00A075BD" w:rsidP="00A075BD">
      <w:pPr>
        <w:spacing w:after="360" w:line="240" w:lineRule="auto"/>
        <w:jc w:val="both"/>
        <w:rPr>
          <w:rFonts w:ascii="Times New Roman" w:eastAsia="Times New Roman" w:hAnsi="Times New Roman" w:cs="Times New Roman"/>
          <w:color w:val="000000"/>
          <w:sz w:val="24"/>
          <w:szCs w:val="24"/>
          <w:lang w:eastAsia="es-ES"/>
        </w:rPr>
      </w:pPr>
      <w:r w:rsidRPr="009423E0">
        <w:rPr>
          <w:rFonts w:ascii="Times New Roman" w:eastAsia="Times New Roman" w:hAnsi="Times New Roman" w:cs="Times New Roman"/>
          <w:color w:val="000000"/>
          <w:sz w:val="24"/>
          <w:szCs w:val="24"/>
          <w:lang w:eastAsia="es-ES"/>
        </w:rPr>
        <w:t>La PAC obliga a dejar un 5% de la tierra en barbecho, si bien en España se declararon el año pasado en barbecho un 10% de las superficies, 2,2 millones de hectáreas, de las 21,5 millones de hectáreas totales declaradas.</w:t>
      </w:r>
    </w:p>
    <w:p w:rsidR="00CC5715" w:rsidRPr="00266C5A" w:rsidRDefault="00CC5715" w:rsidP="00CC5715">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España importó el año 2021, 606.000 toneladas de litros de aceite de girasol y produjo 507.000 toneladas. En cuanto a las semillas de este producto, produjo 878.000 toneladas de semilla de girasol e importó 228.000 toneladas en 2020, según datos de la Federación Europea de Aceites y Oleaginosas (Fediol). </w:t>
      </w:r>
    </w:p>
    <w:p w:rsidR="00CC5715" w:rsidRPr="00266C5A" w:rsidRDefault="00CC5715" w:rsidP="00CC5715">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Sobre las hectáreas para cultivo en Europa, los últimos datos disponibles, que incluyen a Reino Unido porque aún no habían tenido lugar el Brexit, indican que en la UE se cultivaban 173 millones de hectáreas. Tres cuartas partes de ellas se ubicaban en solo siete países. </w:t>
      </w:r>
    </w:p>
    <w:p w:rsidR="00CC5715" w:rsidRPr="00266C5A" w:rsidRDefault="00CC5715" w:rsidP="00CC5715">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El país con mayor superficie dedicada a estos fines en 2016 era Francia, con 27,8 millones de hectáreas agrícolas, seguida por España con 23,2 millones. Más lejos se encontraban Reino Unido y Alemania, con 16,7 millones de hectáreas cada una. Los siguientes países que aportaban más hectáreas eran Polonia (con 14,4 millones); Italia (con 12,6 millones) y Rumanía (con 12,5 millones).</w:t>
      </w:r>
    </w:p>
    <w:p w:rsidR="00CC5715" w:rsidRPr="00042ECF" w:rsidRDefault="009423E0" w:rsidP="00CC5715">
      <w:pPr>
        <w:spacing w:after="36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Nota (un dato más, sobre los “disparates” que provoca la PAC</w:t>
      </w:r>
      <w:r w:rsidR="00CC5715" w:rsidRPr="00042ECF">
        <w:rPr>
          <w:rFonts w:ascii="Times New Roman" w:eastAsia="Times New Roman" w:hAnsi="Times New Roman" w:cs="Times New Roman"/>
          <w:b/>
          <w:sz w:val="24"/>
          <w:szCs w:val="24"/>
          <w:lang w:eastAsia="es-ES"/>
        </w:rPr>
        <w:t>): Cada sábado, mientras hago “marcha rápida” en la madrugada (hasta hace un año todavía corría, pero cumplidos los 77 años, ya solo puedo ser un corredor de fondo</w:t>
      </w:r>
      <w:r w:rsidR="00420868">
        <w:rPr>
          <w:rFonts w:ascii="Times New Roman" w:eastAsia="Times New Roman" w:hAnsi="Times New Roman" w:cs="Times New Roman"/>
          <w:b/>
          <w:sz w:val="24"/>
          <w:szCs w:val="24"/>
          <w:lang w:eastAsia="es-ES"/>
        </w:rPr>
        <w:t>,</w:t>
      </w:r>
      <w:r w:rsidR="00CC5715" w:rsidRPr="00042ECF">
        <w:rPr>
          <w:rFonts w:ascii="Times New Roman" w:eastAsia="Times New Roman" w:hAnsi="Times New Roman" w:cs="Times New Roman"/>
          <w:b/>
          <w:sz w:val="24"/>
          <w:szCs w:val="24"/>
          <w:lang w:eastAsia="es-ES"/>
        </w:rPr>
        <w:t xml:space="preserve"> venido a menos), escucho por esRadio (a las 6 de la mañana, hora de Canarias): “En Clave Rural”, un programa, dirigido y presentado por María Santos, que ofrece información y análisis desde todos los puntos de vista y con la voz de todos los agentes implicados en el complejo proceso de producción, transformación, comercialización y distribución de productos agrícolas, ganaderos, pesqueros, alimentarios de España… </w:t>
      </w:r>
    </w:p>
    <w:p w:rsidR="00CC5715" w:rsidRPr="00042ECF" w:rsidRDefault="00CC5715" w:rsidP="00CC5715">
      <w:pPr>
        <w:spacing w:after="360" w:line="240" w:lineRule="auto"/>
        <w:jc w:val="both"/>
        <w:rPr>
          <w:rFonts w:ascii="Times New Roman" w:eastAsia="Times New Roman" w:hAnsi="Times New Roman" w:cs="Times New Roman"/>
          <w:b/>
          <w:sz w:val="24"/>
          <w:szCs w:val="24"/>
          <w:lang w:eastAsia="es-ES"/>
        </w:rPr>
      </w:pPr>
      <w:r w:rsidRPr="00042ECF">
        <w:rPr>
          <w:rFonts w:ascii="Times New Roman" w:eastAsia="Times New Roman" w:hAnsi="Times New Roman" w:cs="Times New Roman"/>
          <w:b/>
          <w:sz w:val="24"/>
          <w:szCs w:val="24"/>
          <w:lang w:eastAsia="es-ES"/>
        </w:rPr>
        <w:t>El día 26/3/22, en un reportaje</w:t>
      </w:r>
      <w:r>
        <w:rPr>
          <w:rFonts w:ascii="Times New Roman" w:eastAsia="Times New Roman" w:hAnsi="Times New Roman" w:cs="Times New Roman"/>
          <w:b/>
          <w:sz w:val="24"/>
          <w:szCs w:val="24"/>
          <w:lang w:eastAsia="es-ES"/>
        </w:rPr>
        <w:t xml:space="preserve"> que le hicieron</w:t>
      </w:r>
      <w:r w:rsidRPr="00042ECF">
        <w:rPr>
          <w:rFonts w:ascii="Times New Roman" w:eastAsia="Times New Roman" w:hAnsi="Times New Roman" w:cs="Times New Roman"/>
          <w:b/>
          <w:sz w:val="24"/>
          <w:szCs w:val="24"/>
          <w:lang w:eastAsia="es-ES"/>
        </w:rPr>
        <w:t xml:space="preserve"> a un representante gremial de los agricultores, me enteré que de la semilla para siembra de girasol producida en España, el 70% se exporta, siendo dos de los principales destinos Ucrania y Rusia. Un caso surrealista (disparatado) de “deslocalización” agrícola. ¡Viva la PAC, el Green Deal</w:t>
      </w:r>
      <w:r>
        <w:rPr>
          <w:rFonts w:ascii="Times New Roman" w:eastAsia="Times New Roman" w:hAnsi="Times New Roman" w:cs="Times New Roman"/>
          <w:b/>
          <w:sz w:val="24"/>
          <w:szCs w:val="24"/>
          <w:lang w:eastAsia="es-ES"/>
        </w:rPr>
        <w:t>, el ecologismo radical, la estrategia de la granja a la mesa, el barbecho, el greening, el animalismo, y la madre que parió, a los “pollinos” del Gólem burocrático de Bruselas!</w:t>
      </w:r>
    </w:p>
    <w:p w:rsidR="00CC5715" w:rsidRDefault="00CC5715" w:rsidP="00CC5715">
      <w:pPr>
        <w:spacing w:after="360" w:line="240" w:lineRule="auto"/>
        <w:jc w:val="both"/>
        <w:rPr>
          <w:rFonts w:ascii="Times New Roman" w:eastAsia="Times New Roman" w:hAnsi="Times New Roman" w:cs="Times New Roman"/>
          <w:b/>
          <w:color w:val="FF0000"/>
          <w:sz w:val="24"/>
          <w:szCs w:val="24"/>
          <w:lang w:eastAsia="es-ES"/>
        </w:rPr>
      </w:pPr>
    </w:p>
    <w:p w:rsidR="001C678E" w:rsidRDefault="001C678E"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lastRenderedPageBreak/>
        <w:t xml:space="preserve">Pérdida de la soberanía energética (abandono de la energía nuclear, gas, carbón…) </w:t>
      </w:r>
    </w:p>
    <w:p w:rsidR="008C0415" w:rsidRPr="00B54517" w:rsidRDefault="008C0415" w:rsidP="008C0415">
      <w:pPr>
        <w:spacing w:line="240" w:lineRule="auto"/>
        <w:jc w:val="both"/>
        <w:rPr>
          <w:rFonts w:ascii="Times New Roman" w:hAnsi="Times New Roman" w:cs="Times New Roman"/>
          <w:b/>
          <w:sz w:val="24"/>
          <w:szCs w:val="24"/>
        </w:rPr>
      </w:pPr>
      <w:r w:rsidRPr="00B54517">
        <w:rPr>
          <w:rFonts w:ascii="Times New Roman" w:hAnsi="Times New Roman" w:cs="Times New Roman"/>
          <w:b/>
          <w:sz w:val="24"/>
          <w:szCs w:val="24"/>
        </w:rPr>
        <w:t>“Con Rusia hem</w:t>
      </w:r>
      <w:r w:rsidR="00DE700D">
        <w:rPr>
          <w:rFonts w:ascii="Times New Roman" w:hAnsi="Times New Roman" w:cs="Times New Roman"/>
          <w:b/>
          <w:sz w:val="24"/>
          <w:szCs w:val="24"/>
        </w:rPr>
        <w:t xml:space="preserve">os topado” (antes socio, luego </w:t>
      </w:r>
      <w:r w:rsidRPr="00B54517">
        <w:rPr>
          <w:rFonts w:ascii="Times New Roman" w:hAnsi="Times New Roman" w:cs="Times New Roman"/>
          <w:b/>
          <w:sz w:val="24"/>
          <w:szCs w:val="24"/>
        </w:rPr>
        <w:t>c</w:t>
      </w:r>
      <w:r w:rsidR="00DE700D">
        <w:rPr>
          <w:rFonts w:ascii="Times New Roman" w:hAnsi="Times New Roman" w:cs="Times New Roman"/>
          <w:b/>
          <w:sz w:val="24"/>
          <w:szCs w:val="24"/>
        </w:rPr>
        <w:t>hantajista, y ahora adversario principal</w:t>
      </w:r>
      <w:r w:rsidRPr="00B54517">
        <w:rPr>
          <w:rFonts w:ascii="Times New Roman" w:hAnsi="Times New Roman" w:cs="Times New Roman"/>
          <w:b/>
          <w:sz w:val="24"/>
          <w:szCs w:val="24"/>
        </w:rPr>
        <w:t>)</w:t>
      </w:r>
    </w:p>
    <w:p w:rsidR="008C0415" w:rsidRPr="00B54517" w:rsidRDefault="008C0415" w:rsidP="008C0415">
      <w:pPr>
        <w:spacing w:line="240" w:lineRule="auto"/>
        <w:jc w:val="both"/>
        <w:rPr>
          <w:rFonts w:ascii="Times New Roman" w:hAnsi="Times New Roman" w:cs="Times New Roman"/>
          <w:sz w:val="24"/>
          <w:szCs w:val="24"/>
          <w:u w:val="single"/>
        </w:rPr>
      </w:pPr>
      <w:r w:rsidRPr="00B54517">
        <w:rPr>
          <w:rFonts w:ascii="Times New Roman" w:hAnsi="Times New Roman" w:cs="Times New Roman"/>
          <w:sz w:val="24"/>
          <w:szCs w:val="24"/>
          <w:u w:val="single"/>
        </w:rPr>
        <w:t>El “chantaje” de Rusia, a la “ambigua” Alemania (y de paso a toda la “ecolojeta” UE)</w:t>
      </w:r>
    </w:p>
    <w:p w:rsidR="008C0415" w:rsidRPr="00B54517" w:rsidRDefault="008C0415" w:rsidP="008C0415">
      <w:pPr>
        <w:spacing w:line="240" w:lineRule="auto"/>
        <w:jc w:val="both"/>
        <w:rPr>
          <w:rFonts w:ascii="Times New Roman" w:hAnsi="Times New Roman" w:cs="Times New Roman"/>
          <w:sz w:val="24"/>
          <w:szCs w:val="24"/>
        </w:rPr>
      </w:pPr>
      <w:r w:rsidRPr="00B54517">
        <w:rPr>
          <w:rFonts w:ascii="Times New Roman" w:hAnsi="Times New Roman" w:cs="Times New Roman"/>
          <w:sz w:val="24"/>
          <w:szCs w:val="24"/>
        </w:rPr>
        <w:t>Rusia considera que tiene todo el derecho a tomar medidas si se imponen sanciones a sus exportaciones energéticas, entre ellas establecer un embargo al gas que llega a Europa a través del gasoducto Nord Stream 1, según ha afirmado el viceprimer ministro Alexander Novak. “Hoy en día, Europa consume alrededor de 500.000 millones de metros cúbicos de gas al año, y el 40 % de esto proviene de Rusia”, ha destacado. La decisión no está tomada -ha dicho- pero “los políticos europeos, con sus reclamos y acusaciones, nos están empujando hacia ello”.</w:t>
      </w:r>
    </w:p>
    <w:p w:rsidR="008C0415" w:rsidRDefault="008C0415" w:rsidP="008C0415">
      <w:pPr>
        <w:spacing w:line="240" w:lineRule="auto"/>
        <w:jc w:val="both"/>
        <w:rPr>
          <w:rFonts w:ascii="Times New Roman" w:hAnsi="Times New Roman" w:cs="Times New Roman"/>
          <w:sz w:val="24"/>
          <w:szCs w:val="24"/>
        </w:rPr>
      </w:pPr>
      <w:r>
        <w:rPr>
          <w:noProof/>
          <w:lang w:val="en-GB" w:eastAsia="zh-CN"/>
        </w:rPr>
        <w:drawing>
          <wp:inline distT="0" distB="0" distL="0" distR="0">
            <wp:extent cx="5727700" cy="2717800"/>
            <wp:effectExtent l="0" t="0" r="6350" b="6350"/>
            <wp:docPr id="9" name="Imagen 9" descr="hfgh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fghf"/>
                    <pic:cNvPicPr>
                      <a:picLocks noChangeAspect="1" noChangeArrowheads="1"/>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19608"/>
                    </a:xfrm>
                    <a:prstGeom prst="rect">
                      <a:avLst/>
                    </a:prstGeom>
                    <a:noFill/>
                    <a:ln>
                      <a:noFill/>
                    </a:ln>
                  </pic:spPr>
                </pic:pic>
              </a:graphicData>
            </a:graphic>
          </wp:inline>
        </w:drawing>
      </w:r>
    </w:p>
    <w:p w:rsidR="008C0415" w:rsidRPr="00B963D6" w:rsidRDefault="008C0415" w:rsidP="008C0415">
      <w:pPr>
        <w:spacing w:line="240" w:lineRule="auto"/>
        <w:jc w:val="both"/>
        <w:rPr>
          <w:rFonts w:ascii="Times New Roman" w:hAnsi="Times New Roman" w:cs="Times New Roman"/>
          <w:sz w:val="24"/>
          <w:szCs w:val="24"/>
        </w:rPr>
      </w:pPr>
      <w:r w:rsidRPr="00B963D6">
        <w:rPr>
          <w:rFonts w:ascii="Times New Roman" w:hAnsi="Times New Roman" w:cs="Times New Roman"/>
          <w:sz w:val="24"/>
          <w:szCs w:val="24"/>
          <w:shd w:val="clear" w:color="auto" w:fill="FDFDFD"/>
        </w:rPr>
        <w:t>De unos cinco millones de barriles de petróleo crudo que exporta cada día, más de la mitad va a Europa. Estados Unidos es menos dependiente, con alrededor del </w:t>
      </w:r>
      <w:r w:rsidRPr="00B963D6">
        <w:rPr>
          <w:rFonts w:ascii="Times New Roman" w:hAnsi="Times New Roman" w:cs="Times New Roman"/>
          <w:bCs/>
          <w:sz w:val="24"/>
          <w:szCs w:val="24"/>
          <w:shd w:val="clear" w:color="auto" w:fill="FDFDFD"/>
        </w:rPr>
        <w:t>3% de su petróleo importado</w:t>
      </w:r>
      <w:r w:rsidRPr="00B963D6">
        <w:rPr>
          <w:rFonts w:ascii="Times New Roman" w:hAnsi="Times New Roman" w:cs="Times New Roman"/>
          <w:sz w:val="24"/>
          <w:szCs w:val="24"/>
          <w:shd w:val="clear" w:color="auto" w:fill="FDFDFD"/>
        </w:rPr>
        <w:t> procedente de Rusia en 2020.</w:t>
      </w:r>
    </w:p>
    <w:p w:rsidR="008C0415" w:rsidRDefault="008C0415" w:rsidP="008C0415">
      <w:pPr>
        <w:spacing w:line="240" w:lineRule="auto"/>
        <w:jc w:val="both"/>
        <w:rPr>
          <w:rFonts w:ascii="Times New Roman" w:hAnsi="Times New Roman" w:cs="Times New Roman"/>
          <w:sz w:val="24"/>
          <w:szCs w:val="24"/>
        </w:rPr>
      </w:pPr>
      <w:r>
        <w:rPr>
          <w:noProof/>
          <w:lang w:val="en-GB" w:eastAsia="zh-CN"/>
        </w:rPr>
        <w:drawing>
          <wp:inline distT="0" distB="0" distL="0" distR="0">
            <wp:extent cx="5734048" cy="2997200"/>
            <wp:effectExtent l="0" t="0" r="635" b="0"/>
            <wp:docPr id="10" name="Imagen 10" descr="gd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fg"/>
                    <pic:cNvPicPr>
                      <a:picLocks noChangeAspect="1" noChangeArrowheads="1"/>
                    </pic:cNvPicPr>
                  </pic:nvPicPr>
                  <pic:blipFill>
                    <a:blip r:embed="rId1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95873"/>
                    </a:xfrm>
                    <a:prstGeom prst="rect">
                      <a:avLst/>
                    </a:prstGeom>
                    <a:noFill/>
                    <a:ln>
                      <a:noFill/>
                    </a:ln>
                  </pic:spPr>
                </pic:pic>
              </a:graphicData>
            </a:graphic>
          </wp:inline>
        </w:drawing>
      </w:r>
    </w:p>
    <w:p w:rsidR="008C0415" w:rsidRPr="0022719C" w:rsidRDefault="008C0415" w:rsidP="008C041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lastRenderedPageBreak/>
        <w:t>¿Qué pasaría si el gas ruso dejara de fluir hacia Europa Occidental?</w:t>
      </w:r>
    </w:p>
    <w:p w:rsidR="008C0415" w:rsidRPr="0022719C" w:rsidRDefault="008C0415" w:rsidP="008C041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Los precios de la calefacción, que ya son altos, aumentarían aún más.</w:t>
      </w:r>
    </w:p>
    <w:p w:rsidR="008C0415" w:rsidRPr="0022719C" w:rsidRDefault="008C0415" w:rsidP="008C041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Si el suministro de gas ruso fuese interrumpido, Italia y Alemania serían especialmente vulnerables.</w:t>
      </w:r>
    </w:p>
    <w:p w:rsidR="008C0415" w:rsidRPr="0022719C" w:rsidRDefault="008C0415" w:rsidP="008C041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En cambio, Rusia solo proporciona alrededor del 5% del suminis</w:t>
      </w:r>
      <w:r>
        <w:rPr>
          <w:rFonts w:ascii="Times New Roman" w:hAnsi="Times New Roman" w:cs="Times New Roman"/>
          <w:sz w:val="24"/>
          <w:szCs w:val="24"/>
        </w:rPr>
        <w:t>tro de gas de Reino Unido, y EEUU</w:t>
      </w:r>
      <w:r w:rsidRPr="0022719C">
        <w:rPr>
          <w:rFonts w:ascii="Times New Roman" w:hAnsi="Times New Roman" w:cs="Times New Roman"/>
          <w:sz w:val="24"/>
          <w:szCs w:val="24"/>
        </w:rPr>
        <w:t xml:space="preserve"> no importa gas ruso.</w:t>
      </w:r>
    </w:p>
    <w:p w:rsidR="008C0415" w:rsidRDefault="008C0415" w:rsidP="008C041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 xml:space="preserve">Sin embargo, </w:t>
      </w:r>
      <w:r>
        <w:rPr>
          <w:rFonts w:ascii="Times New Roman" w:hAnsi="Times New Roman" w:cs="Times New Roman"/>
          <w:sz w:val="24"/>
          <w:szCs w:val="24"/>
        </w:rPr>
        <w:t>los precios en Reino Unido y EEUU</w:t>
      </w:r>
      <w:r w:rsidRPr="0022719C">
        <w:rPr>
          <w:rFonts w:ascii="Times New Roman" w:hAnsi="Times New Roman" w:cs="Times New Roman"/>
          <w:sz w:val="24"/>
          <w:szCs w:val="24"/>
        </w:rPr>
        <w:t xml:space="preserve"> siguen subiendo significativamente debido al efecto global que genera la escasez de suministro.</w:t>
      </w:r>
    </w:p>
    <w:p w:rsidR="008C0415" w:rsidRPr="0022719C" w:rsidRDefault="008C0415" w:rsidP="008C041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¿Se podrían encontrar alternativas al gas ruso?</w:t>
      </w:r>
    </w:p>
    <w:p w:rsidR="008C0415" w:rsidRPr="0022719C"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No muy fácilmente.</w:t>
      </w:r>
    </w:p>
    <w:p w:rsidR="008C0415" w:rsidRPr="0022719C"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 xml:space="preserve">Es más difícil sustituir el gas porque tenemos estos grandes gasoductos </w:t>
      </w:r>
      <w:r>
        <w:rPr>
          <w:rFonts w:ascii="Times New Roman" w:hAnsi="Times New Roman" w:cs="Times New Roman"/>
          <w:sz w:val="24"/>
          <w:szCs w:val="24"/>
        </w:rPr>
        <w:t>que llevan el gas ruso a Europa”</w:t>
      </w:r>
      <w:r w:rsidRPr="0022719C">
        <w:rPr>
          <w:rFonts w:ascii="Times New Roman" w:hAnsi="Times New Roman" w:cs="Times New Roman"/>
          <w:sz w:val="24"/>
          <w:szCs w:val="24"/>
        </w:rPr>
        <w:t>, le dice a la BBC Ben McWilliams, analista de investig</w:t>
      </w:r>
      <w:r>
        <w:rPr>
          <w:rFonts w:ascii="Times New Roman" w:hAnsi="Times New Roman" w:cs="Times New Roman"/>
          <w:sz w:val="24"/>
          <w:szCs w:val="24"/>
        </w:rPr>
        <w:t>ación de políticas energéticas.</w:t>
      </w:r>
    </w:p>
    <w:p w:rsidR="008C0415" w:rsidRDefault="008C0415" w:rsidP="008C041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 xml:space="preserve">El centro de estudios Bruegel predice que si Rusia detuviera el suministro de gas a Europa, entonces Europa posiblemente podría importar más </w:t>
      </w:r>
      <w:r>
        <w:rPr>
          <w:rFonts w:ascii="Times New Roman" w:hAnsi="Times New Roman" w:cs="Times New Roman"/>
          <w:sz w:val="24"/>
          <w:szCs w:val="24"/>
        </w:rPr>
        <w:t>gas natural licuado (GNL) de EE</w:t>
      </w:r>
      <w:r w:rsidRPr="0022719C">
        <w:rPr>
          <w:rFonts w:ascii="Times New Roman" w:hAnsi="Times New Roman" w:cs="Times New Roman"/>
          <w:sz w:val="24"/>
          <w:szCs w:val="24"/>
        </w:rPr>
        <w:t>UU.</w:t>
      </w:r>
    </w:p>
    <w:p w:rsidR="008C0415" w:rsidRDefault="008C0415" w:rsidP="008C0415">
      <w:pPr>
        <w:spacing w:line="240" w:lineRule="auto"/>
        <w:jc w:val="both"/>
        <w:rPr>
          <w:rFonts w:ascii="Times New Roman" w:hAnsi="Times New Roman" w:cs="Times New Roman"/>
          <w:sz w:val="24"/>
          <w:szCs w:val="24"/>
        </w:rPr>
      </w:pPr>
      <w:r>
        <w:rPr>
          <w:noProof/>
          <w:lang w:val="en-GB" w:eastAsia="zh-CN"/>
        </w:rPr>
        <w:drawing>
          <wp:inline distT="0" distB="0" distL="0" distR="0">
            <wp:extent cx="5727700" cy="3111500"/>
            <wp:effectExtent l="0" t="0" r="6350" b="0"/>
            <wp:docPr id="11" name="Imagen 11" descr="fg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gdg"/>
                    <pic:cNvPicPr>
                      <a:picLocks noChangeAspect="1" noChangeArrowheads="1"/>
                    </pic:cNvPicPr>
                  </pic:nvPicPr>
                  <pic:blipFill>
                    <a:blip r:embed="rId1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13570"/>
                    </a:xfrm>
                    <a:prstGeom prst="rect">
                      <a:avLst/>
                    </a:prstGeom>
                    <a:noFill/>
                    <a:ln>
                      <a:noFill/>
                    </a:ln>
                  </pic:spPr>
                </pic:pic>
              </a:graphicData>
            </a:graphic>
          </wp:inline>
        </w:drawing>
      </w:r>
    </w:p>
    <w:p w:rsidR="008C0415" w:rsidRPr="0022719C" w:rsidRDefault="008C0415" w:rsidP="008C041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También podría aumentar el uso de otras fuentes de energía, pero hacerlo no es rápido ni fácil.</w:t>
      </w:r>
    </w:p>
    <w:p w:rsidR="008C0415" w:rsidRPr="0022719C"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Las energías renovables tardan en implementarse, por lo que a cort</w:t>
      </w:r>
      <w:r>
        <w:rPr>
          <w:rFonts w:ascii="Times New Roman" w:hAnsi="Times New Roman" w:cs="Times New Roman"/>
          <w:sz w:val="24"/>
          <w:szCs w:val="24"/>
        </w:rPr>
        <w:t>o plazo esta no es una solución”</w:t>
      </w:r>
      <w:r w:rsidRPr="0022719C">
        <w:rPr>
          <w:rFonts w:ascii="Times New Roman" w:hAnsi="Times New Roman" w:cs="Times New Roman"/>
          <w:sz w:val="24"/>
          <w:szCs w:val="24"/>
        </w:rPr>
        <w:t>, dice la analista de investigación Simone Tagliapietra.</w:t>
      </w:r>
    </w:p>
    <w:p w:rsidR="008C0415"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Entonces, para el próximo invierno, lo que puede marcar la diferencia es el cambio de combustible, como la apertura de centrales eléctricas de carbón, una alternativa que Italia y Alemania tienen consid</w:t>
      </w:r>
      <w:r>
        <w:rPr>
          <w:rFonts w:ascii="Times New Roman" w:hAnsi="Times New Roman" w:cs="Times New Roman"/>
          <w:sz w:val="24"/>
          <w:szCs w:val="24"/>
        </w:rPr>
        <w:t>erada en caso de una emergencia”</w:t>
      </w:r>
      <w:r w:rsidRPr="0022719C">
        <w:rPr>
          <w:rFonts w:ascii="Times New Roman" w:hAnsi="Times New Roman" w:cs="Times New Roman"/>
          <w:sz w:val="24"/>
          <w:szCs w:val="24"/>
        </w:rPr>
        <w:t>.</w:t>
      </w:r>
    </w:p>
    <w:p w:rsidR="00DE700D" w:rsidRDefault="00DE700D" w:rsidP="008C0415">
      <w:pPr>
        <w:spacing w:line="240" w:lineRule="auto"/>
        <w:jc w:val="both"/>
        <w:rPr>
          <w:rFonts w:ascii="Times New Roman" w:hAnsi="Times New Roman" w:cs="Times New Roman"/>
          <w:sz w:val="24"/>
          <w:szCs w:val="24"/>
        </w:rPr>
      </w:pPr>
    </w:p>
    <w:p w:rsidR="008C0415" w:rsidRPr="0022719C" w:rsidRDefault="008C0415" w:rsidP="008C041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lastRenderedPageBreak/>
        <w:t>¿Y qué pasa con el petróleo?</w:t>
      </w:r>
    </w:p>
    <w:p w:rsidR="008C0415" w:rsidRPr="0022719C"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Sobre el p</w:t>
      </w:r>
      <w:r>
        <w:rPr>
          <w:rFonts w:ascii="Times New Roman" w:hAnsi="Times New Roman" w:cs="Times New Roman"/>
          <w:sz w:val="24"/>
          <w:szCs w:val="24"/>
        </w:rPr>
        <w:t>etróleo, debería ser más fácil (encontrar fuentes alternativas)</w:t>
      </w:r>
      <w:r w:rsidRPr="0022719C">
        <w:rPr>
          <w:rFonts w:ascii="Times New Roman" w:hAnsi="Times New Roman" w:cs="Times New Roman"/>
          <w:sz w:val="24"/>
          <w:szCs w:val="24"/>
        </w:rPr>
        <w:t>, ya que no se requieren tantos oleod</w:t>
      </w:r>
      <w:r>
        <w:rPr>
          <w:rFonts w:ascii="Times New Roman" w:hAnsi="Times New Roman" w:cs="Times New Roman"/>
          <w:sz w:val="24"/>
          <w:szCs w:val="24"/>
        </w:rPr>
        <w:t>uctos”, explica Ben McWilliams.</w:t>
      </w:r>
    </w:p>
    <w:p w:rsidR="008C0415" w:rsidRPr="0022719C"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Algunos vienen de Rusia, pero también hay muchos envíos de otros lug</w:t>
      </w:r>
      <w:r>
        <w:rPr>
          <w:rFonts w:ascii="Times New Roman" w:hAnsi="Times New Roman" w:cs="Times New Roman"/>
          <w:sz w:val="24"/>
          <w:szCs w:val="24"/>
        </w:rPr>
        <w:t>ares”.</w:t>
      </w:r>
    </w:p>
    <w:p w:rsidR="008C0415" w:rsidRPr="0022719C" w:rsidRDefault="008C0415" w:rsidP="008C041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Estados Unidos le ha estado pidiendo a Arabia Saudita que aumente su producción de petróleo, pero ese país ha rechaza</w:t>
      </w:r>
      <w:r>
        <w:rPr>
          <w:rFonts w:ascii="Times New Roman" w:hAnsi="Times New Roman" w:cs="Times New Roman"/>
          <w:sz w:val="24"/>
          <w:szCs w:val="24"/>
        </w:rPr>
        <w:t>do solicitudes anteriores de EEUU</w:t>
      </w:r>
      <w:r w:rsidRPr="0022719C">
        <w:rPr>
          <w:rFonts w:ascii="Times New Roman" w:hAnsi="Times New Roman" w:cs="Times New Roman"/>
          <w:sz w:val="24"/>
          <w:szCs w:val="24"/>
        </w:rPr>
        <w:t xml:space="preserve"> para aumentar la producción a fin de reducir los precios del petróleo.</w:t>
      </w:r>
    </w:p>
    <w:p w:rsidR="008C0415" w:rsidRPr="0022719C" w:rsidRDefault="008C0415" w:rsidP="008C041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Arabia Saudita es el mayor productor de la OPEP, el grupo de países petroleros que representa alrededor del 60% del crudo comercializado internacionalmente. Debido a esto, la OPEP tiene un papel clave para influ</w:t>
      </w:r>
      <w:r>
        <w:rPr>
          <w:rFonts w:ascii="Times New Roman" w:hAnsi="Times New Roman" w:cs="Times New Roman"/>
          <w:sz w:val="24"/>
          <w:szCs w:val="24"/>
        </w:rPr>
        <w:t>ir en los precios del petróleo.</w:t>
      </w:r>
    </w:p>
    <w:p w:rsidR="008C0415" w:rsidRDefault="008C0415" w:rsidP="008C041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Rusia no pertenece oficialmente a la OPEP, pero ha estado trabajando con ella desde 2017 para poner límites a la producción de petróleo, a fin de mantener las ganancias de los productores.</w:t>
      </w:r>
    </w:p>
    <w:p w:rsidR="008C0415" w:rsidRPr="0022719C" w:rsidRDefault="008C0415" w:rsidP="008C041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Los consumidores del mundo tendrán que pagar más</w:t>
      </w:r>
    </w:p>
    <w:p w:rsidR="008C0415" w:rsidRPr="0022719C" w:rsidRDefault="008C0415" w:rsidP="008C041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Buscando otras opciones, Europa podría recurrir a los exportadores de gas existentes, como Qatar, Argelia o Nigeria, pero existen obstáculos prácticos para expandir rápidamente la p</w:t>
      </w:r>
      <w:r>
        <w:rPr>
          <w:rFonts w:ascii="Times New Roman" w:hAnsi="Times New Roman" w:cs="Times New Roman"/>
          <w:sz w:val="24"/>
          <w:szCs w:val="24"/>
        </w:rPr>
        <w:t>roducción.</w:t>
      </w:r>
    </w:p>
    <w:p w:rsidR="008C0415" w:rsidRPr="0022719C" w:rsidRDefault="008C0415" w:rsidP="008C041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Como resultado de esta guerra los consumidores enfrentarán aumentos en las fac</w:t>
      </w:r>
      <w:r>
        <w:rPr>
          <w:rFonts w:ascii="Times New Roman" w:hAnsi="Times New Roman" w:cs="Times New Roman"/>
          <w:sz w:val="24"/>
          <w:szCs w:val="24"/>
        </w:rPr>
        <w:t>turas de energía y combustible.</w:t>
      </w:r>
    </w:p>
    <w:p w:rsidR="008C0415" w:rsidRPr="0022719C" w:rsidRDefault="008C0415" w:rsidP="008C041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En</w:t>
      </w:r>
      <w:r>
        <w:rPr>
          <w:rFonts w:ascii="Times New Roman" w:hAnsi="Times New Roman" w:cs="Times New Roman"/>
          <w:sz w:val="24"/>
          <w:szCs w:val="24"/>
        </w:rPr>
        <w:t xml:space="preserve"> EE</w:t>
      </w:r>
      <w:r w:rsidRPr="0022719C">
        <w:rPr>
          <w:rFonts w:ascii="Times New Roman" w:hAnsi="Times New Roman" w:cs="Times New Roman"/>
          <w:sz w:val="24"/>
          <w:szCs w:val="24"/>
        </w:rPr>
        <w:t>UU, por ejemplo, los costos de la gasolina alcanzaron sus niveles más altos desde 2008. La Asociación Estadounidense del Automóvil precisó que los precios aumentaron u</w:t>
      </w:r>
      <w:r>
        <w:rPr>
          <w:rFonts w:ascii="Times New Roman" w:hAnsi="Times New Roman" w:cs="Times New Roman"/>
          <w:sz w:val="24"/>
          <w:szCs w:val="24"/>
        </w:rPr>
        <w:t>n 11% durante la última semana.</w:t>
      </w:r>
    </w:p>
    <w:p w:rsidR="008C0415"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Creo que si estamos en un mundo donde el petróleo y el gas rusos dejan de fluir hacia Europa, entonces vamos a necesita</w:t>
      </w:r>
      <w:r>
        <w:rPr>
          <w:rFonts w:ascii="Times New Roman" w:hAnsi="Times New Roman" w:cs="Times New Roman"/>
          <w:sz w:val="24"/>
          <w:szCs w:val="24"/>
        </w:rPr>
        <w:t>r medidas como un racionamiento”</w:t>
      </w:r>
      <w:r w:rsidRPr="0022719C">
        <w:rPr>
          <w:rFonts w:ascii="Times New Roman" w:hAnsi="Times New Roman" w:cs="Times New Roman"/>
          <w:sz w:val="24"/>
          <w:szCs w:val="24"/>
        </w:rPr>
        <w:t>, apunta McWilliams.</w:t>
      </w:r>
    </w:p>
    <w:p w:rsidR="008C0415" w:rsidRPr="00B54517" w:rsidRDefault="008C0415" w:rsidP="008C0415">
      <w:pPr>
        <w:spacing w:line="240" w:lineRule="auto"/>
        <w:jc w:val="both"/>
        <w:rPr>
          <w:rFonts w:ascii="Times New Roman" w:hAnsi="Times New Roman" w:cs="Times New Roman"/>
          <w:b/>
          <w:sz w:val="24"/>
          <w:szCs w:val="24"/>
        </w:rPr>
      </w:pPr>
      <w:r w:rsidRPr="00B54517">
        <w:rPr>
          <w:rFonts w:ascii="Times New Roman" w:hAnsi="Times New Roman" w:cs="Times New Roman"/>
          <w:b/>
          <w:sz w:val="24"/>
          <w:szCs w:val="24"/>
        </w:rPr>
        <w:t>Nota: La crisis ucraniana ha expuesto el flanco más débil de la economía europea en un momento crítico para la transición hacia un modelo descarbonizado. Éste es el contexto, las causas, las consecuencias y los escenarios de futuro</w:t>
      </w:r>
      <w:r w:rsidR="001638F1">
        <w:rPr>
          <w:rFonts w:ascii="Times New Roman" w:hAnsi="Times New Roman" w:cs="Times New Roman"/>
          <w:b/>
          <w:sz w:val="24"/>
          <w:szCs w:val="24"/>
        </w:rPr>
        <w:t>,</w:t>
      </w:r>
      <w:r w:rsidRPr="00B54517">
        <w:rPr>
          <w:rFonts w:ascii="Times New Roman" w:hAnsi="Times New Roman" w:cs="Times New Roman"/>
          <w:b/>
          <w:sz w:val="24"/>
          <w:szCs w:val="24"/>
        </w:rPr>
        <w:t xml:space="preserve"> de la ausencia de soberanía energética en el Viejo Continente.</w:t>
      </w:r>
    </w:p>
    <w:p w:rsidR="008C0415" w:rsidRPr="00B54517" w:rsidRDefault="008C0415" w:rsidP="008C0415">
      <w:pPr>
        <w:spacing w:line="240" w:lineRule="auto"/>
        <w:jc w:val="both"/>
        <w:rPr>
          <w:rFonts w:ascii="Times New Roman" w:hAnsi="Times New Roman" w:cs="Times New Roman"/>
          <w:b/>
          <w:sz w:val="24"/>
          <w:szCs w:val="24"/>
        </w:rPr>
      </w:pPr>
      <w:r w:rsidRPr="00B54517">
        <w:rPr>
          <w:rFonts w:ascii="Times New Roman" w:hAnsi="Times New Roman" w:cs="Times New Roman"/>
          <w:b/>
          <w:sz w:val="24"/>
          <w:szCs w:val="24"/>
        </w:rPr>
        <w:t>La independencia económica, y la seguridad alimentaria, energética, o militar tien</w:t>
      </w:r>
      <w:r w:rsidR="001638F1">
        <w:rPr>
          <w:rFonts w:ascii="Times New Roman" w:hAnsi="Times New Roman" w:cs="Times New Roman"/>
          <w:b/>
          <w:sz w:val="24"/>
          <w:szCs w:val="24"/>
        </w:rPr>
        <w:t>en un precio, ¿quién lo paga? ¿h</w:t>
      </w:r>
      <w:r w:rsidRPr="00B54517">
        <w:rPr>
          <w:rFonts w:ascii="Times New Roman" w:hAnsi="Times New Roman" w:cs="Times New Roman"/>
          <w:b/>
          <w:sz w:val="24"/>
          <w:szCs w:val="24"/>
        </w:rPr>
        <w:t>asta dónde</w:t>
      </w:r>
      <w:r w:rsidR="001638F1">
        <w:rPr>
          <w:rFonts w:ascii="Times New Roman" w:hAnsi="Times New Roman" w:cs="Times New Roman"/>
          <w:b/>
          <w:sz w:val="24"/>
          <w:szCs w:val="24"/>
        </w:rPr>
        <w:t xml:space="preserve"> se deben soportar chantajes? ¿q</w:t>
      </w:r>
      <w:r w:rsidRPr="00B54517">
        <w:rPr>
          <w:rFonts w:ascii="Times New Roman" w:hAnsi="Times New Roman" w:cs="Times New Roman"/>
          <w:b/>
          <w:sz w:val="24"/>
          <w:szCs w:val="24"/>
        </w:rPr>
        <w:t>ué nivel de dependencia, o sesión de soberanía, puede ser calificado como una claudicación o rendición del Estado?</w:t>
      </w:r>
    </w:p>
    <w:p w:rsidR="008C0415" w:rsidRPr="00120A4B" w:rsidRDefault="008C0415" w:rsidP="008C0415">
      <w:pPr>
        <w:spacing w:line="240" w:lineRule="auto"/>
        <w:jc w:val="both"/>
        <w:rPr>
          <w:rFonts w:ascii="Times New Roman" w:hAnsi="Times New Roman" w:cs="Times New Roman"/>
          <w:sz w:val="24"/>
          <w:szCs w:val="24"/>
        </w:rPr>
      </w:pPr>
      <w:r w:rsidRPr="009D5222">
        <w:rPr>
          <w:rFonts w:ascii="Times New Roman" w:hAnsi="Times New Roman" w:cs="Times New Roman"/>
          <w:sz w:val="24"/>
          <w:szCs w:val="24"/>
          <w:u w:val="single"/>
        </w:rPr>
        <w:t>La batalla europea por la soberanía energética</w:t>
      </w:r>
    </w:p>
    <w:p w:rsidR="008C0415"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20A4B">
        <w:rPr>
          <w:rFonts w:ascii="Times New Roman" w:hAnsi="Times New Roman" w:cs="Times New Roman"/>
          <w:sz w:val="24"/>
          <w:szCs w:val="24"/>
        </w:rPr>
        <w:t xml:space="preserve">Una Europa ya castigada por la pandemia ha visto aflorar en este invierno una debilidad que no es nueva, pero cuyos efectos secundarios han crecido de manera exponencial: su dependencia de las importaciones energéticas. </w:t>
      </w:r>
      <w:r w:rsidRPr="00B54517">
        <w:rPr>
          <w:rFonts w:ascii="Times New Roman" w:hAnsi="Times New Roman" w:cs="Times New Roman"/>
          <w:sz w:val="24"/>
          <w:szCs w:val="24"/>
        </w:rPr>
        <w:t>El compromiso con la transición ecológica ha obligado a la región, antes adicta al carbón, a migrar hacia otras fuentes. Al no contar aún con la infraestructura energética verde suficiente para autoabastecerse, el Viejo continente ha entrado en un terreno inexplorado.</w:t>
      </w:r>
      <w:r w:rsidRPr="00120A4B">
        <w:rPr>
          <w:rFonts w:ascii="Times New Roman" w:hAnsi="Times New Roman" w:cs="Times New Roman"/>
          <w:sz w:val="24"/>
          <w:szCs w:val="24"/>
        </w:rPr>
        <w:t xml:space="preserve"> En este contexto, los vientos de guerra en Ucrania traen </w:t>
      </w:r>
      <w:r w:rsidRPr="00120A4B">
        <w:rPr>
          <w:rFonts w:ascii="Times New Roman" w:hAnsi="Times New Roman" w:cs="Times New Roman"/>
          <w:sz w:val="24"/>
          <w:szCs w:val="24"/>
        </w:rPr>
        <w:lastRenderedPageBreak/>
        <w:t>consigo la escasez del gas, una materia prima clave en su sistema energético cuyo grifo se abre desde Moscú</w:t>
      </w:r>
      <w:r>
        <w:rPr>
          <w:rFonts w:ascii="Times New Roman" w:hAnsi="Times New Roman" w:cs="Times New Roman"/>
          <w:sz w:val="24"/>
          <w:szCs w:val="24"/>
        </w:rPr>
        <w:t xml:space="preserve">”… (Cinco Días - </w:t>
      </w:r>
      <w:r w:rsidRPr="00120A4B">
        <w:rPr>
          <w:rFonts w:ascii="Times New Roman" w:hAnsi="Times New Roman" w:cs="Times New Roman"/>
          <w:b/>
          <w:sz w:val="24"/>
          <w:szCs w:val="24"/>
        </w:rPr>
        <w:t>10/2/22</w:t>
      </w:r>
      <w:r>
        <w:rPr>
          <w:rFonts w:ascii="Times New Roman" w:hAnsi="Times New Roman" w:cs="Times New Roman"/>
          <w:sz w:val="24"/>
          <w:szCs w:val="24"/>
        </w:rPr>
        <w:t>).</w:t>
      </w:r>
    </w:p>
    <w:p w:rsidR="008C0415" w:rsidRPr="00120A4B" w:rsidRDefault="008C0415" w:rsidP="008C0415">
      <w:pPr>
        <w:spacing w:line="240" w:lineRule="auto"/>
        <w:jc w:val="both"/>
        <w:rPr>
          <w:rFonts w:ascii="Times New Roman" w:hAnsi="Times New Roman" w:cs="Times New Roman"/>
          <w:sz w:val="24"/>
          <w:szCs w:val="24"/>
        </w:rPr>
      </w:pPr>
      <w:r w:rsidRPr="00120A4B">
        <w:rPr>
          <w:rFonts w:ascii="Times New Roman" w:hAnsi="Times New Roman" w:cs="Times New Roman"/>
          <w:noProof/>
          <w:sz w:val="24"/>
          <w:szCs w:val="24"/>
          <w:lang w:val="en-GB" w:eastAsia="zh-CN"/>
        </w:rPr>
        <w:drawing>
          <wp:inline distT="0" distB="0" distL="0" distR="0">
            <wp:extent cx="5733760" cy="3651250"/>
            <wp:effectExtent l="0" t="0" r="635" b="635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3649817"/>
                    </a:xfrm>
                    <a:prstGeom prst="rect">
                      <a:avLst/>
                    </a:prstGeom>
                  </pic:spPr>
                </pic:pic>
              </a:graphicData>
            </a:graphic>
          </wp:inline>
        </w:drawing>
      </w:r>
    </w:p>
    <w:p w:rsidR="008C0415" w:rsidRPr="00B54517" w:rsidRDefault="008C0415" w:rsidP="008C0415">
      <w:pPr>
        <w:spacing w:line="240" w:lineRule="auto"/>
        <w:jc w:val="both"/>
        <w:rPr>
          <w:rFonts w:ascii="Times New Roman" w:hAnsi="Times New Roman" w:cs="Times New Roman"/>
          <w:sz w:val="24"/>
          <w:szCs w:val="24"/>
        </w:rPr>
      </w:pPr>
      <w:r w:rsidRPr="00B54517">
        <w:rPr>
          <w:rFonts w:ascii="Times New Roman" w:hAnsi="Times New Roman" w:cs="Times New Roman"/>
          <w:sz w:val="24"/>
          <w:szCs w:val="24"/>
        </w:rPr>
        <w:t>La región ha recortado en un 42,7% la producción de electricidad basada en hidrocarburos sólidos respecto a la media de las dos décadas anteriores. Como consecuencia, ha quedado al albur de la generación renovable (dependiente del clima) y, en particular, de las “energías de transición” como el gas: un mercado dominado por jugadores oportunistas como Rusia y donde aparecen duros competidores como China e India. Se formula así una pregunta fundamental para el futuro del continente: ¿Será Europa capaz de alcanzar la soberanía energética?</w:t>
      </w:r>
    </w:p>
    <w:p w:rsidR="008C0415" w:rsidRPr="00120A4B" w:rsidRDefault="008C0415" w:rsidP="008C041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Por su flexibilidad y menor nivel de emisiones, el gas es la fuente más accesible para economías altamente dependientes del c</w:t>
      </w:r>
      <w:r>
        <w:rPr>
          <w:rFonts w:ascii="Times New Roman" w:hAnsi="Times New Roman" w:cs="Times New Roman"/>
          <w:sz w:val="24"/>
          <w:szCs w:val="24"/>
        </w:rPr>
        <w:t>arbón como Alemania. A principios de 2022</w:t>
      </w:r>
      <w:r w:rsidRPr="00120A4B">
        <w:rPr>
          <w:rFonts w:ascii="Times New Roman" w:hAnsi="Times New Roman" w:cs="Times New Roman"/>
          <w:sz w:val="24"/>
          <w:szCs w:val="24"/>
        </w:rPr>
        <w:t>, este combustible genera</w:t>
      </w:r>
      <w:r>
        <w:rPr>
          <w:rFonts w:ascii="Times New Roman" w:hAnsi="Times New Roman" w:cs="Times New Roman"/>
          <w:sz w:val="24"/>
          <w:szCs w:val="24"/>
        </w:rPr>
        <w:t>ba</w:t>
      </w:r>
      <w:r w:rsidRPr="00120A4B">
        <w:rPr>
          <w:rFonts w:ascii="Times New Roman" w:hAnsi="Times New Roman" w:cs="Times New Roman"/>
          <w:sz w:val="24"/>
          <w:szCs w:val="24"/>
        </w:rPr>
        <w:t xml:space="preserve"> alrededor del 20% de la producción eléctrica europea, según Eurostat. En España la producción a partir de gas representó alrededor del 27% del sistema eléctrico en 2021, y en enero</w:t>
      </w:r>
      <w:r>
        <w:rPr>
          <w:rFonts w:ascii="Times New Roman" w:hAnsi="Times New Roman" w:cs="Times New Roman"/>
          <w:sz w:val="24"/>
          <w:szCs w:val="24"/>
        </w:rPr>
        <w:t xml:space="preserve"> (2022)</w:t>
      </w:r>
      <w:r w:rsidRPr="00120A4B">
        <w:rPr>
          <w:rFonts w:ascii="Times New Roman" w:hAnsi="Times New Roman" w:cs="Times New Roman"/>
          <w:sz w:val="24"/>
          <w:szCs w:val="24"/>
        </w:rPr>
        <w:t xml:space="preserve"> se alcanzó el 33,5% del total</w:t>
      </w:r>
      <w:r>
        <w:rPr>
          <w:rFonts w:ascii="Times New Roman" w:hAnsi="Times New Roman" w:cs="Times New Roman"/>
          <w:sz w:val="24"/>
          <w:szCs w:val="24"/>
        </w:rPr>
        <w:t>, según datos de Red Eléctrica.</w:t>
      </w:r>
    </w:p>
    <w:p w:rsidR="008C0415" w:rsidRPr="00B54517" w:rsidRDefault="008C0415" w:rsidP="008C0415">
      <w:pPr>
        <w:spacing w:line="240" w:lineRule="auto"/>
        <w:jc w:val="both"/>
        <w:rPr>
          <w:rFonts w:ascii="Times New Roman" w:hAnsi="Times New Roman" w:cs="Times New Roman"/>
          <w:sz w:val="24"/>
          <w:szCs w:val="24"/>
        </w:rPr>
      </w:pPr>
      <w:r w:rsidRPr="00B54517">
        <w:rPr>
          <w:rFonts w:ascii="Times New Roman" w:hAnsi="Times New Roman" w:cs="Times New Roman"/>
          <w:sz w:val="24"/>
          <w:szCs w:val="24"/>
        </w:rPr>
        <w:t>El problema es que Europa tampoco tiene gas, y que el mercado mundial está sujeto a una elevada tensión. La reactivación económica en el último tramo de la pandemia puso de manifiesto este delicado equilibrio: las disrupciones del suministro de gas natural licuado (GNL) estadounidense a mediados de año se unieron a un aumento en la demanda generada por la descarbonización de gigantes como China o, en mucha menor medida, India, dando como resultado una fuerte subida de precios desde verano. La disminución del suministro ruso ligada a la crisis ucraniana ha terminado de cuadrar una tormenta perfecta, que ha disparado los precios del gas y el coste de la energía eléctrica.</w:t>
      </w:r>
    </w:p>
    <w:p w:rsidR="008C0415" w:rsidRPr="00B54517" w:rsidRDefault="008C0415" w:rsidP="008C0415">
      <w:pPr>
        <w:spacing w:line="240" w:lineRule="auto"/>
        <w:jc w:val="both"/>
        <w:rPr>
          <w:rFonts w:ascii="Times New Roman" w:hAnsi="Times New Roman" w:cs="Times New Roman"/>
          <w:sz w:val="24"/>
          <w:szCs w:val="24"/>
        </w:rPr>
      </w:pPr>
      <w:r w:rsidRPr="00B54517">
        <w:rPr>
          <w:rFonts w:ascii="Times New Roman" w:hAnsi="Times New Roman" w:cs="Times New Roman"/>
          <w:sz w:val="24"/>
          <w:szCs w:val="24"/>
        </w:rPr>
        <w:t xml:space="preserve">El precio de los futuros del gas en el mercado neerlandés, referente europeo, refleja esta alocada carrera: de los </w:t>
      </w:r>
      <w:r w:rsidR="00254497">
        <w:rPr>
          <w:rFonts w:ascii="Times New Roman" w:hAnsi="Times New Roman" w:cs="Times New Roman"/>
          <w:sz w:val="24"/>
          <w:szCs w:val="24"/>
        </w:rPr>
        <w:t>20 euros por megav</w:t>
      </w:r>
      <w:r w:rsidRPr="00B54517">
        <w:rPr>
          <w:rFonts w:ascii="Times New Roman" w:hAnsi="Times New Roman" w:cs="Times New Roman"/>
          <w:sz w:val="24"/>
          <w:szCs w:val="24"/>
        </w:rPr>
        <w:t>atio en marzo</w:t>
      </w:r>
      <w:r>
        <w:rPr>
          <w:rFonts w:ascii="Times New Roman" w:hAnsi="Times New Roman" w:cs="Times New Roman"/>
          <w:sz w:val="24"/>
          <w:szCs w:val="24"/>
        </w:rPr>
        <w:t xml:space="preserve"> (2021)</w:t>
      </w:r>
      <w:r w:rsidRPr="00B54517">
        <w:rPr>
          <w:rFonts w:ascii="Times New Roman" w:hAnsi="Times New Roman" w:cs="Times New Roman"/>
          <w:sz w:val="24"/>
          <w:szCs w:val="24"/>
        </w:rPr>
        <w:t xml:space="preserve"> pasó a 40 en agosto,  volvió a duplicarse en septiembre hasta los 80 y, tras moderarse en noviembre, llegó a un pico de 166 el 21 de diciembre, desde el que ha caído un 50%. Aun así está un 300% por encima de la </w:t>
      </w:r>
      <w:r w:rsidRPr="00B54517">
        <w:rPr>
          <w:rFonts w:ascii="Times New Roman" w:hAnsi="Times New Roman" w:cs="Times New Roman"/>
          <w:sz w:val="24"/>
          <w:szCs w:val="24"/>
        </w:rPr>
        <w:lastRenderedPageBreak/>
        <w:t>media de 2020, y no se normalizará hasta 2024, de acuerdo con las cifras de los futuros a más largo plazo de Intercontinental Exchange.</w:t>
      </w:r>
    </w:p>
    <w:p w:rsidR="008C0415" w:rsidRPr="00120A4B" w:rsidRDefault="008C0415" w:rsidP="008C0415">
      <w:pPr>
        <w:spacing w:line="240" w:lineRule="auto"/>
        <w:jc w:val="both"/>
        <w:rPr>
          <w:rFonts w:ascii="Times New Roman" w:hAnsi="Times New Roman" w:cs="Times New Roman"/>
          <w:sz w:val="24"/>
          <w:szCs w:val="24"/>
        </w:rPr>
      </w:pPr>
      <w:r w:rsidRPr="00120A4B">
        <w:rPr>
          <w:rFonts w:ascii="Times New Roman" w:hAnsi="Times New Roman" w:cs="Times New Roman"/>
          <w:noProof/>
          <w:sz w:val="24"/>
          <w:szCs w:val="24"/>
          <w:lang w:val="en-GB" w:eastAsia="zh-CN"/>
        </w:rPr>
        <w:drawing>
          <wp:inline distT="0" distB="0" distL="0" distR="0">
            <wp:extent cx="5734050" cy="33337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3332273"/>
                    </a:xfrm>
                    <a:prstGeom prst="rect">
                      <a:avLst/>
                    </a:prstGeom>
                  </pic:spPr>
                </pic:pic>
              </a:graphicData>
            </a:graphic>
          </wp:inline>
        </w:drawing>
      </w:r>
    </w:p>
    <w:p w:rsidR="008C0415" w:rsidRPr="00B54517" w:rsidRDefault="008C0415" w:rsidP="008C0415">
      <w:pPr>
        <w:spacing w:line="240" w:lineRule="auto"/>
        <w:jc w:val="both"/>
        <w:rPr>
          <w:rFonts w:ascii="Times New Roman" w:hAnsi="Times New Roman" w:cs="Times New Roman"/>
          <w:sz w:val="24"/>
          <w:szCs w:val="24"/>
        </w:rPr>
      </w:pPr>
      <w:r w:rsidRPr="00B54517">
        <w:rPr>
          <w:rFonts w:ascii="Times New Roman" w:hAnsi="Times New Roman" w:cs="Times New Roman"/>
          <w:sz w:val="24"/>
          <w:szCs w:val="24"/>
        </w:rPr>
        <w:t>Los socios europeos son conscientes de su situación, hasta el punto de que la agencia Eurostat dispone de un indicador específico para la “dependencia energética” de los 27. De media, el 57,5% de la energía que consume el bloque es de origen extracomunitario. Italia lidera la lista entre los países más grandes de la UE, con un 73,4%, seguida de España con un 67,9% y Alemania con un 63,6%. Francia es el único de los gigantes europeos que se encuentra por debajo de la media, con un 44,4%, en parte gracias a su abastecimiento nuclear.</w:t>
      </w:r>
    </w:p>
    <w:p w:rsidR="008C0415" w:rsidRPr="00120A4B" w:rsidRDefault="008C0415" w:rsidP="008C041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Esta dependencia tiene importantes matices en función de la fiabilidad de la fuente de suministro y de la concentración de las importaciones. Exportadores como Argelia, Noruega o Rusia, que dominan el mercado europeo, tienen diferentes grados de influencia en cada país dependiendo del peso de sus envíos en cada respectivo mix energético. Así mismo, el nivel de interconexión con el sistema de gas europeo o el acceso al mercado del GNL, que proviene principalmente Estados Unidos y Oriente Medio, son factores que pueden mitigar o empeorar el imp</w:t>
      </w:r>
      <w:r>
        <w:rPr>
          <w:rFonts w:ascii="Times New Roman" w:hAnsi="Times New Roman" w:cs="Times New Roman"/>
          <w:sz w:val="24"/>
          <w:szCs w:val="24"/>
        </w:rPr>
        <w:t>acto de los flujos del mercado.</w:t>
      </w:r>
    </w:p>
    <w:p w:rsidR="008C0415" w:rsidRPr="00120A4B" w:rsidRDefault="008C0415" w:rsidP="008C041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Gas, el as económico de Rusia</w:t>
      </w:r>
    </w:p>
    <w:p w:rsidR="008C0415" w:rsidRPr="00B54517" w:rsidRDefault="008C0415" w:rsidP="008C0415">
      <w:pPr>
        <w:spacing w:line="240" w:lineRule="auto"/>
        <w:jc w:val="both"/>
        <w:rPr>
          <w:rFonts w:ascii="Times New Roman" w:hAnsi="Times New Roman" w:cs="Times New Roman"/>
          <w:sz w:val="24"/>
          <w:szCs w:val="24"/>
        </w:rPr>
      </w:pPr>
      <w:r w:rsidRPr="00B54517">
        <w:rPr>
          <w:rFonts w:ascii="Times New Roman" w:hAnsi="Times New Roman" w:cs="Times New Roman"/>
          <w:sz w:val="24"/>
          <w:szCs w:val="24"/>
        </w:rPr>
        <w:t>El Kremlin maneja alrededor del 40% del suministro de gas europeo a través de la empresa estatal Gazprom, y ha utilizado esta “arma del gas” para presionar al bloque y alejarlo de las ex repúblicas soviéticas, su histórica área de influencia.</w:t>
      </w:r>
    </w:p>
    <w:p w:rsidR="008C0415" w:rsidRPr="00120A4B" w:rsidRDefault="008C0415" w:rsidP="008C041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Según la Agencia Internacional de Energía, Moscú ha reducido en un 25% interanual los envíos de gas a la región durante el último trimestre de 2021. Este movimiento solo se podría explicar por su agenda política, afirma la institución, ya que en el contexto de los precios altos del gas mantener el suministro habría generado una jugosa rentabilidad para las exportaciones rusas.</w:t>
      </w:r>
    </w:p>
    <w:p w:rsidR="008C0415" w:rsidRPr="00B54517" w:rsidRDefault="008C0415" w:rsidP="008C0415">
      <w:pPr>
        <w:spacing w:line="240" w:lineRule="auto"/>
        <w:jc w:val="both"/>
        <w:rPr>
          <w:rFonts w:ascii="Times New Roman" w:hAnsi="Times New Roman" w:cs="Times New Roman"/>
          <w:sz w:val="24"/>
          <w:szCs w:val="24"/>
        </w:rPr>
      </w:pPr>
      <w:r w:rsidRPr="00B54517">
        <w:rPr>
          <w:rFonts w:ascii="Times New Roman" w:hAnsi="Times New Roman" w:cs="Times New Roman"/>
          <w:sz w:val="24"/>
          <w:szCs w:val="24"/>
        </w:rPr>
        <w:t xml:space="preserve">Los recortes rusos se han dado esencialmente en dos de las cuatro rutas empleadas: el gasoducto “Yamal-Europa”, que atraviesa Bielorrusia y Polonia para llegar a Alemania, y el </w:t>
      </w:r>
      <w:r w:rsidRPr="00B54517">
        <w:rPr>
          <w:rFonts w:ascii="Times New Roman" w:hAnsi="Times New Roman" w:cs="Times New Roman"/>
          <w:sz w:val="24"/>
          <w:szCs w:val="24"/>
        </w:rPr>
        <w:lastRenderedPageBreak/>
        <w:t>corredor ucraniano, que conecta Rusia con los países al sur de Alemania. Específicamente, este corredor ha pasado de movilizar alrededor del 45% de los envíos rusos en 2019 a cerca del 20% en 2022, según los datos del Ministerio de Energía de Ucrania.</w:t>
      </w:r>
    </w:p>
    <w:p w:rsidR="008C0415" w:rsidRDefault="008C0415" w:rsidP="008C0415">
      <w:pPr>
        <w:spacing w:line="240" w:lineRule="auto"/>
        <w:jc w:val="both"/>
        <w:rPr>
          <w:rFonts w:ascii="Times New Roman" w:hAnsi="Times New Roman" w:cs="Times New Roman"/>
          <w:sz w:val="24"/>
          <w:szCs w:val="24"/>
        </w:rPr>
      </w:pPr>
      <w:r w:rsidRPr="004B771D">
        <w:rPr>
          <w:rFonts w:ascii="Times New Roman" w:hAnsi="Times New Roman" w:cs="Times New Roman"/>
          <w:sz w:val="24"/>
          <w:szCs w:val="24"/>
        </w:rPr>
        <w:t>El Kremlin tiene más influencia sobre algunos países que sobre otros. En Alemania, la principal economía del bloque, las importaciones rusas suponen entre un 60% y un 65% del total del gas consumido, mientras que en Italia ronda el 40%. En países como Austria la dependencia es tal que el Gobierno incluso ha advertido sobre posibles apagones ante la caída en el suministro</w:t>
      </w:r>
      <w:r w:rsidRPr="00120A4B">
        <w:rPr>
          <w:rFonts w:ascii="Times New Roman" w:hAnsi="Times New Roman" w:cs="Times New Roman"/>
          <w:sz w:val="24"/>
          <w:szCs w:val="24"/>
        </w:rPr>
        <w:t>. España y Francia, no obstante, están en una situación diferente. Aunque siguen siendo vulnerables ante las subidas de precio del mercado, las importaciones africanas protegen a sus sistemas ante las turbulencias rusas. Tan solo un 10,5% del suministro de la península, cuyo principal proveedor es Argelia, proviene de Rusia. Para los franceses, esta cifra se mantiene cerca del 17%.</w:t>
      </w:r>
    </w:p>
    <w:p w:rsidR="008C0415" w:rsidRDefault="008C0415" w:rsidP="008C0415">
      <w:pPr>
        <w:spacing w:line="240" w:lineRule="auto"/>
        <w:jc w:val="both"/>
        <w:rPr>
          <w:rFonts w:ascii="Times New Roman" w:hAnsi="Times New Roman" w:cs="Times New Roman"/>
          <w:sz w:val="24"/>
          <w:szCs w:val="24"/>
        </w:rPr>
      </w:pPr>
      <w:r w:rsidRPr="004B771D">
        <w:rPr>
          <w:rFonts w:ascii="Times New Roman" w:hAnsi="Times New Roman" w:cs="Times New Roman"/>
          <w:sz w:val="24"/>
          <w:szCs w:val="24"/>
        </w:rPr>
        <w:t>La disminución de los flujos también se da en el contexto de un nivel anormalmente bajo en las reservas de gas europeas, que a principios de febrero (2022) se encuentran a un 35% de su capacidad, en contraste con el 48% en estas fechas de 2021, según datos de la agencia Gas Infrastructure Europe.</w:t>
      </w:r>
      <w:r w:rsidRPr="00120A4B">
        <w:rPr>
          <w:rFonts w:ascii="Times New Roman" w:hAnsi="Times New Roman" w:cs="Times New Roman"/>
          <w:sz w:val="24"/>
          <w:szCs w:val="24"/>
        </w:rPr>
        <w:t xml:space="preserve"> De acuerdo con Fatih Birol, jefe de la Agencia Internacional de Energía, este déficit está principalmente localizado en los depósitos alimentados por Gazprom, que ha elegido recortar sus envíos al mínimo estipulado en los contratos, incluso en u</w:t>
      </w:r>
      <w:r w:rsidR="00254497">
        <w:rPr>
          <w:rFonts w:ascii="Times New Roman" w:hAnsi="Times New Roman" w:cs="Times New Roman"/>
          <w:sz w:val="24"/>
          <w:szCs w:val="24"/>
        </w:rPr>
        <w:t>n entorno de precios estratosfér</w:t>
      </w:r>
      <w:r w:rsidRPr="00120A4B">
        <w:rPr>
          <w:rFonts w:ascii="Times New Roman" w:hAnsi="Times New Roman" w:cs="Times New Roman"/>
          <w:sz w:val="24"/>
          <w:szCs w:val="24"/>
        </w:rPr>
        <w:t>icos.</w:t>
      </w:r>
    </w:p>
    <w:p w:rsidR="008C0415" w:rsidRPr="00120A4B" w:rsidRDefault="008C0415" w:rsidP="008C0415">
      <w:pPr>
        <w:spacing w:line="240" w:lineRule="auto"/>
        <w:jc w:val="both"/>
        <w:rPr>
          <w:rFonts w:ascii="Times New Roman" w:hAnsi="Times New Roman" w:cs="Times New Roman"/>
          <w:sz w:val="24"/>
          <w:szCs w:val="24"/>
        </w:rPr>
      </w:pPr>
      <w:r w:rsidRPr="00EC09C9">
        <w:rPr>
          <w:rFonts w:ascii="Times New Roman" w:hAnsi="Times New Roman" w:cs="Times New Roman"/>
          <w:noProof/>
          <w:sz w:val="24"/>
          <w:szCs w:val="24"/>
          <w:lang w:val="en-GB" w:eastAsia="zh-CN"/>
        </w:rPr>
        <w:drawing>
          <wp:inline distT="0" distB="0" distL="0" distR="0">
            <wp:extent cx="5727062" cy="4851400"/>
            <wp:effectExtent l="0" t="0" r="762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4855168"/>
                    </a:xfrm>
                    <a:prstGeom prst="rect">
                      <a:avLst/>
                    </a:prstGeom>
                  </pic:spPr>
                </pic:pic>
              </a:graphicData>
            </a:graphic>
          </wp:inline>
        </w:drawing>
      </w:r>
    </w:p>
    <w:p w:rsidR="008C0415" w:rsidRPr="00120A4B" w:rsidRDefault="008C0415" w:rsidP="008C0415">
      <w:pPr>
        <w:spacing w:line="240" w:lineRule="auto"/>
        <w:jc w:val="both"/>
        <w:rPr>
          <w:rFonts w:ascii="Times New Roman" w:hAnsi="Times New Roman" w:cs="Times New Roman"/>
          <w:sz w:val="24"/>
          <w:szCs w:val="24"/>
        </w:rPr>
      </w:pPr>
      <w:r w:rsidRPr="00DE700D">
        <w:rPr>
          <w:rFonts w:ascii="Times New Roman" w:hAnsi="Times New Roman" w:cs="Times New Roman"/>
          <w:sz w:val="24"/>
          <w:szCs w:val="24"/>
        </w:rPr>
        <w:lastRenderedPageBreak/>
        <w:t>El riesgo de suministro, en todo caso, ha sido mitigado por la llegada de metaneros cargados de gas natural licuado, atraídos por la alta rentabilidad del mercado europeo. Este reequilibrio ha calmado los nervios en el mercado, y los precios del gas en el mercado neerlandés han caído en un 55,2% (en febrero 2022) desde el último pico el 21 de diciembre.</w:t>
      </w:r>
      <w:r w:rsidRPr="00120A4B">
        <w:rPr>
          <w:rFonts w:ascii="Times New Roman" w:hAnsi="Times New Roman" w:cs="Times New Roman"/>
          <w:sz w:val="24"/>
          <w:szCs w:val="24"/>
        </w:rPr>
        <w:t xml:space="preserve"> El suministro de gas por barco implica la necesidad de enfriar en origen el gas natural para que pase al estado líquido, transportarlo en barcos especiales y convertirlo de nuevo en gas natural en destino. Alemania o Austria, que no cuentan con terminales de GNL, solo pueden acceder a estas importaciones por medio de la red europea de gasoductos. España, por el contrario, es uno de los países con m</w:t>
      </w:r>
      <w:r>
        <w:rPr>
          <w:rFonts w:ascii="Times New Roman" w:hAnsi="Times New Roman" w:cs="Times New Roman"/>
          <w:sz w:val="24"/>
          <w:szCs w:val="24"/>
        </w:rPr>
        <w:t>ás capacidad de regasificación.</w:t>
      </w:r>
    </w:p>
    <w:p w:rsidR="008C0415" w:rsidRPr="00120A4B" w:rsidRDefault="008C0415" w:rsidP="008C041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Un futuro, dos visiones</w:t>
      </w:r>
    </w:p>
    <w:p w:rsidR="008C0415" w:rsidRPr="00120A4B" w:rsidRDefault="008C0415" w:rsidP="008C041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Líderes y legisladores europeos han insistido en la necesidad de diversificar. Recientemente, la comisaria europea de energía, Kadri Simson, viajó a Azerbaiyán para negociar un posible aumento de las exportaciones de gas desde este país que permitirían depender menos de Rusia. Asimismo, el alto representante de la Unión Europea para asuntos exteriores, </w:t>
      </w:r>
      <w:r>
        <w:rPr>
          <w:rFonts w:ascii="Times New Roman" w:hAnsi="Times New Roman" w:cs="Times New Roman"/>
          <w:sz w:val="24"/>
          <w:szCs w:val="24"/>
        </w:rPr>
        <w:t xml:space="preserve">Josep Borrell indicó </w:t>
      </w:r>
      <w:r w:rsidRPr="00120A4B">
        <w:rPr>
          <w:rFonts w:ascii="Times New Roman" w:hAnsi="Times New Roman" w:cs="Times New Roman"/>
          <w:sz w:val="24"/>
          <w:szCs w:val="24"/>
        </w:rPr>
        <w:t>que la prioridad inmediata del bloque es diversificar las fuentes de energía y los flujos de gas para evitar int</w:t>
      </w:r>
      <w:r>
        <w:rPr>
          <w:rFonts w:ascii="Times New Roman" w:hAnsi="Times New Roman" w:cs="Times New Roman"/>
          <w:sz w:val="24"/>
          <w:szCs w:val="24"/>
        </w:rPr>
        <w:t>errupciones en el suministro y “</w:t>
      </w:r>
      <w:r w:rsidRPr="00120A4B">
        <w:rPr>
          <w:rFonts w:ascii="Times New Roman" w:hAnsi="Times New Roman" w:cs="Times New Roman"/>
          <w:sz w:val="24"/>
          <w:szCs w:val="24"/>
        </w:rPr>
        <w:t>garantizar que los mercados energéticos mundiales sean líquidos, co</w:t>
      </w:r>
      <w:r>
        <w:rPr>
          <w:rFonts w:ascii="Times New Roman" w:hAnsi="Times New Roman" w:cs="Times New Roman"/>
          <w:sz w:val="24"/>
          <w:szCs w:val="24"/>
        </w:rPr>
        <w:t>mpetitivos y bien abastecidos”.</w:t>
      </w:r>
    </w:p>
    <w:p w:rsidR="008C0415" w:rsidRPr="004B771D" w:rsidRDefault="008C0415" w:rsidP="008C0415">
      <w:pPr>
        <w:spacing w:line="240" w:lineRule="auto"/>
        <w:jc w:val="both"/>
        <w:rPr>
          <w:rFonts w:ascii="Times New Roman" w:hAnsi="Times New Roman" w:cs="Times New Roman"/>
          <w:sz w:val="24"/>
          <w:szCs w:val="24"/>
        </w:rPr>
      </w:pPr>
      <w:r w:rsidRPr="004B771D">
        <w:rPr>
          <w:rFonts w:ascii="Times New Roman" w:hAnsi="Times New Roman" w:cs="Times New Roman"/>
          <w:sz w:val="24"/>
          <w:szCs w:val="24"/>
        </w:rPr>
        <w:t>A la cabeza de la cruzada contra la dependencia, se ha situado la presidenta de la Comisión Europea, Úrsula Von der Leyen, quien ha insistido en la urgencia de que Europa consiga la soberanía energética por medio de la transición ecológica. Una meta que no solo contribuirá a frenar el cambio climático, sino que aumentará la resiliencia energética del bloque.</w:t>
      </w:r>
    </w:p>
    <w:p w:rsidR="008C0415" w:rsidRPr="00120A4B" w:rsidRDefault="008C0415" w:rsidP="008C041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De acuerdo con la Comisión Europea, lograr este objetivo supondría que Europa produzca la totalidad de su propia energía, cortando su dependencia de suministros externos y protegiéndose de posibles interrupciones y de la volatilidad de los precios del gas. También sería un gran ahorro económico: lograr los objetivos de reducción de emisiones en 2030 supondría una caída de más del 25% en las importaciones de combustibles fósiles, y de alcanzarse la neutralidad climática para 2050, el bloque ahorraría hasta tres billones de euros.</w:t>
      </w:r>
    </w:p>
    <w:p w:rsidR="008C0415" w:rsidRPr="004B771D" w:rsidRDefault="008C0415" w:rsidP="008C0415">
      <w:pPr>
        <w:spacing w:line="240" w:lineRule="auto"/>
        <w:jc w:val="both"/>
        <w:rPr>
          <w:rFonts w:ascii="Times New Roman" w:hAnsi="Times New Roman" w:cs="Times New Roman"/>
          <w:sz w:val="24"/>
          <w:szCs w:val="24"/>
        </w:rPr>
      </w:pPr>
      <w:r w:rsidRPr="004B771D">
        <w:rPr>
          <w:rFonts w:ascii="Times New Roman" w:hAnsi="Times New Roman" w:cs="Times New Roman"/>
          <w:sz w:val="24"/>
          <w:szCs w:val="24"/>
        </w:rPr>
        <w:t>Sin embargo, el cómo lograrlo ha generado división entre los socios. Si bien Bruselas considera que ni el gas ni la energía nuclear son energías neutras a nivel climático, ha decidido defender su papel como “actividades de transición” para alcanzar el objetivo de una economía descarbonizada en 2050. La Comisión Europea ha propuesto a principios de febrero (2022) que ambas fuentes se consideren dentro de la taxonomía verde del Ejecutivo comunitario, un sistema que pretende orientar las inversiones en la transición ecológica.</w:t>
      </w:r>
    </w:p>
    <w:p w:rsidR="008C0415" w:rsidRPr="00120A4B" w:rsidRDefault="008C0415" w:rsidP="008C041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La tendencia apunta a que en el medio plazo Europa se alejará del gas. La Agencia Internacional de la Energía (AIE) cree que la demanda de gas en el bloque caerá este año un 4%, en un contexto marcado por la fuerte tensión en el mercado con unos precios históricamente elevados y una reducción de los suministros por gasoducto que llegan desde Rusia. En su informe trimestral sobre el mercado del gas publicado a finales de enero, se estima que el consumo de gas en Europa caerá en 2022 a 527.000 millones de metros cúbicos, frente a los 552.000 millones de 2021, y se acercará a los 522.000 millones de 2020, un año en que se había vivido un severo hundi</w:t>
      </w:r>
      <w:r>
        <w:rPr>
          <w:rFonts w:ascii="Times New Roman" w:hAnsi="Times New Roman" w:cs="Times New Roman"/>
          <w:sz w:val="24"/>
          <w:szCs w:val="24"/>
        </w:rPr>
        <w:t>miento por la crisis del Covid.</w:t>
      </w:r>
    </w:p>
    <w:p w:rsidR="008C0415" w:rsidRPr="00120A4B" w:rsidRDefault="008C0415" w:rsidP="008C041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Por el contrario, visualiza un futuro optimista a medio plazo para otras energías. La AIE cree que el hidrógeno sin emisiones podría llegar a ser competitivo en el horizonte de 2030 en países con muchos recursos renovables, impulsado por una reducción significativa en sus costes de producción. Según el informe Global Hydrogen Review publicado a finales de </w:t>
      </w:r>
      <w:r w:rsidRPr="00120A4B">
        <w:rPr>
          <w:rFonts w:ascii="Times New Roman" w:hAnsi="Times New Roman" w:cs="Times New Roman"/>
          <w:sz w:val="24"/>
          <w:szCs w:val="24"/>
        </w:rPr>
        <w:lastRenderedPageBreak/>
        <w:t>enero, la demanda de hidrógeno a nivel global en 2020, fue de 90 millones de toneladas, utilizado sobre todo en la industria química y las refinerías; un dato que para 2030 podría crecer h</w:t>
      </w:r>
      <w:r>
        <w:rPr>
          <w:rFonts w:ascii="Times New Roman" w:hAnsi="Times New Roman" w:cs="Times New Roman"/>
          <w:sz w:val="24"/>
          <w:szCs w:val="24"/>
        </w:rPr>
        <w:t>asta 105 millones de toneladas.</w:t>
      </w:r>
    </w:p>
    <w:p w:rsidR="008C0415" w:rsidRPr="004B771D" w:rsidRDefault="008C0415" w:rsidP="008C0415">
      <w:pPr>
        <w:spacing w:line="240" w:lineRule="auto"/>
        <w:jc w:val="both"/>
        <w:rPr>
          <w:rFonts w:ascii="Times New Roman" w:hAnsi="Times New Roman" w:cs="Times New Roman"/>
          <w:sz w:val="24"/>
          <w:szCs w:val="24"/>
        </w:rPr>
      </w:pPr>
      <w:r w:rsidRPr="004B771D">
        <w:rPr>
          <w:rFonts w:ascii="Times New Roman" w:hAnsi="Times New Roman" w:cs="Times New Roman"/>
          <w:sz w:val="24"/>
          <w:szCs w:val="24"/>
        </w:rPr>
        <w:t>Este optimismo es secundado por la Agencia Internacional de Energías Renovables (IRENA), una institución que asegura que el rápido crecimiento de la economía del hidrógeno mundial puede producir importantes cambios geoeconómicos y geopolíticos. Impulsado por la urgencia climática y los compromisos de los países con respecto a la producción de cero emisiones netas, IRENA estima que el hidrógeno representará hasta el 12% del uso de energía en el mundo para 2050.</w:t>
      </w:r>
    </w:p>
    <w:p w:rsidR="008C0415" w:rsidRPr="00120A4B" w:rsidRDefault="008C0415" w:rsidP="008C041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“El hidrógeno se apalanca claramente en la revolución de las energías renovables, de modo que el hidrógeno verde se presenta como una solución radical para alcanzar la neutralidad climática sin comprometer el crecimiento industrial y el desarrollo social”, ha señalado Francesco La Camera, d</w:t>
      </w:r>
      <w:r>
        <w:rPr>
          <w:rFonts w:ascii="Times New Roman" w:hAnsi="Times New Roman" w:cs="Times New Roman"/>
          <w:sz w:val="24"/>
          <w:szCs w:val="24"/>
        </w:rPr>
        <w:t>irector general de IRENA.</w:t>
      </w:r>
    </w:p>
    <w:p w:rsidR="008C0415" w:rsidRDefault="008C0415" w:rsidP="008C041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Sin embargo, a corto plazo, Bruselas se conforma con “aceptar soluciones imperfectas”, en palabras de la comisaria de Servicios financieros, Mairead McGuinnes, al anunciar la polémica taxonomía verde que complace las peticiones de Francia y Alemania. Pero más allá de que esta reforma vea la luz verde, en lo que sí coinciden los 27 es en la urgencia de abandonar la dependencia de Rusia, que ha pasado en las últimas semanas de ser un socio energético a un potencial enemigo bélico. Tras un 2021 de crisis energética, la Unión Europea ha entendido que el gas es su arma de doble filo.</w:t>
      </w:r>
    </w:p>
    <w:p w:rsidR="008C0415" w:rsidRPr="004B771D" w:rsidRDefault="008C0415" w:rsidP="008C0415">
      <w:pPr>
        <w:spacing w:line="240" w:lineRule="auto"/>
        <w:jc w:val="both"/>
        <w:rPr>
          <w:rFonts w:ascii="Times New Roman" w:hAnsi="Times New Roman" w:cs="Times New Roman"/>
          <w:b/>
          <w:sz w:val="24"/>
          <w:szCs w:val="24"/>
        </w:rPr>
      </w:pPr>
      <w:r w:rsidRPr="004B771D">
        <w:rPr>
          <w:rFonts w:ascii="Times New Roman" w:hAnsi="Times New Roman" w:cs="Times New Roman"/>
          <w:b/>
          <w:sz w:val="24"/>
          <w:szCs w:val="24"/>
        </w:rPr>
        <w:t>Nota: con el miedo en el cuerpo</w:t>
      </w:r>
      <w:r w:rsidR="00DE700D">
        <w:rPr>
          <w:rFonts w:ascii="Times New Roman" w:hAnsi="Times New Roman" w:cs="Times New Roman"/>
          <w:b/>
          <w:sz w:val="24"/>
          <w:szCs w:val="24"/>
        </w:rPr>
        <w:t xml:space="preserve"> (la grave fragilidad energética europea)</w:t>
      </w:r>
    </w:p>
    <w:p w:rsidR="008C0415" w:rsidRPr="008C0415" w:rsidRDefault="008C0415" w:rsidP="008C0415">
      <w:pPr>
        <w:spacing w:line="240" w:lineRule="auto"/>
        <w:jc w:val="both"/>
        <w:rPr>
          <w:rFonts w:ascii="Times New Roman" w:hAnsi="Times New Roman" w:cs="Times New Roman"/>
          <w:sz w:val="24"/>
          <w:szCs w:val="24"/>
        </w:rPr>
      </w:pPr>
      <w:r w:rsidRPr="008C0415">
        <w:rPr>
          <w:rFonts w:ascii="Times New Roman" w:hAnsi="Times New Roman" w:cs="Times New Roman"/>
          <w:sz w:val="24"/>
          <w:szCs w:val="24"/>
        </w:rPr>
        <w:t>“La hipótesis de un shock de suministro de gas y petróleo que suma a Europa en una grave crisis energética y trunque de raíz la recuperación ha dejado de ser un escenario más o menos teórico para convertirse en una inquietante posibilidad. Los mercados reflejaron ayer este temor con fuertes variaciones tanto en el petróleo -con un Brent que llegó a tocar los 139 dólares, cifra que no alcanzaba desde 2008, aunque finalmente retrocedió hasta los 121 dólares- como en el gas, donde los futuros en el mercado neerlandés se dispararon hasta en un 79% respecto al viernes y cerraron en 229 euros/mwh. Por su parte, el precio de la electricidad en el mercado mayorista marca hoy la cifra más cara de la historia: 544,98 euros el</w:t>
      </w:r>
      <w:r w:rsidR="00254497">
        <w:rPr>
          <w:rFonts w:ascii="Times New Roman" w:hAnsi="Times New Roman" w:cs="Times New Roman"/>
          <w:sz w:val="24"/>
          <w:szCs w:val="24"/>
        </w:rPr>
        <w:t xml:space="preserve"> megavatio/hora (mw</w:t>
      </w:r>
      <w:r w:rsidRPr="008C0415">
        <w:rPr>
          <w:rFonts w:ascii="Times New Roman" w:hAnsi="Times New Roman" w:cs="Times New Roman"/>
          <w:sz w:val="24"/>
          <w:szCs w:val="24"/>
        </w:rPr>
        <w:t>h)”...</w:t>
      </w:r>
      <w:r>
        <w:rPr>
          <w:rFonts w:ascii="Times New Roman" w:hAnsi="Times New Roman" w:cs="Times New Roman"/>
          <w:sz w:val="24"/>
          <w:szCs w:val="24"/>
        </w:rPr>
        <w:t xml:space="preserve"> (Cinco Días - </w:t>
      </w:r>
      <w:r w:rsidRPr="00E4549A">
        <w:rPr>
          <w:rFonts w:ascii="Times New Roman" w:hAnsi="Times New Roman" w:cs="Times New Roman"/>
          <w:b/>
          <w:sz w:val="24"/>
          <w:szCs w:val="24"/>
        </w:rPr>
        <w:t>8/3/22</w:t>
      </w:r>
      <w:r>
        <w:rPr>
          <w:rFonts w:ascii="Times New Roman" w:hAnsi="Times New Roman" w:cs="Times New Roman"/>
          <w:sz w:val="24"/>
          <w:szCs w:val="24"/>
        </w:rPr>
        <w:t>)</w:t>
      </w:r>
    </w:p>
    <w:p w:rsidR="008C0415" w:rsidRPr="008C0415" w:rsidRDefault="008C0415" w:rsidP="008C0415">
      <w:pPr>
        <w:spacing w:line="240" w:lineRule="auto"/>
        <w:jc w:val="both"/>
        <w:rPr>
          <w:rFonts w:ascii="Times New Roman" w:hAnsi="Times New Roman" w:cs="Times New Roman"/>
          <w:sz w:val="24"/>
          <w:szCs w:val="24"/>
        </w:rPr>
      </w:pPr>
      <w:r w:rsidRPr="008C0415">
        <w:rPr>
          <w:rFonts w:ascii="Times New Roman" w:hAnsi="Times New Roman" w:cs="Times New Roman"/>
          <w:sz w:val="24"/>
          <w:szCs w:val="24"/>
        </w:rPr>
        <w:t>Aunque la subida del coste de la energía estaba azotando ya las economías occidentales antes de la invasión de Ucrania, el conflicto bélico y, sobre todo, la posibilidad de que se prolongue durante meses, ha terminado de incendiar el mercado energético mundial. Las violentas subidas del crudo y del gas son la reacción ante dos escenarios de grave riesgo para el abastecimiento. Por un lado, la posible prohibición de las importaciones de petróleo ruso, una medida que Washington baraja adoptar de forma unilateral. Por otro, la hipótesis de que las sanciones desencadenen un corte de suministro del gas por parte de Moscú, lo que golpearía seriamente a Europa, que se abastece en Rusia de hasta un 40% del gas que importa. Desde las autoridades europeas se reconocía ayer, con una elevada dosis de realismo, que la UE no puede prescindir del suministro ruso “de un día para otro”, al tiempo que se anunciaba un plan para reducir la dependencia energética de Moscú que es necesario, sin duda, pero que llega tarde.</w:t>
      </w:r>
    </w:p>
    <w:p w:rsidR="008C0415" w:rsidRDefault="008C0415" w:rsidP="008C0415">
      <w:pPr>
        <w:spacing w:line="240" w:lineRule="auto"/>
        <w:jc w:val="both"/>
        <w:rPr>
          <w:rFonts w:ascii="Times New Roman" w:hAnsi="Times New Roman" w:cs="Times New Roman"/>
          <w:sz w:val="24"/>
          <w:szCs w:val="24"/>
        </w:rPr>
      </w:pPr>
      <w:r w:rsidRPr="00E4549A">
        <w:rPr>
          <w:rFonts w:ascii="Times New Roman" w:hAnsi="Times New Roman" w:cs="Times New Roman"/>
          <w:sz w:val="24"/>
          <w:szCs w:val="24"/>
        </w:rPr>
        <w:t xml:space="preserve">Más allá de que la solución más deseable a esta crisis sería un alto al fuego y una reconducción del conflicto, la guerra debe servir de acicate a Europa para avanzar en el diseño de un mapa de suministro energético más diversificado y menos vulnerable. Si los </w:t>
      </w:r>
      <w:r w:rsidRPr="00E4549A">
        <w:rPr>
          <w:rFonts w:ascii="Times New Roman" w:hAnsi="Times New Roman" w:cs="Times New Roman"/>
          <w:sz w:val="24"/>
          <w:szCs w:val="24"/>
        </w:rPr>
        <w:lastRenderedPageBreak/>
        <w:t>acontecimientos en Ucrania se agravan todavía más y el conflicto desencadena una crisis global de energía, Europa deberá asumir como primera consecuencia un racionamiento energético que tendrá un alto coste económico y social. España aprobó ayer una serie de medidas para mitigar el impacto de ese escenario, entre ellas, el desligamiento de los usuarios vulnerables de los altos precios determinados en el pool, pero se trata de parches temporales. La verdadera respuesta a la crisis no está solo en Moscú, sino también en Bruselas, que debería recordar aquello de que la diversificación es un seguro, también en la energía.</w:t>
      </w:r>
    </w:p>
    <w:p w:rsidR="008C0415" w:rsidRPr="004B771D" w:rsidRDefault="008C0415" w:rsidP="008C0415">
      <w:pPr>
        <w:spacing w:line="240" w:lineRule="auto"/>
        <w:jc w:val="both"/>
        <w:rPr>
          <w:rFonts w:ascii="Times New Roman" w:hAnsi="Times New Roman" w:cs="Times New Roman"/>
          <w:b/>
          <w:sz w:val="24"/>
          <w:szCs w:val="24"/>
        </w:rPr>
      </w:pPr>
      <w:r>
        <w:rPr>
          <w:rFonts w:ascii="Times New Roman" w:hAnsi="Times New Roman" w:cs="Times New Roman"/>
          <w:b/>
          <w:sz w:val="24"/>
          <w:szCs w:val="24"/>
        </w:rPr>
        <w:t>“Maldita” h</w:t>
      </w:r>
      <w:r w:rsidRPr="004B771D">
        <w:rPr>
          <w:rFonts w:ascii="Times New Roman" w:hAnsi="Times New Roman" w:cs="Times New Roman"/>
          <w:b/>
          <w:sz w:val="24"/>
          <w:szCs w:val="24"/>
        </w:rPr>
        <w:t>emerote</w:t>
      </w:r>
      <w:r>
        <w:rPr>
          <w:rFonts w:ascii="Times New Roman" w:hAnsi="Times New Roman" w:cs="Times New Roman"/>
          <w:b/>
          <w:sz w:val="24"/>
          <w:szCs w:val="24"/>
        </w:rPr>
        <w:t xml:space="preserve">ca: </w:t>
      </w:r>
      <w:r w:rsidR="00B019DD">
        <w:rPr>
          <w:rFonts w:ascii="Times New Roman" w:hAnsi="Times New Roman" w:cs="Times New Roman"/>
          <w:b/>
          <w:sz w:val="24"/>
          <w:szCs w:val="24"/>
        </w:rPr>
        <w:t>el “mareo</w:t>
      </w:r>
      <w:r w:rsidRPr="004B771D">
        <w:rPr>
          <w:rFonts w:ascii="Times New Roman" w:hAnsi="Times New Roman" w:cs="Times New Roman"/>
          <w:b/>
          <w:sz w:val="24"/>
          <w:szCs w:val="24"/>
        </w:rPr>
        <w:t xml:space="preserve"> de la perdiz</w:t>
      </w:r>
      <w:r w:rsidR="00B019DD">
        <w:rPr>
          <w:rFonts w:ascii="Times New Roman" w:hAnsi="Times New Roman" w:cs="Times New Roman"/>
          <w:b/>
          <w:sz w:val="24"/>
          <w:szCs w:val="24"/>
        </w:rPr>
        <w:t>”</w:t>
      </w:r>
      <w:r>
        <w:rPr>
          <w:rFonts w:ascii="Times New Roman" w:hAnsi="Times New Roman" w:cs="Times New Roman"/>
          <w:b/>
          <w:sz w:val="24"/>
          <w:szCs w:val="24"/>
        </w:rPr>
        <w:t xml:space="preserve"> (</w:t>
      </w:r>
      <w:r w:rsidR="00B019DD">
        <w:rPr>
          <w:rFonts w:ascii="Times New Roman" w:hAnsi="Times New Roman" w:cs="Times New Roman"/>
          <w:b/>
          <w:sz w:val="24"/>
          <w:szCs w:val="24"/>
        </w:rPr>
        <w:t xml:space="preserve">o </w:t>
      </w:r>
      <w:r>
        <w:rPr>
          <w:rFonts w:ascii="Times New Roman" w:hAnsi="Times New Roman" w:cs="Times New Roman"/>
          <w:b/>
          <w:sz w:val="24"/>
          <w:szCs w:val="24"/>
        </w:rPr>
        <w:t xml:space="preserve">la </w:t>
      </w:r>
      <w:r w:rsidR="00DE700D">
        <w:rPr>
          <w:rFonts w:ascii="Times New Roman" w:hAnsi="Times New Roman" w:cs="Times New Roman"/>
          <w:b/>
          <w:sz w:val="24"/>
          <w:szCs w:val="24"/>
        </w:rPr>
        <w:t>“</w:t>
      </w:r>
      <w:r>
        <w:rPr>
          <w:rFonts w:ascii="Times New Roman" w:hAnsi="Times New Roman" w:cs="Times New Roman"/>
          <w:b/>
          <w:sz w:val="24"/>
          <w:szCs w:val="24"/>
        </w:rPr>
        <w:t>taxonomía</w:t>
      </w:r>
      <w:r w:rsidR="00DE700D">
        <w:rPr>
          <w:rFonts w:ascii="Times New Roman" w:hAnsi="Times New Roman" w:cs="Times New Roman"/>
          <w:b/>
          <w:sz w:val="24"/>
          <w:szCs w:val="24"/>
        </w:rPr>
        <w:t>”</w:t>
      </w:r>
      <w:r>
        <w:rPr>
          <w:rFonts w:ascii="Times New Roman" w:hAnsi="Times New Roman" w:cs="Times New Roman"/>
          <w:b/>
          <w:sz w:val="24"/>
          <w:szCs w:val="24"/>
        </w:rPr>
        <w:t xml:space="preserve"> de los idiotas)</w:t>
      </w:r>
    </w:p>
    <w:p w:rsidR="008C0415" w:rsidRPr="00AE789F"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789F">
        <w:rPr>
          <w:rFonts w:ascii="Times New Roman" w:hAnsi="Times New Roman" w:cs="Times New Roman"/>
          <w:sz w:val="24"/>
          <w:szCs w:val="24"/>
          <w:u w:val="single"/>
        </w:rPr>
        <w:t>La CE propone que la inversión en energía nuclear y gas se considere sostenible</w:t>
      </w:r>
      <w:r>
        <w:rPr>
          <w:rFonts w:ascii="Times New Roman" w:hAnsi="Times New Roman" w:cs="Times New Roman"/>
          <w:sz w:val="24"/>
          <w:szCs w:val="24"/>
        </w:rPr>
        <w:t xml:space="preserve"> (Cinco Días - </w:t>
      </w:r>
      <w:r w:rsidRPr="00AE789F">
        <w:rPr>
          <w:rFonts w:ascii="Times New Roman" w:hAnsi="Times New Roman" w:cs="Times New Roman"/>
          <w:b/>
          <w:sz w:val="24"/>
          <w:szCs w:val="24"/>
        </w:rPr>
        <w:t>1/1/22</w:t>
      </w:r>
      <w:r>
        <w:rPr>
          <w:rFonts w:ascii="Times New Roman" w:hAnsi="Times New Roman" w:cs="Times New Roman"/>
          <w:sz w:val="24"/>
          <w:szCs w:val="24"/>
        </w:rPr>
        <w:t>)</w:t>
      </w:r>
    </w:p>
    <w:p w:rsidR="008C0415" w:rsidRPr="004F00BE" w:rsidRDefault="008C0415" w:rsidP="008C0415">
      <w:pPr>
        <w:spacing w:line="240" w:lineRule="auto"/>
        <w:jc w:val="both"/>
        <w:rPr>
          <w:rFonts w:ascii="Times New Roman" w:hAnsi="Times New Roman" w:cs="Times New Roman"/>
          <w:color w:val="FF0000"/>
          <w:sz w:val="24"/>
          <w:szCs w:val="24"/>
          <w:u w:val="single"/>
        </w:rPr>
      </w:pPr>
      <w:r w:rsidRPr="004F00BE">
        <w:rPr>
          <w:rFonts w:ascii="Times New Roman" w:hAnsi="Times New Roman" w:cs="Times New Roman"/>
          <w:color w:val="FF0000"/>
          <w:sz w:val="24"/>
          <w:szCs w:val="24"/>
          <w:u w:val="single"/>
        </w:rPr>
        <w:t>La Comisión Europea ha propuesto que las inversiones en energía nuclear y gas natural se consideren sostenibles en la transición ecológica, según dijo este sábado, tras anunciar que ayer comenzó las consultas al respecto con los países de la UE y los expertos de la Plataforma de Finanzas Sostenibles.</w:t>
      </w:r>
    </w:p>
    <w:p w:rsidR="008C0415" w:rsidRPr="004F00BE" w:rsidRDefault="008C0415" w:rsidP="008C041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4F00BE">
        <w:rPr>
          <w:rFonts w:ascii="Times New Roman" w:hAnsi="Times New Roman" w:cs="Times New Roman"/>
          <w:color w:val="FF0000"/>
          <w:sz w:val="24"/>
          <w:szCs w:val="24"/>
          <w:u w:val="single"/>
        </w:rPr>
        <w:t>Teniendo en cuenta el asesoramiento científico y el actual progreso tecnológico, así como los diferentes retos hacia la transición entre los Estados miembros, la Comisión considera que existe un papel para el gas natural y la nuclear como medio para facilitar la transición hacia un futuro basado pred</w:t>
      </w:r>
      <w:r>
        <w:rPr>
          <w:rFonts w:ascii="Times New Roman" w:hAnsi="Times New Roman" w:cs="Times New Roman"/>
          <w:color w:val="FF0000"/>
          <w:sz w:val="24"/>
          <w:szCs w:val="24"/>
          <w:u w:val="single"/>
        </w:rPr>
        <w:t>ominantemente en las renovables”</w:t>
      </w:r>
      <w:r w:rsidRPr="004F00BE">
        <w:rPr>
          <w:rFonts w:ascii="Times New Roman" w:hAnsi="Times New Roman" w:cs="Times New Roman"/>
          <w:color w:val="FF0000"/>
          <w:sz w:val="24"/>
          <w:szCs w:val="24"/>
          <w:u w:val="single"/>
        </w:rPr>
        <w:t>, señaló el Ejecutivo comunitario.</w:t>
      </w:r>
    </w:p>
    <w:p w:rsidR="008C0415" w:rsidRPr="004F00BE" w:rsidRDefault="008C0415" w:rsidP="008C0415">
      <w:pPr>
        <w:spacing w:line="240" w:lineRule="auto"/>
        <w:jc w:val="both"/>
        <w:rPr>
          <w:rFonts w:ascii="Times New Roman" w:hAnsi="Times New Roman" w:cs="Times New Roman"/>
          <w:color w:val="FF0000"/>
          <w:sz w:val="24"/>
          <w:szCs w:val="24"/>
          <w:u w:val="single"/>
        </w:rPr>
      </w:pPr>
      <w:r w:rsidRPr="004F00BE">
        <w:rPr>
          <w:rFonts w:ascii="Times New Roman" w:hAnsi="Times New Roman" w:cs="Times New Roman"/>
          <w:color w:val="FF0000"/>
          <w:sz w:val="24"/>
          <w:szCs w:val="24"/>
          <w:u w:val="single"/>
        </w:rPr>
        <w:t>Bruselas pretende aprobar el acto delegado este mes de enero tras consultar con los gobiernos europeos y los expertos, pero para que entre en vigor, la propuesta tendrá que recibir el visto bueno del Parlamento Europeo y del Consejo de la UE</w:t>
      </w:r>
      <w:r w:rsidR="00DE700D">
        <w:rPr>
          <w:rFonts w:ascii="Times New Roman" w:hAnsi="Times New Roman" w:cs="Times New Roman"/>
          <w:color w:val="FF0000"/>
          <w:sz w:val="24"/>
          <w:szCs w:val="24"/>
          <w:u w:val="single"/>
        </w:rPr>
        <w:t>…</w:t>
      </w:r>
    </w:p>
    <w:p w:rsidR="008C0415" w:rsidRPr="004F00BE" w:rsidRDefault="008C0415" w:rsidP="008C0415">
      <w:pPr>
        <w:spacing w:line="240" w:lineRule="auto"/>
        <w:jc w:val="both"/>
        <w:rPr>
          <w:rFonts w:ascii="Times New Roman" w:hAnsi="Times New Roman" w:cs="Times New Roman"/>
          <w:color w:val="FF0000"/>
          <w:sz w:val="24"/>
          <w:szCs w:val="24"/>
          <w:u w:val="single"/>
        </w:rPr>
      </w:pPr>
      <w:r w:rsidRPr="004F00BE">
        <w:rPr>
          <w:rFonts w:ascii="Times New Roman" w:hAnsi="Times New Roman" w:cs="Times New Roman"/>
          <w:color w:val="FF0000"/>
          <w:sz w:val="24"/>
          <w:szCs w:val="24"/>
          <w:u w:val="single"/>
        </w:rPr>
        <w:t>En su propuesta, la Comisión propuso que reciban la etiqueta verde las inversiones en las centrales nucleares que reciban el permiso de construcción antes de 2045 y que también se considere sostenible al gas natural siempre que provenga de energías renovables o tenga bajas emisiones en 2035</w:t>
      </w:r>
      <w:r w:rsidR="00DE700D">
        <w:rPr>
          <w:rFonts w:ascii="Times New Roman" w:hAnsi="Times New Roman" w:cs="Times New Roman"/>
          <w:color w:val="FF0000"/>
          <w:sz w:val="24"/>
          <w:szCs w:val="24"/>
          <w:u w:val="single"/>
        </w:rPr>
        <w:t>…</w:t>
      </w:r>
    </w:p>
    <w:p w:rsidR="008C0415" w:rsidRPr="000228F1"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228F1">
        <w:rPr>
          <w:rFonts w:ascii="Times New Roman" w:hAnsi="Times New Roman" w:cs="Times New Roman"/>
          <w:sz w:val="24"/>
          <w:szCs w:val="24"/>
          <w:u w:val="single"/>
        </w:rPr>
        <w:t>Bruselas asegura que la UE debe invertir medio billón de euros en nuevas nucleares</w:t>
      </w:r>
      <w:r>
        <w:rPr>
          <w:rFonts w:ascii="Times New Roman" w:hAnsi="Times New Roman" w:cs="Times New Roman"/>
          <w:sz w:val="24"/>
          <w:szCs w:val="24"/>
        </w:rPr>
        <w:t xml:space="preserve"> (Cinco Días - </w:t>
      </w:r>
      <w:r w:rsidRPr="000228F1">
        <w:rPr>
          <w:rFonts w:ascii="Times New Roman" w:hAnsi="Times New Roman" w:cs="Times New Roman"/>
          <w:b/>
          <w:sz w:val="24"/>
          <w:szCs w:val="24"/>
        </w:rPr>
        <w:t>9/1/22</w:t>
      </w:r>
      <w:r>
        <w:rPr>
          <w:rFonts w:ascii="Times New Roman" w:hAnsi="Times New Roman" w:cs="Times New Roman"/>
          <w:sz w:val="24"/>
          <w:szCs w:val="24"/>
        </w:rPr>
        <w:t>)</w:t>
      </w:r>
    </w:p>
    <w:p w:rsidR="008C0415" w:rsidRPr="00F22729" w:rsidRDefault="008C0415" w:rsidP="008C0415">
      <w:pPr>
        <w:spacing w:line="240" w:lineRule="auto"/>
        <w:jc w:val="both"/>
        <w:rPr>
          <w:rFonts w:ascii="Times New Roman" w:hAnsi="Times New Roman" w:cs="Times New Roman"/>
          <w:color w:val="FF0000"/>
          <w:sz w:val="24"/>
          <w:szCs w:val="24"/>
          <w:u w:val="single"/>
        </w:rPr>
      </w:pPr>
      <w:r w:rsidRPr="00F22729">
        <w:rPr>
          <w:rFonts w:ascii="Times New Roman" w:hAnsi="Times New Roman" w:cs="Times New Roman"/>
          <w:color w:val="FF0000"/>
          <w:sz w:val="24"/>
          <w:szCs w:val="24"/>
          <w:u w:val="single"/>
        </w:rPr>
        <w:t>El comisario europeo del Mercado Interior, Thierry Breton ha asegurado que la transición a una energía descarbonizada en la Unión Europea (UE) tiene que incluir una parte de energía nuclear para que se puedan cumplir los objetivos y eso implica una inversión de medio billón de euros en nuevos reactores atómicos de aquí a 2050.</w:t>
      </w:r>
    </w:p>
    <w:p w:rsidR="008C0415" w:rsidRPr="00F22729" w:rsidRDefault="008C0415" w:rsidP="008C0415">
      <w:pPr>
        <w:spacing w:line="240" w:lineRule="auto"/>
        <w:jc w:val="both"/>
        <w:rPr>
          <w:rFonts w:ascii="Times New Roman" w:hAnsi="Times New Roman" w:cs="Times New Roman"/>
          <w:color w:val="FF0000"/>
          <w:sz w:val="24"/>
          <w:szCs w:val="24"/>
          <w:u w:val="single"/>
        </w:rPr>
      </w:pPr>
      <w:r w:rsidRPr="00F22729">
        <w:rPr>
          <w:rFonts w:ascii="Times New Roman" w:hAnsi="Times New Roman" w:cs="Times New Roman"/>
          <w:color w:val="FF0000"/>
          <w:sz w:val="24"/>
          <w:szCs w:val="24"/>
          <w:u w:val="single"/>
        </w:rPr>
        <w:t>Eso significa dedicar unos 20.000 millones de euros anuales para los reactores de nueva generación, que se añadirán a los 50.000 millones necesarios de aquí a 2030 para poder mantener en funcionamiento las centrales nucleares actuales, explica el comisario francés en una entrevista publicada este domingo por el diario Le Journal du Dimanche.</w:t>
      </w:r>
    </w:p>
    <w:p w:rsidR="008C0415" w:rsidRPr="000228F1" w:rsidRDefault="008C0415" w:rsidP="008C0415">
      <w:pPr>
        <w:spacing w:line="240" w:lineRule="auto"/>
        <w:jc w:val="both"/>
        <w:rPr>
          <w:rFonts w:ascii="Times New Roman" w:hAnsi="Times New Roman" w:cs="Times New Roman"/>
          <w:sz w:val="24"/>
          <w:szCs w:val="24"/>
        </w:rPr>
      </w:pPr>
      <w:r w:rsidRPr="00F22729">
        <w:rPr>
          <w:rFonts w:ascii="Times New Roman" w:hAnsi="Times New Roman" w:cs="Times New Roman"/>
          <w:color w:val="FF0000"/>
          <w:sz w:val="24"/>
          <w:szCs w:val="24"/>
          <w:u w:val="single"/>
        </w:rPr>
        <w:t>Breton defiende con ese argumento la polémica propuesta del Ejecutivo comunitario de integrar la nuclear en su taxo</w:t>
      </w:r>
      <w:r>
        <w:rPr>
          <w:rFonts w:ascii="Times New Roman" w:hAnsi="Times New Roman" w:cs="Times New Roman"/>
          <w:color w:val="FF0000"/>
          <w:sz w:val="24"/>
          <w:szCs w:val="24"/>
          <w:u w:val="single"/>
        </w:rPr>
        <w:t>nomía de las llamadas energías “verdes”</w:t>
      </w:r>
      <w:r w:rsidRPr="00F22729">
        <w:rPr>
          <w:rFonts w:ascii="Times New Roman" w:hAnsi="Times New Roman" w:cs="Times New Roman"/>
          <w:color w:val="FF0000"/>
          <w:sz w:val="24"/>
          <w:szCs w:val="24"/>
          <w:u w:val="single"/>
        </w:rPr>
        <w:t>, que es una forma de favorecer la llegada de capitales para ese tipo de proyectos en condiciones favorables</w:t>
      </w:r>
      <w:r w:rsidRPr="000228F1">
        <w:rPr>
          <w:rFonts w:ascii="Times New Roman" w:hAnsi="Times New Roman" w:cs="Times New Roman"/>
          <w:sz w:val="24"/>
          <w:szCs w:val="24"/>
        </w:rPr>
        <w:t>. En línea con la posición del presidente francés, Emmanuel Macron, que ha anunciado su intención de lanzar la construcción de nuevos reactores para renovar el parque actual que genera el 70 % de la electricidad del país, el comisario reconoce que él siempre ha apoyado la inclusión dela nuclear en esa taxonomía.</w:t>
      </w:r>
    </w:p>
    <w:p w:rsidR="008C0415" w:rsidRPr="00F22729" w:rsidRDefault="008C0415" w:rsidP="008C0415">
      <w:pPr>
        <w:spacing w:line="240" w:lineRule="auto"/>
        <w:jc w:val="both"/>
        <w:rPr>
          <w:rFonts w:ascii="Times New Roman" w:hAnsi="Times New Roman" w:cs="Times New Roman"/>
          <w:color w:val="FF0000"/>
          <w:sz w:val="24"/>
          <w:szCs w:val="24"/>
          <w:u w:val="single"/>
        </w:rPr>
      </w:pPr>
      <w:r w:rsidRPr="00F22729">
        <w:rPr>
          <w:rFonts w:ascii="Times New Roman" w:hAnsi="Times New Roman" w:cs="Times New Roman"/>
          <w:color w:val="FF0000"/>
          <w:sz w:val="24"/>
          <w:szCs w:val="24"/>
          <w:u w:val="single"/>
        </w:rPr>
        <w:lastRenderedPageBreak/>
        <w:t>Destaca que en la actualidad en el conjunto de la Unión Europea la energía nuclear aporta un 26% de la producción de electricidad, y que con la transición se estima que hará falta duplicar la generación eléctrica en los próximos 30 años.</w:t>
      </w:r>
    </w:p>
    <w:p w:rsidR="008C0415" w:rsidRPr="000228F1" w:rsidRDefault="008C0415" w:rsidP="008C0415">
      <w:pPr>
        <w:spacing w:line="240" w:lineRule="auto"/>
        <w:jc w:val="both"/>
        <w:rPr>
          <w:rFonts w:ascii="Times New Roman" w:hAnsi="Times New Roman" w:cs="Times New Roman"/>
          <w:sz w:val="24"/>
          <w:szCs w:val="24"/>
        </w:rPr>
      </w:pPr>
      <w:r w:rsidRPr="000228F1">
        <w:rPr>
          <w:rFonts w:ascii="Times New Roman" w:hAnsi="Times New Roman" w:cs="Times New Roman"/>
          <w:sz w:val="24"/>
          <w:szCs w:val="24"/>
        </w:rPr>
        <w:t xml:space="preserve">Teniendo en cuenta el proceso de transición en marcha y la situación del parque de centrales nucleares actual, dice que los expertos estiman que el peso de la nuclear pasaría a menos del 15% para 2050. Pero como las necesidades en electricidad van a aumentar, Breton insiste en que habrá que aumentar la producción de energía nuclear, sobre todo teniendo en cuenta que algunas de las centrales más antiguas habrán </w:t>
      </w:r>
      <w:r>
        <w:rPr>
          <w:rFonts w:ascii="Times New Roman" w:hAnsi="Times New Roman" w:cs="Times New Roman"/>
          <w:sz w:val="24"/>
          <w:szCs w:val="24"/>
        </w:rPr>
        <w:t>de cerrar en los últimos años</w:t>
      </w:r>
      <w:r w:rsidR="00DE700D">
        <w:rPr>
          <w:rFonts w:ascii="Times New Roman" w:hAnsi="Times New Roman" w:cs="Times New Roman"/>
          <w:sz w:val="24"/>
          <w:szCs w:val="24"/>
        </w:rPr>
        <w:t>…</w:t>
      </w:r>
    </w:p>
    <w:p w:rsidR="008C0415" w:rsidRPr="00EE7814"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E7814">
        <w:rPr>
          <w:rFonts w:ascii="Times New Roman" w:hAnsi="Times New Roman" w:cs="Times New Roman"/>
          <w:sz w:val="24"/>
          <w:szCs w:val="24"/>
          <w:u w:val="single"/>
        </w:rPr>
        <w:t xml:space="preserve">Bruselas propone definitivamente que la energía </w:t>
      </w:r>
      <w:r>
        <w:rPr>
          <w:rFonts w:ascii="Times New Roman" w:hAnsi="Times New Roman" w:cs="Times New Roman"/>
          <w:sz w:val="24"/>
          <w:szCs w:val="24"/>
          <w:u w:val="single"/>
        </w:rPr>
        <w:t>nuclear y el gas se consideren “verdes”</w:t>
      </w:r>
      <w:r>
        <w:rPr>
          <w:rFonts w:ascii="Times New Roman" w:hAnsi="Times New Roman" w:cs="Times New Roman"/>
          <w:sz w:val="24"/>
          <w:szCs w:val="24"/>
        </w:rPr>
        <w:t xml:space="preserve"> (Cinco Días - </w:t>
      </w:r>
      <w:r w:rsidRPr="00EE7814">
        <w:rPr>
          <w:rFonts w:ascii="Times New Roman" w:hAnsi="Times New Roman" w:cs="Times New Roman"/>
          <w:b/>
          <w:sz w:val="24"/>
          <w:szCs w:val="24"/>
        </w:rPr>
        <w:t>2/2/22</w:t>
      </w:r>
      <w:r>
        <w:rPr>
          <w:rFonts w:ascii="Times New Roman" w:hAnsi="Times New Roman" w:cs="Times New Roman"/>
          <w:sz w:val="24"/>
          <w:szCs w:val="24"/>
        </w:rPr>
        <w:t>)</w:t>
      </w:r>
    </w:p>
    <w:p w:rsidR="008C0415" w:rsidRPr="009E6DBD" w:rsidRDefault="008C0415" w:rsidP="008C0415">
      <w:pPr>
        <w:spacing w:line="240" w:lineRule="auto"/>
        <w:jc w:val="both"/>
        <w:rPr>
          <w:rFonts w:ascii="Times New Roman" w:hAnsi="Times New Roman" w:cs="Times New Roman"/>
          <w:color w:val="FF0000"/>
          <w:sz w:val="24"/>
          <w:szCs w:val="24"/>
          <w:u w:val="single"/>
        </w:rPr>
      </w:pPr>
      <w:r w:rsidRPr="009E6DBD">
        <w:rPr>
          <w:rFonts w:ascii="Times New Roman" w:hAnsi="Times New Roman" w:cs="Times New Roman"/>
          <w:color w:val="FF0000"/>
          <w:sz w:val="24"/>
          <w:szCs w:val="24"/>
          <w:u w:val="single"/>
        </w:rPr>
        <w:t>La Comisión Europea (CE) presentó este miércoles su propuesta final para que la energía nuclear y ciertas plantas de generación eléctrica a partir del</w:t>
      </w:r>
      <w:r>
        <w:rPr>
          <w:rFonts w:ascii="Times New Roman" w:hAnsi="Times New Roman" w:cs="Times New Roman"/>
          <w:color w:val="FF0000"/>
          <w:sz w:val="24"/>
          <w:szCs w:val="24"/>
          <w:u w:val="single"/>
        </w:rPr>
        <w:t xml:space="preserve"> gas se consideren inversiones “verdes”</w:t>
      </w:r>
      <w:r w:rsidRPr="009E6DBD">
        <w:rPr>
          <w:rFonts w:ascii="Times New Roman" w:hAnsi="Times New Roman" w:cs="Times New Roman"/>
          <w:color w:val="FF0000"/>
          <w:sz w:val="24"/>
          <w:szCs w:val="24"/>
          <w:u w:val="single"/>
        </w:rPr>
        <w:t>, una controvertida iniciativa que podrían bloquear los Estados miembros o el Parlamento Europeo.</w:t>
      </w:r>
    </w:p>
    <w:p w:rsidR="008C0415" w:rsidRPr="009E6DBD" w:rsidRDefault="008C0415" w:rsidP="008C0415">
      <w:pPr>
        <w:spacing w:line="240" w:lineRule="auto"/>
        <w:jc w:val="both"/>
        <w:rPr>
          <w:rFonts w:ascii="Times New Roman" w:hAnsi="Times New Roman" w:cs="Times New Roman"/>
          <w:sz w:val="24"/>
          <w:szCs w:val="24"/>
          <w:u w:val="single"/>
        </w:rPr>
      </w:pPr>
      <w:r w:rsidRPr="009E6DBD">
        <w:rPr>
          <w:rFonts w:ascii="Times New Roman" w:hAnsi="Times New Roman" w:cs="Times New Roman"/>
          <w:sz w:val="24"/>
          <w:szCs w:val="24"/>
          <w:u w:val="single"/>
        </w:rPr>
        <w:t>Así consta en la propuesta sobre esas dos fuentes de generación de energía del Ejecutivo comunitario conocida como taxonomía, un sistema que pretende distinguir las tecnologías sostenibles de las que no lo son para orientar las inversiones en la transición ecológica.</w:t>
      </w:r>
    </w:p>
    <w:p w:rsidR="008C0415" w:rsidRPr="009E6DBD" w:rsidRDefault="008C0415" w:rsidP="008C041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Comisión ha concluido que “</w:t>
      </w:r>
      <w:r w:rsidRPr="009E6DBD">
        <w:rPr>
          <w:rFonts w:ascii="Times New Roman" w:hAnsi="Times New Roman" w:cs="Times New Roman"/>
          <w:color w:val="FF0000"/>
          <w:sz w:val="24"/>
          <w:szCs w:val="24"/>
          <w:u w:val="single"/>
        </w:rPr>
        <w:t>hay un papel para las inversiones en gas y nucl</w:t>
      </w:r>
      <w:r>
        <w:rPr>
          <w:rFonts w:ascii="Times New Roman" w:hAnsi="Times New Roman" w:cs="Times New Roman"/>
          <w:color w:val="FF0000"/>
          <w:sz w:val="24"/>
          <w:szCs w:val="24"/>
          <w:u w:val="single"/>
        </w:rPr>
        <w:t>ear en la transición energética”</w:t>
      </w:r>
      <w:r w:rsidRPr="009E6DBD">
        <w:rPr>
          <w:rFonts w:ascii="Times New Roman" w:hAnsi="Times New Roman" w:cs="Times New Roman"/>
          <w:color w:val="FF0000"/>
          <w:sz w:val="24"/>
          <w:szCs w:val="24"/>
          <w:u w:val="single"/>
        </w:rPr>
        <w:t xml:space="preserve"> aunque sólo durante un período limitado de tiempo y con condiciones para que contribuyan a la descarbonización de la economía a mitad de siglo, indicaron fuentes europeas, informa Efe.</w:t>
      </w:r>
    </w:p>
    <w:p w:rsidR="008C0415" w:rsidRPr="009E6DBD" w:rsidRDefault="008C0415" w:rsidP="008C0415">
      <w:pPr>
        <w:spacing w:line="240" w:lineRule="auto"/>
        <w:jc w:val="both"/>
        <w:rPr>
          <w:rFonts w:ascii="Times New Roman" w:hAnsi="Times New Roman" w:cs="Times New Roman"/>
          <w:color w:val="FF0000"/>
          <w:sz w:val="24"/>
          <w:szCs w:val="24"/>
          <w:u w:val="single"/>
        </w:rPr>
      </w:pPr>
      <w:r w:rsidRPr="009E6DBD">
        <w:rPr>
          <w:rFonts w:ascii="Times New Roman" w:hAnsi="Times New Roman" w:cs="Times New Roman"/>
          <w:color w:val="FF0000"/>
          <w:sz w:val="24"/>
          <w:szCs w:val="24"/>
          <w:u w:val="single"/>
        </w:rPr>
        <w:t>Bruselas asume que ni el gas ni la energía nuclear son energías neutras a nivel climático, ni tampoco renovables, pero d</w:t>
      </w:r>
      <w:r>
        <w:rPr>
          <w:rFonts w:ascii="Times New Roman" w:hAnsi="Times New Roman" w:cs="Times New Roman"/>
          <w:color w:val="FF0000"/>
          <w:sz w:val="24"/>
          <w:szCs w:val="24"/>
          <w:u w:val="single"/>
        </w:rPr>
        <w:t>efiende su papel como “actividades de transición”</w:t>
      </w:r>
      <w:r w:rsidRPr="009E6DBD">
        <w:rPr>
          <w:rFonts w:ascii="Times New Roman" w:hAnsi="Times New Roman" w:cs="Times New Roman"/>
          <w:color w:val="FF0000"/>
          <w:sz w:val="24"/>
          <w:szCs w:val="24"/>
          <w:u w:val="single"/>
        </w:rPr>
        <w:t xml:space="preserve"> para alcanzar el objetivo de una economía descarbonizada en 2050, un concepto recogido en el segundo párrafo del proyecto presentado</w:t>
      </w:r>
      <w:r w:rsidR="00DE700D">
        <w:rPr>
          <w:rFonts w:ascii="Times New Roman" w:hAnsi="Times New Roman" w:cs="Times New Roman"/>
          <w:color w:val="FF0000"/>
          <w:sz w:val="24"/>
          <w:szCs w:val="24"/>
          <w:u w:val="single"/>
        </w:rPr>
        <w:t>…</w:t>
      </w:r>
    </w:p>
    <w:p w:rsidR="008C0415" w:rsidRPr="009E6DBD" w:rsidRDefault="008C0415" w:rsidP="008C0415">
      <w:pPr>
        <w:spacing w:line="240" w:lineRule="auto"/>
        <w:jc w:val="both"/>
        <w:rPr>
          <w:rFonts w:ascii="Times New Roman" w:hAnsi="Times New Roman" w:cs="Times New Roman"/>
          <w:color w:val="FF0000"/>
          <w:sz w:val="24"/>
          <w:szCs w:val="24"/>
          <w:u w:val="single"/>
        </w:rPr>
      </w:pPr>
      <w:r w:rsidRPr="009E6DBD">
        <w:rPr>
          <w:rFonts w:ascii="Times New Roman" w:hAnsi="Times New Roman" w:cs="Times New Roman"/>
          <w:color w:val="FF0000"/>
          <w:sz w:val="24"/>
          <w:szCs w:val="24"/>
          <w:u w:val="single"/>
        </w:rPr>
        <w:t>El proyecto final adoptado por la Comisión Europea amplía la posibilidad de seguir construyendo centrales de ciclo combinado de gas hasta 2035, frente los límites fijados en el borrador en dos etapas: 2026 y 2030. Con todo, se condiciona este nuevo horizonte al cambio del combustible de estas plantas de energía de gas a gas de bajas emisiones de carbono o hidrógeno.</w:t>
      </w:r>
    </w:p>
    <w:p w:rsidR="008C0415" w:rsidRPr="00EE7814" w:rsidRDefault="008C0415" w:rsidP="008C0415">
      <w:pPr>
        <w:spacing w:line="240" w:lineRule="auto"/>
        <w:jc w:val="both"/>
        <w:rPr>
          <w:rFonts w:ascii="Times New Roman" w:hAnsi="Times New Roman" w:cs="Times New Roman"/>
          <w:sz w:val="24"/>
          <w:szCs w:val="24"/>
        </w:rPr>
      </w:pPr>
      <w:r w:rsidRPr="00EE7814">
        <w:rPr>
          <w:rFonts w:ascii="Times New Roman" w:hAnsi="Times New Roman" w:cs="Times New Roman"/>
          <w:sz w:val="24"/>
          <w:szCs w:val="24"/>
        </w:rPr>
        <w:t>Además, estas instalaciones sólo podrán ser construidas en países donde sustituyan a centrales de carbón o que utilicen combustibles fósiles altamente contaminantes, pero no sería una opción para los nueve Estados miembro que ya han dejado atrás el carbón, han apuntado fue</w:t>
      </w:r>
      <w:r>
        <w:rPr>
          <w:rFonts w:ascii="Times New Roman" w:hAnsi="Times New Roman" w:cs="Times New Roman"/>
          <w:sz w:val="24"/>
          <w:szCs w:val="24"/>
        </w:rPr>
        <w:t>ntes del Ejecutivo comunitario</w:t>
      </w:r>
      <w:r w:rsidR="006639D3">
        <w:rPr>
          <w:rFonts w:ascii="Times New Roman" w:hAnsi="Times New Roman" w:cs="Times New Roman"/>
          <w:sz w:val="24"/>
          <w:szCs w:val="24"/>
        </w:rPr>
        <w:t>…</w:t>
      </w:r>
    </w:p>
    <w:p w:rsidR="008C0415" w:rsidRDefault="008C0415" w:rsidP="008C0415">
      <w:pPr>
        <w:spacing w:line="240" w:lineRule="auto"/>
        <w:jc w:val="both"/>
        <w:rPr>
          <w:rFonts w:ascii="Times New Roman" w:hAnsi="Times New Roman" w:cs="Times New Roman"/>
          <w:color w:val="FF0000"/>
          <w:sz w:val="24"/>
          <w:szCs w:val="24"/>
          <w:u w:val="single"/>
        </w:rPr>
      </w:pPr>
      <w:r w:rsidRPr="00EE7814">
        <w:rPr>
          <w:rFonts w:ascii="Times New Roman" w:hAnsi="Times New Roman" w:cs="Times New Roman"/>
          <w:sz w:val="24"/>
          <w:szCs w:val="24"/>
        </w:rPr>
        <w:t xml:space="preserve">A partir de ahora se abre un periodo de cuatro meses, prorrogable dos más, tras el cual entrará en vigor salvo que lo tumbe una mayoría simple del Parlamento Europeo o una mayoría inversa de 20 países que sumen al menos el 65% de la población de la UE. </w:t>
      </w:r>
      <w:r w:rsidRPr="009E6DBD">
        <w:rPr>
          <w:rFonts w:ascii="Times New Roman" w:hAnsi="Times New Roman" w:cs="Times New Roman"/>
          <w:color w:val="FF0000"/>
          <w:sz w:val="24"/>
          <w:szCs w:val="24"/>
          <w:u w:val="single"/>
        </w:rPr>
        <w:t>Si bien Francia y Alemania respaldan el proyecto, España, Austria, Dinamarca y Luxemburgo se posicionan en contra.</w:t>
      </w:r>
    </w:p>
    <w:p w:rsidR="006639D3" w:rsidRDefault="006639D3" w:rsidP="008C0415">
      <w:pPr>
        <w:spacing w:line="240" w:lineRule="auto"/>
        <w:jc w:val="both"/>
        <w:rPr>
          <w:rFonts w:ascii="Times New Roman" w:hAnsi="Times New Roman" w:cs="Times New Roman"/>
          <w:color w:val="FF0000"/>
          <w:sz w:val="24"/>
          <w:szCs w:val="24"/>
          <w:u w:val="single"/>
        </w:rPr>
      </w:pPr>
    </w:p>
    <w:p w:rsidR="006639D3" w:rsidRDefault="006639D3" w:rsidP="008C0415">
      <w:pPr>
        <w:spacing w:line="240" w:lineRule="auto"/>
        <w:jc w:val="both"/>
        <w:rPr>
          <w:rFonts w:ascii="Times New Roman" w:hAnsi="Times New Roman" w:cs="Times New Roman"/>
          <w:color w:val="FF0000"/>
          <w:sz w:val="24"/>
          <w:szCs w:val="24"/>
          <w:u w:val="single"/>
        </w:rPr>
      </w:pPr>
    </w:p>
    <w:p w:rsidR="006639D3"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B71F78">
        <w:rPr>
          <w:rFonts w:ascii="Times New Roman" w:hAnsi="Times New Roman" w:cs="Times New Roman"/>
          <w:sz w:val="24"/>
          <w:szCs w:val="24"/>
          <w:u w:val="single"/>
        </w:rPr>
        <w:t>Alemania reactiva plantas de carbón ante el riesgo de falta de suministro energético</w:t>
      </w:r>
      <w:r>
        <w:rPr>
          <w:rFonts w:ascii="Times New Roman" w:hAnsi="Times New Roman" w:cs="Times New Roman"/>
          <w:sz w:val="24"/>
          <w:szCs w:val="24"/>
        </w:rPr>
        <w:t xml:space="preserve"> (El Economista - </w:t>
      </w:r>
      <w:r w:rsidRPr="00B71F78">
        <w:rPr>
          <w:rFonts w:ascii="Times New Roman" w:hAnsi="Times New Roman" w:cs="Times New Roman"/>
          <w:b/>
          <w:sz w:val="24"/>
          <w:szCs w:val="24"/>
        </w:rPr>
        <w:t>11/3/22</w:t>
      </w:r>
      <w:r>
        <w:rPr>
          <w:rFonts w:ascii="Times New Roman" w:hAnsi="Times New Roman" w:cs="Times New Roman"/>
          <w:sz w:val="24"/>
          <w:szCs w:val="24"/>
        </w:rPr>
        <w:t>)</w:t>
      </w:r>
    </w:p>
    <w:p w:rsidR="008C0415" w:rsidRPr="006639D3" w:rsidRDefault="008C0415" w:rsidP="008C0415">
      <w:pPr>
        <w:spacing w:line="240" w:lineRule="auto"/>
        <w:jc w:val="both"/>
        <w:rPr>
          <w:rFonts w:ascii="Times New Roman" w:hAnsi="Times New Roman" w:cs="Times New Roman"/>
          <w:sz w:val="24"/>
          <w:szCs w:val="24"/>
        </w:rPr>
      </w:pPr>
      <w:r w:rsidRPr="00811735">
        <w:rPr>
          <w:rFonts w:ascii="Times New Roman" w:hAnsi="Times New Roman" w:cs="Times New Roman"/>
          <w:color w:val="FF0000"/>
          <w:sz w:val="24"/>
          <w:szCs w:val="24"/>
          <w:u w:val="single"/>
        </w:rPr>
        <w:t>Mientras Alemania lleva a cabo el cierre de sus últimos reactores nucleares, reactiva las viejas centrales de carbón para garantizar la seguridad del suministro eléctrico en medio de las amenazas por parte del Kremlin de cerrar el grifo del gas.</w:t>
      </w:r>
    </w:p>
    <w:p w:rsidR="008C0415" w:rsidRPr="00811735" w:rsidRDefault="008C0415" w:rsidP="008C0415">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El intento de Alemania de eliminar simultáneamente la energía nuclear y el carbón se complica en un momento en el que Rusia libra una guerra en Ucrania y amenaza con dejar de bombear gas a través del gasoducto Nord Stream 1.</w:t>
      </w:r>
    </w:p>
    <w:p w:rsidR="008C0415" w:rsidRPr="00811735" w:rsidRDefault="008C0415" w:rsidP="008C041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811735">
        <w:rPr>
          <w:rFonts w:ascii="Times New Roman" w:hAnsi="Times New Roman" w:cs="Times New Roman"/>
          <w:color w:val="FF0000"/>
          <w:sz w:val="24"/>
          <w:szCs w:val="24"/>
          <w:u w:val="single"/>
        </w:rPr>
        <w:t>El carb</w:t>
      </w:r>
      <w:r>
        <w:rPr>
          <w:rFonts w:ascii="Times New Roman" w:hAnsi="Times New Roman" w:cs="Times New Roman"/>
          <w:color w:val="FF0000"/>
          <w:sz w:val="24"/>
          <w:szCs w:val="24"/>
          <w:u w:val="single"/>
        </w:rPr>
        <w:t>ón desempeñará un papel crucial”</w:t>
      </w:r>
      <w:r w:rsidRPr="00811735">
        <w:rPr>
          <w:rFonts w:ascii="Times New Roman" w:hAnsi="Times New Roman" w:cs="Times New Roman"/>
          <w:color w:val="FF0000"/>
          <w:sz w:val="24"/>
          <w:szCs w:val="24"/>
          <w:u w:val="single"/>
        </w:rPr>
        <w:t>, dijo Olaf Lies, ministro de Energía de Baj</w:t>
      </w:r>
      <w:r>
        <w:rPr>
          <w:rFonts w:ascii="Times New Roman" w:hAnsi="Times New Roman" w:cs="Times New Roman"/>
          <w:color w:val="FF0000"/>
          <w:sz w:val="24"/>
          <w:szCs w:val="24"/>
          <w:u w:val="single"/>
        </w:rPr>
        <w:t>a Sajonia. “</w:t>
      </w:r>
      <w:r w:rsidRPr="00811735">
        <w:rPr>
          <w:rFonts w:ascii="Times New Roman" w:hAnsi="Times New Roman" w:cs="Times New Roman"/>
          <w:color w:val="FF0000"/>
          <w:sz w:val="24"/>
          <w:szCs w:val="24"/>
          <w:u w:val="single"/>
        </w:rPr>
        <w:t xml:space="preserve">Que volvamos a elegir esta frase no es del todo evidente, dado el plan del país </w:t>
      </w:r>
      <w:r>
        <w:rPr>
          <w:rFonts w:ascii="Times New Roman" w:hAnsi="Times New Roman" w:cs="Times New Roman"/>
          <w:color w:val="FF0000"/>
          <w:sz w:val="24"/>
          <w:szCs w:val="24"/>
          <w:u w:val="single"/>
        </w:rPr>
        <w:t>de eliminar el carbón para 2030”</w:t>
      </w:r>
      <w:r w:rsidRPr="00811735">
        <w:rPr>
          <w:rFonts w:ascii="Times New Roman" w:hAnsi="Times New Roman" w:cs="Times New Roman"/>
          <w:color w:val="FF0000"/>
          <w:sz w:val="24"/>
          <w:szCs w:val="24"/>
          <w:u w:val="single"/>
        </w:rPr>
        <w:t xml:space="preserve">, dijo el pasado martes en rueda de prensa. </w:t>
      </w:r>
    </w:p>
    <w:p w:rsidR="008C0415" w:rsidRPr="002632E8" w:rsidRDefault="008C0415" w:rsidP="008C0415">
      <w:pPr>
        <w:spacing w:line="240" w:lineRule="auto"/>
        <w:jc w:val="both"/>
        <w:rPr>
          <w:rFonts w:ascii="Times New Roman" w:hAnsi="Times New Roman" w:cs="Times New Roman"/>
          <w:sz w:val="24"/>
          <w:szCs w:val="24"/>
        </w:rPr>
      </w:pPr>
      <w:r w:rsidRPr="002632E8">
        <w:rPr>
          <w:rFonts w:ascii="Times New Roman" w:hAnsi="Times New Roman" w:cs="Times New Roman"/>
          <w:sz w:val="24"/>
          <w:szCs w:val="24"/>
        </w:rPr>
        <w:t>En la actualidad, Alemania cuenta con unos 45 GW de capacidad energética de carbón. Aunque una parte se ha apagado, otra se mantiene en reserva para garantizar la seg</w:t>
      </w:r>
      <w:r>
        <w:rPr>
          <w:rFonts w:ascii="Times New Roman" w:hAnsi="Times New Roman" w:cs="Times New Roman"/>
          <w:sz w:val="24"/>
          <w:szCs w:val="24"/>
        </w:rPr>
        <w:t>uridad del suministro del país.</w:t>
      </w:r>
    </w:p>
    <w:p w:rsidR="008C0415" w:rsidRPr="00811735" w:rsidRDefault="008C0415" w:rsidP="008C041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811735">
        <w:rPr>
          <w:rFonts w:ascii="Times New Roman" w:hAnsi="Times New Roman" w:cs="Times New Roman"/>
          <w:color w:val="FF0000"/>
          <w:sz w:val="24"/>
          <w:szCs w:val="24"/>
          <w:u w:val="single"/>
        </w:rPr>
        <w:t>Sabemos, y tenemos que admitirlo, que en los últimos 20 años hemos maniobrado para depender cada vez más de las importacion</w:t>
      </w:r>
      <w:r>
        <w:rPr>
          <w:rFonts w:ascii="Times New Roman" w:hAnsi="Times New Roman" w:cs="Times New Roman"/>
          <w:color w:val="FF0000"/>
          <w:sz w:val="24"/>
          <w:szCs w:val="24"/>
          <w:u w:val="single"/>
        </w:rPr>
        <w:t>es de energía fósil de Rusia”</w:t>
      </w:r>
      <w:r w:rsidRPr="00811735">
        <w:rPr>
          <w:rFonts w:ascii="Times New Roman" w:hAnsi="Times New Roman" w:cs="Times New Roman"/>
          <w:color w:val="FF0000"/>
          <w:sz w:val="24"/>
          <w:szCs w:val="24"/>
          <w:u w:val="single"/>
        </w:rPr>
        <w:t>, dijo el vicecanciller Robert Hab</w:t>
      </w:r>
      <w:r>
        <w:rPr>
          <w:rFonts w:ascii="Times New Roman" w:hAnsi="Times New Roman" w:cs="Times New Roman"/>
          <w:color w:val="FF0000"/>
          <w:sz w:val="24"/>
          <w:szCs w:val="24"/>
          <w:u w:val="single"/>
        </w:rPr>
        <w:t>eck, que hablaba junto a Lies. “</w:t>
      </w:r>
      <w:r w:rsidRPr="00811735">
        <w:rPr>
          <w:rFonts w:ascii="Times New Roman" w:hAnsi="Times New Roman" w:cs="Times New Roman"/>
          <w:color w:val="FF0000"/>
          <w:sz w:val="24"/>
          <w:szCs w:val="24"/>
          <w:u w:val="single"/>
        </w:rPr>
        <w:t>Esta no es una buena situación. Todos los esfuerzos del gobierno federal, e incluso del país, están dirigidos a reducir es</w:t>
      </w:r>
      <w:r>
        <w:rPr>
          <w:rFonts w:ascii="Times New Roman" w:hAnsi="Times New Roman" w:cs="Times New Roman"/>
          <w:color w:val="FF0000"/>
          <w:sz w:val="24"/>
          <w:szCs w:val="24"/>
          <w:u w:val="single"/>
        </w:rPr>
        <w:t>ta dependencia lo antes posible”</w:t>
      </w:r>
      <w:r w:rsidRPr="00811735">
        <w:rPr>
          <w:rFonts w:ascii="Times New Roman" w:hAnsi="Times New Roman" w:cs="Times New Roman"/>
          <w:color w:val="FF0000"/>
          <w:sz w:val="24"/>
          <w:szCs w:val="24"/>
          <w:u w:val="single"/>
        </w:rPr>
        <w:t>, añadió.</w:t>
      </w:r>
    </w:p>
    <w:p w:rsidR="008C0415" w:rsidRPr="00B71F78"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71F78">
        <w:rPr>
          <w:rFonts w:ascii="Times New Roman" w:hAnsi="Times New Roman" w:cs="Times New Roman"/>
          <w:sz w:val="24"/>
          <w:szCs w:val="24"/>
          <w:u w:val="single"/>
        </w:rPr>
        <w:t>Despedir a Rusia como proveedor de energía reabre el debate de las nucleares en la UE</w:t>
      </w:r>
      <w:r>
        <w:rPr>
          <w:rFonts w:ascii="Times New Roman" w:hAnsi="Times New Roman" w:cs="Times New Roman"/>
          <w:sz w:val="24"/>
          <w:szCs w:val="24"/>
        </w:rPr>
        <w:t xml:space="preserve"> (El Economista - </w:t>
      </w:r>
      <w:r w:rsidRPr="00B71F78">
        <w:rPr>
          <w:rFonts w:ascii="Times New Roman" w:hAnsi="Times New Roman" w:cs="Times New Roman"/>
          <w:b/>
          <w:sz w:val="24"/>
          <w:szCs w:val="24"/>
        </w:rPr>
        <w:t>11/3/22</w:t>
      </w:r>
      <w:r>
        <w:rPr>
          <w:rFonts w:ascii="Times New Roman" w:hAnsi="Times New Roman" w:cs="Times New Roman"/>
          <w:sz w:val="24"/>
          <w:szCs w:val="24"/>
        </w:rPr>
        <w:t>)</w:t>
      </w:r>
    </w:p>
    <w:p w:rsidR="008C0415" w:rsidRPr="00811735" w:rsidRDefault="008C0415" w:rsidP="008C0415">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Ser completamente independiente de las importaciones de gas y petróleo de Rusia se ha convertido en la tarea principal de la Unión Europea tras la invasión de Ucrania pero cortar lazos comerciales a corto plazo con quien es el proveedor del 100% de la energía para varios países miembro no es fácil y supone reabrir debates que ya estaban cerrados, como el de las nucleares.</w:t>
      </w:r>
    </w:p>
    <w:p w:rsidR="008C0415" w:rsidRPr="00811735" w:rsidRDefault="008C0415" w:rsidP="008C0415">
      <w:pPr>
        <w:spacing w:line="240" w:lineRule="auto"/>
        <w:jc w:val="both"/>
        <w:rPr>
          <w:rFonts w:ascii="Times New Roman" w:hAnsi="Times New Roman" w:cs="Times New Roman"/>
          <w:sz w:val="24"/>
          <w:szCs w:val="24"/>
          <w:u w:val="single"/>
        </w:rPr>
      </w:pPr>
      <w:r w:rsidRPr="00811735">
        <w:rPr>
          <w:rFonts w:ascii="Times New Roman" w:hAnsi="Times New Roman" w:cs="Times New Roman"/>
          <w:color w:val="FF0000"/>
          <w:sz w:val="24"/>
          <w:szCs w:val="24"/>
          <w:u w:val="single"/>
        </w:rPr>
        <w:t>La Comisión Europea trabaja para que los Veintisiete puedan prescindir completamente de la energía rusa antes de 2030</w:t>
      </w:r>
      <w:r w:rsidRPr="00B71F78">
        <w:rPr>
          <w:rFonts w:ascii="Times New Roman" w:hAnsi="Times New Roman" w:cs="Times New Roman"/>
          <w:sz w:val="24"/>
          <w:szCs w:val="24"/>
        </w:rPr>
        <w:t xml:space="preserve">. </w:t>
      </w:r>
      <w:r w:rsidRPr="00811735">
        <w:rPr>
          <w:rFonts w:ascii="Times New Roman" w:hAnsi="Times New Roman" w:cs="Times New Roman"/>
          <w:sz w:val="24"/>
          <w:szCs w:val="24"/>
          <w:u w:val="single"/>
        </w:rPr>
        <w:t>En el plan presentado el miércoles, el objetivo inmediato pasa por reducir dos tercios esa relación este año. ¿Cómo? Sustituyendo como primera medidas a ese país por otros productores de gas, como EEUU, Catar, Argelia o Azerbaiyán, y rellenado los países sus reservas al menos al 90% antes de que empiece la temporada de invierno 2022-2023.</w:t>
      </w:r>
    </w:p>
    <w:p w:rsidR="008C0415" w:rsidRPr="00811735" w:rsidRDefault="008C0415" w:rsidP="008C0415">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LA UE produce solo el 10% del gas natural que necesita. El resto lo importa de Rusia (41%), Noruega (24%) y Argelia (11%), según datos de la Dirección General de Energía de la UE, que también reflejan que cerca del 25% del consumo de energía de la UE proviene del gas natural.</w:t>
      </w:r>
    </w:p>
    <w:p w:rsidR="008C0415" w:rsidRPr="00811735" w:rsidRDefault="008C0415" w:rsidP="008C0415">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El comisario europeo del Mercado Interior, Thierry Breton, ha señalado este viernes en una entrevista en la em</w:t>
      </w:r>
      <w:r>
        <w:rPr>
          <w:rFonts w:ascii="Times New Roman" w:hAnsi="Times New Roman" w:cs="Times New Roman"/>
          <w:color w:val="FF0000"/>
          <w:sz w:val="24"/>
          <w:szCs w:val="24"/>
          <w:u w:val="single"/>
        </w:rPr>
        <w:t>isora France Info que trabajan “</w:t>
      </w:r>
      <w:r w:rsidRPr="00811735">
        <w:rPr>
          <w:rFonts w:ascii="Times New Roman" w:hAnsi="Times New Roman" w:cs="Times New Roman"/>
          <w:color w:val="FF0000"/>
          <w:sz w:val="24"/>
          <w:szCs w:val="24"/>
          <w:u w:val="single"/>
        </w:rPr>
        <w:t xml:space="preserve">para librarnos completamente de </w:t>
      </w:r>
      <w:r>
        <w:rPr>
          <w:rFonts w:ascii="Times New Roman" w:hAnsi="Times New Roman" w:cs="Times New Roman"/>
          <w:color w:val="FF0000"/>
          <w:sz w:val="24"/>
          <w:szCs w:val="24"/>
          <w:u w:val="single"/>
        </w:rPr>
        <w:t>Rusia como proveedor energético” y que “pase lo que pase”</w:t>
      </w:r>
      <w:r w:rsidRPr="00811735">
        <w:rPr>
          <w:rFonts w:ascii="Times New Roman" w:hAnsi="Times New Roman" w:cs="Times New Roman"/>
          <w:color w:val="FF0000"/>
          <w:sz w:val="24"/>
          <w:szCs w:val="24"/>
          <w:u w:val="single"/>
        </w:rPr>
        <w:t xml:space="preserve"> con la guerra de Ucrania, la UE debe li</w:t>
      </w:r>
      <w:r>
        <w:rPr>
          <w:rFonts w:ascii="Times New Roman" w:hAnsi="Times New Roman" w:cs="Times New Roman"/>
          <w:color w:val="FF0000"/>
          <w:sz w:val="24"/>
          <w:szCs w:val="24"/>
          <w:u w:val="single"/>
        </w:rPr>
        <w:t>brarse de esa dependencia. Ese “</w:t>
      </w:r>
      <w:r w:rsidRPr="00811735">
        <w:rPr>
          <w:rFonts w:ascii="Times New Roman" w:hAnsi="Times New Roman" w:cs="Times New Roman"/>
          <w:color w:val="FF0000"/>
          <w:sz w:val="24"/>
          <w:szCs w:val="24"/>
          <w:u w:val="single"/>
        </w:rPr>
        <w:t>p</w:t>
      </w:r>
      <w:r>
        <w:rPr>
          <w:rFonts w:ascii="Times New Roman" w:hAnsi="Times New Roman" w:cs="Times New Roman"/>
          <w:color w:val="FF0000"/>
          <w:sz w:val="24"/>
          <w:szCs w:val="24"/>
          <w:u w:val="single"/>
        </w:rPr>
        <w:t>ase lo que pase”</w:t>
      </w:r>
      <w:r w:rsidRPr="00811735">
        <w:rPr>
          <w:rFonts w:ascii="Times New Roman" w:hAnsi="Times New Roman" w:cs="Times New Roman"/>
          <w:color w:val="FF0000"/>
          <w:sz w:val="24"/>
          <w:szCs w:val="24"/>
          <w:u w:val="single"/>
        </w:rPr>
        <w:t xml:space="preserve"> pone de nuevo sobre la mesa ampliar la duración de las centrales nucleares.</w:t>
      </w:r>
    </w:p>
    <w:p w:rsidR="008C0415" w:rsidRPr="00811735" w:rsidRDefault="008C0415" w:rsidP="008C0415">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lastRenderedPageBreak/>
        <w:t xml:space="preserve">En el plan hay mención a la energía nuclear. Sí la hubo en la propuesta </w:t>
      </w:r>
      <w:r>
        <w:rPr>
          <w:rFonts w:ascii="Times New Roman" w:hAnsi="Times New Roman" w:cs="Times New Roman"/>
          <w:sz w:val="24"/>
          <w:szCs w:val="24"/>
          <w:u w:val="single"/>
        </w:rPr>
        <w:t>de la AIE para hacer frente al “chantaje”</w:t>
      </w:r>
      <w:r w:rsidRPr="00811735">
        <w:rPr>
          <w:rFonts w:ascii="Times New Roman" w:hAnsi="Times New Roman" w:cs="Times New Roman"/>
          <w:sz w:val="24"/>
          <w:szCs w:val="24"/>
          <w:u w:val="single"/>
        </w:rPr>
        <w:t xml:space="preserve"> ruso a Europa. Breton, defensor conocido de esta propuesta que suscriben países como Alemania, ha indicado en esa entrevista que ante el desafío de acabar con la dependencia de los hidrocarburos rusos, extende</w:t>
      </w:r>
      <w:r>
        <w:rPr>
          <w:rFonts w:ascii="Times New Roman" w:hAnsi="Times New Roman" w:cs="Times New Roman"/>
          <w:sz w:val="24"/>
          <w:szCs w:val="24"/>
          <w:u w:val="single"/>
        </w:rPr>
        <w:t>r la duración de estas plantas “está sobre la mesa”</w:t>
      </w:r>
      <w:r w:rsidRPr="00811735">
        <w:rPr>
          <w:rFonts w:ascii="Times New Roman" w:hAnsi="Times New Roman" w:cs="Times New Roman"/>
          <w:sz w:val="24"/>
          <w:szCs w:val="24"/>
          <w:u w:val="single"/>
        </w:rPr>
        <w:t>.</w:t>
      </w:r>
    </w:p>
    <w:p w:rsidR="008C0415" w:rsidRPr="00811735" w:rsidRDefault="008C0415" w:rsidP="008C0415">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La diferente proporción de dependencia de los países de la UE del gas ruso complica el camino hacia una solución rápida. Del gas que recibe España, casi un 6% es ruso. Es de los países menos dependientes. Francia está en el 20%, Alemania en el 55% pero otros como Finlandia, Letonia o República Checa tienen una vinculación total, del 100%.</w:t>
      </w:r>
      <w:r w:rsidR="006639D3">
        <w:rPr>
          <w:rFonts w:ascii="Times New Roman" w:hAnsi="Times New Roman" w:cs="Times New Roman"/>
          <w:sz w:val="24"/>
          <w:szCs w:val="24"/>
          <w:u w:val="single"/>
        </w:rPr>
        <w:t>..</w:t>
      </w:r>
    </w:p>
    <w:p w:rsidR="008C0415"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54497">
        <w:rPr>
          <w:rFonts w:ascii="Times New Roman" w:hAnsi="Times New Roman" w:cs="Times New Roman"/>
          <w:sz w:val="24"/>
          <w:szCs w:val="24"/>
        </w:rPr>
        <w:t>¿</w:t>
      </w:r>
      <w:r w:rsidRPr="00094630">
        <w:rPr>
          <w:rFonts w:ascii="Times New Roman" w:hAnsi="Times New Roman" w:cs="Times New Roman"/>
          <w:sz w:val="24"/>
          <w:szCs w:val="24"/>
          <w:u w:val="single"/>
        </w:rPr>
        <w:t>Puede Europa prescindir del gas ruso? Estos son los obstáculos a los que se enfrenta</w:t>
      </w:r>
      <w:r>
        <w:rPr>
          <w:rFonts w:ascii="Times New Roman" w:hAnsi="Times New Roman" w:cs="Times New Roman"/>
          <w:sz w:val="24"/>
          <w:szCs w:val="24"/>
        </w:rPr>
        <w:t xml:space="preserve"> (El Confidencial - </w:t>
      </w:r>
      <w:r w:rsidRPr="00094630">
        <w:rPr>
          <w:rFonts w:ascii="Times New Roman" w:hAnsi="Times New Roman" w:cs="Times New Roman"/>
          <w:b/>
          <w:sz w:val="24"/>
          <w:szCs w:val="24"/>
        </w:rPr>
        <w:t>15/3/22</w:t>
      </w:r>
      <w:r>
        <w:rPr>
          <w:rFonts w:ascii="Times New Roman" w:hAnsi="Times New Roman" w:cs="Times New Roman"/>
          <w:sz w:val="24"/>
          <w:szCs w:val="24"/>
        </w:rPr>
        <w:t>)</w:t>
      </w:r>
    </w:p>
    <w:p w:rsidR="008C0415" w:rsidRPr="00947166" w:rsidRDefault="008C0415" w:rsidP="008C0415">
      <w:pPr>
        <w:spacing w:line="240" w:lineRule="auto"/>
        <w:jc w:val="both"/>
        <w:rPr>
          <w:rFonts w:ascii="Times New Roman" w:hAnsi="Times New Roman" w:cs="Times New Roman"/>
          <w:sz w:val="24"/>
          <w:szCs w:val="24"/>
          <w:u w:val="single"/>
        </w:rPr>
      </w:pPr>
      <w:r w:rsidRPr="00947166">
        <w:rPr>
          <w:rFonts w:ascii="Times New Roman" w:hAnsi="Times New Roman" w:cs="Times New Roman"/>
          <w:sz w:val="24"/>
          <w:szCs w:val="24"/>
          <w:u w:val="single"/>
        </w:rPr>
        <w:t>La Unión Europea tiene un objetivo: lograr la neutralidad de carbono para el año 2050. Es decir, para mediados de siglo la economía europea tiene que ser capaz de absorber al menos la misma cantidad de CO2 que libera a la atmósfera.</w:t>
      </w:r>
    </w:p>
    <w:p w:rsidR="008C0415" w:rsidRPr="00947166" w:rsidRDefault="008C0415" w:rsidP="008C0415">
      <w:pPr>
        <w:spacing w:line="240" w:lineRule="auto"/>
        <w:jc w:val="both"/>
        <w:rPr>
          <w:rFonts w:ascii="Times New Roman" w:hAnsi="Times New Roman" w:cs="Times New Roman"/>
          <w:sz w:val="24"/>
          <w:szCs w:val="24"/>
          <w:u w:val="single"/>
        </w:rPr>
      </w:pPr>
      <w:r w:rsidRPr="00947166">
        <w:rPr>
          <w:rFonts w:ascii="Times New Roman" w:hAnsi="Times New Roman" w:cs="Times New Roman"/>
          <w:sz w:val="24"/>
          <w:szCs w:val="24"/>
          <w:u w:val="single"/>
        </w:rPr>
        <w:t>Para conseguirlo, los países comunitarios llevan años sustituyendo sus viejas centrales de carbón por energías renovables. Además, otros países como España o Alemania también quieren sustituir su parque nuclear. Por ejemplo, en el caso alemán, hasta hace apenas diez años este país tenía 17 reactores en funcionamiento. Hoy solo cuenta con tres.</w:t>
      </w:r>
    </w:p>
    <w:p w:rsidR="008C0415" w:rsidRDefault="008C0415" w:rsidP="008C0415">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color w:val="FF0000"/>
          <w:sz w:val="24"/>
          <w:szCs w:val="24"/>
          <w:u w:val="single"/>
        </w:rPr>
        <w:t>Pese a ello, el 70% de todo el consumo energético de la Unión Europea sigue teniendo como origen los combustibles fósiles. En parte porque el consumo de gas natural, según datos de la Agencia Internacional de la Energía (AIE), ha estado creciendo durante los últimos cinco años.</w:t>
      </w:r>
    </w:p>
    <w:p w:rsidR="008C0415" w:rsidRPr="00154628" w:rsidRDefault="008C0415" w:rsidP="008C0415">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sz w:val="24"/>
          <w:szCs w:val="24"/>
          <w:u w:val="single"/>
        </w:rPr>
        <w:t>¿Por qué? Fundamentalmente porque las renovables tienen el problema de no ser constantes. Evidentemente no sopla el viento ni hace sol las 24 horas del día, así que hoy por hoy estas energías necesitan una fuente de respaldo</w:t>
      </w:r>
      <w:r w:rsidRPr="00094630">
        <w:rPr>
          <w:rFonts w:ascii="Times New Roman" w:hAnsi="Times New Roman" w:cs="Times New Roman"/>
          <w:sz w:val="24"/>
          <w:szCs w:val="24"/>
        </w:rPr>
        <w:t xml:space="preserve">. </w:t>
      </w:r>
      <w:r w:rsidRPr="00154628">
        <w:rPr>
          <w:rFonts w:ascii="Times New Roman" w:hAnsi="Times New Roman" w:cs="Times New Roman"/>
          <w:color w:val="FF0000"/>
          <w:sz w:val="24"/>
          <w:szCs w:val="24"/>
          <w:u w:val="single"/>
        </w:rPr>
        <w:t>Y justo aquí es donde aparece en escena el gas natural, que es considerado el combustible fósil más limpio. Pero la Unión Europea apenas produce gas natural, así que cada año tiene que importar el equivalente a 3.660 TWh de energía. El 45% de todo este gas procede directamente de Rusia.</w:t>
      </w:r>
    </w:p>
    <w:p w:rsidR="008C0415" w:rsidRPr="00154628" w:rsidRDefault="008C0415" w:rsidP="008C0415">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sz w:val="24"/>
          <w:szCs w:val="24"/>
          <w:u w:val="single"/>
        </w:rPr>
        <w:t>Y ahora, a tenor del reciente conflicto en Ucrania y del choque político entre Washington, Bruselas y Moscú</w:t>
      </w:r>
      <w:r w:rsidRPr="00094630">
        <w:rPr>
          <w:rFonts w:ascii="Times New Roman" w:hAnsi="Times New Roman" w:cs="Times New Roman"/>
          <w:sz w:val="24"/>
          <w:szCs w:val="24"/>
        </w:rPr>
        <w:t>, una pregunta ha cobrado protagonismo: ¿</w:t>
      </w:r>
      <w:r w:rsidRPr="00154628">
        <w:rPr>
          <w:rFonts w:ascii="Times New Roman" w:hAnsi="Times New Roman" w:cs="Times New Roman"/>
          <w:color w:val="FF0000"/>
          <w:sz w:val="24"/>
          <w:szCs w:val="24"/>
          <w:u w:val="single"/>
        </w:rPr>
        <w:t>Podrían las economías europeas sustituir el gas que reciben del gigante ruso si llegado el caso este país decidiera reducir o incluso cortar el suministro?</w:t>
      </w:r>
    </w:p>
    <w:p w:rsidR="008C0415" w:rsidRPr="00154628" w:rsidRDefault="008C0415" w:rsidP="008C0415">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color w:val="FF0000"/>
          <w:sz w:val="24"/>
          <w:szCs w:val="24"/>
          <w:u w:val="single"/>
        </w:rPr>
        <w:t>En principio se podría decir que sí. Por un lado, los países de la Unión Europea tienen infraestructuras suficientes para incrementar en más de 1.700 TWh sus importaciones de gas del resto del mundo. También podrían tomar otras medidas como retrasar el cierre de las centrales nucleares o, transitoriamente, volver a utilizar algunas centrales de carbón. Esto podría aportar otros 400 TWh. En total hablamos de unos 2.100 TWh de margen, que representan el 125% de las importaciones de gas ruso.</w:t>
      </w:r>
    </w:p>
    <w:p w:rsidR="008C0415" w:rsidRPr="00154628" w:rsidRDefault="008C0415" w:rsidP="008C0415">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color w:val="FF0000"/>
          <w:sz w:val="24"/>
          <w:szCs w:val="24"/>
          <w:u w:val="single"/>
        </w:rPr>
        <w:t>Sin embargo, la realidad es diferente. Y es que el problema no está en la infraestructura, sino en el propio gas: por la falta de inversión, el mercado está muy tensionado y los grandes exportadores ya trabajan a pleno rendimiento, así que hay poco margen para aumentar la oferta. En segundo lugar, la infraestructura europea es grande, pero está mal conectada entre sí, así que la capacidad de países como España, por ejemplo, apenas se podría utilizar.</w:t>
      </w:r>
    </w:p>
    <w:p w:rsidR="008C0415" w:rsidRPr="00B019DD" w:rsidRDefault="006639D3" w:rsidP="008C0415">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Nota: Realpolitik, </w:t>
      </w:r>
      <w:r w:rsidR="008C0415" w:rsidRPr="00B019DD">
        <w:rPr>
          <w:rFonts w:ascii="Times New Roman" w:hAnsi="Times New Roman" w:cs="Times New Roman"/>
          <w:b/>
          <w:sz w:val="24"/>
          <w:szCs w:val="24"/>
        </w:rPr>
        <w:t>vuelve el “fantasma” del carbón</w:t>
      </w:r>
      <w:r>
        <w:rPr>
          <w:rFonts w:ascii="Times New Roman" w:hAnsi="Times New Roman" w:cs="Times New Roman"/>
          <w:b/>
          <w:sz w:val="24"/>
          <w:szCs w:val="24"/>
        </w:rPr>
        <w:t>, a</w:t>
      </w:r>
      <w:r w:rsidRPr="00B019DD">
        <w:rPr>
          <w:rFonts w:ascii="Times New Roman" w:hAnsi="Times New Roman" w:cs="Times New Roman"/>
          <w:b/>
          <w:sz w:val="24"/>
          <w:szCs w:val="24"/>
        </w:rPr>
        <w:t>larma entre los ecolojetas europeos</w:t>
      </w:r>
    </w:p>
    <w:p w:rsidR="008C0415" w:rsidRPr="006639D3" w:rsidRDefault="008C0415" w:rsidP="008C0415">
      <w:pPr>
        <w:spacing w:line="240" w:lineRule="auto"/>
        <w:jc w:val="both"/>
        <w:rPr>
          <w:rFonts w:ascii="Times New Roman" w:hAnsi="Times New Roman" w:cs="Times New Roman"/>
          <w:b/>
          <w:sz w:val="24"/>
          <w:szCs w:val="24"/>
        </w:rPr>
      </w:pPr>
      <w:r w:rsidRPr="006639D3">
        <w:rPr>
          <w:rFonts w:ascii="Times New Roman" w:hAnsi="Times New Roman" w:cs="Times New Roman"/>
          <w:b/>
          <w:sz w:val="24"/>
          <w:szCs w:val="24"/>
        </w:rPr>
        <w:t>¿Habrá un adiós al carbón?</w:t>
      </w:r>
    </w:p>
    <w:p w:rsidR="008C0415" w:rsidRPr="006639D3" w:rsidRDefault="008C0415" w:rsidP="008C0415">
      <w:pPr>
        <w:spacing w:line="240" w:lineRule="auto"/>
        <w:jc w:val="both"/>
        <w:rPr>
          <w:rFonts w:ascii="Times New Roman" w:hAnsi="Times New Roman" w:cs="Times New Roman"/>
          <w:b/>
          <w:sz w:val="24"/>
          <w:szCs w:val="24"/>
        </w:rPr>
      </w:pPr>
      <w:r w:rsidRPr="006639D3">
        <w:rPr>
          <w:rFonts w:ascii="Times New Roman" w:hAnsi="Times New Roman" w:cs="Times New Roman"/>
          <w:b/>
          <w:sz w:val="24"/>
          <w:szCs w:val="24"/>
        </w:rPr>
        <w:t>En plena crisis energética, algunos países europeos recurren a fuentes como el carbón para equilibrar los precios desorbitados del mercado, algo que pone en peligro los objetivos climáticos de la UE para 2030.</w:t>
      </w:r>
    </w:p>
    <w:p w:rsidR="008C0415" w:rsidRPr="006639D3" w:rsidRDefault="008C0415" w:rsidP="008C0415">
      <w:pPr>
        <w:spacing w:line="240" w:lineRule="auto"/>
        <w:jc w:val="both"/>
        <w:rPr>
          <w:rFonts w:ascii="Times New Roman" w:hAnsi="Times New Roman" w:cs="Times New Roman"/>
          <w:b/>
          <w:sz w:val="24"/>
          <w:szCs w:val="24"/>
        </w:rPr>
      </w:pPr>
      <w:r w:rsidRPr="006639D3">
        <w:rPr>
          <w:rFonts w:ascii="Times New Roman" w:hAnsi="Times New Roman" w:cs="Times New Roman"/>
          <w:b/>
          <w:sz w:val="24"/>
          <w:szCs w:val="24"/>
        </w:rPr>
        <w:t>La escalada en los precios de la energía está provo</w:t>
      </w:r>
      <w:r w:rsidR="006639D3">
        <w:rPr>
          <w:rFonts w:ascii="Times New Roman" w:hAnsi="Times New Roman" w:cs="Times New Roman"/>
          <w:b/>
          <w:sz w:val="24"/>
          <w:szCs w:val="24"/>
        </w:rPr>
        <w:t>cando que países</w:t>
      </w:r>
      <w:r w:rsidRPr="006639D3">
        <w:rPr>
          <w:rFonts w:ascii="Times New Roman" w:hAnsi="Times New Roman" w:cs="Times New Roman"/>
          <w:b/>
          <w:sz w:val="24"/>
          <w:szCs w:val="24"/>
        </w:rPr>
        <w:t xml:space="preserve"> acudan de forma temporal a otras fuentes de energía como el carbón.</w:t>
      </w:r>
    </w:p>
    <w:p w:rsidR="008C0415" w:rsidRPr="006639D3" w:rsidRDefault="008C0415" w:rsidP="008C0415">
      <w:pPr>
        <w:spacing w:line="240" w:lineRule="auto"/>
        <w:jc w:val="both"/>
        <w:rPr>
          <w:rFonts w:ascii="Times New Roman" w:hAnsi="Times New Roman" w:cs="Times New Roman"/>
          <w:b/>
          <w:sz w:val="24"/>
          <w:szCs w:val="24"/>
        </w:rPr>
      </w:pPr>
      <w:r w:rsidRPr="006639D3">
        <w:rPr>
          <w:rFonts w:ascii="Times New Roman" w:hAnsi="Times New Roman" w:cs="Times New Roman"/>
          <w:b/>
          <w:sz w:val="24"/>
          <w:szCs w:val="24"/>
        </w:rPr>
        <w:t>Y más, si cabe, en plena guerra de Ucrania, que está acelerando en la Unión Europea la necesidad de desconectarse del gas ruso para evitar la escalada de precios. De Rusia, de hecho, Europa obtiene hasta el 40% del gas que consume y en torno a un tercio del carbón.</w:t>
      </w:r>
    </w:p>
    <w:p w:rsidR="008C0415" w:rsidRPr="006639D3" w:rsidRDefault="008C0415" w:rsidP="008C0415">
      <w:pPr>
        <w:spacing w:line="240" w:lineRule="auto"/>
        <w:jc w:val="both"/>
        <w:rPr>
          <w:rFonts w:ascii="Times New Roman" w:hAnsi="Times New Roman" w:cs="Times New Roman"/>
          <w:b/>
          <w:sz w:val="24"/>
          <w:szCs w:val="24"/>
        </w:rPr>
      </w:pPr>
      <w:r w:rsidRPr="006639D3">
        <w:rPr>
          <w:rFonts w:ascii="Times New Roman" w:hAnsi="Times New Roman" w:cs="Times New Roman"/>
          <w:b/>
          <w:sz w:val="24"/>
          <w:szCs w:val="24"/>
        </w:rPr>
        <w:t>Los cargamentos de este combustible fósil, de hecho seguirán llegando. Son, junto a las renovables y el gas procedente de otros países, una alternativa a la energía de la que proveía a Europa el país ruso.</w:t>
      </w:r>
    </w:p>
    <w:p w:rsidR="008C0415" w:rsidRPr="006639D3" w:rsidRDefault="008C0415" w:rsidP="008C0415">
      <w:pPr>
        <w:spacing w:line="240" w:lineRule="auto"/>
        <w:jc w:val="both"/>
        <w:rPr>
          <w:rFonts w:ascii="Times New Roman" w:hAnsi="Times New Roman" w:cs="Times New Roman"/>
          <w:b/>
          <w:sz w:val="24"/>
          <w:szCs w:val="24"/>
        </w:rPr>
      </w:pPr>
      <w:r w:rsidRPr="006639D3">
        <w:rPr>
          <w:rFonts w:ascii="Times New Roman" w:hAnsi="Times New Roman" w:cs="Times New Roman"/>
          <w:b/>
          <w:sz w:val="24"/>
          <w:szCs w:val="24"/>
        </w:rPr>
        <w:t>El conflicto con Rusia ha intensificado la crisis que ya se llevaba viviendo en Europa desde hace un año. Según datos recogidos por Bloomberg, las plantas del continente llegaron a quemar hasta un 51% más de carbón que en el año anterior. Y es que se trata de una alternativa rápida al gas y es una opción para satisfacer la demanda de energía. Sin embargo, nada sale gratis.</w:t>
      </w:r>
    </w:p>
    <w:p w:rsidR="008C0415" w:rsidRPr="006639D3" w:rsidRDefault="008C0415" w:rsidP="008C0415">
      <w:pPr>
        <w:spacing w:line="240" w:lineRule="auto"/>
        <w:jc w:val="both"/>
        <w:rPr>
          <w:rFonts w:ascii="Times New Roman" w:hAnsi="Times New Roman" w:cs="Times New Roman"/>
          <w:b/>
          <w:sz w:val="24"/>
          <w:szCs w:val="24"/>
        </w:rPr>
      </w:pPr>
      <w:r w:rsidRPr="006639D3">
        <w:rPr>
          <w:rFonts w:ascii="Times New Roman" w:hAnsi="Times New Roman" w:cs="Times New Roman"/>
          <w:b/>
          <w:sz w:val="24"/>
          <w:szCs w:val="24"/>
        </w:rPr>
        <w:t>Esta vuelta -se espera- temporal del carbón tiene un efecto directo en la emisión de gases de efecto invernadero. Su quema genera emisiones de dióxido de carbono y la minería subterránea, gas metano. Además, la contaminación del carbón llega a permear en el agua y en la tierra, y es perjudicial para la salud, ya que aumenta el riesgo de asma y otras enfermedades de tipo cardíaco e, incluso, cáncer.</w:t>
      </w:r>
    </w:p>
    <w:p w:rsidR="008C0415" w:rsidRPr="006639D3" w:rsidRDefault="008C0415" w:rsidP="008C0415">
      <w:pPr>
        <w:spacing w:line="240" w:lineRule="auto"/>
        <w:jc w:val="both"/>
        <w:rPr>
          <w:rFonts w:ascii="Times New Roman" w:hAnsi="Times New Roman" w:cs="Times New Roman"/>
          <w:b/>
          <w:sz w:val="24"/>
          <w:szCs w:val="24"/>
        </w:rPr>
      </w:pPr>
      <w:r w:rsidRPr="006639D3">
        <w:rPr>
          <w:rFonts w:ascii="Times New Roman" w:hAnsi="Times New Roman" w:cs="Times New Roman"/>
          <w:b/>
          <w:sz w:val="24"/>
          <w:szCs w:val="24"/>
        </w:rPr>
        <w:t>Debido a este efecto perjudicial tanto en la salud de las personas como en el medioambiente, países como España llevan persiguiendo la descarbonización completa en los últimos años. Una decisión aún más presente tras la decisión vinculante de la UE para reducir las emisiones en al menos el 55% para 2030 y llegar a ser climáticamente neutra en 2050. Para ello, los miembros comunitarios deben descarbonizar la energía que consumen.</w:t>
      </w:r>
    </w:p>
    <w:p w:rsidR="008C0415" w:rsidRPr="006639D3" w:rsidRDefault="006639D3" w:rsidP="008C0415">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diciembre del año 2021</w:t>
      </w:r>
      <w:r w:rsidR="008C0415" w:rsidRPr="006639D3">
        <w:rPr>
          <w:rFonts w:ascii="Times New Roman" w:hAnsi="Times New Roman" w:cs="Times New Roman"/>
          <w:b/>
          <w:sz w:val="24"/>
          <w:szCs w:val="24"/>
        </w:rPr>
        <w:t xml:space="preserve">, Frans Timmermans, vicepresidente ejecutivo para el Pacto Verde Europeo, declaró que “Europa debe dar cierre a la época de los combustibles fósiles y recurrir a fuentes de energía más limpias. Esto pasa, entre otras cosas, por sustituir el gas fósil por gases renovables y gases hipocarbónicos, como el hidrógeno”. </w:t>
      </w:r>
    </w:p>
    <w:p w:rsidR="008C0415" w:rsidRPr="006639D3" w:rsidRDefault="008C0415" w:rsidP="008C0415">
      <w:pPr>
        <w:spacing w:line="240" w:lineRule="auto"/>
        <w:jc w:val="both"/>
        <w:rPr>
          <w:rFonts w:ascii="Times New Roman" w:hAnsi="Times New Roman" w:cs="Times New Roman"/>
          <w:b/>
          <w:sz w:val="24"/>
          <w:szCs w:val="24"/>
        </w:rPr>
      </w:pPr>
      <w:r w:rsidRPr="006639D3">
        <w:rPr>
          <w:rFonts w:ascii="Times New Roman" w:hAnsi="Times New Roman" w:cs="Times New Roman"/>
          <w:b/>
          <w:sz w:val="24"/>
          <w:szCs w:val="24"/>
        </w:rPr>
        <w:t>No obstante, la situación actual de crisis energética pone un punto y aparte en esta transición, porque además del nuestro, países como Alemania han vuelto a reactivar sus plantas de generación de carbón. Algo preocupante puesto que este combustible fósil es el responsable de, al menos, el 40% de las emisiones globales de efecto invernadero.</w:t>
      </w:r>
    </w:p>
    <w:p w:rsidR="008C0415" w:rsidRPr="006639D3" w:rsidRDefault="008C0415" w:rsidP="008C0415">
      <w:pPr>
        <w:spacing w:line="240" w:lineRule="auto"/>
        <w:jc w:val="both"/>
        <w:rPr>
          <w:rFonts w:ascii="Times New Roman" w:hAnsi="Times New Roman" w:cs="Times New Roman"/>
          <w:b/>
          <w:sz w:val="24"/>
          <w:szCs w:val="24"/>
        </w:rPr>
      </w:pPr>
      <w:r w:rsidRPr="006639D3">
        <w:rPr>
          <w:rFonts w:ascii="Times New Roman" w:hAnsi="Times New Roman" w:cs="Times New Roman"/>
          <w:b/>
          <w:sz w:val="24"/>
          <w:szCs w:val="24"/>
        </w:rPr>
        <w:t>Más recientemente, Timmermans señaló que “es una decisión soberana de cada Estado miembro decir: “Vale, seguiremos un poco más con la nuclear o el carbón””. Así las cosas, volvía a insistir en que los países debían cumplir sus compromisos climáticos para el año 2030 en cuanto a reducción de emisiones.</w:t>
      </w:r>
    </w:p>
    <w:p w:rsidR="008C0415" w:rsidRPr="00CB3982"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075C40">
        <w:rPr>
          <w:rFonts w:ascii="Times New Roman" w:hAnsi="Times New Roman" w:cs="Times New Roman"/>
          <w:sz w:val="24"/>
          <w:szCs w:val="24"/>
          <w:u w:val="single"/>
        </w:rPr>
        <w:t>Alemania lidera las emisiones tras tener que recurrir al carbón por el cierre nuclear</w:t>
      </w:r>
      <w:r>
        <w:rPr>
          <w:rFonts w:ascii="Times New Roman" w:hAnsi="Times New Roman" w:cs="Times New Roman"/>
          <w:sz w:val="24"/>
          <w:szCs w:val="24"/>
        </w:rPr>
        <w:t xml:space="preserve"> (Libertad Digital - </w:t>
      </w:r>
      <w:r w:rsidRPr="00075C40">
        <w:rPr>
          <w:rFonts w:ascii="Times New Roman" w:hAnsi="Times New Roman" w:cs="Times New Roman"/>
          <w:b/>
          <w:sz w:val="24"/>
          <w:szCs w:val="24"/>
        </w:rPr>
        <w:t>22/3/22</w:t>
      </w:r>
      <w:r>
        <w:rPr>
          <w:rFonts w:ascii="Times New Roman" w:hAnsi="Times New Roman" w:cs="Times New Roman"/>
          <w:sz w:val="24"/>
          <w:szCs w:val="24"/>
        </w:rPr>
        <w:t>)</w:t>
      </w:r>
    </w:p>
    <w:p w:rsidR="008C0415" w:rsidRPr="00F63C80" w:rsidRDefault="008C0415" w:rsidP="008C0415">
      <w:pPr>
        <w:spacing w:line="240" w:lineRule="auto"/>
        <w:jc w:val="both"/>
        <w:rPr>
          <w:rFonts w:ascii="Times New Roman" w:hAnsi="Times New Roman" w:cs="Times New Roman"/>
          <w:color w:val="FF0000"/>
          <w:sz w:val="24"/>
          <w:szCs w:val="24"/>
          <w:u w:val="single"/>
        </w:rPr>
      </w:pPr>
      <w:r w:rsidRPr="00F63C80">
        <w:rPr>
          <w:rFonts w:ascii="Times New Roman" w:hAnsi="Times New Roman" w:cs="Times New Roman"/>
          <w:color w:val="FF0000"/>
          <w:sz w:val="24"/>
          <w:szCs w:val="24"/>
          <w:u w:val="single"/>
        </w:rPr>
        <w:t>La crisis energética europea ha dejado retratados a muchos gobiernos del Viejo Continente y a su política energética desplegada en los últimos años. Probablemente, uno de los peores parados está siendo Alemania, ya que su apuesta por el cierre de las nucleares ha hecho que lidere las emisiones de CO2, según la consultora Ember. Así las cosas, el país germano encabeza las emisiones de dióxido de carbono europeas, debido a un mayor uso del carbón, para tratar de reducir la dependencia del gas ruso, al tiempo que ha desconectado tres centrales nucleares de las seis que cuenta.</w:t>
      </w:r>
    </w:p>
    <w:p w:rsidR="008C0415" w:rsidRPr="00CB3982" w:rsidRDefault="008C0415" w:rsidP="008C0415">
      <w:pPr>
        <w:spacing w:line="240" w:lineRule="auto"/>
        <w:jc w:val="both"/>
        <w:rPr>
          <w:rFonts w:ascii="Times New Roman" w:hAnsi="Times New Roman" w:cs="Times New Roman"/>
          <w:sz w:val="24"/>
          <w:szCs w:val="24"/>
        </w:rPr>
      </w:pPr>
      <w:r w:rsidRPr="00F63C80">
        <w:rPr>
          <w:rFonts w:ascii="Times New Roman" w:hAnsi="Times New Roman" w:cs="Times New Roman"/>
          <w:sz w:val="24"/>
          <w:szCs w:val="24"/>
          <w:u w:val="single"/>
        </w:rPr>
        <w:t>Alemania inició un plan en 2011 para abandonar la energía nuclear y en enero de 2022, los reactores de Brokdorf, Grohnde y Gundremmingen C fueron desconectados, después de tres décadas de funcionamiento. Por si esto fuera poco, a finales de 2022, y si las cosas no varían, también cerrarán los últimos tres reactores que mantienen abiertos</w:t>
      </w:r>
      <w:r w:rsidRPr="00CB3982">
        <w:rPr>
          <w:rFonts w:ascii="Times New Roman" w:hAnsi="Times New Roman" w:cs="Times New Roman"/>
          <w:sz w:val="24"/>
          <w:szCs w:val="24"/>
        </w:rPr>
        <w:t>, Isar 2, Emsland y Neckarwestheim II. El día del cierre, el presidente ejecutivo de PreussenElektra, Guido Knott, que gestionaba dos de los reactores cerrados ya aseguró que:</w:t>
      </w:r>
      <w:r>
        <w:rPr>
          <w:rFonts w:ascii="Times New Roman" w:hAnsi="Times New Roman" w:cs="Times New Roman"/>
          <w:sz w:val="24"/>
          <w:szCs w:val="24"/>
        </w:rPr>
        <w:t xml:space="preserve"> “</w:t>
      </w:r>
      <w:r w:rsidRPr="00CB3982">
        <w:rPr>
          <w:rFonts w:ascii="Times New Roman" w:hAnsi="Times New Roman" w:cs="Times New Roman"/>
          <w:sz w:val="24"/>
          <w:szCs w:val="24"/>
        </w:rPr>
        <w:t>hemos contribuido de forma decisiva al suministro seguro, respetuoso con el clima y fiable de electrici</w:t>
      </w:r>
      <w:r>
        <w:rPr>
          <w:rFonts w:ascii="Times New Roman" w:hAnsi="Times New Roman" w:cs="Times New Roman"/>
          <w:sz w:val="24"/>
          <w:szCs w:val="24"/>
        </w:rPr>
        <w:t>dad en Alemania durante décadas”</w:t>
      </w:r>
      <w:r w:rsidRPr="00CB3982">
        <w:rPr>
          <w:rFonts w:ascii="Times New Roman" w:hAnsi="Times New Roman" w:cs="Times New Roman"/>
          <w:sz w:val="24"/>
          <w:szCs w:val="24"/>
        </w:rPr>
        <w:t>. El último día de uso de estos reactores, Greenpeace fue la encargada de lanzar un mensaje victorioso aseg</w:t>
      </w:r>
      <w:r>
        <w:rPr>
          <w:rFonts w:ascii="Times New Roman" w:hAnsi="Times New Roman" w:cs="Times New Roman"/>
          <w:sz w:val="24"/>
          <w:szCs w:val="24"/>
        </w:rPr>
        <w:t>urando que era una acción por: “</w:t>
      </w:r>
      <w:r w:rsidRPr="00CB3982">
        <w:rPr>
          <w:rFonts w:ascii="Times New Roman" w:hAnsi="Times New Roman" w:cs="Times New Roman"/>
          <w:sz w:val="24"/>
          <w:szCs w:val="24"/>
        </w:rPr>
        <w:t>una Europa libr</w:t>
      </w:r>
      <w:r>
        <w:rPr>
          <w:rFonts w:ascii="Times New Roman" w:hAnsi="Times New Roman" w:cs="Times New Roman"/>
          <w:sz w:val="24"/>
          <w:szCs w:val="24"/>
        </w:rPr>
        <w:t>e de energía nuclear”</w:t>
      </w:r>
      <w:r w:rsidRPr="00CB3982">
        <w:rPr>
          <w:rFonts w:ascii="Times New Roman" w:hAnsi="Times New Roman" w:cs="Times New Roman"/>
          <w:sz w:val="24"/>
          <w:szCs w:val="24"/>
        </w:rPr>
        <w:t>.</w:t>
      </w:r>
    </w:p>
    <w:p w:rsidR="008C0415" w:rsidRPr="00CB3982" w:rsidRDefault="008C0415" w:rsidP="008C0415">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Sin embargo, la crisis energética que comenzó el pasado año, por problemas en las cadenas de suministro, y la guerra de Ucrania han hecho que la situación</w:t>
      </w:r>
      <w:r>
        <w:rPr>
          <w:rFonts w:ascii="Times New Roman" w:hAnsi="Times New Roman" w:cs="Times New Roman"/>
          <w:sz w:val="24"/>
          <w:szCs w:val="24"/>
        </w:rPr>
        <w:t xml:space="preserve"> sufra un cambio de 180 grados.</w:t>
      </w:r>
    </w:p>
    <w:p w:rsidR="008C0415" w:rsidRDefault="008C0415" w:rsidP="008C0415">
      <w:pPr>
        <w:spacing w:line="240" w:lineRule="auto"/>
        <w:jc w:val="both"/>
        <w:rPr>
          <w:rFonts w:ascii="Times New Roman" w:hAnsi="Times New Roman" w:cs="Times New Roman"/>
          <w:sz w:val="24"/>
          <w:szCs w:val="24"/>
        </w:rPr>
      </w:pPr>
      <w:r w:rsidRPr="00F63C80">
        <w:rPr>
          <w:rFonts w:ascii="Times New Roman" w:hAnsi="Times New Roman" w:cs="Times New Roman"/>
          <w:sz w:val="24"/>
          <w:szCs w:val="24"/>
          <w:u w:val="single"/>
        </w:rPr>
        <w:t>Así las cosas, Alemania se ha visto obligada a reactivar viejas centrales de carbón, la energía más contaminante, ante el riesgo de quedarse sin suministro de gas ruso. Y eso que el país germano tenía un plan aprobado para abandonar el uso del carbón en 2030</w:t>
      </w:r>
      <w:r w:rsidRPr="00CB3982">
        <w:rPr>
          <w:rFonts w:ascii="Times New Roman" w:hAnsi="Times New Roman" w:cs="Times New Roman"/>
          <w:sz w:val="24"/>
          <w:szCs w:val="24"/>
        </w:rPr>
        <w:t>. Con este escenario, la ironía alemana de haber cedido a las presiones ecologistas ha hecho que hayan cerrado ya tres de sus seis últimos reactores, que cierren los tres últimos a finales de año mientras reabren centrales de carbón. Una política energética que les ha convertido, en estos momentos, en el país más contaminante de toda Europa.</w:t>
      </w:r>
    </w:p>
    <w:p w:rsidR="008C0415" w:rsidRDefault="008C0415" w:rsidP="008C0415">
      <w:pPr>
        <w:pStyle w:val="NormalWeb"/>
        <w:spacing w:after="0"/>
        <w:jc w:val="both"/>
        <w:textAlignment w:val="baseline"/>
      </w:pPr>
      <w:r>
        <w:t xml:space="preserve">- </w:t>
      </w:r>
      <w:r w:rsidRPr="00356C06">
        <w:rPr>
          <w:u w:val="single"/>
        </w:rPr>
        <w:t>La UE comprará gas a EEUU por 140.000 millones para aislar a Rusia</w:t>
      </w:r>
      <w:r>
        <w:t xml:space="preserve"> (El Economista - </w:t>
      </w:r>
      <w:r w:rsidRPr="00FF36FC">
        <w:rPr>
          <w:b/>
        </w:rPr>
        <w:t>25/3/22</w:t>
      </w:r>
      <w:r>
        <w:t>)</w:t>
      </w:r>
    </w:p>
    <w:p w:rsidR="008C0415" w:rsidRPr="00B56C90" w:rsidRDefault="008C0415" w:rsidP="008C0415">
      <w:pPr>
        <w:pStyle w:val="NormalWeb"/>
        <w:spacing w:after="0"/>
        <w:jc w:val="both"/>
        <w:textAlignment w:val="baseline"/>
        <w:rPr>
          <w:u w:val="single"/>
        </w:rPr>
      </w:pPr>
      <w:r w:rsidRPr="00B56C90">
        <w:rPr>
          <w:u w:val="single"/>
        </w:rPr>
        <w:t xml:space="preserve">La Comisión Europea y Estados Unidos han alcanzado un  acuerdo histórico en materia energética que permitirá desligarse del suministro de gas ruso. Bruselas garantizará una demanda estable de 50 bcm/ año de GNL estadounidense adicional hasta al menos 2030, lo que supone una compra valorada en más de 140.000 millones de euros. Esta cantidad supone casi el doble del consumo de gas anual que utiliza España y permitiría sustituir un tercio de la llegada de gas desde Rusia. </w:t>
      </w:r>
    </w:p>
    <w:p w:rsidR="008C0415" w:rsidRDefault="008C0415" w:rsidP="008C0415">
      <w:pPr>
        <w:pStyle w:val="NormalWeb"/>
        <w:spacing w:after="0"/>
        <w:jc w:val="both"/>
        <w:textAlignment w:val="baseline"/>
      </w:pPr>
      <w:r>
        <w:t>El acuerdo entiende que la fórmula de precios de los suministros debe reflejar los fundamentos del mercado a largo plazo y la estabilidad de oferta y demanda. En particular, la fórmula de precios debería incluir la consideración del precio al contado del gas natural Henry Hub y otros factores estabilizadores.</w:t>
      </w:r>
    </w:p>
    <w:p w:rsidR="008C0415" w:rsidRDefault="008C0415" w:rsidP="008C0415">
      <w:pPr>
        <w:pStyle w:val="NormalWeb"/>
        <w:spacing w:after="0"/>
        <w:jc w:val="both"/>
        <w:textAlignment w:val="baseline"/>
      </w:pPr>
      <w:r>
        <w:t xml:space="preserve">La Comisión Europea trabajará, por su parte, con los gobiernos de los Estados miembro para acelerar la construcción de infraestructuras de importación de GNL, para incluir las </w:t>
      </w:r>
      <w:r>
        <w:lastRenderedPageBreak/>
        <w:t>instalaciones en tierra y los gasoductos relacionados para apoyar las importaciones utilizando buques de unidades flotantes de regasificación, y terminales fijas de GNL.</w:t>
      </w:r>
    </w:p>
    <w:p w:rsidR="008C0415" w:rsidRDefault="008C0415" w:rsidP="008C0415">
      <w:pPr>
        <w:pStyle w:val="NormalWeb"/>
        <w:spacing w:after="0"/>
        <w:jc w:val="both"/>
        <w:textAlignment w:val="baseline"/>
      </w:pPr>
      <w:r>
        <w:t>Estados Unidos y la Comisión Europea se esforzarán por reducir la intensidad de los gases de efecto invernadero de todas las nuevas infraestructuras de GNL y de los gasoductos asociados, incluso mediante el uso de energía limpia para alimentar las operaciones in situ, la reducción de las fugas de metano y la construcción de infraestructuras limpias y renovables preparadas para el hidrógeno.</w:t>
      </w:r>
    </w:p>
    <w:p w:rsidR="008C0415" w:rsidRDefault="008C0415" w:rsidP="008C0415">
      <w:pPr>
        <w:pStyle w:val="NormalWeb"/>
        <w:spacing w:after="0"/>
        <w:jc w:val="both"/>
        <w:textAlignment w:val="baseline"/>
      </w:pPr>
      <w:r>
        <w:t>La Comisión Europea trabajará para poner en común la demanda a través de una plataforma de energía de la UE recientemente creada para volúmenes adicionales entre abril y octubre de 2022. Bruselas apoyará los mecanismos de contratación a largo plazo y se asociará con los Estados Unidos para fomentar la contratación pertinente para apoyar las decisiones finales de inversión tanto en la infraestructura de exportación como de importación de GNL.</w:t>
      </w:r>
    </w:p>
    <w:p w:rsidR="008C0415" w:rsidRDefault="008C0415" w:rsidP="008C0415">
      <w:pPr>
        <w:pStyle w:val="NormalWeb"/>
        <w:spacing w:after="0"/>
        <w:jc w:val="both"/>
        <w:textAlignment w:val="baseline"/>
      </w:pPr>
      <w:r>
        <w:t>La UE está preparando un marco normativo mejorado para la seguridad del suministro energético y el almacenamiento. De hecho, este pasado miércoles la Comisión propuso una normativa sobre el almacenamiento de energía para garantizar que la infraestructura de almacenamiento existente se llene hasta el 90% de su capacidad antes del 1 de noviembre de cada año, con disposiciones específicas de introducción progresiva para 2022. La Comisión Europea se coordinará con los Estados miembros y proporcionará transparencia con respecto a la capacidad de GNL disponible en las terminales de la UE.</w:t>
      </w:r>
    </w:p>
    <w:p w:rsidR="008C0415" w:rsidRDefault="008C0415" w:rsidP="008C0415">
      <w:pPr>
        <w:pStyle w:val="NormalWeb"/>
        <w:spacing w:after="0"/>
        <w:jc w:val="both"/>
        <w:textAlignment w:val="baseline"/>
      </w:pPr>
      <w:r>
        <w:t>Los Estados Unidos y la Comisión Europea se comprometerán con las principales partes interesadas, incluido el sector privado, para formular recomendaciones que reduzcan la demanda de gas mediante la aceleración del despliegue de renovables</w:t>
      </w:r>
      <w:r w:rsidR="006639D3">
        <w:t>…</w:t>
      </w:r>
    </w:p>
    <w:p w:rsidR="008C0415" w:rsidRPr="004634DF"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634DF">
        <w:rPr>
          <w:rFonts w:ascii="Times New Roman" w:hAnsi="Times New Roman" w:cs="Times New Roman"/>
          <w:sz w:val="24"/>
          <w:szCs w:val="24"/>
        </w:rPr>
        <w:t>¿</w:t>
      </w:r>
      <w:r w:rsidRPr="004634DF">
        <w:rPr>
          <w:rFonts w:ascii="Times New Roman" w:hAnsi="Times New Roman" w:cs="Times New Roman"/>
          <w:sz w:val="24"/>
          <w:szCs w:val="24"/>
          <w:u w:val="single"/>
        </w:rPr>
        <w:t>Adiós al carbón? La guerra trae de vuelta la adicción al combustible más sucio del planeta</w:t>
      </w:r>
      <w:r>
        <w:rPr>
          <w:rFonts w:ascii="Times New Roman" w:hAnsi="Times New Roman" w:cs="Times New Roman"/>
          <w:sz w:val="24"/>
          <w:szCs w:val="24"/>
        </w:rPr>
        <w:t xml:space="preserve"> (El Confidencial - </w:t>
      </w:r>
      <w:r w:rsidRPr="004634DF">
        <w:rPr>
          <w:rFonts w:ascii="Times New Roman" w:hAnsi="Times New Roman" w:cs="Times New Roman"/>
          <w:b/>
          <w:sz w:val="24"/>
          <w:szCs w:val="24"/>
        </w:rPr>
        <w:t>25/4/22</w:t>
      </w:r>
      <w:r>
        <w:rPr>
          <w:rFonts w:ascii="Times New Roman" w:hAnsi="Times New Roman" w:cs="Times New Roman"/>
          <w:sz w:val="24"/>
          <w:szCs w:val="24"/>
        </w:rPr>
        <w:t>)</w:t>
      </w:r>
    </w:p>
    <w:p w:rsidR="008C0415" w:rsidRPr="00882FAA" w:rsidRDefault="008C0415" w:rsidP="008C0415">
      <w:pPr>
        <w:spacing w:line="240" w:lineRule="auto"/>
        <w:jc w:val="both"/>
        <w:rPr>
          <w:rFonts w:ascii="Times New Roman" w:hAnsi="Times New Roman" w:cs="Times New Roman"/>
          <w:color w:val="FF0000"/>
          <w:sz w:val="24"/>
          <w:szCs w:val="24"/>
        </w:rPr>
      </w:pPr>
      <w:r w:rsidRPr="00882FAA">
        <w:rPr>
          <w:rFonts w:ascii="Times New Roman" w:hAnsi="Times New Roman" w:cs="Times New Roman"/>
          <w:color w:val="FF0000"/>
          <w:sz w:val="24"/>
          <w:szCs w:val="24"/>
        </w:rPr>
        <w:t>Cuando escaseó la energía producida por las renovables y subieron los precios del gas, los países europeos tuvieron que buscar alternativas más baratas (y contaminantes)</w:t>
      </w:r>
    </w:p>
    <w:p w:rsidR="008C0415" w:rsidRPr="00882FAA" w:rsidRDefault="008C0415" w:rsidP="008C0415">
      <w:pPr>
        <w:spacing w:line="240" w:lineRule="auto"/>
        <w:jc w:val="both"/>
        <w:rPr>
          <w:rFonts w:ascii="Times New Roman" w:hAnsi="Times New Roman" w:cs="Times New Roman"/>
          <w:color w:val="FF0000"/>
          <w:sz w:val="24"/>
          <w:szCs w:val="24"/>
          <w:u w:val="single"/>
        </w:rPr>
      </w:pPr>
      <w:r w:rsidRPr="00882FAA">
        <w:rPr>
          <w:rFonts w:ascii="Times New Roman" w:hAnsi="Times New Roman" w:cs="Times New Roman"/>
          <w:color w:val="FF0000"/>
          <w:sz w:val="24"/>
          <w:szCs w:val="24"/>
          <w:u w:val="single"/>
        </w:rPr>
        <w:t>La guerra en Ucrania está retrasando la transición verde. Con el alza de los precios energéticos, el uso de combustibles “sucios” como el carbón está repuntando más fuerte que nunca. En Estados Unidos se está quemando más que en la última década, en Italia o Alemania se están replanteando dar una segunda vida a las plantas alimentadas por este combustible, y en China están reabriendo minas y planeando la excavación de otras nuevas. Además, los datos muestran que la adicción al carbón ha vuelto.</w:t>
      </w:r>
    </w:p>
    <w:p w:rsidR="008C0415" w:rsidRPr="00882FAA" w:rsidRDefault="008C0415" w:rsidP="008C0415">
      <w:pPr>
        <w:spacing w:line="240" w:lineRule="auto"/>
        <w:jc w:val="both"/>
        <w:rPr>
          <w:rFonts w:ascii="Times New Roman" w:hAnsi="Times New Roman" w:cs="Times New Roman"/>
          <w:color w:val="FF0000"/>
          <w:sz w:val="24"/>
          <w:szCs w:val="24"/>
          <w:u w:val="single"/>
        </w:rPr>
      </w:pPr>
      <w:r w:rsidRPr="00882FAA">
        <w:rPr>
          <w:rFonts w:ascii="Times New Roman" w:hAnsi="Times New Roman" w:cs="Times New Roman"/>
          <w:color w:val="FF0000"/>
          <w:sz w:val="24"/>
          <w:szCs w:val="24"/>
          <w:u w:val="single"/>
        </w:rPr>
        <w:t>¿El resultado? Los precios están encaminándose hacia niveles récord y los productores energéticos están ya faltos de suministros, lo que añade más presiones a una inflación que se encuentra en máximos de hasta cuarenta años en países como Estados Unidos o España.</w:t>
      </w:r>
    </w:p>
    <w:p w:rsidR="008C0415" w:rsidRPr="004634DF" w:rsidRDefault="008C0415" w:rsidP="008C0415">
      <w:pPr>
        <w:spacing w:line="240" w:lineRule="auto"/>
        <w:jc w:val="both"/>
        <w:rPr>
          <w:rFonts w:ascii="Times New Roman" w:hAnsi="Times New Roman" w:cs="Times New Roman"/>
          <w:sz w:val="24"/>
          <w:szCs w:val="24"/>
        </w:rPr>
      </w:pPr>
      <w:r w:rsidRPr="004634DF">
        <w:rPr>
          <w:rFonts w:ascii="Times New Roman" w:hAnsi="Times New Roman" w:cs="Times New Roman"/>
          <w:sz w:val="24"/>
          <w:szCs w:val="24"/>
        </w:rPr>
        <w:t xml:space="preserve"> Desde el año pasado, la demanda ha continuado aumentando en un panorama de escasez de gas natural y de un mayor uso de la electricidad a medida que las restricciones derivadas de la pandemia fueron suavizándose o retirándose. Europa se había fijado algunos de los objetivos climáticos más ambiciosos hasta entonces, pero cuando escaseó la energía producida por las renovables debido a unas condiciones climáticas poco favorecedoras, y subieron los precios del gas, los países europeos tuvieron que buscar alternativas más baratas, como el carbón.</w:t>
      </w:r>
    </w:p>
    <w:p w:rsidR="00DB662E" w:rsidRDefault="008C0415" w:rsidP="008C0415">
      <w:pPr>
        <w:spacing w:line="240" w:lineRule="auto"/>
        <w:jc w:val="both"/>
        <w:rPr>
          <w:rFonts w:ascii="Times New Roman" w:hAnsi="Times New Roman" w:cs="Times New Roman"/>
          <w:sz w:val="24"/>
          <w:szCs w:val="24"/>
        </w:rPr>
      </w:pPr>
      <w:r w:rsidRPr="00882FAA">
        <w:rPr>
          <w:rFonts w:ascii="Times New Roman" w:hAnsi="Times New Roman" w:cs="Times New Roman"/>
          <w:b/>
          <w:color w:val="FF0000"/>
          <w:sz w:val="24"/>
          <w:szCs w:val="24"/>
          <w:u w:val="single"/>
        </w:rPr>
        <w:lastRenderedPageBreak/>
        <w:t>¿Moraleja? Cuando la seguridad energética en juego, la batalla contra el cambio climático queda relegada a un segundo plano. Según los datos de la Agencia Internacional de la Energía, las economías globales generaron más electricidad a partir del carbón que nunca. El aumento fue del 9% con respecto al año anterior, y para este 2022 se espera que alcance un nuevo récord de al menos 3.000 millones de toneladas más que en el escenario de cero emisiones contaminantes proyectado para 2050. Un nivel en el que la AIE estima que se mantendrán las emisiones hasta por lo menos 2024</w:t>
      </w:r>
      <w:r>
        <w:rPr>
          <w:rFonts w:ascii="Times New Roman" w:hAnsi="Times New Roman" w:cs="Times New Roman"/>
          <w:sz w:val="24"/>
          <w:szCs w:val="24"/>
        </w:rPr>
        <w:t xml:space="preserve">. </w:t>
      </w:r>
    </w:p>
    <w:p w:rsidR="008C0415"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El reto de “enviar el carbón a la historia”</w:t>
      </w:r>
      <w:r w:rsidRPr="004634DF">
        <w:rPr>
          <w:rFonts w:ascii="Times New Roman" w:hAnsi="Times New Roman" w:cs="Times New Roman"/>
          <w:sz w:val="24"/>
          <w:szCs w:val="24"/>
        </w:rPr>
        <w:t xml:space="preserve"> del que se hablaba en las negociaciones de Glasgow hace apenas unos meses ya no está tan cercano como parecía, y Europa se enfrentará a partir de agosto al cierre de las importaciones rusas de carbón tras del último paquete de sanciones de la UE al Kremlin. La situación llevará a los estados miembros a buscar los suministros en otros mercados, lo que podría derivar en mayores presiones inflacionarias, y en mayores dificultades para los mercados en desarrollo.</w:t>
      </w:r>
    </w:p>
    <w:p w:rsidR="008C0415" w:rsidRPr="009F75BB"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F75BB">
        <w:rPr>
          <w:rFonts w:ascii="Times New Roman" w:hAnsi="Times New Roman" w:cs="Times New Roman"/>
          <w:sz w:val="24"/>
          <w:szCs w:val="24"/>
          <w:u w:val="single"/>
        </w:rPr>
        <w:t>Así es el plan alemán para darse de baja del gas ruso y no pasar frío este invierno</w:t>
      </w:r>
      <w:r>
        <w:rPr>
          <w:rFonts w:ascii="Times New Roman" w:hAnsi="Times New Roman" w:cs="Times New Roman"/>
          <w:sz w:val="24"/>
          <w:szCs w:val="24"/>
        </w:rPr>
        <w:t xml:space="preserve"> (Cinco Días - </w:t>
      </w:r>
      <w:r w:rsidRPr="009F75BB">
        <w:rPr>
          <w:rFonts w:ascii="Times New Roman" w:hAnsi="Times New Roman" w:cs="Times New Roman"/>
          <w:b/>
          <w:sz w:val="24"/>
          <w:szCs w:val="24"/>
        </w:rPr>
        <w:t>5/5/22</w:t>
      </w:r>
      <w:r>
        <w:rPr>
          <w:rFonts w:ascii="Times New Roman" w:hAnsi="Times New Roman" w:cs="Times New Roman"/>
          <w:sz w:val="24"/>
          <w:szCs w:val="24"/>
        </w:rPr>
        <w:t>)</w:t>
      </w:r>
    </w:p>
    <w:p w:rsidR="008C0415" w:rsidRPr="004878E5" w:rsidRDefault="008C0415" w:rsidP="008C0415">
      <w:pPr>
        <w:spacing w:line="240" w:lineRule="auto"/>
        <w:jc w:val="both"/>
        <w:rPr>
          <w:rFonts w:ascii="Times New Roman" w:hAnsi="Times New Roman" w:cs="Times New Roman"/>
          <w:color w:val="FF0000"/>
          <w:sz w:val="24"/>
          <w:szCs w:val="24"/>
          <w:u w:val="single"/>
        </w:rPr>
      </w:pPr>
      <w:r w:rsidRPr="004878E5">
        <w:rPr>
          <w:rFonts w:ascii="Times New Roman" w:hAnsi="Times New Roman" w:cs="Times New Roman"/>
          <w:color w:val="FF0000"/>
          <w:sz w:val="24"/>
          <w:szCs w:val="24"/>
          <w:u w:val="single"/>
        </w:rPr>
        <w:t>Alemania ha empezado a tomar y materializar medidas para aumentar las importaciones de gas natural licuado (GNL) a medida que es más evidente que deberá renunciar al suministro ruso por gasoducto. La solución inmediata la ha encontrado alquilando cuatro unidades flotantes de almacenamiento y regasificación (FSRU) y eligiendo el puerto de Wilhelmshaven, en el Mar del Norte, como primer centro de manipulación del combustible que permitirá que los alemanes no pasen frío este invierno y su economí</w:t>
      </w:r>
      <w:r w:rsidR="00254497">
        <w:rPr>
          <w:rFonts w:ascii="Times New Roman" w:hAnsi="Times New Roman" w:cs="Times New Roman"/>
          <w:color w:val="FF0000"/>
          <w:sz w:val="24"/>
          <w:szCs w:val="24"/>
          <w:u w:val="single"/>
        </w:rPr>
        <w:t>a se vea lo menos afectada posib</w:t>
      </w:r>
      <w:r w:rsidRPr="004878E5">
        <w:rPr>
          <w:rFonts w:ascii="Times New Roman" w:hAnsi="Times New Roman" w:cs="Times New Roman"/>
          <w:color w:val="FF0000"/>
          <w:sz w:val="24"/>
          <w:szCs w:val="24"/>
          <w:u w:val="single"/>
        </w:rPr>
        <w:t>le.</w:t>
      </w:r>
    </w:p>
    <w:p w:rsidR="008C0415" w:rsidRPr="009F75BB" w:rsidRDefault="008C0415" w:rsidP="008C0415">
      <w:pPr>
        <w:spacing w:line="240" w:lineRule="auto"/>
        <w:jc w:val="both"/>
        <w:rPr>
          <w:rFonts w:ascii="Times New Roman" w:hAnsi="Times New Roman" w:cs="Times New Roman"/>
          <w:sz w:val="24"/>
          <w:szCs w:val="24"/>
        </w:rPr>
      </w:pPr>
      <w:r w:rsidRPr="009F75BB">
        <w:rPr>
          <w:rFonts w:ascii="Times New Roman" w:hAnsi="Times New Roman" w:cs="Times New Roman"/>
          <w:sz w:val="24"/>
          <w:szCs w:val="24"/>
        </w:rPr>
        <w:t xml:space="preserve">La demanda de FSRUs ha aumentado considerablemente a medida que los gobiernos de toda Europa se esfuerzan por encontrar formas rápidas de conseguir más gas. Son una parte clave </w:t>
      </w:r>
      <w:r>
        <w:rPr>
          <w:rFonts w:ascii="Times New Roman" w:hAnsi="Times New Roman" w:cs="Times New Roman"/>
          <w:sz w:val="24"/>
          <w:szCs w:val="24"/>
        </w:rPr>
        <w:t>de la estrategia de Alemania con</w:t>
      </w:r>
      <w:r w:rsidRPr="009F75BB">
        <w:rPr>
          <w:rFonts w:ascii="Times New Roman" w:hAnsi="Times New Roman" w:cs="Times New Roman"/>
          <w:sz w:val="24"/>
          <w:szCs w:val="24"/>
        </w:rPr>
        <w:t xml:space="preserve"> paso intermedio a la construcción de más</w:t>
      </w:r>
      <w:r>
        <w:rPr>
          <w:rFonts w:ascii="Times New Roman" w:hAnsi="Times New Roman" w:cs="Times New Roman"/>
          <w:sz w:val="24"/>
          <w:szCs w:val="24"/>
        </w:rPr>
        <w:t xml:space="preserve"> terminales permanentes de GNL.</w:t>
      </w:r>
    </w:p>
    <w:p w:rsidR="008C0415" w:rsidRPr="009F75BB" w:rsidRDefault="008C0415" w:rsidP="008C0415">
      <w:pPr>
        <w:spacing w:line="240" w:lineRule="auto"/>
        <w:jc w:val="both"/>
        <w:rPr>
          <w:rFonts w:ascii="Times New Roman" w:hAnsi="Times New Roman" w:cs="Times New Roman"/>
          <w:sz w:val="24"/>
          <w:szCs w:val="24"/>
        </w:rPr>
      </w:pPr>
      <w:r w:rsidRPr="009F75BB">
        <w:rPr>
          <w:rFonts w:ascii="Times New Roman" w:hAnsi="Times New Roman" w:cs="Times New Roman"/>
          <w:sz w:val="24"/>
          <w:szCs w:val="24"/>
        </w:rPr>
        <w:t xml:space="preserve">La mayor economía de Europa depende actualmente del gas ruso canalizado por casi un tercio de su suministro, importaciones que ascendieron a 142.000 millones de metros cúbicos (bcm) en 2021. Berlín ha dicho que podría tardar hasta el verano 2024 para </w:t>
      </w:r>
      <w:r>
        <w:rPr>
          <w:rFonts w:ascii="Times New Roman" w:hAnsi="Times New Roman" w:cs="Times New Roman"/>
          <w:sz w:val="24"/>
          <w:szCs w:val="24"/>
        </w:rPr>
        <w:t>dejar de depender del gas ruso.</w:t>
      </w:r>
    </w:p>
    <w:p w:rsidR="008C0415" w:rsidRPr="009F75BB" w:rsidRDefault="008C0415" w:rsidP="008C0415">
      <w:pPr>
        <w:spacing w:line="240" w:lineRule="auto"/>
        <w:jc w:val="both"/>
        <w:rPr>
          <w:rFonts w:ascii="Times New Roman" w:hAnsi="Times New Roman" w:cs="Times New Roman"/>
          <w:sz w:val="24"/>
          <w:szCs w:val="24"/>
        </w:rPr>
      </w:pPr>
      <w:r w:rsidRPr="009F75BB">
        <w:rPr>
          <w:rFonts w:ascii="Times New Roman" w:hAnsi="Times New Roman" w:cs="Times New Roman"/>
          <w:sz w:val="24"/>
          <w:szCs w:val="24"/>
        </w:rPr>
        <w:t>Alemania se comprometió hoy a fletar dos FSRU a través de la empresa Uniper y a dos acuerdos de 10 años con el operador de buques noruego Hoegh, que se completarán en septiembre u octubre, y que serán operados por RWE. Será el puerto de aguas profundas de Wilhelmshaven el primero en recibir g</w:t>
      </w:r>
      <w:r w:rsidR="00254497">
        <w:rPr>
          <w:rFonts w:ascii="Times New Roman" w:hAnsi="Times New Roman" w:cs="Times New Roman"/>
          <w:sz w:val="24"/>
          <w:szCs w:val="24"/>
        </w:rPr>
        <w:t>a</w:t>
      </w:r>
      <w:r w:rsidRPr="009F75BB">
        <w:rPr>
          <w:rFonts w:ascii="Times New Roman" w:hAnsi="Times New Roman" w:cs="Times New Roman"/>
          <w:sz w:val="24"/>
          <w:szCs w:val="24"/>
        </w:rPr>
        <w:t>spor vía marítima en el invierno de 2022/23, al que seguirá en breve el puerto de Bruns</w:t>
      </w:r>
      <w:r>
        <w:rPr>
          <w:rFonts w:ascii="Times New Roman" w:hAnsi="Times New Roman" w:cs="Times New Roman"/>
          <w:sz w:val="24"/>
          <w:szCs w:val="24"/>
        </w:rPr>
        <w:t>buettel, en Schleswig-Holstein.</w:t>
      </w:r>
    </w:p>
    <w:p w:rsidR="008C0415" w:rsidRPr="009F75BB" w:rsidRDefault="008C0415" w:rsidP="008C0415">
      <w:pPr>
        <w:spacing w:line="240" w:lineRule="auto"/>
        <w:jc w:val="both"/>
        <w:rPr>
          <w:rFonts w:ascii="Times New Roman" w:hAnsi="Times New Roman" w:cs="Times New Roman"/>
          <w:sz w:val="24"/>
          <w:szCs w:val="24"/>
        </w:rPr>
      </w:pPr>
      <w:r w:rsidRPr="009F75BB">
        <w:rPr>
          <w:rFonts w:ascii="Times New Roman" w:hAnsi="Times New Roman" w:cs="Times New Roman"/>
          <w:sz w:val="24"/>
          <w:szCs w:val="24"/>
        </w:rPr>
        <w:t>El Ministerio de Economía dijo el pasado fin de semana que quería cuatro FSRU para acelerar la diversificación energética del país tr</w:t>
      </w:r>
      <w:r>
        <w:rPr>
          <w:rFonts w:ascii="Times New Roman" w:hAnsi="Times New Roman" w:cs="Times New Roman"/>
          <w:sz w:val="24"/>
          <w:szCs w:val="24"/>
        </w:rPr>
        <w:t>as la invasión rusa de Ucrania.</w:t>
      </w:r>
    </w:p>
    <w:p w:rsidR="008C0415" w:rsidRPr="004878E5" w:rsidRDefault="008C0415" w:rsidP="008C0415">
      <w:pPr>
        <w:spacing w:line="240" w:lineRule="auto"/>
        <w:jc w:val="both"/>
        <w:rPr>
          <w:rFonts w:ascii="Times New Roman" w:hAnsi="Times New Roman" w:cs="Times New Roman"/>
          <w:sz w:val="24"/>
          <w:szCs w:val="24"/>
          <w:u w:val="single"/>
        </w:rPr>
      </w:pPr>
      <w:r w:rsidRPr="004878E5">
        <w:rPr>
          <w:rFonts w:ascii="Times New Roman" w:hAnsi="Times New Roman" w:cs="Times New Roman"/>
          <w:sz w:val="24"/>
          <w:szCs w:val="24"/>
          <w:u w:val="single"/>
        </w:rPr>
        <w:t>El ministro de Economía, Robert Habeck, dijo a los periodistas en Wilhelmshaven que las terminales formaban parte del plan “para independizarse del chantaje de Rusia. Un día como hoy me hace confiar en que puede funcionar”, dijo.</w:t>
      </w:r>
    </w:p>
    <w:p w:rsidR="008C0415" w:rsidRPr="004878E5" w:rsidRDefault="008C0415" w:rsidP="008C0415">
      <w:pPr>
        <w:spacing w:line="240" w:lineRule="auto"/>
        <w:jc w:val="both"/>
        <w:rPr>
          <w:rFonts w:ascii="Times New Roman" w:hAnsi="Times New Roman" w:cs="Times New Roman"/>
          <w:sz w:val="24"/>
          <w:szCs w:val="24"/>
          <w:u w:val="single"/>
        </w:rPr>
      </w:pPr>
      <w:r w:rsidRPr="004878E5">
        <w:rPr>
          <w:rFonts w:ascii="Times New Roman" w:hAnsi="Times New Roman" w:cs="Times New Roman"/>
          <w:sz w:val="24"/>
          <w:szCs w:val="24"/>
          <w:u w:val="single"/>
        </w:rPr>
        <w:t xml:space="preserve">El gobierno ha destinado 2.940 millones de euros a las FSRUs y planea aprobar en breve la legislación para dar permisos a la infraestructuras. “Creo que la fecha de finales de 2022, principios de 2023, es técnicamente realista para la puesta en marcha del punto de desembarco de GNL”, dijo Hanns Koenig, analista de Aurora Energy Research. “Pero hay </w:t>
      </w:r>
      <w:r w:rsidRPr="004878E5">
        <w:rPr>
          <w:rFonts w:ascii="Times New Roman" w:hAnsi="Times New Roman" w:cs="Times New Roman"/>
          <w:sz w:val="24"/>
          <w:szCs w:val="24"/>
          <w:u w:val="single"/>
        </w:rPr>
        <w:lastRenderedPageBreak/>
        <w:t>que conseguir el gas”. Habeck ha visitado recientemente países productores de gas como Noruegay Qatar, en busca de alternativas a Rusia.</w:t>
      </w:r>
    </w:p>
    <w:p w:rsidR="008C0415" w:rsidRPr="009F75BB" w:rsidRDefault="008C0415" w:rsidP="008C0415">
      <w:pPr>
        <w:spacing w:line="240" w:lineRule="auto"/>
        <w:jc w:val="both"/>
        <w:rPr>
          <w:rFonts w:ascii="Times New Roman" w:hAnsi="Times New Roman" w:cs="Times New Roman"/>
          <w:sz w:val="24"/>
          <w:szCs w:val="24"/>
        </w:rPr>
      </w:pPr>
      <w:r w:rsidRPr="009F75BB">
        <w:rPr>
          <w:rFonts w:ascii="Times New Roman" w:hAnsi="Times New Roman" w:cs="Times New Roman"/>
          <w:sz w:val="24"/>
          <w:szCs w:val="24"/>
        </w:rPr>
        <w:t>El primero de los FSRU alemanes se anclará en Wilhelmshaven, con una capacidad de 7.500 millones de metros cúbicos al año, equivalente al 8,5% de la demanda total de gas de Alemania. Los otros tres tendrán una capacidad mínima de 5.000 millo</w:t>
      </w:r>
      <w:r>
        <w:rPr>
          <w:rFonts w:ascii="Times New Roman" w:hAnsi="Times New Roman" w:cs="Times New Roman"/>
          <w:sz w:val="24"/>
          <w:szCs w:val="24"/>
        </w:rPr>
        <w:t>nes de metros cúbicos cada uno.</w:t>
      </w:r>
    </w:p>
    <w:p w:rsidR="008C0415" w:rsidRDefault="008C0415" w:rsidP="008C0415">
      <w:pPr>
        <w:spacing w:line="240" w:lineRule="auto"/>
        <w:jc w:val="both"/>
        <w:rPr>
          <w:rFonts w:ascii="Times New Roman" w:hAnsi="Times New Roman" w:cs="Times New Roman"/>
          <w:sz w:val="24"/>
          <w:szCs w:val="24"/>
        </w:rPr>
      </w:pPr>
      <w:r w:rsidRPr="009F75BB">
        <w:rPr>
          <w:rFonts w:ascii="Times New Roman" w:hAnsi="Times New Roman" w:cs="Times New Roman"/>
          <w:sz w:val="24"/>
          <w:szCs w:val="24"/>
        </w:rPr>
        <w:t>El gas que llegue a Wilhelmshaven se introducirá en la red de gasoductos de Alemania a través de los enlaces que proporcionará Niedersachsen Ports GmbH &amp; Co. KG (NPorts) y en estrecha colaboración con Uniper, que invierte 65 millones de euros (68,82 millones de dólares) en el proyecto.</w:t>
      </w:r>
    </w:p>
    <w:p w:rsidR="008C0415" w:rsidRPr="00F01525"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01525">
        <w:rPr>
          <w:rFonts w:ascii="Times New Roman" w:hAnsi="Times New Roman" w:cs="Times New Roman"/>
          <w:sz w:val="24"/>
          <w:szCs w:val="24"/>
          <w:u w:val="single"/>
        </w:rPr>
        <w:t>La UE lanza un macroplan de 300.000 millones para acabar con la dependencia energética rusa</w:t>
      </w:r>
      <w:r>
        <w:rPr>
          <w:rFonts w:ascii="Times New Roman" w:hAnsi="Times New Roman" w:cs="Times New Roman"/>
          <w:sz w:val="24"/>
          <w:szCs w:val="24"/>
        </w:rPr>
        <w:t xml:space="preserve"> (Cinco Días - </w:t>
      </w:r>
      <w:r w:rsidRPr="00F01525">
        <w:rPr>
          <w:rFonts w:ascii="Times New Roman" w:hAnsi="Times New Roman" w:cs="Times New Roman"/>
          <w:b/>
          <w:sz w:val="24"/>
          <w:szCs w:val="24"/>
        </w:rPr>
        <w:t>18/5/22</w:t>
      </w:r>
      <w:r>
        <w:rPr>
          <w:rFonts w:ascii="Times New Roman" w:hAnsi="Times New Roman" w:cs="Times New Roman"/>
          <w:sz w:val="24"/>
          <w:szCs w:val="24"/>
        </w:rPr>
        <w:t>)</w:t>
      </w:r>
    </w:p>
    <w:p w:rsidR="008C0415" w:rsidRPr="005E0519" w:rsidRDefault="008C0415" w:rsidP="008C0415">
      <w:pPr>
        <w:spacing w:line="240" w:lineRule="auto"/>
        <w:jc w:val="both"/>
        <w:rPr>
          <w:rFonts w:ascii="Times New Roman" w:hAnsi="Times New Roman" w:cs="Times New Roman"/>
          <w:color w:val="FF0000"/>
          <w:sz w:val="24"/>
          <w:szCs w:val="24"/>
          <w:u w:val="single"/>
        </w:rPr>
      </w:pPr>
      <w:r w:rsidRPr="005E0519">
        <w:rPr>
          <w:rFonts w:ascii="Times New Roman" w:hAnsi="Times New Roman" w:cs="Times New Roman"/>
          <w:color w:val="FF0000"/>
          <w:sz w:val="24"/>
          <w:szCs w:val="24"/>
          <w:u w:val="single"/>
        </w:rPr>
        <w:t>La Unión Europea tiene la intención de movilizar hasta 300.000 millones de euros de inversiones para 2030 para poner fin a su dependencia del petróleo y el gas rusos, según ha afirmado este miércoles la presidenta de la Comisión Europea, Ursula von der Leyen. En concreto, ha detallado en rueda de prensa que del presupuesto total, 75.000 millones de euros serán en forma de subvenciones y 225.000 a través de préstamos.</w:t>
      </w:r>
    </w:p>
    <w:p w:rsidR="008C0415" w:rsidRPr="005E0519" w:rsidRDefault="008C0415" w:rsidP="008C0415">
      <w:pPr>
        <w:spacing w:line="240" w:lineRule="auto"/>
        <w:jc w:val="both"/>
        <w:rPr>
          <w:rFonts w:ascii="Times New Roman" w:hAnsi="Times New Roman" w:cs="Times New Roman"/>
          <w:sz w:val="24"/>
          <w:szCs w:val="24"/>
          <w:u w:val="single"/>
        </w:rPr>
      </w:pPr>
      <w:r w:rsidRPr="005E0519">
        <w:rPr>
          <w:rFonts w:ascii="Times New Roman" w:hAnsi="Times New Roman" w:cs="Times New Roman"/>
          <w:sz w:val="24"/>
          <w:szCs w:val="24"/>
          <w:u w:val="single"/>
        </w:rPr>
        <w:t>En este contexto, Von der Leyen ha presentado este miércoles el plan REPower EU, para cuya ejecución Europa necesitará 210.000 millones de euros de inversión adicionales hasta 2027 de cara a aumentar la participación de renovables, diversificar el suministro energético de los proveedores a corto plazo y promover la eficiencia energética.</w:t>
      </w:r>
    </w:p>
    <w:p w:rsidR="008C0415" w:rsidRPr="00F01525"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01525">
        <w:rPr>
          <w:rFonts w:ascii="Times New Roman" w:hAnsi="Times New Roman" w:cs="Times New Roman"/>
          <w:sz w:val="24"/>
          <w:szCs w:val="24"/>
        </w:rPr>
        <w:t>RePowerEU, así se ha denominado el plan; nos ayudará a ahorrar más energía para acelerar la eliminación gradual de los combustibles fósiles y, lo que es más importante, impulsar las inversiones a una nueva esca</w:t>
      </w:r>
      <w:r>
        <w:rPr>
          <w:rFonts w:ascii="Times New Roman" w:hAnsi="Times New Roman" w:cs="Times New Roman"/>
          <w:sz w:val="24"/>
          <w:szCs w:val="24"/>
        </w:rPr>
        <w:t>la”, ha señalado la presidenta.</w:t>
      </w:r>
    </w:p>
    <w:p w:rsidR="008C0415" w:rsidRPr="005E0519" w:rsidRDefault="008C0415" w:rsidP="008C0415">
      <w:pPr>
        <w:spacing w:line="240" w:lineRule="auto"/>
        <w:jc w:val="both"/>
        <w:rPr>
          <w:rFonts w:ascii="Times New Roman" w:hAnsi="Times New Roman" w:cs="Times New Roman"/>
          <w:sz w:val="24"/>
          <w:szCs w:val="24"/>
          <w:u w:val="single"/>
        </w:rPr>
      </w:pPr>
      <w:r w:rsidRPr="005E0519">
        <w:rPr>
          <w:rFonts w:ascii="Times New Roman" w:hAnsi="Times New Roman" w:cs="Times New Roman"/>
          <w:sz w:val="24"/>
          <w:szCs w:val="24"/>
          <w:u w:val="single"/>
        </w:rPr>
        <w:t>Las inversiones incluirán 10.000 millones de euros para infraestructuras gasísticas, 2.000 millones de euros para petróleo y, el resto, para energía limpia. Así lo ha explicado Von der Leyen, quien ha agregado que Bruselas también proponía objetivos más altos legalmente vinculantes de la UE para energía renovable y ahorro de energía para 2030.</w:t>
      </w:r>
    </w:p>
    <w:p w:rsidR="008C0415" w:rsidRPr="005E0519" w:rsidRDefault="008C0415" w:rsidP="008C0415">
      <w:pPr>
        <w:spacing w:line="240" w:lineRule="auto"/>
        <w:jc w:val="both"/>
        <w:rPr>
          <w:rFonts w:ascii="Times New Roman" w:hAnsi="Times New Roman" w:cs="Times New Roman"/>
          <w:color w:val="FF0000"/>
          <w:sz w:val="24"/>
          <w:szCs w:val="24"/>
          <w:u w:val="single"/>
        </w:rPr>
      </w:pPr>
      <w:r w:rsidRPr="005E0519">
        <w:rPr>
          <w:rFonts w:ascii="Times New Roman" w:hAnsi="Times New Roman" w:cs="Times New Roman"/>
          <w:color w:val="FF0000"/>
          <w:sz w:val="24"/>
          <w:szCs w:val="24"/>
          <w:u w:val="single"/>
        </w:rPr>
        <w:t>El plan contiene una propuesta para aumentar la participación de las centrales de carbón y las nucleares en el mix energético. “Estamos llevando nuestra ambición a otro nivel para asegurarnos de que nos independicemos de los combustibles fósiles rusos lo antes posible”, ha afirmado la presidenta de Ejecutivo comunitario durante la presentación detallada del plan europeo.</w:t>
      </w:r>
    </w:p>
    <w:p w:rsidR="008C0415" w:rsidRPr="005E0519" w:rsidRDefault="008C0415" w:rsidP="008C0415">
      <w:pPr>
        <w:spacing w:line="240" w:lineRule="auto"/>
        <w:jc w:val="both"/>
        <w:rPr>
          <w:rFonts w:ascii="Times New Roman" w:hAnsi="Times New Roman" w:cs="Times New Roman"/>
          <w:color w:val="FF0000"/>
          <w:sz w:val="24"/>
          <w:szCs w:val="24"/>
          <w:u w:val="single"/>
        </w:rPr>
      </w:pPr>
      <w:r w:rsidRPr="005E0519">
        <w:rPr>
          <w:rFonts w:ascii="Times New Roman" w:hAnsi="Times New Roman" w:cs="Times New Roman"/>
          <w:color w:val="FF0000"/>
          <w:sz w:val="24"/>
          <w:szCs w:val="24"/>
          <w:u w:val="single"/>
        </w:rPr>
        <w:t>Así el plan busca reducir la participación de las centrales de ciclo combinado de gas en el mix energético sustituyéndolo por energía producida a partir de carbón, que aumentaría su participación a 100 teravatios por hora (tWh), un 5% más que en la actualidad; y por energía nuclear, hasta 44 tWh.</w:t>
      </w:r>
    </w:p>
    <w:p w:rsidR="008C0415" w:rsidRPr="005E0519" w:rsidRDefault="008C0415" w:rsidP="008C0415">
      <w:pPr>
        <w:spacing w:line="240" w:lineRule="auto"/>
        <w:jc w:val="both"/>
        <w:rPr>
          <w:rFonts w:ascii="Times New Roman" w:hAnsi="Times New Roman" w:cs="Times New Roman"/>
          <w:color w:val="FF0000"/>
          <w:sz w:val="24"/>
          <w:szCs w:val="24"/>
          <w:u w:val="single"/>
        </w:rPr>
      </w:pPr>
      <w:r w:rsidRPr="005E0519">
        <w:rPr>
          <w:rFonts w:ascii="Times New Roman" w:hAnsi="Times New Roman" w:cs="Times New Roman"/>
          <w:color w:val="FF0000"/>
          <w:sz w:val="24"/>
          <w:szCs w:val="24"/>
          <w:u w:val="single"/>
        </w:rPr>
        <w:t>Se trataría, según han explicado fuentes comunitarias, de una medida de carácter temporal que no se prevé que se extienda en el tiempo más allá de 15 años, aunque se desvía de la línea marcada previamente para reducir la participación de las centrales de carbón del mix energético para alcanzar el objetivo de que la UE sea central en carbono en 2050.</w:t>
      </w:r>
    </w:p>
    <w:p w:rsidR="008C0415" w:rsidRPr="005E0519" w:rsidRDefault="008C0415" w:rsidP="008C0415">
      <w:pPr>
        <w:spacing w:line="240" w:lineRule="auto"/>
        <w:jc w:val="both"/>
        <w:rPr>
          <w:rFonts w:ascii="Times New Roman" w:hAnsi="Times New Roman" w:cs="Times New Roman"/>
          <w:color w:val="FF0000"/>
          <w:sz w:val="24"/>
          <w:szCs w:val="24"/>
          <w:u w:val="single"/>
        </w:rPr>
      </w:pPr>
      <w:r w:rsidRPr="005E0519">
        <w:rPr>
          <w:rFonts w:ascii="Times New Roman" w:hAnsi="Times New Roman" w:cs="Times New Roman"/>
          <w:color w:val="FF0000"/>
          <w:sz w:val="24"/>
          <w:szCs w:val="24"/>
          <w:u w:val="single"/>
        </w:rPr>
        <w:lastRenderedPageBreak/>
        <w:t>El plan presentado por el Ejecutivo comunitario propone aumentar la contribución de las energías renovables en el mix energético, de tal manera que plantea aumentar su participación del 40% marcado actualmente para 2030 al 45%, lo que se traduce en 1.236 GW de energías limpias para 2030 frente a los 1.067 planteados inicialmente en el paquete Fit for 55.</w:t>
      </w:r>
    </w:p>
    <w:p w:rsidR="008C0415" w:rsidRPr="005E0519" w:rsidRDefault="008C0415" w:rsidP="008C0415">
      <w:pPr>
        <w:spacing w:line="240" w:lineRule="auto"/>
        <w:jc w:val="both"/>
        <w:rPr>
          <w:rFonts w:ascii="Times New Roman" w:hAnsi="Times New Roman" w:cs="Times New Roman"/>
          <w:color w:val="FF0000"/>
          <w:sz w:val="24"/>
          <w:szCs w:val="24"/>
          <w:u w:val="single"/>
        </w:rPr>
      </w:pPr>
      <w:r w:rsidRPr="005E0519">
        <w:rPr>
          <w:rFonts w:ascii="Times New Roman" w:hAnsi="Times New Roman" w:cs="Times New Roman"/>
          <w:color w:val="FF0000"/>
          <w:sz w:val="24"/>
          <w:szCs w:val="24"/>
          <w:u w:val="single"/>
        </w:rPr>
        <w:t>A largo plazo, el Ejecutivo comunitario pretende que la energía solar y la eólica produzcan el 66% de la electricidad del sistema en 2050, lo que supone duplicar la tasa desde el 33% actual. En este marco, el objetivo es que la eólica represente el 31% de la capacidad de producción de energía de la UE y el grueso, el 35%, provenga de energía solar</w:t>
      </w:r>
      <w:r w:rsidR="00DB662E">
        <w:rPr>
          <w:rFonts w:ascii="Times New Roman" w:hAnsi="Times New Roman" w:cs="Times New Roman"/>
          <w:color w:val="FF0000"/>
          <w:sz w:val="24"/>
          <w:szCs w:val="24"/>
          <w:u w:val="single"/>
        </w:rPr>
        <w:t>…</w:t>
      </w:r>
    </w:p>
    <w:p w:rsidR="008C0415" w:rsidRPr="00F01525"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01525">
        <w:rPr>
          <w:rFonts w:ascii="Times New Roman" w:hAnsi="Times New Roman" w:cs="Times New Roman"/>
          <w:sz w:val="24"/>
          <w:szCs w:val="24"/>
          <w:u w:val="single"/>
        </w:rPr>
        <w:t>Europa se abre al control de precios ante un posible corte total del suministro de gas ruso</w:t>
      </w:r>
      <w:r>
        <w:rPr>
          <w:rFonts w:ascii="Times New Roman" w:hAnsi="Times New Roman" w:cs="Times New Roman"/>
          <w:sz w:val="24"/>
          <w:szCs w:val="24"/>
        </w:rPr>
        <w:t xml:space="preserve"> (Cinco Días - </w:t>
      </w:r>
      <w:r w:rsidRPr="00F01525">
        <w:rPr>
          <w:rFonts w:ascii="Times New Roman" w:hAnsi="Times New Roman" w:cs="Times New Roman"/>
          <w:b/>
          <w:sz w:val="24"/>
          <w:szCs w:val="24"/>
        </w:rPr>
        <w:t>18/5/22</w:t>
      </w:r>
      <w:r>
        <w:rPr>
          <w:rFonts w:ascii="Times New Roman" w:hAnsi="Times New Roman" w:cs="Times New Roman"/>
          <w:sz w:val="24"/>
          <w:szCs w:val="24"/>
        </w:rPr>
        <w:t>)</w:t>
      </w:r>
    </w:p>
    <w:p w:rsidR="008C0415" w:rsidRPr="005E0519" w:rsidRDefault="008C0415" w:rsidP="008C0415">
      <w:pPr>
        <w:spacing w:line="240" w:lineRule="auto"/>
        <w:jc w:val="both"/>
        <w:rPr>
          <w:rFonts w:ascii="Times New Roman" w:hAnsi="Times New Roman" w:cs="Times New Roman"/>
          <w:color w:val="FF0000"/>
          <w:sz w:val="24"/>
          <w:szCs w:val="24"/>
          <w:u w:val="single"/>
        </w:rPr>
      </w:pPr>
      <w:r w:rsidRPr="005E0519">
        <w:rPr>
          <w:rFonts w:ascii="Times New Roman" w:hAnsi="Times New Roman" w:cs="Times New Roman"/>
          <w:color w:val="FF0000"/>
          <w:sz w:val="24"/>
          <w:szCs w:val="24"/>
          <w:u w:val="single"/>
        </w:rPr>
        <w:t>La Comisión Europea reveló este miércoles una serie de medidas adicionales “a corto plazo” para abordar los altos precios de la energía y blindarse ante la posibilidad de una interrupción total del suministro de gas de Rusia. Así lo expresó el ejecutivo comunitario en una conferencia, tras anunciar su plan para transitar hacia un sistema energético libre de la influencia del Kremlin, conocido como RePowerEU. Bruselas ha presentado a los socios posibles respuestas ante el desabastecimiento y la subsiguiente subida de los precios, en el contexto de la imposición rusa de un sistema de pago en rublos y los recientes cortes de gas a Polonia y Bulgaria. Entre las medidas contempladas se encuentran el posible control de precios a nivel regional y un plan coordinado de reducción de la demanda energética.</w:t>
      </w:r>
    </w:p>
    <w:p w:rsidR="008C0415" w:rsidRPr="00F01525" w:rsidRDefault="008C0415" w:rsidP="008C0415">
      <w:pPr>
        <w:spacing w:line="240" w:lineRule="auto"/>
        <w:jc w:val="both"/>
        <w:rPr>
          <w:rFonts w:ascii="Times New Roman" w:hAnsi="Times New Roman" w:cs="Times New Roman"/>
          <w:sz w:val="24"/>
          <w:szCs w:val="24"/>
        </w:rPr>
      </w:pPr>
      <w:r w:rsidRPr="00F01525">
        <w:rPr>
          <w:rFonts w:ascii="Times New Roman" w:hAnsi="Times New Roman" w:cs="Times New Roman"/>
          <w:sz w:val="24"/>
          <w:szCs w:val="24"/>
        </w:rPr>
        <w:t>La comisaria europea de Energía, Kadri Simson, ha sentenciado: “Mientras Rusia prosigue su guerra injustificada en Ucrania, también debemos planificar las interrupciones del suministro de gas y su impacto con medidas de solidaridad y posibles intervenciones de precios. Paralelamente, estamos avanzando en el trabajo para mejorar el mercado eléctrico para proteger mejor a los consumidores, reducir la volatilidad y continuar apoyando la transición verde”. Simson también ha asegurado que se facilitarán y acelerarán los trámites y procesos para implem</w:t>
      </w:r>
      <w:r>
        <w:rPr>
          <w:rFonts w:ascii="Times New Roman" w:hAnsi="Times New Roman" w:cs="Times New Roman"/>
          <w:sz w:val="24"/>
          <w:szCs w:val="24"/>
        </w:rPr>
        <w:t>entar fuentes de energía verde.</w:t>
      </w:r>
    </w:p>
    <w:p w:rsidR="008C0415" w:rsidRPr="00F01525" w:rsidRDefault="008C0415" w:rsidP="008C0415">
      <w:pPr>
        <w:spacing w:line="240" w:lineRule="auto"/>
        <w:jc w:val="both"/>
        <w:rPr>
          <w:rFonts w:ascii="Times New Roman" w:hAnsi="Times New Roman" w:cs="Times New Roman"/>
          <w:sz w:val="24"/>
          <w:szCs w:val="24"/>
        </w:rPr>
      </w:pPr>
      <w:r w:rsidRPr="00F01525">
        <w:rPr>
          <w:rFonts w:ascii="Times New Roman" w:hAnsi="Times New Roman" w:cs="Times New Roman"/>
          <w:sz w:val="24"/>
          <w:szCs w:val="24"/>
        </w:rPr>
        <w:t>En cuanto al mercado del gas, la Comisión Europea brinda la posibilidad a los estados miembros de ampliar temporalmente las medidas que afectan a los precios al consumidor, así como las medi</w:t>
      </w:r>
      <w:r>
        <w:rPr>
          <w:rFonts w:ascii="Times New Roman" w:hAnsi="Times New Roman" w:cs="Times New Roman"/>
          <w:sz w:val="24"/>
          <w:szCs w:val="24"/>
        </w:rPr>
        <w:t>das de liquidez para apoyar el “</w:t>
      </w:r>
      <w:r w:rsidRPr="00F01525">
        <w:rPr>
          <w:rFonts w:ascii="Times New Roman" w:hAnsi="Times New Roman" w:cs="Times New Roman"/>
          <w:sz w:val="24"/>
          <w:szCs w:val="24"/>
        </w:rPr>
        <w:t>funcionamiento eficaz de lo</w:t>
      </w:r>
      <w:r>
        <w:rPr>
          <w:rFonts w:ascii="Times New Roman" w:hAnsi="Times New Roman" w:cs="Times New Roman"/>
          <w:sz w:val="24"/>
          <w:szCs w:val="24"/>
        </w:rPr>
        <w:t>s mercados de productos básicos”</w:t>
      </w:r>
      <w:r w:rsidRPr="00F01525">
        <w:rPr>
          <w:rFonts w:ascii="Times New Roman" w:hAnsi="Times New Roman" w:cs="Times New Roman"/>
          <w:sz w:val="24"/>
          <w:szCs w:val="24"/>
        </w:rPr>
        <w:t>. Asimismo, Bruselas quiere impulsar el uso de la Plataforma de Energía de la UE, para equilibrar la demanda de gas y así garantizar precios competitivos a través de compras conjuntas voluntarias y reducir la dependencia de Rusia. Nigeria, Senegal, Angola, Australia, Egipto e Israel son algunos de los posibles nuevos aliados que Bru</w:t>
      </w:r>
      <w:r>
        <w:rPr>
          <w:rFonts w:ascii="Times New Roman" w:hAnsi="Times New Roman" w:cs="Times New Roman"/>
          <w:sz w:val="24"/>
          <w:szCs w:val="24"/>
        </w:rPr>
        <w:t>selas propone como proveedores.</w:t>
      </w:r>
    </w:p>
    <w:p w:rsidR="008C0415" w:rsidRPr="005E0519" w:rsidRDefault="008C0415" w:rsidP="008C0415">
      <w:pPr>
        <w:spacing w:line="240" w:lineRule="auto"/>
        <w:jc w:val="both"/>
        <w:rPr>
          <w:rFonts w:ascii="Times New Roman" w:hAnsi="Times New Roman" w:cs="Times New Roman"/>
          <w:color w:val="FF0000"/>
          <w:sz w:val="24"/>
          <w:szCs w:val="24"/>
          <w:u w:val="single"/>
        </w:rPr>
      </w:pPr>
      <w:r w:rsidRPr="005E0519">
        <w:rPr>
          <w:rFonts w:ascii="Times New Roman" w:hAnsi="Times New Roman" w:cs="Times New Roman"/>
          <w:color w:val="FF0000"/>
          <w:sz w:val="24"/>
          <w:szCs w:val="24"/>
          <w:u w:val="single"/>
        </w:rPr>
        <w:t>En el caso de una interrupción total o a gran escala de las entregas de gas ruso, lo que crearía una tensión significativa en el suministro, la Comisión propone el “racionamiento transfronterizo” y la “reducción de la demanda”. Bruselas también prevé “un precio administrativo de la UE” para el gas durante el período de emergencia declarada de la UE: “Una posibilidad en caso de una interrupción total sería limitar la formación de precios durante este escenario de interrupción, limitando el precio en las bolsas de gas europeas durante la duración de la emergencia”, asegura el ejecutivo comunitario en un documento al que ha tenido acceso CincoDías.</w:t>
      </w:r>
    </w:p>
    <w:p w:rsidR="008C0415" w:rsidRPr="00F01525" w:rsidRDefault="008C0415" w:rsidP="008C0415">
      <w:pPr>
        <w:spacing w:line="240" w:lineRule="auto"/>
        <w:jc w:val="both"/>
        <w:rPr>
          <w:rFonts w:ascii="Times New Roman" w:hAnsi="Times New Roman" w:cs="Times New Roman"/>
          <w:sz w:val="24"/>
          <w:szCs w:val="24"/>
        </w:rPr>
      </w:pPr>
      <w:r w:rsidRPr="00F01525">
        <w:rPr>
          <w:rFonts w:ascii="Times New Roman" w:hAnsi="Times New Roman" w:cs="Times New Roman"/>
          <w:sz w:val="24"/>
          <w:szCs w:val="24"/>
        </w:rPr>
        <w:t xml:space="preserve">La Comisión también considera que, a corto plazo, podrían implementarse medidas adicionales en el mercado mayorista de electricidad para proteger a los hogares y empresas más vulnerables de la UE, teniendo en cuenta los contextos nacionales y locales. Estas </w:t>
      </w:r>
      <w:r w:rsidRPr="00F01525">
        <w:rPr>
          <w:rFonts w:ascii="Times New Roman" w:hAnsi="Times New Roman" w:cs="Times New Roman"/>
          <w:sz w:val="24"/>
          <w:szCs w:val="24"/>
        </w:rPr>
        <w:lastRenderedPageBreak/>
        <w:t>medidas incluyen la redirección de rendimientos inframarginales excepcionalmente altos (los llamados beneficios inesperados) de ciertos generadores de electricidad de carga base para apoyar a los necesitados. Además, el alcance de los precios minoristas regulados podría ampliarse para cubrir también a las PYME. Esta extensión tendría que ser limitada en términos de las cantidades cubiertas para no provocar un aumento del consumo</w:t>
      </w:r>
      <w:r>
        <w:rPr>
          <w:rFonts w:ascii="Times New Roman" w:hAnsi="Times New Roman" w:cs="Times New Roman"/>
          <w:sz w:val="24"/>
          <w:szCs w:val="24"/>
        </w:rPr>
        <w:t>.</w:t>
      </w:r>
    </w:p>
    <w:p w:rsidR="008C0415" w:rsidRPr="00F01525" w:rsidRDefault="008C0415" w:rsidP="008C0415">
      <w:pPr>
        <w:spacing w:line="240" w:lineRule="auto"/>
        <w:jc w:val="both"/>
        <w:rPr>
          <w:rFonts w:ascii="Times New Roman" w:hAnsi="Times New Roman" w:cs="Times New Roman"/>
          <w:sz w:val="24"/>
          <w:szCs w:val="24"/>
        </w:rPr>
      </w:pPr>
      <w:r w:rsidRPr="00F01525">
        <w:rPr>
          <w:rFonts w:ascii="Times New Roman" w:hAnsi="Times New Roman" w:cs="Times New Roman"/>
          <w:sz w:val="24"/>
          <w:szCs w:val="24"/>
        </w:rPr>
        <w:t xml:space="preserve">Según Bruselas, algunos Estados miembros están considerando reducir temporalmente los precios de la electricidad mediante la introducción de un precio de referencia del gas utilizado para </w:t>
      </w:r>
      <w:r>
        <w:rPr>
          <w:rFonts w:ascii="Times New Roman" w:hAnsi="Times New Roman" w:cs="Times New Roman"/>
          <w:sz w:val="24"/>
          <w:szCs w:val="24"/>
        </w:rPr>
        <w:t>la generación de electricidad: “</w:t>
      </w:r>
      <w:r w:rsidRPr="00F01525">
        <w:rPr>
          <w:rFonts w:ascii="Times New Roman" w:hAnsi="Times New Roman" w:cs="Times New Roman"/>
          <w:sz w:val="24"/>
          <w:szCs w:val="24"/>
        </w:rPr>
        <w:t>Cualquier medida de este tipo debe diseñarse de manera compatible con los Tratados de la UE, en particular sin restricciones a las exportaciones transfronterizas y respetando las normas so</w:t>
      </w:r>
      <w:r>
        <w:rPr>
          <w:rFonts w:ascii="Times New Roman" w:hAnsi="Times New Roman" w:cs="Times New Roman"/>
          <w:sz w:val="24"/>
          <w:szCs w:val="24"/>
        </w:rPr>
        <w:t>bre ayudas estatales”, afirman.</w:t>
      </w:r>
    </w:p>
    <w:p w:rsidR="008C0415" w:rsidRPr="00F01525" w:rsidRDefault="008C0415" w:rsidP="008C0415">
      <w:pPr>
        <w:spacing w:line="240" w:lineRule="auto"/>
        <w:jc w:val="both"/>
        <w:rPr>
          <w:rFonts w:ascii="Times New Roman" w:hAnsi="Times New Roman" w:cs="Times New Roman"/>
          <w:sz w:val="24"/>
          <w:szCs w:val="24"/>
        </w:rPr>
      </w:pPr>
      <w:r w:rsidRPr="00F01525">
        <w:rPr>
          <w:rFonts w:ascii="Times New Roman" w:hAnsi="Times New Roman" w:cs="Times New Roman"/>
          <w:sz w:val="24"/>
          <w:szCs w:val="24"/>
        </w:rPr>
        <w:t>En este contexto, Comisión Europea exhorta al Consejo de Europa a aprobar las medidas a corto plazo para hacer frente a los altos precios, e invita a los Estados miembros a acelerar las medidas de preparación para una posible interrupción adicional del suministro de gas ruso. Brus</w:t>
      </w:r>
      <w:r>
        <w:rPr>
          <w:rFonts w:ascii="Times New Roman" w:hAnsi="Times New Roman" w:cs="Times New Roman"/>
          <w:sz w:val="24"/>
          <w:szCs w:val="24"/>
        </w:rPr>
        <w:t>elas también pide a los 27 que “</w:t>
      </w:r>
      <w:r w:rsidRPr="00F01525">
        <w:rPr>
          <w:rFonts w:ascii="Times New Roman" w:hAnsi="Times New Roman" w:cs="Times New Roman"/>
          <w:sz w:val="24"/>
          <w:szCs w:val="24"/>
        </w:rPr>
        <w:t>garanticen la plena aplicación de la legislación del mercado de la electricidad, en particular para garantizar tarifas que reflejen los costes y la eliminación de barreras al uso de recursos flexibles, lo que permitirá integrar la electricidad renovable variable y mejorar la flexibilidad de la red para facilitar la integ</w:t>
      </w:r>
      <w:r>
        <w:rPr>
          <w:rFonts w:ascii="Times New Roman" w:hAnsi="Times New Roman" w:cs="Times New Roman"/>
          <w:sz w:val="24"/>
          <w:szCs w:val="24"/>
        </w:rPr>
        <w:t>ración del sistema energético”.</w:t>
      </w:r>
    </w:p>
    <w:p w:rsidR="008C0415" w:rsidRDefault="008C0415" w:rsidP="008C0415">
      <w:pPr>
        <w:spacing w:line="240" w:lineRule="auto"/>
        <w:jc w:val="both"/>
        <w:rPr>
          <w:rFonts w:ascii="Times New Roman" w:hAnsi="Times New Roman" w:cs="Times New Roman"/>
          <w:sz w:val="24"/>
          <w:szCs w:val="24"/>
        </w:rPr>
      </w:pPr>
      <w:r w:rsidRPr="00F01525">
        <w:rPr>
          <w:rFonts w:ascii="Times New Roman" w:hAnsi="Times New Roman" w:cs="Times New Roman"/>
          <w:sz w:val="24"/>
          <w:szCs w:val="24"/>
        </w:rPr>
        <w:t>El ejecutivo comunitario también a</w:t>
      </w:r>
      <w:r>
        <w:rPr>
          <w:rFonts w:ascii="Times New Roman" w:hAnsi="Times New Roman" w:cs="Times New Roman"/>
          <w:sz w:val="24"/>
          <w:szCs w:val="24"/>
        </w:rPr>
        <w:t>segura que pondrá en marcha un “</w:t>
      </w:r>
      <w:r w:rsidRPr="00F01525">
        <w:rPr>
          <w:rFonts w:ascii="Times New Roman" w:hAnsi="Times New Roman" w:cs="Times New Roman"/>
          <w:sz w:val="24"/>
          <w:szCs w:val="24"/>
        </w:rPr>
        <w:t>p</w:t>
      </w:r>
      <w:r>
        <w:rPr>
          <w:rFonts w:ascii="Times New Roman" w:hAnsi="Times New Roman" w:cs="Times New Roman"/>
          <w:sz w:val="24"/>
          <w:szCs w:val="24"/>
        </w:rPr>
        <w:t>roceso de evaluación de impacto”</w:t>
      </w:r>
      <w:r w:rsidRPr="00F01525">
        <w:rPr>
          <w:rFonts w:ascii="Times New Roman" w:hAnsi="Times New Roman" w:cs="Times New Roman"/>
          <w:sz w:val="24"/>
          <w:szCs w:val="24"/>
        </w:rPr>
        <w:t xml:space="preserve"> y que colaborará con los Estados miembros y una amplia gama de partes interesadas y autoridades reguladoras nacionales para ajustar el diseño del mercado de la electricidad y, cuando sea necesario, su marco legislativo.</w:t>
      </w:r>
    </w:p>
    <w:p w:rsidR="008C0415"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62111">
        <w:rPr>
          <w:rFonts w:ascii="Times New Roman" w:hAnsi="Times New Roman" w:cs="Times New Roman"/>
          <w:sz w:val="24"/>
          <w:szCs w:val="24"/>
          <w:u w:val="single"/>
        </w:rPr>
        <w:t>Europa se prepara para un corte total del suministro energético ruso</w:t>
      </w:r>
      <w:r>
        <w:rPr>
          <w:rFonts w:ascii="Times New Roman" w:hAnsi="Times New Roman" w:cs="Times New Roman"/>
          <w:sz w:val="24"/>
          <w:szCs w:val="24"/>
        </w:rPr>
        <w:t xml:space="preserve"> (Cinco Días - </w:t>
      </w:r>
      <w:r w:rsidRPr="00B62111">
        <w:rPr>
          <w:rFonts w:ascii="Times New Roman" w:hAnsi="Times New Roman" w:cs="Times New Roman"/>
          <w:b/>
          <w:sz w:val="24"/>
          <w:szCs w:val="24"/>
        </w:rPr>
        <w:t>20/5/22</w:t>
      </w:r>
      <w:r>
        <w:rPr>
          <w:rFonts w:ascii="Times New Roman" w:hAnsi="Times New Roman" w:cs="Times New Roman"/>
          <w:sz w:val="24"/>
          <w:szCs w:val="24"/>
        </w:rPr>
        <w:t>)</w:t>
      </w:r>
    </w:p>
    <w:p w:rsidR="00DB662E" w:rsidRPr="005E4890" w:rsidRDefault="00DB662E" w:rsidP="008C0415">
      <w:pPr>
        <w:spacing w:line="240" w:lineRule="auto"/>
        <w:jc w:val="both"/>
        <w:rPr>
          <w:rFonts w:ascii="Times New Roman" w:hAnsi="Times New Roman" w:cs="Times New Roman"/>
          <w:sz w:val="24"/>
          <w:szCs w:val="24"/>
        </w:rPr>
      </w:pPr>
      <w:r>
        <w:rPr>
          <w:noProof/>
          <w:lang w:val="en-GB" w:eastAsia="zh-CN"/>
        </w:rPr>
        <w:drawing>
          <wp:inline distT="0" distB="0" distL="0" distR="0">
            <wp:extent cx="5731510" cy="2896870"/>
            <wp:effectExtent l="0" t="0" r="2540" b="0"/>
            <wp:docPr id="7" name="Imagen 7" descr="Europa se prepara para un corte total del suministro energético ru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uropa se prepara para un corte total del suministro energético ruso"/>
                    <pic:cNvPicPr>
                      <a:picLocks noChangeAspect="1" noChangeArrowheads="1"/>
                    </pic:cNvPicPr>
                  </pic:nvPicPr>
                  <pic:blipFill>
                    <a:blip r:embed="rId1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896870"/>
                    </a:xfrm>
                    <a:prstGeom prst="rect">
                      <a:avLst/>
                    </a:prstGeom>
                    <a:noFill/>
                    <a:ln>
                      <a:noFill/>
                    </a:ln>
                  </pic:spPr>
                </pic:pic>
              </a:graphicData>
            </a:graphic>
          </wp:inline>
        </w:drawing>
      </w:r>
    </w:p>
    <w:p w:rsidR="008C0415" w:rsidRPr="001E4F52" w:rsidRDefault="008C0415" w:rsidP="008C0415">
      <w:pPr>
        <w:spacing w:line="240" w:lineRule="auto"/>
        <w:jc w:val="both"/>
        <w:rPr>
          <w:rFonts w:ascii="Times New Roman" w:hAnsi="Times New Roman" w:cs="Times New Roman"/>
          <w:color w:val="FF0000"/>
          <w:sz w:val="24"/>
          <w:szCs w:val="24"/>
          <w:u w:val="single"/>
        </w:rPr>
      </w:pPr>
      <w:r w:rsidRPr="001E4F52">
        <w:rPr>
          <w:rFonts w:ascii="Times New Roman" w:hAnsi="Times New Roman" w:cs="Times New Roman"/>
          <w:color w:val="FF0000"/>
          <w:sz w:val="24"/>
          <w:szCs w:val="24"/>
          <w:u w:val="single"/>
        </w:rPr>
        <w:t xml:space="preserve">Europa se prepara para el peor escenario energético: la posibilidad de una interrupción total del suministro de gas ruso, el combustible fósil del que más depende y el que le genera una mayor vulnerabilidad -el 38% de los 400.000 millones de metros cúbicos importados en 2020 llegó de Moscú, según Eurostat-. El riesgo se ha elevado tras la suspensión en abril del flujo a Polonia y Bulgaria, que se negaron a pagar en rublos, y la semana pasada, a la UE a través del gasoducto Yamal, que pasa por Varsovia, después de que el Kremlin sancionara al operador </w:t>
      </w:r>
      <w:r w:rsidRPr="001E4F52">
        <w:rPr>
          <w:rFonts w:ascii="Times New Roman" w:hAnsi="Times New Roman" w:cs="Times New Roman"/>
          <w:color w:val="FF0000"/>
          <w:sz w:val="24"/>
          <w:szCs w:val="24"/>
          <w:u w:val="single"/>
        </w:rPr>
        <w:lastRenderedPageBreak/>
        <w:t>polaco de ese tramo, EuRoPol Gaz. Si bien todo dependerá de cómo evolucione la tensión geopolítica, Bruselas se rearma de cara al invierno ante el temor de que la guerra en Ucrania -de mantenerse el conflicto- pueda dejar sin abastecimiento a los 27, como alertó el jueves pasado el consejero delegado de Repsol, Josu Jon Imaz, disparando todas las alarmas.</w:t>
      </w:r>
    </w:p>
    <w:p w:rsidR="008C0415" w:rsidRPr="005E4890" w:rsidRDefault="008C0415" w:rsidP="008C0415">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t>Para hacer frente a una crisis que comenzó en verano pasado, con la escalada de precios del gas y el CO2, y que se agudizó con la contienda bélica, la Comisión Europea ha esbozado un macroplán, REPowerEU, que marca la estrategia energética actual, para reducir las importaciones de los combustibles fósiles rusos en dos tercios en 2022 y alcanzar la independencia antes de 2030, y al que se prevé destinar unos 300.000 millones de euros (10.000 millones a gasoductos; 2.000 millones a petró</w:t>
      </w:r>
      <w:r>
        <w:rPr>
          <w:rFonts w:ascii="Times New Roman" w:hAnsi="Times New Roman" w:cs="Times New Roman"/>
          <w:sz w:val="24"/>
          <w:szCs w:val="24"/>
        </w:rPr>
        <w:t>leo, y el resto, a renovables).</w:t>
      </w:r>
    </w:p>
    <w:p w:rsidR="008C0415" w:rsidRPr="001E4F52" w:rsidRDefault="008C0415" w:rsidP="008C0415">
      <w:pPr>
        <w:spacing w:line="240" w:lineRule="auto"/>
        <w:jc w:val="both"/>
        <w:rPr>
          <w:rFonts w:ascii="Times New Roman" w:hAnsi="Times New Roman" w:cs="Times New Roman"/>
          <w:b/>
          <w:color w:val="FF0000"/>
          <w:sz w:val="24"/>
          <w:szCs w:val="24"/>
          <w:u w:val="single"/>
        </w:rPr>
      </w:pPr>
      <w:r w:rsidRPr="001E4F52">
        <w:rPr>
          <w:rFonts w:ascii="Times New Roman" w:hAnsi="Times New Roman" w:cs="Times New Roman"/>
          <w:b/>
          <w:color w:val="FF0000"/>
          <w:sz w:val="24"/>
          <w:szCs w:val="24"/>
          <w:u w:val="single"/>
        </w:rPr>
        <w:t>La gran novedad que propone es el aumento temporal (máximo 15 años) de la participación de las centrales de carbón (100 teravatios hora), una de las fuentes más contaminantes, y nucleares (44 teravatios) en el mix energético para reducir las de gas. Aunque confirma la agilización de la transición hacia las energías limpias.</w:t>
      </w:r>
    </w:p>
    <w:p w:rsidR="008C0415" w:rsidRPr="005E4890" w:rsidRDefault="008C0415" w:rsidP="008C0415">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t>Así, contempla elevar el objetivo renovable al 45% (1.236 gigavatios) en 2030 desde el 40% (1.067 gigavatios) actual, además de la diversificación del suministro (a través de compras conjuntas de gas a nivel comunitario, como se hizo durante la pandemia para la adquisición de vacunas contra el Covid), el aumento de las reservas (que estén al 90% de su capacidad en octubre) y del tope del precio al gas, no solo en España y Portugal, como se aprobó el viernes pasado, sino también en todo el continente, como ya se contempla en caso de emergencia, algo impensable hace poco.</w:t>
      </w:r>
    </w:p>
    <w:p w:rsidR="008C0415" w:rsidRPr="001E4F52" w:rsidRDefault="008C0415" w:rsidP="008C0415">
      <w:pPr>
        <w:spacing w:line="240" w:lineRule="auto"/>
        <w:jc w:val="both"/>
        <w:rPr>
          <w:rFonts w:ascii="Times New Roman" w:hAnsi="Times New Roman" w:cs="Times New Roman"/>
          <w:color w:val="FF0000"/>
          <w:sz w:val="24"/>
          <w:szCs w:val="24"/>
          <w:u w:val="single"/>
        </w:rPr>
      </w:pPr>
      <w:r w:rsidRPr="001E4F52">
        <w:rPr>
          <w:rFonts w:ascii="Times New Roman" w:hAnsi="Times New Roman" w:cs="Times New Roman"/>
          <w:color w:val="FF0000"/>
          <w:sz w:val="24"/>
          <w:szCs w:val="24"/>
          <w:u w:val="single"/>
        </w:rPr>
        <w:t>Incluso, Bruselas no descarta el racionamiento transfronterizo, cortes puntuales y el establecimiento de mecanismos de solidaridad a favor de los Estados más afectados, entre otros, si se produce la temida ruptura total, ya que las medidas en marcha, admite, son insuficientes. Por eso apela también a la conciencia ciudadana para que se involucren y consuman un 5% menos de gas y petróleo. ¿Cómo? Reduciendo la temperatura de la calefacción, utilizando menos el aire acondicionado y más el transporte público y electrodomésticos más eficientes. El objetivo es ahorrar 13.000 millones de metros cúbicos de gas y 16 millones de toneladas de crudo.</w:t>
      </w:r>
    </w:p>
    <w:p w:rsidR="008C0415" w:rsidRPr="001E4F52" w:rsidRDefault="008C0415" w:rsidP="008C0415">
      <w:pPr>
        <w:spacing w:line="240" w:lineRule="auto"/>
        <w:jc w:val="both"/>
        <w:rPr>
          <w:rFonts w:ascii="Times New Roman" w:hAnsi="Times New Roman" w:cs="Times New Roman"/>
          <w:color w:val="FF0000"/>
          <w:sz w:val="24"/>
          <w:szCs w:val="24"/>
          <w:u w:val="single"/>
        </w:rPr>
      </w:pPr>
      <w:r w:rsidRPr="001E4F52">
        <w:rPr>
          <w:rFonts w:ascii="Times New Roman" w:hAnsi="Times New Roman" w:cs="Times New Roman"/>
          <w:color w:val="FF0000"/>
          <w:sz w:val="24"/>
          <w:szCs w:val="24"/>
          <w:u w:val="single"/>
        </w:rPr>
        <w:t xml:space="preserve">Una cosa es que el desenganche ruso se haga gradual (primero, con el carbón, en proceso; después, con el petróleo, aún sin acuerdo, y finalmente, con el gas) y otra, de golpe y porrazo si se cumplen las amenazas de represalias del </w:t>
      </w:r>
      <w:r w:rsidR="00254497" w:rsidRPr="001E4F52">
        <w:rPr>
          <w:rFonts w:ascii="Times New Roman" w:hAnsi="Times New Roman" w:cs="Times New Roman"/>
          <w:color w:val="FF0000"/>
          <w:sz w:val="24"/>
          <w:szCs w:val="24"/>
          <w:u w:val="single"/>
        </w:rPr>
        <w:t>Kremlin</w:t>
      </w:r>
      <w:r w:rsidRPr="001E4F52">
        <w:rPr>
          <w:rFonts w:ascii="Times New Roman" w:hAnsi="Times New Roman" w:cs="Times New Roman"/>
          <w:color w:val="FF0000"/>
          <w:sz w:val="24"/>
          <w:szCs w:val="24"/>
          <w:u w:val="single"/>
        </w:rPr>
        <w:t>. “Todo el mundo se da cuenta ahora del error estratégico que ha supuesto la sobredependencia de Rusia”, lamenta Gonzalo Escribano, director del programa de energía y cambio climático del Real Instituto Elcano. Y de la interdependencia, en general, de regímenes poco democráticos. “La UE está buscando alternativas al gas y el petróleo de (Vladimir) Putin yéndose de compras a Argelia, Azerbaiyán, Arabia Saudí o Qatar”, ironiza Francisco del Pozo, portavoz de energía de Greenpeace.</w:t>
      </w:r>
    </w:p>
    <w:p w:rsidR="008C0415" w:rsidRPr="001E4F52" w:rsidRDefault="008C0415" w:rsidP="008C0415">
      <w:pPr>
        <w:spacing w:line="240" w:lineRule="auto"/>
        <w:jc w:val="both"/>
        <w:rPr>
          <w:rFonts w:ascii="Times New Roman" w:hAnsi="Times New Roman" w:cs="Times New Roman"/>
          <w:color w:val="FF0000"/>
          <w:sz w:val="24"/>
          <w:szCs w:val="24"/>
          <w:u w:val="single"/>
        </w:rPr>
      </w:pPr>
      <w:r w:rsidRPr="001E4F52">
        <w:rPr>
          <w:rFonts w:ascii="Times New Roman" w:hAnsi="Times New Roman" w:cs="Times New Roman"/>
          <w:color w:val="FF0000"/>
          <w:sz w:val="24"/>
          <w:szCs w:val="24"/>
          <w:u w:val="single"/>
        </w:rPr>
        <w:t>La consecuencia es que ahora hay que afrontar el corto y el largo plazo a la vez y contra reloj. “El segundo error es que no tenemos un mercado integrado. Aunque queramos ser solidarios con Bulgaria y Polonia, como pide la señora (Ursula) von der Leyen, no podemos porque solo tenemos un tubo de 7 bcm de capacidad (el de Irún-Larrau) y, evidentemente, no va a haber otro en invierno. El reto es formidable y vamos con 17 años de retraso, desde la primera vez que Rusia cortó el gas en Ucrania”, critica Escribano.</w:t>
      </w:r>
    </w:p>
    <w:p w:rsidR="008C0415" w:rsidRPr="001E4F52" w:rsidRDefault="008C0415" w:rsidP="008C0415">
      <w:pPr>
        <w:spacing w:line="240" w:lineRule="auto"/>
        <w:jc w:val="both"/>
        <w:rPr>
          <w:rFonts w:ascii="Times New Roman" w:hAnsi="Times New Roman" w:cs="Times New Roman"/>
          <w:color w:val="FF0000"/>
          <w:sz w:val="24"/>
          <w:szCs w:val="24"/>
          <w:u w:val="single"/>
        </w:rPr>
      </w:pPr>
      <w:r w:rsidRPr="001E4F52">
        <w:rPr>
          <w:rFonts w:ascii="Times New Roman" w:hAnsi="Times New Roman" w:cs="Times New Roman"/>
          <w:color w:val="FF0000"/>
          <w:sz w:val="24"/>
          <w:szCs w:val="24"/>
          <w:u w:val="single"/>
        </w:rPr>
        <w:lastRenderedPageBreak/>
        <w:t>Una de las tareas pendientes es precisamente elevar las interconexiones (gasistas y eléctricas) de España con el resto de Europa, cuyo desarrollo se ha visto históricamente truncado por Francia. El proyecto del Midcat, de 7 bcm y enterrado en 2019 por los reguladores francés y español al argüir que era una infraestructura onerosa y poco madura, fue el último intento de revertir la condición de isla energética de la Península Ibérica. Sin embargo, gracias a estos tiempos bélicos, parece que la obra resucita.</w:t>
      </w:r>
    </w:p>
    <w:p w:rsidR="008C0415" w:rsidRPr="005E4890" w:rsidRDefault="008C0415" w:rsidP="008C0415">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t>“Europa tendrá que decidir si lo rescata, propone otro parecido o con alguna variación. España puede reforzar la seguridad del suministro europeo al contar con la mayor capacidad de almacenamiento y regasificación (con seis plantas y seis puntos de conexión internacional) de Europa”, arguye</w:t>
      </w:r>
      <w:r>
        <w:rPr>
          <w:rFonts w:ascii="Times New Roman" w:hAnsi="Times New Roman" w:cs="Times New Roman"/>
          <w:sz w:val="24"/>
          <w:szCs w:val="24"/>
        </w:rPr>
        <w:t>n fuentes del sector gasista.</w:t>
      </w:r>
    </w:p>
    <w:p w:rsidR="008C0415" w:rsidRPr="005E4890" w:rsidRDefault="008C0415" w:rsidP="008C0415">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t>El Ejecutivo europeo se ha mostrado a favor de financiar este tipo de proyectos siempre que transporte hidrógeno en el futuro y se evalúen otras alternativas además de la de los Pirineos. De hecho, la semana pasada, la italiana Snam anunció la firma de un memorando de entendimiento con Enagás para estudiar la viabilidad de un gasoducto por alta mar entre España e Italia. Otras de las vías planteadas por el primer ministro italiano, Mario Draghi, y que trasladó en marzo al Gobierno de Pedro Sánchez, es entre Génova y Barcelona.</w:t>
      </w:r>
    </w:p>
    <w:p w:rsidR="008C0415" w:rsidRPr="005E4890" w:rsidRDefault="008C0415" w:rsidP="008C0415">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t>“Ante la posibilidad de convertir a España y Portugal en un hub de hidrógeno renovable que pueda ser utilizado también en Europa, el debate tiene aún más sentido”, subraya Carlos Solé, socio responsable de energía y recursos naturales de KPMG. Desde Sedigas consideran también que se debe apostar por proyectos como el Midcat y otros que permitan el despliegue de los gases renovables. Pero ¿cuándo?, ¿en qué condiciones? ¿Nos dará Francia acceso a otros mercados europeos?, ¿hay la regulación y la demanda adecuadas?”, son las cuestiones que, según Escrib</w:t>
      </w:r>
      <w:r>
        <w:rPr>
          <w:rFonts w:ascii="Times New Roman" w:hAnsi="Times New Roman" w:cs="Times New Roman"/>
          <w:sz w:val="24"/>
          <w:szCs w:val="24"/>
        </w:rPr>
        <w:t>ano, deben estar sobre la mesa.</w:t>
      </w:r>
    </w:p>
    <w:p w:rsidR="008C0415" w:rsidRPr="005E4890" w:rsidRDefault="008C0415" w:rsidP="008C0415">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t>¿Vuelta a las fuentes contaminantes?</w:t>
      </w:r>
    </w:p>
    <w:p w:rsidR="008C0415" w:rsidRPr="001E4F52" w:rsidRDefault="008C0415" w:rsidP="008C0415">
      <w:pPr>
        <w:spacing w:line="240" w:lineRule="auto"/>
        <w:jc w:val="both"/>
        <w:rPr>
          <w:rFonts w:ascii="Times New Roman" w:hAnsi="Times New Roman" w:cs="Times New Roman"/>
          <w:sz w:val="24"/>
          <w:szCs w:val="24"/>
          <w:u w:val="single"/>
        </w:rPr>
      </w:pPr>
      <w:r w:rsidRPr="001E4F52">
        <w:rPr>
          <w:rFonts w:ascii="Times New Roman" w:hAnsi="Times New Roman" w:cs="Times New Roman"/>
          <w:sz w:val="24"/>
          <w:szCs w:val="24"/>
          <w:u w:val="single"/>
        </w:rPr>
        <w:t>Contrario a lo que pueda parecer, la guerra y la crisis energética han acelerado la descarbonización, pese al alza de la generación eléctrica con carbón en la UE -en marzo aumentó en 11 teravatios hora con respecto al año anterior, pero en abril fue de apenas 2,7 al ser sustituido por eólica y solar-, afirma Sara Brown, analista sénior de energía y clima de Ember. “Hay una mayor urgencia por los enormes riesgos geopolíticos, socioeconómicos y climáticos asociados a los fósiles”, recalca.</w:t>
      </w:r>
    </w:p>
    <w:p w:rsidR="008C0415" w:rsidRPr="005E4890" w:rsidRDefault="008C0415" w:rsidP="008C0415">
      <w:pPr>
        <w:spacing w:line="240" w:lineRule="auto"/>
        <w:jc w:val="both"/>
        <w:rPr>
          <w:rFonts w:ascii="Times New Roman" w:hAnsi="Times New Roman" w:cs="Times New Roman"/>
          <w:sz w:val="24"/>
          <w:szCs w:val="24"/>
        </w:rPr>
      </w:pPr>
      <w:r w:rsidRPr="001E4F52">
        <w:rPr>
          <w:rFonts w:ascii="Times New Roman" w:hAnsi="Times New Roman" w:cs="Times New Roman"/>
          <w:sz w:val="24"/>
          <w:szCs w:val="24"/>
          <w:u w:val="single"/>
        </w:rPr>
        <w:t>Brown asegura que la quema de carbón es una situación temporal, ya que no solo se debe a la invasión rusa en Ucrania y a los altos precios del gas, sino también a las interrupciones de las nucleares en Francia, su desmantelamiento en Alemania y al escaso aporte de la hidráulica.</w:t>
      </w:r>
      <w:r w:rsidRPr="005E4890">
        <w:rPr>
          <w:rFonts w:ascii="Times New Roman" w:hAnsi="Times New Roman" w:cs="Times New Roman"/>
          <w:sz w:val="24"/>
          <w:szCs w:val="24"/>
        </w:rPr>
        <w:t xml:space="preserve"> “Solo Grecia ha retrasado su eliminación de 2023 a 2028. El gas ya no es creíble como combustible de transición”, insiste. </w:t>
      </w:r>
      <w:r>
        <w:rPr>
          <w:rFonts w:ascii="Times New Roman" w:hAnsi="Times New Roman" w:cs="Times New Roman"/>
          <w:sz w:val="24"/>
          <w:szCs w:val="24"/>
        </w:rPr>
        <w:t>No obstante, habrá que evaluar -si la propuesta tiene recorrido-</w:t>
      </w:r>
      <w:r w:rsidRPr="005E4890">
        <w:rPr>
          <w:rFonts w:ascii="Times New Roman" w:hAnsi="Times New Roman" w:cs="Times New Roman"/>
          <w:sz w:val="24"/>
          <w:szCs w:val="24"/>
        </w:rPr>
        <w:t xml:space="preserve"> el impacto del cambio de política europea respecto al incremento del uso de fuentes más contaminantes como el carbón.</w:t>
      </w:r>
    </w:p>
    <w:p w:rsidR="008C0415" w:rsidRPr="005E4890" w:rsidRDefault="008C0415" w:rsidP="008C0415">
      <w:pPr>
        <w:spacing w:line="240" w:lineRule="auto"/>
        <w:jc w:val="both"/>
        <w:rPr>
          <w:rFonts w:ascii="Times New Roman" w:hAnsi="Times New Roman" w:cs="Times New Roman"/>
          <w:sz w:val="24"/>
          <w:szCs w:val="24"/>
        </w:rPr>
      </w:pPr>
      <w:r w:rsidRPr="001E4F52">
        <w:rPr>
          <w:rFonts w:ascii="Times New Roman" w:hAnsi="Times New Roman" w:cs="Times New Roman"/>
          <w:b/>
          <w:color w:val="FF0000"/>
          <w:sz w:val="24"/>
          <w:szCs w:val="24"/>
          <w:u w:val="single"/>
        </w:rPr>
        <w:t>Un estudio reciente publicado por este grupo de expertos calcula que las renovables, la eficiencia energética y la electrificación, si se despliegan de forma rápida, pueden sustituir el 66% del gas importado de Rusia en 2025. “Si la UE no aprovecha esta oportunidad, estará simplemente sustituyendo una dependencia por otra”, avisa</w:t>
      </w:r>
      <w:r w:rsidRPr="005E4890">
        <w:rPr>
          <w:rFonts w:ascii="Times New Roman" w:hAnsi="Times New Roman" w:cs="Times New Roman"/>
          <w:sz w:val="24"/>
          <w:szCs w:val="24"/>
        </w:rPr>
        <w:t>. En cambio, Mike Coffin, analista de Carbon Tracker, es más prudente. “Somos cautelosamente optimistas en cuanto a la capacidad de las renovables de desplazar una proporción significativa de los combustibles fósiles en el sistema energético europeo. Combinadas con las baterías, pueden ayudar a suavizar el suministro y satisfacer los picos de demanda”.</w:t>
      </w:r>
    </w:p>
    <w:p w:rsidR="008C0415" w:rsidRPr="00E64544" w:rsidRDefault="008C0415" w:rsidP="008C0415">
      <w:pPr>
        <w:spacing w:line="240" w:lineRule="auto"/>
        <w:jc w:val="both"/>
        <w:rPr>
          <w:rFonts w:ascii="Times New Roman" w:hAnsi="Times New Roman" w:cs="Times New Roman"/>
          <w:color w:val="FF0000"/>
          <w:sz w:val="24"/>
          <w:szCs w:val="24"/>
          <w:u w:val="single"/>
        </w:rPr>
      </w:pPr>
      <w:r w:rsidRPr="00E64544">
        <w:rPr>
          <w:rFonts w:ascii="Times New Roman" w:hAnsi="Times New Roman" w:cs="Times New Roman"/>
          <w:color w:val="FF0000"/>
          <w:sz w:val="24"/>
          <w:szCs w:val="24"/>
          <w:u w:val="single"/>
        </w:rPr>
        <w:lastRenderedPageBreak/>
        <w:t>Aun así, cree que la sed fósil podría reducirse a medio-largo plazo más rápido de lo previsto, “a medida que se produzca una expansión renovable acelerada y una posible inversión de nuclear (la UE la considera ahora verde)”. Los analistas de Reuters alertan también de otra dependencia a la vista: la de materias primas de China (como el silicio) para la fabricación de paneles solares.</w:t>
      </w:r>
    </w:p>
    <w:p w:rsidR="008C0415" w:rsidRDefault="008C0415" w:rsidP="008C0415">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t xml:space="preserve">Con todo, Del Pozo, de Greenpeace, recuerda que el cumplimiento del Acuerdo de París estaba ya en riesgo antes de la guerra: “Los planes actuales de todos los Gobiernos, en caso de cumplirse, llevarían a un alza de la temperatura </w:t>
      </w:r>
      <w:r>
        <w:rPr>
          <w:rFonts w:ascii="Times New Roman" w:hAnsi="Times New Roman" w:cs="Times New Roman"/>
          <w:sz w:val="24"/>
          <w:szCs w:val="24"/>
        </w:rPr>
        <w:t>más cerca de 3 ºC que de 2 ºC”</w:t>
      </w:r>
      <w:r w:rsidR="00DB662E">
        <w:rPr>
          <w:rFonts w:ascii="Times New Roman" w:hAnsi="Times New Roman" w:cs="Times New Roman"/>
          <w:sz w:val="24"/>
          <w:szCs w:val="24"/>
        </w:rPr>
        <w:t>…</w:t>
      </w:r>
    </w:p>
    <w:p w:rsidR="008C0415" w:rsidRPr="00A44B7D" w:rsidRDefault="008C0415" w:rsidP="008C0415">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A44B7D">
        <w:rPr>
          <w:rFonts w:ascii="Times New Roman" w:eastAsia="Times New Roman" w:hAnsi="Times New Roman" w:cs="Times New Roman"/>
          <w:sz w:val="24"/>
          <w:szCs w:val="24"/>
          <w:u w:val="single"/>
          <w:lang w:eastAsia="es-ES"/>
        </w:rPr>
        <w:t>El Gobierno alemán pide ahorrar energía ante un pos</w:t>
      </w:r>
      <w:r>
        <w:rPr>
          <w:rFonts w:ascii="Times New Roman" w:eastAsia="Times New Roman" w:hAnsi="Times New Roman" w:cs="Times New Roman"/>
          <w:sz w:val="24"/>
          <w:szCs w:val="24"/>
          <w:u w:val="single"/>
          <w:lang w:eastAsia="es-ES"/>
        </w:rPr>
        <w:t>ible corte total del gas ruso: “</w:t>
      </w:r>
      <w:r w:rsidRPr="00A44B7D">
        <w:rPr>
          <w:rFonts w:ascii="Times New Roman" w:eastAsia="Times New Roman" w:hAnsi="Times New Roman" w:cs="Times New Roman"/>
          <w:sz w:val="24"/>
          <w:szCs w:val="24"/>
          <w:u w:val="single"/>
          <w:lang w:eastAsia="es-ES"/>
        </w:rPr>
        <w:t>Cada kilovatio cuenta</w:t>
      </w:r>
      <w:r>
        <w:rPr>
          <w:rFonts w:ascii="Times New Roman" w:eastAsia="Times New Roman" w:hAnsi="Times New Roman" w:cs="Times New Roman"/>
          <w:sz w:val="24"/>
          <w:szCs w:val="24"/>
          <w:lang w:eastAsia="es-ES"/>
        </w:rPr>
        <w:t xml:space="preserve">” (El Economista - </w:t>
      </w:r>
      <w:r w:rsidRPr="00A44B7D">
        <w:rPr>
          <w:rFonts w:ascii="Times New Roman" w:eastAsia="Times New Roman" w:hAnsi="Times New Roman" w:cs="Times New Roman"/>
          <w:b/>
          <w:sz w:val="24"/>
          <w:szCs w:val="24"/>
          <w:lang w:eastAsia="es-ES"/>
        </w:rPr>
        <w:t>16/6/22</w:t>
      </w:r>
      <w:r>
        <w:rPr>
          <w:rFonts w:ascii="Times New Roman" w:eastAsia="Times New Roman" w:hAnsi="Times New Roman" w:cs="Times New Roman"/>
          <w:sz w:val="24"/>
          <w:szCs w:val="24"/>
          <w:lang w:eastAsia="es-ES"/>
        </w:rPr>
        <w:t>)</w:t>
      </w:r>
    </w:p>
    <w:p w:rsidR="008C0415" w:rsidRPr="00B70100" w:rsidRDefault="008C0415" w:rsidP="008C0415">
      <w:pPr>
        <w:spacing w:after="360" w:line="240" w:lineRule="auto"/>
        <w:jc w:val="both"/>
        <w:rPr>
          <w:rFonts w:ascii="Times New Roman" w:eastAsia="Times New Roman" w:hAnsi="Times New Roman" w:cs="Times New Roman"/>
          <w:color w:val="FF0000"/>
          <w:sz w:val="24"/>
          <w:szCs w:val="24"/>
          <w:u w:val="single"/>
          <w:lang w:eastAsia="es-ES"/>
        </w:rPr>
      </w:pPr>
      <w:r w:rsidRPr="00B70100">
        <w:rPr>
          <w:rFonts w:ascii="Times New Roman" w:eastAsia="Times New Roman" w:hAnsi="Times New Roman" w:cs="Times New Roman"/>
          <w:color w:val="FF0000"/>
          <w:sz w:val="24"/>
          <w:szCs w:val="24"/>
          <w:u w:val="single"/>
          <w:lang w:eastAsia="es-ES"/>
        </w:rPr>
        <w:t>Alemania está empezando a prepararse para un posible corte total del gas ruso, después de que el país redujera un 60% los envíos a través del gasoducto Nord Stream. Y el vicecanciller y ministro de Economía y Cambio Climático, Robert Habeck, ha lanzado un m</w:t>
      </w:r>
      <w:r>
        <w:rPr>
          <w:rFonts w:ascii="Times New Roman" w:eastAsia="Times New Roman" w:hAnsi="Times New Roman" w:cs="Times New Roman"/>
          <w:color w:val="FF0000"/>
          <w:sz w:val="24"/>
          <w:szCs w:val="24"/>
          <w:u w:val="single"/>
          <w:lang w:eastAsia="es-ES"/>
        </w:rPr>
        <w:t>ensaje claro a los ciudadanos: “</w:t>
      </w:r>
      <w:r w:rsidRPr="00B70100">
        <w:rPr>
          <w:rFonts w:ascii="Times New Roman" w:eastAsia="Times New Roman" w:hAnsi="Times New Roman" w:cs="Times New Roman"/>
          <w:color w:val="FF0000"/>
          <w:sz w:val="24"/>
          <w:szCs w:val="24"/>
          <w:u w:val="single"/>
          <w:lang w:eastAsia="es-ES"/>
        </w:rPr>
        <w:t>Hay que ahorrar gas y energía. Cada kilovati</w:t>
      </w:r>
      <w:r>
        <w:rPr>
          <w:rFonts w:ascii="Times New Roman" w:eastAsia="Times New Roman" w:hAnsi="Times New Roman" w:cs="Times New Roman"/>
          <w:color w:val="FF0000"/>
          <w:sz w:val="24"/>
          <w:szCs w:val="24"/>
          <w:u w:val="single"/>
          <w:lang w:eastAsia="es-ES"/>
        </w:rPr>
        <w:t>o hora cuenta en esta situación”</w:t>
      </w:r>
      <w:r w:rsidRPr="00B70100">
        <w:rPr>
          <w:rFonts w:ascii="Times New Roman" w:eastAsia="Times New Roman" w:hAnsi="Times New Roman" w:cs="Times New Roman"/>
          <w:color w:val="FF0000"/>
          <w:sz w:val="24"/>
          <w:szCs w:val="24"/>
          <w:u w:val="single"/>
          <w:lang w:eastAsia="es-ES"/>
        </w:rPr>
        <w:t>.</w:t>
      </w:r>
    </w:p>
    <w:p w:rsidR="008C0415" w:rsidRPr="00A44B7D" w:rsidRDefault="008C0415" w:rsidP="008C0415">
      <w:pPr>
        <w:spacing w:after="360" w:line="240" w:lineRule="auto"/>
        <w:jc w:val="both"/>
        <w:rPr>
          <w:rFonts w:ascii="Times New Roman" w:eastAsia="Times New Roman" w:hAnsi="Times New Roman" w:cs="Times New Roman"/>
          <w:sz w:val="24"/>
          <w:szCs w:val="24"/>
          <w:lang w:eastAsia="es-ES"/>
        </w:rPr>
      </w:pPr>
      <w:r w:rsidRPr="00B70100">
        <w:rPr>
          <w:rFonts w:ascii="Times New Roman" w:eastAsia="Times New Roman" w:hAnsi="Times New Roman" w:cs="Times New Roman"/>
          <w:color w:val="FF0000"/>
          <w:sz w:val="24"/>
          <w:szCs w:val="24"/>
          <w:u w:val="single"/>
          <w:lang w:eastAsia="es-ES"/>
        </w:rPr>
        <w:t>El país está viendo con preocupación cómo el presidente ruso, Vladimir Putin, está presionando a la UE con un lento pero constante recorte del suministro de gas y una persistente subida de precio</w:t>
      </w:r>
      <w:r w:rsidRPr="00A44B7D">
        <w:rPr>
          <w:rFonts w:ascii="Times New Roman" w:eastAsia="Times New Roman" w:hAnsi="Times New Roman" w:cs="Times New Roman"/>
          <w:sz w:val="24"/>
          <w:szCs w:val="24"/>
          <w:lang w:eastAsia="es-ES"/>
        </w:rPr>
        <w:t>. Esta vez, la justificación fue un problema con unas turbinas de la firma Siemens, que, según la rusa Gazprom, debían repararse. Pero la empresa solo tiene una planta capaz de producir y mantener ese tipo de turbinas en Canadá, y las sanciones impiden a Gazprom enviarlas allí. El resultado, dice la empresa pública rusa, es que se ha visto obligada a paralizar la parte del gasoducto afectada y reducir su capacidad</w:t>
      </w:r>
      <w:r>
        <w:rPr>
          <w:rFonts w:ascii="Times New Roman" w:eastAsia="Times New Roman" w:hAnsi="Times New Roman" w:cs="Times New Roman"/>
          <w:sz w:val="24"/>
          <w:szCs w:val="24"/>
          <w:lang w:eastAsia="es-ES"/>
        </w:rPr>
        <w:t>.</w:t>
      </w:r>
    </w:p>
    <w:p w:rsidR="008C0415" w:rsidRPr="00A44B7D" w:rsidRDefault="008C0415" w:rsidP="008C0415">
      <w:pPr>
        <w:spacing w:after="360" w:line="240" w:lineRule="auto"/>
        <w:jc w:val="both"/>
        <w:rPr>
          <w:rFonts w:ascii="Times New Roman" w:eastAsia="Times New Roman" w:hAnsi="Times New Roman" w:cs="Times New Roman"/>
          <w:sz w:val="24"/>
          <w:szCs w:val="24"/>
          <w:lang w:eastAsia="es-ES"/>
        </w:rPr>
      </w:pPr>
      <w:r w:rsidRPr="00A44B7D">
        <w:rPr>
          <w:rFonts w:ascii="Times New Roman" w:eastAsia="Times New Roman" w:hAnsi="Times New Roman" w:cs="Times New Roman"/>
          <w:sz w:val="24"/>
          <w:szCs w:val="24"/>
          <w:lang w:eastAsia="es-ES"/>
        </w:rPr>
        <w:t xml:space="preserve">Habeck explicó que están tratando de resolver los problemas, si son ciertos, con Siemens y el Gobierno canadiense, pero </w:t>
      </w:r>
      <w:r>
        <w:rPr>
          <w:rFonts w:ascii="Times New Roman" w:eastAsia="Times New Roman" w:hAnsi="Times New Roman" w:cs="Times New Roman"/>
          <w:sz w:val="24"/>
          <w:szCs w:val="24"/>
          <w:lang w:eastAsia="es-ES"/>
        </w:rPr>
        <w:t>que su sensación es que es una “excusa”</w:t>
      </w:r>
      <w:r w:rsidRPr="00A44B7D">
        <w:rPr>
          <w:rFonts w:ascii="Times New Roman" w:eastAsia="Times New Roman" w:hAnsi="Times New Roman" w:cs="Times New Roman"/>
          <w:sz w:val="24"/>
          <w:szCs w:val="24"/>
          <w:lang w:eastAsia="es-ES"/>
        </w:rPr>
        <w:t xml:space="preserve"> de Putin para presionar a Europa con su principal arma, la energía. El ministro recordó que están trabajando para aumentar las reservas de gas de cara al otoño, para evitar un golpe más duro a la economía alemana en el futuro, pero que Gazprom está arrastrando los pies con las entregas para retrasarlo lo más posible.</w:t>
      </w:r>
    </w:p>
    <w:p w:rsidR="008C0415" w:rsidRDefault="008C0415" w:rsidP="008C0415">
      <w:pPr>
        <w:spacing w:after="360" w:line="240" w:lineRule="auto"/>
        <w:jc w:val="both"/>
        <w:rPr>
          <w:rFonts w:ascii="Times New Roman" w:eastAsia="Times New Roman" w:hAnsi="Times New Roman" w:cs="Times New Roman"/>
          <w:color w:val="FF0000"/>
          <w:sz w:val="24"/>
          <w:szCs w:val="24"/>
          <w:u w:val="single"/>
          <w:lang w:eastAsia="es-ES"/>
        </w:rPr>
      </w:pPr>
      <w:r w:rsidRPr="00A44B7D">
        <w:rPr>
          <w:rFonts w:ascii="Times New Roman" w:eastAsia="Times New Roman" w:hAnsi="Times New Roman" w:cs="Times New Roman"/>
          <w:sz w:val="24"/>
          <w:szCs w:val="24"/>
          <w:lang w:eastAsia="es-ES"/>
        </w:rPr>
        <w:t xml:space="preserve">Por ello, </w:t>
      </w:r>
      <w:r>
        <w:rPr>
          <w:rFonts w:ascii="Times New Roman" w:eastAsia="Times New Roman" w:hAnsi="Times New Roman" w:cs="Times New Roman"/>
          <w:color w:val="FF0000"/>
          <w:sz w:val="24"/>
          <w:szCs w:val="24"/>
          <w:u w:val="single"/>
          <w:lang w:eastAsia="es-ES"/>
        </w:rPr>
        <w:t>la mejor solución es “</w:t>
      </w:r>
      <w:r w:rsidRPr="00B70100">
        <w:rPr>
          <w:rFonts w:ascii="Times New Roman" w:eastAsia="Times New Roman" w:hAnsi="Times New Roman" w:cs="Times New Roman"/>
          <w:color w:val="FF0000"/>
          <w:sz w:val="24"/>
          <w:szCs w:val="24"/>
          <w:u w:val="single"/>
          <w:lang w:eastAsia="es-ES"/>
        </w:rPr>
        <w:t xml:space="preserve">ahorrar </w:t>
      </w:r>
      <w:r>
        <w:rPr>
          <w:rFonts w:ascii="Times New Roman" w:eastAsia="Times New Roman" w:hAnsi="Times New Roman" w:cs="Times New Roman"/>
          <w:color w:val="FF0000"/>
          <w:sz w:val="24"/>
          <w:szCs w:val="24"/>
          <w:u w:val="single"/>
          <w:lang w:eastAsia="es-ES"/>
        </w:rPr>
        <w:t>energía”. “</w:t>
      </w:r>
      <w:r w:rsidRPr="00B70100">
        <w:rPr>
          <w:rFonts w:ascii="Times New Roman" w:eastAsia="Times New Roman" w:hAnsi="Times New Roman" w:cs="Times New Roman"/>
          <w:color w:val="FF0000"/>
          <w:sz w:val="24"/>
          <w:szCs w:val="24"/>
          <w:u w:val="single"/>
          <w:lang w:eastAsia="es-ES"/>
        </w:rPr>
        <w:t>Tenemos que vivir dentro de nu</w:t>
      </w:r>
      <w:r>
        <w:rPr>
          <w:rFonts w:ascii="Times New Roman" w:eastAsia="Times New Roman" w:hAnsi="Times New Roman" w:cs="Times New Roman"/>
          <w:color w:val="FF0000"/>
          <w:sz w:val="24"/>
          <w:szCs w:val="24"/>
          <w:u w:val="single"/>
          <w:lang w:eastAsia="es-ES"/>
        </w:rPr>
        <w:t>estras posibilidades económicas”</w:t>
      </w:r>
      <w:r w:rsidRPr="00B70100">
        <w:rPr>
          <w:rFonts w:ascii="Times New Roman" w:eastAsia="Times New Roman" w:hAnsi="Times New Roman" w:cs="Times New Roman"/>
          <w:color w:val="FF0000"/>
          <w:sz w:val="24"/>
          <w:szCs w:val="24"/>
          <w:u w:val="single"/>
          <w:lang w:eastAsia="es-ES"/>
        </w:rPr>
        <w:t>, resumió el vicecanciller. Alemania lleva meses advirtiendo de que su economía sería una de las mayores víctimas de un corte total del gas ruso. Habeck ya negoció contratos para los próximos años con los países del Golfo Pérsico para reemplazar parte de lo que compra a Rusia, pero no podrán compensarlo por completo, y el plazo de transición será peligroso. Así, pide cooperación a los ciudadanos.</w:t>
      </w:r>
    </w:p>
    <w:p w:rsidR="008C0415" w:rsidRPr="00D10BBD" w:rsidRDefault="008C0415" w:rsidP="008C0415">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10BBD">
        <w:rPr>
          <w:rFonts w:ascii="Times New Roman" w:eastAsia="Times New Roman" w:hAnsi="Times New Roman" w:cs="Times New Roman"/>
          <w:sz w:val="24"/>
          <w:szCs w:val="24"/>
          <w:u w:val="single"/>
          <w:lang w:eastAsia="es-ES"/>
        </w:rPr>
        <w:t>Rusia cierra el grifo: el suministro de gas cae en Francia, Alemania e Italia</w:t>
      </w:r>
      <w:r>
        <w:rPr>
          <w:rFonts w:ascii="Times New Roman" w:eastAsia="Times New Roman" w:hAnsi="Times New Roman" w:cs="Times New Roman"/>
          <w:sz w:val="24"/>
          <w:szCs w:val="24"/>
          <w:lang w:eastAsia="es-ES"/>
        </w:rPr>
        <w:t xml:space="preserve"> (Cinco Días - </w:t>
      </w:r>
      <w:r w:rsidRPr="00D10BBD">
        <w:rPr>
          <w:rFonts w:ascii="Times New Roman" w:eastAsia="Times New Roman" w:hAnsi="Times New Roman" w:cs="Times New Roman"/>
          <w:b/>
          <w:sz w:val="24"/>
          <w:szCs w:val="24"/>
          <w:lang w:eastAsia="es-ES"/>
        </w:rPr>
        <w:t>17/6/22</w:t>
      </w:r>
      <w:r>
        <w:rPr>
          <w:rFonts w:ascii="Times New Roman" w:eastAsia="Times New Roman" w:hAnsi="Times New Roman" w:cs="Times New Roman"/>
          <w:sz w:val="24"/>
          <w:szCs w:val="24"/>
          <w:lang w:eastAsia="es-ES"/>
        </w:rPr>
        <w:t>)</w:t>
      </w:r>
    </w:p>
    <w:p w:rsidR="008C0415" w:rsidRPr="00503004" w:rsidRDefault="008C0415" w:rsidP="008C0415">
      <w:pPr>
        <w:spacing w:after="360" w:line="240" w:lineRule="auto"/>
        <w:jc w:val="both"/>
        <w:rPr>
          <w:rFonts w:ascii="Times New Roman" w:eastAsia="Times New Roman" w:hAnsi="Times New Roman" w:cs="Times New Roman"/>
          <w:sz w:val="24"/>
          <w:szCs w:val="24"/>
          <w:u w:val="single"/>
          <w:lang w:eastAsia="es-ES"/>
        </w:rPr>
      </w:pPr>
      <w:r w:rsidRPr="00503004">
        <w:rPr>
          <w:rFonts w:ascii="Times New Roman" w:eastAsia="Times New Roman" w:hAnsi="Times New Roman" w:cs="Times New Roman"/>
          <w:sz w:val="24"/>
          <w:szCs w:val="24"/>
          <w:u w:val="single"/>
          <w:lang w:eastAsia="es-ES"/>
        </w:rPr>
        <w:t xml:space="preserve">El Kremlin contraataca con el arma del gas. Las empresas europeas han reportado este viernes que los envíos del gigante ruso, Gazprom, han descendido en países como Alemania, Francia e Italia, tanto a través del gasoducto Nord Stream como del corredor ucraniano, las dos principales rutas de transporte. En este contexto, el precio de los contratos futuros en el mercado neerlandés, que es el referente de la región, se han llegado a disparar hasta los 134 </w:t>
      </w:r>
      <w:r w:rsidRPr="00503004">
        <w:rPr>
          <w:rFonts w:ascii="Times New Roman" w:eastAsia="Times New Roman" w:hAnsi="Times New Roman" w:cs="Times New Roman"/>
          <w:sz w:val="24"/>
          <w:szCs w:val="24"/>
          <w:u w:val="single"/>
          <w:lang w:eastAsia="es-ES"/>
        </w:rPr>
        <w:lastRenderedPageBreak/>
        <w:t>euros/mwh, más de un 5% por encima del precio de cierre de ayer, según información de Intercontinental Exchange.</w:t>
      </w:r>
    </w:p>
    <w:p w:rsidR="008C0415" w:rsidRPr="00503004" w:rsidRDefault="008C0415" w:rsidP="008C0415">
      <w:pPr>
        <w:spacing w:after="360" w:line="240" w:lineRule="auto"/>
        <w:jc w:val="both"/>
        <w:rPr>
          <w:rFonts w:ascii="Times New Roman" w:eastAsia="Times New Roman" w:hAnsi="Times New Roman" w:cs="Times New Roman"/>
          <w:color w:val="FF0000"/>
          <w:sz w:val="24"/>
          <w:szCs w:val="24"/>
          <w:u w:val="single"/>
          <w:lang w:eastAsia="es-ES"/>
        </w:rPr>
      </w:pPr>
      <w:r w:rsidRPr="00503004">
        <w:rPr>
          <w:rFonts w:ascii="Times New Roman" w:eastAsia="Times New Roman" w:hAnsi="Times New Roman" w:cs="Times New Roman"/>
          <w:color w:val="FF0000"/>
          <w:sz w:val="24"/>
          <w:szCs w:val="24"/>
          <w:u w:val="single"/>
          <w:lang w:eastAsia="es-ES"/>
        </w:rPr>
        <w:t>Los precios de referencia del gas ya han subido más de un 60% esta semana. Gazprom indica que el suministro a través del conducto permanecerá limitado a unos 67 millones de metros c</w:t>
      </w:r>
      <w:r>
        <w:rPr>
          <w:rFonts w:ascii="Times New Roman" w:eastAsia="Times New Roman" w:hAnsi="Times New Roman" w:cs="Times New Roman"/>
          <w:color w:val="FF0000"/>
          <w:sz w:val="24"/>
          <w:szCs w:val="24"/>
          <w:u w:val="single"/>
          <w:lang w:eastAsia="es-ES"/>
        </w:rPr>
        <w:t>úbicos (mcm) por día, debido a “problemas técnicos”</w:t>
      </w:r>
      <w:r w:rsidRPr="00503004">
        <w:rPr>
          <w:rFonts w:ascii="Times New Roman" w:eastAsia="Times New Roman" w:hAnsi="Times New Roman" w:cs="Times New Roman"/>
          <w:color w:val="FF0000"/>
          <w:sz w:val="24"/>
          <w:szCs w:val="24"/>
          <w:u w:val="single"/>
          <w:lang w:eastAsia="es-ES"/>
        </w:rPr>
        <w:t xml:space="preserve"> y a una demora en el retorno de equipos que están siendo reparados por la alemana Siemens Energy en Canadá.  No obstante, Alemania ha cuestionado este argumento, asegurando que las reducciones están "motivadas políticamente" y destinadas a perturbar los mercados. </w:t>
      </w:r>
    </w:p>
    <w:p w:rsidR="008C0415" w:rsidRPr="00503004" w:rsidRDefault="008C0415" w:rsidP="008C0415">
      <w:pPr>
        <w:spacing w:after="360" w:line="240" w:lineRule="auto"/>
        <w:jc w:val="both"/>
        <w:rPr>
          <w:rFonts w:ascii="Times New Roman" w:eastAsia="Times New Roman" w:hAnsi="Times New Roman" w:cs="Times New Roman"/>
          <w:color w:val="FF0000"/>
          <w:sz w:val="24"/>
          <w:szCs w:val="24"/>
          <w:u w:val="single"/>
          <w:lang w:eastAsia="es-ES"/>
        </w:rPr>
      </w:pPr>
      <w:r w:rsidRPr="00503004">
        <w:rPr>
          <w:rFonts w:ascii="Times New Roman" w:eastAsia="Times New Roman" w:hAnsi="Times New Roman" w:cs="Times New Roman"/>
          <w:color w:val="FF0000"/>
          <w:sz w:val="24"/>
          <w:szCs w:val="24"/>
          <w:u w:val="single"/>
          <w:lang w:eastAsia="es-ES"/>
        </w:rPr>
        <w:t>La caída en el suministro está reduciendo el tránsito de combustible dentro de la red europea. La alemana Uniper, el principal importador de gas de la región, ha comunicado hoy que su suministro ruso ha caído hasta en un 60%. Asimismo, la empresa de hidrocarburos ENI, controlada al 30 % por el Tesoro italiano, informó este viernes que Gazprom envió solamente el 50 % de los suministros de gas solicitados para la jornada.</w:t>
      </w:r>
    </w:p>
    <w:p w:rsidR="008C0415" w:rsidRPr="00503004" w:rsidRDefault="008C0415" w:rsidP="008C0415">
      <w:pPr>
        <w:spacing w:after="360"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t>“</w:t>
      </w:r>
      <w:r w:rsidRPr="00503004">
        <w:rPr>
          <w:rFonts w:ascii="Times New Roman" w:eastAsia="Times New Roman" w:hAnsi="Times New Roman" w:cs="Times New Roman"/>
          <w:sz w:val="24"/>
          <w:szCs w:val="24"/>
          <w:u w:val="single"/>
          <w:lang w:eastAsia="es-ES"/>
        </w:rPr>
        <w:t xml:space="preserve">Ante una petición diaria por parte de ENI de 63 millones de metros cúbicos, Gazprom ha respondido que únicamente suministrará el 50 %, con una cantidad efectiva entregada </w:t>
      </w:r>
      <w:r>
        <w:rPr>
          <w:rFonts w:ascii="Times New Roman" w:eastAsia="Times New Roman" w:hAnsi="Times New Roman" w:cs="Times New Roman"/>
          <w:sz w:val="24"/>
          <w:szCs w:val="24"/>
          <w:u w:val="single"/>
          <w:lang w:eastAsia="es-ES"/>
        </w:rPr>
        <w:t>sin variaciones respecto a ayer”</w:t>
      </w:r>
      <w:r w:rsidRPr="00503004">
        <w:rPr>
          <w:rFonts w:ascii="Times New Roman" w:eastAsia="Times New Roman" w:hAnsi="Times New Roman" w:cs="Times New Roman"/>
          <w:sz w:val="24"/>
          <w:szCs w:val="24"/>
          <w:u w:val="single"/>
          <w:lang w:eastAsia="es-ES"/>
        </w:rPr>
        <w:t>, comunicó la entidad italiana. Gazprom ya había exportado solo el 65% de lo solicitado el jueves, pese a que la demanda de la italiana ha sido superior a la para recuperar las cantidades no recibidas. El gigante ruso aún no ha dado explicaciones sobre el motivo del recorte de envíos.</w:t>
      </w:r>
    </w:p>
    <w:p w:rsidR="008C0415" w:rsidRPr="00D10BBD" w:rsidRDefault="008C0415" w:rsidP="008C0415">
      <w:pPr>
        <w:spacing w:after="360" w:line="240" w:lineRule="auto"/>
        <w:jc w:val="both"/>
        <w:rPr>
          <w:rFonts w:ascii="Times New Roman" w:eastAsia="Times New Roman" w:hAnsi="Times New Roman" w:cs="Times New Roman"/>
          <w:sz w:val="24"/>
          <w:szCs w:val="24"/>
          <w:lang w:eastAsia="es-ES"/>
        </w:rPr>
      </w:pPr>
      <w:r w:rsidRPr="00503004">
        <w:rPr>
          <w:rFonts w:ascii="Times New Roman" w:eastAsia="Times New Roman" w:hAnsi="Times New Roman" w:cs="Times New Roman"/>
          <w:sz w:val="24"/>
          <w:szCs w:val="24"/>
          <w:u w:val="single"/>
          <w:lang w:eastAsia="es-ES"/>
        </w:rPr>
        <w:t>Francia es otro de los países afectados, con un recorte en los envíos que llegan al norte del país desde el Nord Stream dos desde territorio germano</w:t>
      </w:r>
      <w:r w:rsidRPr="00D10BBD">
        <w:rPr>
          <w:rFonts w:ascii="Times New Roman" w:eastAsia="Times New Roman" w:hAnsi="Times New Roman" w:cs="Times New Roman"/>
          <w:sz w:val="24"/>
          <w:szCs w:val="24"/>
          <w:lang w:eastAsia="es-ES"/>
        </w:rPr>
        <w:t>. “Desde el 15 de junio, GRTgaz ha notado una interrupción en el flujo físico entre Francia y Alemania. Este flujo rondaba los 60 GWh/d (gigavatios hora por día) a principios de 2022, lo que representa solamente el 10 % de l</w:t>
      </w:r>
      <w:r>
        <w:rPr>
          <w:rFonts w:ascii="Times New Roman" w:eastAsia="Times New Roman" w:hAnsi="Times New Roman" w:cs="Times New Roman"/>
          <w:sz w:val="24"/>
          <w:szCs w:val="24"/>
          <w:lang w:eastAsia="es-ES"/>
        </w:rPr>
        <w:t>a capacidad de la interconexión”</w:t>
      </w:r>
      <w:r w:rsidRPr="00D10BBD">
        <w:rPr>
          <w:rFonts w:ascii="Times New Roman" w:eastAsia="Times New Roman" w:hAnsi="Times New Roman" w:cs="Times New Roman"/>
          <w:sz w:val="24"/>
          <w:szCs w:val="24"/>
          <w:lang w:eastAsia="es-ES"/>
        </w:rPr>
        <w:t>, ha indicado el viernes el operador de gasoductos de Francia GRTgaz este viernes. La compañía ha resaltado que esta caída en el suministro se debe a la medida de Gazprom, aunque descarta que en el corto plazo vaya a tener algún impacto i</w:t>
      </w:r>
      <w:r>
        <w:rPr>
          <w:rFonts w:ascii="Times New Roman" w:eastAsia="Times New Roman" w:hAnsi="Times New Roman" w:cs="Times New Roman"/>
          <w:sz w:val="24"/>
          <w:szCs w:val="24"/>
          <w:lang w:eastAsia="es-ES"/>
        </w:rPr>
        <w:t>mportante en su mix energético.</w:t>
      </w:r>
    </w:p>
    <w:p w:rsidR="008C0415" w:rsidRDefault="008C0415" w:rsidP="008C0415">
      <w:pPr>
        <w:spacing w:after="360" w:line="240" w:lineRule="auto"/>
        <w:jc w:val="both"/>
        <w:rPr>
          <w:rFonts w:ascii="Times New Roman" w:eastAsia="Times New Roman" w:hAnsi="Times New Roman" w:cs="Times New Roman"/>
          <w:sz w:val="24"/>
          <w:szCs w:val="24"/>
          <w:u w:val="single"/>
          <w:lang w:eastAsia="es-ES"/>
        </w:rPr>
      </w:pPr>
      <w:r w:rsidRPr="00503004">
        <w:rPr>
          <w:rFonts w:ascii="Times New Roman" w:eastAsia="Times New Roman" w:hAnsi="Times New Roman" w:cs="Times New Roman"/>
          <w:sz w:val="24"/>
          <w:szCs w:val="24"/>
          <w:u w:val="single"/>
          <w:lang w:eastAsia="es-ES"/>
        </w:rPr>
        <w:t>Europa ha temido las reducciones como represalia por las sanciones implantadas contra Moscú por la invasión a Ucrania. Como respuesta, la región ha aumentado las importaciones de gas natural licuado para cubrir cualquier déficit y también llenar los sitios de almacenamiento a tiempo para el próximo invierno cuando aumente la demanda de calefacción. No obstante, una de las pr</w:t>
      </w:r>
      <w:r>
        <w:rPr>
          <w:rFonts w:ascii="Times New Roman" w:eastAsia="Times New Roman" w:hAnsi="Times New Roman" w:cs="Times New Roman"/>
          <w:sz w:val="24"/>
          <w:szCs w:val="24"/>
          <w:u w:val="single"/>
          <w:lang w:eastAsia="es-ES"/>
        </w:rPr>
        <w:t>incipales plantas de GNL de EEUU</w:t>
      </w:r>
      <w:r w:rsidRPr="00503004">
        <w:rPr>
          <w:rFonts w:ascii="Times New Roman" w:eastAsia="Times New Roman" w:hAnsi="Times New Roman" w:cs="Times New Roman"/>
          <w:sz w:val="24"/>
          <w:szCs w:val="24"/>
          <w:u w:val="single"/>
          <w:lang w:eastAsia="es-ES"/>
        </w:rPr>
        <w:t xml:space="preserve"> que suministra el combustible a Europa tendrá que permanecer cerrada tras de un incendio la semana pasada, lo que podría afectar el suministro.</w:t>
      </w:r>
    </w:p>
    <w:p w:rsidR="00DB662E" w:rsidRPr="008C4527" w:rsidRDefault="00DB662E" w:rsidP="008C0415">
      <w:pPr>
        <w:spacing w:after="360" w:line="240" w:lineRule="auto"/>
        <w:jc w:val="both"/>
        <w:rPr>
          <w:rFonts w:ascii="Times New Roman" w:eastAsia="Times New Roman" w:hAnsi="Times New Roman" w:cs="Times New Roman"/>
          <w:b/>
          <w:sz w:val="24"/>
          <w:szCs w:val="24"/>
          <w:lang w:eastAsia="es-ES"/>
        </w:rPr>
      </w:pPr>
      <w:r w:rsidRPr="008C4527">
        <w:rPr>
          <w:rFonts w:ascii="Times New Roman" w:eastAsia="Times New Roman" w:hAnsi="Times New Roman" w:cs="Times New Roman"/>
          <w:b/>
          <w:sz w:val="24"/>
          <w:szCs w:val="24"/>
          <w:lang w:eastAsia="es-ES"/>
        </w:rPr>
        <w:t xml:space="preserve">Nota: </w:t>
      </w:r>
      <w:r w:rsidR="008C4527" w:rsidRPr="008C4527">
        <w:rPr>
          <w:rFonts w:ascii="Times New Roman" w:eastAsia="Times New Roman" w:hAnsi="Times New Roman" w:cs="Times New Roman"/>
          <w:b/>
          <w:sz w:val="24"/>
          <w:szCs w:val="24"/>
          <w:lang w:eastAsia="es-ES"/>
        </w:rPr>
        <w:t>“</w:t>
      </w:r>
      <w:r w:rsidRPr="008C4527">
        <w:rPr>
          <w:rFonts w:ascii="Times New Roman" w:eastAsia="Times New Roman" w:hAnsi="Times New Roman" w:cs="Times New Roman"/>
          <w:b/>
          <w:sz w:val="24"/>
          <w:szCs w:val="24"/>
          <w:lang w:eastAsia="es-ES"/>
        </w:rPr>
        <w:t>Charlando las noticias</w:t>
      </w:r>
      <w:r w:rsidR="008C4527" w:rsidRPr="008C4527">
        <w:rPr>
          <w:rFonts w:ascii="Times New Roman" w:eastAsia="Times New Roman" w:hAnsi="Times New Roman" w:cs="Times New Roman"/>
          <w:b/>
          <w:sz w:val="24"/>
          <w:szCs w:val="24"/>
          <w:lang w:eastAsia="es-ES"/>
        </w:rPr>
        <w:t>”</w:t>
      </w:r>
      <w:r w:rsidRPr="008C4527">
        <w:rPr>
          <w:rFonts w:ascii="Times New Roman" w:eastAsia="Times New Roman" w:hAnsi="Times New Roman" w:cs="Times New Roman"/>
          <w:b/>
          <w:sz w:val="24"/>
          <w:szCs w:val="24"/>
          <w:lang w:eastAsia="es-ES"/>
        </w:rPr>
        <w:t xml:space="preserve"> (comentario sobre lo leído en la “maldita” hemeroteca)</w:t>
      </w:r>
    </w:p>
    <w:p w:rsidR="008C0415" w:rsidRPr="008C4527" w:rsidRDefault="008C0415" w:rsidP="008C0415">
      <w:pPr>
        <w:pStyle w:val="NormalWeb"/>
        <w:spacing w:after="0"/>
        <w:jc w:val="both"/>
        <w:textAlignment w:val="baseline"/>
        <w:rPr>
          <w:b/>
        </w:rPr>
      </w:pPr>
      <w:r w:rsidRPr="008C4527">
        <w:rPr>
          <w:b/>
        </w:rPr>
        <w:t>La “ceguera voluntaria” de la UE: entre la inacción y la desmemoria (los burócratas europeos pretenden soplar y sorber a la vez: primero destruyen y luego subsidian)</w:t>
      </w:r>
    </w:p>
    <w:p w:rsidR="008C0415" w:rsidRPr="008C4527" w:rsidRDefault="008C0415" w:rsidP="008C0415">
      <w:pPr>
        <w:pStyle w:val="NormalWeb"/>
        <w:spacing w:after="0"/>
        <w:jc w:val="both"/>
        <w:textAlignment w:val="baseline"/>
        <w:rPr>
          <w:b/>
        </w:rPr>
      </w:pPr>
      <w:r w:rsidRPr="008C4527">
        <w:rPr>
          <w:b/>
        </w:rPr>
        <w:t>La invasión de Ucrania (o la guerra de Putin, como quieran llamarla) no se puede utilizar para tapar las incapacidades y sectarismos de la Unión Europea.</w:t>
      </w:r>
    </w:p>
    <w:p w:rsidR="008C0415" w:rsidRPr="008C4527" w:rsidRDefault="008C0415" w:rsidP="008C0415">
      <w:pPr>
        <w:pStyle w:val="NormalWeb"/>
        <w:spacing w:after="0"/>
        <w:jc w:val="both"/>
        <w:textAlignment w:val="baseline"/>
        <w:rPr>
          <w:b/>
        </w:rPr>
      </w:pPr>
      <w:r w:rsidRPr="008C4527">
        <w:rPr>
          <w:b/>
        </w:rPr>
        <w:lastRenderedPageBreak/>
        <w:t>¿Esta vez es diferente? No, como en el año 2088 (crisis financiera), en el año 2012 (crisis monetaria), en el año 2020 (crisis sanitaria), los problemas energéticos (Rusia) o de productos agropecuarios (Ucrania), que afectan la región en la primera parte del año 2022, solo ponen en evidencia, con un agravante coyuntural, algunos problemas estructurales, que vienen de lejos, y que se originan en la incapacidad de la Unión Europea de lleg</w:t>
      </w:r>
      <w:r w:rsidR="008C3829">
        <w:rPr>
          <w:b/>
        </w:rPr>
        <w:t xml:space="preserve">ar a ser algo más que una mera </w:t>
      </w:r>
      <w:r w:rsidRPr="008C4527">
        <w:rPr>
          <w:b/>
        </w:rPr>
        <w:t>asociaci</w:t>
      </w:r>
      <w:r w:rsidR="008C3829">
        <w:rPr>
          <w:b/>
        </w:rPr>
        <w:t>ón de mercaderes</w:t>
      </w:r>
      <w:r w:rsidRPr="008C4527">
        <w:rPr>
          <w:b/>
        </w:rPr>
        <w:t xml:space="preserve"> con intereses diversos, a veces competitivos, otras  enfrentados, y en muchos casos inconciliables. </w:t>
      </w:r>
    </w:p>
    <w:p w:rsidR="008C0415" w:rsidRPr="008C4527" w:rsidRDefault="008C0415" w:rsidP="008C0415">
      <w:pPr>
        <w:pStyle w:val="NormalWeb"/>
        <w:spacing w:after="0"/>
        <w:jc w:val="both"/>
        <w:textAlignment w:val="baseline"/>
        <w:rPr>
          <w:b/>
        </w:rPr>
      </w:pPr>
      <w:r w:rsidRPr="008C4527">
        <w:rPr>
          <w:b/>
        </w:rPr>
        <w:t>La guerra y las sanciones a Rusia, solo agravan la crisis estructural de la Unión Europea,</w:t>
      </w:r>
      <w:r w:rsidR="008C3829">
        <w:rPr>
          <w:b/>
        </w:rPr>
        <w:t xml:space="preserve">  limitando o cercenado</w:t>
      </w:r>
      <w:r w:rsidRPr="008C4527">
        <w:rPr>
          <w:b/>
        </w:rPr>
        <w:t>, las posibilidades de construir los Estados Unidos de Eur</w:t>
      </w:r>
      <w:r w:rsidR="008C3829">
        <w:rPr>
          <w:b/>
        </w:rPr>
        <w:t>opa. Esos fallos de concepción y concordia, hacen que las crisis globales</w:t>
      </w:r>
      <w:r w:rsidRPr="008C4527">
        <w:rPr>
          <w:b/>
        </w:rPr>
        <w:t xml:space="preserve"> afecten más a Europa, que a EEUU o Chi</w:t>
      </w:r>
      <w:r w:rsidR="008C3829">
        <w:rPr>
          <w:b/>
        </w:rPr>
        <w:t>na, y que luego, sea más lenta y costosa</w:t>
      </w:r>
      <w:r w:rsidRPr="008C4527">
        <w:rPr>
          <w:b/>
        </w:rPr>
        <w:t xml:space="preserve"> la salida de la misma en Europa, que en EEUU o China. ¿Externalidades negativas, o pecado original? </w:t>
      </w:r>
    </w:p>
    <w:p w:rsidR="008C0415" w:rsidRDefault="008C0415" w:rsidP="008C0415">
      <w:pPr>
        <w:spacing w:line="240" w:lineRule="auto"/>
        <w:jc w:val="both"/>
        <w:rPr>
          <w:rFonts w:ascii="Times New Roman" w:hAnsi="Times New Roman" w:cs="Times New Roman"/>
          <w:b/>
          <w:sz w:val="24"/>
          <w:szCs w:val="24"/>
        </w:rPr>
      </w:pPr>
      <w:r>
        <w:rPr>
          <w:rFonts w:ascii="Times New Roman" w:hAnsi="Times New Roman" w:cs="Times New Roman"/>
          <w:b/>
          <w:sz w:val="24"/>
          <w:szCs w:val="24"/>
        </w:rPr>
        <w:t>Con el debido respeto… (en el nombre de la Madre Tierra, del hijo</w:t>
      </w:r>
      <w:r w:rsidR="001638F1">
        <w:rPr>
          <w:rFonts w:ascii="Times New Roman" w:hAnsi="Times New Roman" w:cs="Times New Roman"/>
          <w:b/>
          <w:sz w:val="24"/>
          <w:szCs w:val="24"/>
        </w:rPr>
        <w:t>,</w:t>
      </w:r>
      <w:r>
        <w:rPr>
          <w:rFonts w:ascii="Times New Roman" w:hAnsi="Times New Roman" w:cs="Times New Roman"/>
          <w:b/>
          <w:sz w:val="24"/>
          <w:szCs w:val="24"/>
        </w:rPr>
        <w:t xml:space="preserve"> y del… nieto)</w:t>
      </w:r>
    </w:p>
    <w:p w:rsidR="008C0415" w:rsidRPr="00244B4E" w:rsidRDefault="008C0415" w:rsidP="008C0415">
      <w:pPr>
        <w:spacing w:line="240" w:lineRule="auto"/>
        <w:jc w:val="both"/>
        <w:rPr>
          <w:rFonts w:ascii="Times New Roman" w:hAnsi="Times New Roman" w:cs="Times New Roman"/>
          <w:sz w:val="24"/>
          <w:szCs w:val="24"/>
        </w:rPr>
      </w:pPr>
      <w:r w:rsidRPr="00244B4E">
        <w:rPr>
          <w:rFonts w:ascii="Times New Roman" w:hAnsi="Times New Roman" w:cs="Times New Roman"/>
          <w:sz w:val="24"/>
          <w:szCs w:val="24"/>
        </w:rPr>
        <w:t xml:space="preserve">No está en mi capacidad (ni intención) debatir con estos “grandes bonetes” sobre el futuro de las energías neutras de carbono, que permitan alcanzar el objetivo de las cero emisiones en 2050. Solo intento llamar la atención (humildemente) sobre la “oportunidad” de asumir el compromiso en su totalidad (realidad económica), sobre la necesidad de una “participación” proporcional, mancomunada, y solidaria de todos los países, en el esfuerzo (realidad política), y sobre el justo “reparto” de costos y beneficios del emprendimiento, entre los ciudadanos, empresas y gobiernos (realidad social). No solo es una cuestión de plazos, y/o de responsabilidades, sino también de compensación a los perdedores del cambio. </w:t>
      </w:r>
    </w:p>
    <w:p w:rsidR="008C0415" w:rsidRPr="00244B4E" w:rsidRDefault="008C0415" w:rsidP="008C0415">
      <w:pPr>
        <w:spacing w:line="240" w:lineRule="auto"/>
        <w:jc w:val="both"/>
        <w:rPr>
          <w:rFonts w:ascii="Times New Roman" w:hAnsi="Times New Roman" w:cs="Times New Roman"/>
          <w:sz w:val="24"/>
          <w:szCs w:val="24"/>
        </w:rPr>
      </w:pPr>
      <w:r w:rsidRPr="00244B4E">
        <w:rPr>
          <w:rFonts w:ascii="Times New Roman" w:hAnsi="Times New Roman" w:cs="Times New Roman"/>
          <w:sz w:val="24"/>
          <w:szCs w:val="24"/>
        </w:rPr>
        <w:t>Puede que la Unión Europea no posea petróleo o gas (y tenga que depender de proveedores externos impredecibles), pero no tiene por qué renunciar a la energía nucl</w:t>
      </w:r>
      <w:r>
        <w:rPr>
          <w:rFonts w:ascii="Times New Roman" w:hAnsi="Times New Roman" w:cs="Times New Roman"/>
          <w:sz w:val="24"/>
          <w:szCs w:val="24"/>
        </w:rPr>
        <w:t>ear, para tranquilizar a los</w:t>
      </w:r>
      <w:r w:rsidRPr="00244B4E">
        <w:rPr>
          <w:rFonts w:ascii="Times New Roman" w:hAnsi="Times New Roman" w:cs="Times New Roman"/>
          <w:sz w:val="24"/>
          <w:szCs w:val="24"/>
        </w:rPr>
        <w:t xml:space="preserve"> miedosos tecnol</w:t>
      </w:r>
      <w:r>
        <w:rPr>
          <w:rFonts w:ascii="Times New Roman" w:hAnsi="Times New Roman" w:cs="Times New Roman"/>
          <w:sz w:val="24"/>
          <w:szCs w:val="24"/>
        </w:rPr>
        <w:t>ógicos, o para congraciarse con los</w:t>
      </w:r>
      <w:r w:rsidRPr="00244B4E">
        <w:rPr>
          <w:rFonts w:ascii="Times New Roman" w:hAnsi="Times New Roman" w:cs="Times New Roman"/>
          <w:sz w:val="24"/>
          <w:szCs w:val="24"/>
        </w:rPr>
        <w:t xml:space="preserve"> ecologistas radicales.</w:t>
      </w:r>
    </w:p>
    <w:p w:rsidR="008C0415" w:rsidRPr="00244B4E" w:rsidRDefault="008C0415" w:rsidP="008C0415">
      <w:pPr>
        <w:spacing w:line="240" w:lineRule="auto"/>
        <w:jc w:val="both"/>
        <w:rPr>
          <w:rFonts w:ascii="Times New Roman" w:hAnsi="Times New Roman" w:cs="Times New Roman"/>
          <w:sz w:val="24"/>
          <w:szCs w:val="24"/>
        </w:rPr>
      </w:pPr>
      <w:r w:rsidRPr="00244B4E">
        <w:rPr>
          <w:rFonts w:ascii="Times New Roman" w:hAnsi="Times New Roman" w:cs="Times New Roman"/>
          <w:sz w:val="24"/>
          <w:szCs w:val="24"/>
        </w:rPr>
        <w:t>Tampoco el planeta se morirá de repente si por unos años más en la UE se utiliza carbón (como ya está haciendo Alemania o Polonia), para disminuir la factura energética. No hay que olvidar que la UE solo produce el 8% de los gases de efecto invernadero que se emiten a la atmósfera. (China 31%</w:t>
      </w:r>
      <w:r>
        <w:rPr>
          <w:rFonts w:ascii="Times New Roman" w:hAnsi="Times New Roman" w:cs="Times New Roman"/>
          <w:sz w:val="24"/>
          <w:szCs w:val="24"/>
        </w:rPr>
        <w:t>,</w:t>
      </w:r>
      <w:r w:rsidRPr="00244B4E">
        <w:rPr>
          <w:rFonts w:ascii="Times New Roman" w:hAnsi="Times New Roman" w:cs="Times New Roman"/>
          <w:sz w:val="24"/>
          <w:szCs w:val="24"/>
        </w:rPr>
        <w:t xml:space="preserve"> y EEUU 14%). Hay grandes países que hacen de su capa un sayo.</w:t>
      </w:r>
    </w:p>
    <w:p w:rsidR="008C0415" w:rsidRPr="00244B4E" w:rsidRDefault="008C0415" w:rsidP="008C0415">
      <w:pPr>
        <w:spacing w:line="240" w:lineRule="auto"/>
        <w:jc w:val="both"/>
        <w:rPr>
          <w:rFonts w:ascii="Times New Roman" w:hAnsi="Times New Roman" w:cs="Times New Roman"/>
          <w:sz w:val="24"/>
          <w:szCs w:val="24"/>
        </w:rPr>
      </w:pPr>
      <w:r w:rsidRPr="00244B4E">
        <w:rPr>
          <w:rFonts w:ascii="Times New Roman" w:hAnsi="Times New Roman" w:cs="Times New Roman"/>
          <w:sz w:val="24"/>
          <w:szCs w:val="24"/>
        </w:rPr>
        <w:t>Los errores han sido muchos y muy notorios, empezando por esa Alemania que de la mano de Angela Merkel hipotecó su independencia energética al petróleo y el gas ruso, al tiempo que cerró las centrales nucleares. ¿Habrá sido</w:t>
      </w:r>
      <w:r>
        <w:rPr>
          <w:rFonts w:ascii="Times New Roman" w:hAnsi="Times New Roman" w:cs="Times New Roman"/>
          <w:sz w:val="24"/>
          <w:szCs w:val="24"/>
        </w:rPr>
        <w:t xml:space="preserve"> por su complejo de “ossie” (NyC</w:t>
      </w:r>
      <w:r w:rsidRPr="00244B4E">
        <w:rPr>
          <w:rFonts w:ascii="Times New Roman" w:hAnsi="Times New Roman" w:cs="Times New Roman"/>
          <w:sz w:val="24"/>
          <w:szCs w:val="24"/>
        </w:rPr>
        <w:t>, en Alemania Oriental), o por la mano de Sch</w:t>
      </w:r>
      <w:r>
        <w:rPr>
          <w:rFonts w:ascii="Times New Roman" w:hAnsi="Times New Roman" w:cs="Times New Roman"/>
          <w:sz w:val="24"/>
          <w:szCs w:val="24"/>
        </w:rPr>
        <w:t>r</w:t>
      </w:r>
      <w:r w:rsidRPr="00244B4E">
        <w:rPr>
          <w:rFonts w:ascii="Times New Roman" w:hAnsi="Times New Roman" w:cs="Times New Roman"/>
          <w:sz w:val="24"/>
          <w:szCs w:val="24"/>
        </w:rPr>
        <w:t>oeder</w:t>
      </w:r>
      <w:r>
        <w:rPr>
          <w:rFonts w:ascii="Times New Roman" w:hAnsi="Times New Roman" w:cs="Times New Roman"/>
          <w:sz w:val="24"/>
          <w:szCs w:val="24"/>
        </w:rPr>
        <w:t xml:space="preserve"> (Gazprom) que “mece la cuna”</w:t>
      </w:r>
      <w:r w:rsidRPr="00244B4E">
        <w:rPr>
          <w:rFonts w:ascii="Times New Roman" w:hAnsi="Times New Roman" w:cs="Times New Roman"/>
          <w:sz w:val="24"/>
          <w:szCs w:val="24"/>
        </w:rPr>
        <w:t>? ¡That is the question!</w:t>
      </w:r>
    </w:p>
    <w:p w:rsidR="008C0415" w:rsidRDefault="008C0415" w:rsidP="008C0415">
      <w:pPr>
        <w:spacing w:line="240" w:lineRule="auto"/>
        <w:jc w:val="both"/>
        <w:rPr>
          <w:rFonts w:ascii="Times New Roman" w:hAnsi="Times New Roman" w:cs="Times New Roman"/>
          <w:b/>
          <w:sz w:val="24"/>
          <w:szCs w:val="24"/>
        </w:rPr>
      </w:pPr>
      <w:r w:rsidRPr="00A54C10">
        <w:rPr>
          <w:rFonts w:ascii="Times New Roman" w:hAnsi="Times New Roman" w:cs="Times New Roman"/>
          <w:b/>
          <w:sz w:val="24"/>
          <w:szCs w:val="24"/>
        </w:rPr>
        <w:t xml:space="preserve">Europa está obligada a imprimir un profundo cambio de rumbo en su política energética, para liberarse de la dependencia de dictadores de toda laya y condición. Los </w:t>
      </w:r>
      <w:r>
        <w:rPr>
          <w:rFonts w:ascii="Times New Roman" w:hAnsi="Times New Roman" w:cs="Times New Roman"/>
          <w:b/>
          <w:sz w:val="24"/>
          <w:szCs w:val="24"/>
        </w:rPr>
        <w:t>Gobiernos de la UE</w:t>
      </w:r>
      <w:r w:rsidRPr="00A54C10">
        <w:rPr>
          <w:rFonts w:ascii="Times New Roman" w:hAnsi="Times New Roman" w:cs="Times New Roman"/>
          <w:b/>
          <w:sz w:val="24"/>
          <w:szCs w:val="24"/>
        </w:rPr>
        <w:t xml:space="preserve"> ya</w:t>
      </w:r>
      <w:r>
        <w:rPr>
          <w:rFonts w:ascii="Times New Roman" w:hAnsi="Times New Roman" w:cs="Times New Roman"/>
          <w:b/>
          <w:sz w:val="24"/>
          <w:szCs w:val="24"/>
        </w:rPr>
        <w:t xml:space="preserve"> deberían estar manos a la obra, sin complejos, ni connivencias.</w:t>
      </w:r>
    </w:p>
    <w:p w:rsidR="008C0415" w:rsidRPr="00F54FE0" w:rsidRDefault="008C0415" w:rsidP="008C0415">
      <w:pPr>
        <w:spacing w:line="240" w:lineRule="auto"/>
        <w:jc w:val="both"/>
        <w:rPr>
          <w:rFonts w:ascii="Times New Roman" w:hAnsi="Times New Roman" w:cs="Times New Roman"/>
          <w:b/>
          <w:sz w:val="24"/>
          <w:szCs w:val="24"/>
        </w:rPr>
      </w:pPr>
      <w:r w:rsidRPr="00F54FE0">
        <w:rPr>
          <w:rFonts w:ascii="Times New Roman" w:hAnsi="Times New Roman" w:cs="Times New Roman"/>
          <w:b/>
          <w:sz w:val="24"/>
          <w:szCs w:val="24"/>
        </w:rPr>
        <w:t>Anexo</w:t>
      </w:r>
      <w:r>
        <w:rPr>
          <w:rFonts w:ascii="Times New Roman" w:hAnsi="Times New Roman" w:cs="Times New Roman"/>
          <w:b/>
          <w:sz w:val="24"/>
          <w:szCs w:val="24"/>
        </w:rPr>
        <w:t>:</w:t>
      </w:r>
      <w:r w:rsidR="00DB662E">
        <w:rPr>
          <w:rFonts w:ascii="Times New Roman" w:hAnsi="Times New Roman" w:cs="Times New Roman"/>
          <w:b/>
          <w:sz w:val="24"/>
          <w:szCs w:val="24"/>
        </w:rPr>
        <w:t xml:space="preserve"> ¡J</w:t>
      </w:r>
      <w:r>
        <w:rPr>
          <w:rFonts w:ascii="Times New Roman" w:hAnsi="Times New Roman" w:cs="Times New Roman"/>
          <w:b/>
          <w:sz w:val="24"/>
          <w:szCs w:val="24"/>
        </w:rPr>
        <w:t>oder</w:t>
      </w:r>
      <w:r w:rsidR="00DB662E">
        <w:rPr>
          <w:rFonts w:ascii="Times New Roman" w:hAnsi="Times New Roman" w:cs="Times New Roman"/>
          <w:b/>
          <w:sz w:val="24"/>
          <w:szCs w:val="24"/>
        </w:rPr>
        <w:t>, que tropa! (con estos bueyes hay que arar)</w:t>
      </w:r>
    </w:p>
    <w:p w:rsidR="008C0415" w:rsidRDefault="008C0415" w:rsidP="008C0415">
      <w:pPr>
        <w:pStyle w:val="bbc-bm53ic"/>
        <w:shd w:val="clear" w:color="auto" w:fill="FDFDFD"/>
        <w:spacing w:after="0"/>
        <w:jc w:val="both"/>
      </w:pPr>
      <w:r>
        <w:t>- “</w:t>
      </w:r>
      <w:r>
        <w:rPr>
          <w:u w:val="single"/>
        </w:rPr>
        <w:t>Taxonomía de inversiones”</w:t>
      </w:r>
      <w:r w:rsidRPr="00074C1D">
        <w:rPr>
          <w:u w:val="single"/>
        </w:rPr>
        <w:t>: el nuevo camino al socialismo de la UE</w:t>
      </w:r>
      <w:r>
        <w:t xml:space="preserve"> (Libertad Digital - </w:t>
      </w:r>
      <w:r w:rsidRPr="00074C1D">
        <w:rPr>
          <w:b/>
        </w:rPr>
        <w:t>23/2/22</w:t>
      </w:r>
      <w:r>
        <w:t>)</w:t>
      </w:r>
    </w:p>
    <w:p w:rsidR="008C0415" w:rsidRPr="00FD46AC" w:rsidRDefault="008C0415" w:rsidP="008C0415">
      <w:pPr>
        <w:pStyle w:val="bbc-bm53ic"/>
        <w:shd w:val="clear" w:color="auto" w:fill="FDFDFD"/>
        <w:spacing w:after="0"/>
        <w:jc w:val="both"/>
        <w:rPr>
          <w:u w:val="single"/>
        </w:rPr>
      </w:pPr>
      <w:r w:rsidRPr="00FD46AC">
        <w:rPr>
          <w:u w:val="single"/>
        </w:rPr>
        <w:t>Hace unas semanas, Bruselas acogió un intenso debate en torno a la capacidad de la Comisión Eur</w:t>
      </w:r>
      <w:r>
        <w:rPr>
          <w:u w:val="single"/>
        </w:rPr>
        <w:t>opea de desarrollar la llamada “taxonomía de inversiones”</w:t>
      </w:r>
      <w:r w:rsidRPr="00FD46AC">
        <w:rPr>
          <w:u w:val="single"/>
        </w:rPr>
        <w:t xml:space="preserve"> que otorga a las autoridades comunitarias el poder de determinar qué inversiones son </w:t>
      </w:r>
      <w:r>
        <w:rPr>
          <w:u w:val="single"/>
        </w:rPr>
        <w:t>consideradas buenas (es decir, “verdes” y “sostenibles”</w:t>
      </w:r>
      <w:r w:rsidRPr="00FD46AC">
        <w:rPr>
          <w:u w:val="single"/>
        </w:rPr>
        <w:t>) y cuáles no.</w:t>
      </w:r>
    </w:p>
    <w:p w:rsidR="008C0415" w:rsidRPr="00FD46AC" w:rsidRDefault="008C0415" w:rsidP="008C0415">
      <w:pPr>
        <w:pStyle w:val="bbc-bm53ic"/>
        <w:shd w:val="clear" w:color="auto" w:fill="FDFDFD"/>
        <w:spacing w:after="0"/>
        <w:jc w:val="both"/>
        <w:rPr>
          <w:u w:val="single"/>
        </w:rPr>
      </w:pPr>
      <w:r w:rsidRPr="00FD46AC">
        <w:rPr>
          <w:u w:val="single"/>
        </w:rPr>
        <w:lastRenderedPageBreak/>
        <w:t>Las clasificaciones emitidas por Bruselas tendrán el efecto de orientar el dinero de los inversores en la dirección que políticamente se considera correcta. La manzana de la discordia fue el etiquetado de la energía nuclear y del gas natural. ¿Deberían consi</w:t>
      </w:r>
      <w:r>
        <w:rPr>
          <w:u w:val="single"/>
        </w:rPr>
        <w:t>derarse “sostenibles”</w:t>
      </w:r>
      <w:r w:rsidRPr="00FD46AC">
        <w:rPr>
          <w:u w:val="single"/>
        </w:rPr>
        <w:t>? Los franceses y los países de Europa del Este estaban a favor, mientras que los alemanes se pronunciaron en contra.</w:t>
      </w:r>
    </w:p>
    <w:p w:rsidR="008C0415" w:rsidRPr="00FD46AC" w:rsidRDefault="008C0415" w:rsidP="008C0415">
      <w:pPr>
        <w:pStyle w:val="bbc-bm53ic"/>
        <w:shd w:val="clear" w:color="auto" w:fill="FDFDFD"/>
        <w:spacing w:after="0"/>
        <w:jc w:val="both"/>
        <w:rPr>
          <w:color w:val="FF0000"/>
          <w:u w:val="single"/>
        </w:rPr>
      </w:pPr>
      <w:r w:rsidRPr="00FD46AC">
        <w:rPr>
          <w:color w:val="FF0000"/>
          <w:u w:val="single"/>
        </w:rPr>
        <w:t>Pues bien, la Comisión de la UE dirigida por Ursula von der Leyen ha ido más allá del debate medioambiental y ha propuesto la posibilidad de ampliar este deba</w:t>
      </w:r>
      <w:r>
        <w:rPr>
          <w:color w:val="FF0000"/>
          <w:u w:val="single"/>
        </w:rPr>
        <w:t>te para incluir el criterio de “sostenibilidad social”</w:t>
      </w:r>
      <w:r w:rsidRPr="00FD46AC">
        <w:rPr>
          <w:color w:val="FF0000"/>
          <w:u w:val="single"/>
        </w:rPr>
        <w:t xml:space="preserve"> al debate sobre la clasificación de las inversiones. El etiquetado ya no dependerá solo de aspectos medioambientales, con todo lo que esto suponía, sino que irá aún más allá y entrará a de</w:t>
      </w:r>
      <w:r>
        <w:rPr>
          <w:color w:val="FF0000"/>
          <w:u w:val="single"/>
        </w:rPr>
        <w:t>cidir si una inversión es o no “social”</w:t>
      </w:r>
      <w:r w:rsidRPr="00FD46AC">
        <w:rPr>
          <w:color w:val="FF0000"/>
          <w:u w:val="single"/>
        </w:rPr>
        <w:t>.</w:t>
      </w:r>
    </w:p>
    <w:p w:rsidR="008C0415" w:rsidRDefault="008C0415" w:rsidP="008C0415">
      <w:pPr>
        <w:pStyle w:val="bbc-bm53ic"/>
        <w:shd w:val="clear" w:color="auto" w:fill="FDFDFD"/>
        <w:spacing w:after="0"/>
        <w:jc w:val="both"/>
      </w:pPr>
      <w:r>
        <w:t>Específicamente, esto significa que, por ejemplo, si los políticos y los dirigentes públicos sienten que una empresa no paga a sus empleados un salario “adecuado”, entonces pueden clasificar a este negocio como una actividad “mala” para la sociedad. De igual modo, por poner otro ejemplo, si los políticos de la UE sienten que los miembros de la junta directiva están “ganando demasiado dinero” en comparación con un empleado medio, esto se interpretaría como otra indicación perniciosa para la sociedad. Otro posible ejemplo lo tendríamos en el caso de las empresas de alquiler inmobiliario, puesto que los políticos podrían entrar a pronunciarse sobre los precios de los arriendos, haciendo que la compañía en cuestión quede clasificada como una firma que perjudica el bienestar social.</w:t>
      </w:r>
    </w:p>
    <w:p w:rsidR="008C0415" w:rsidRPr="00D6562B" w:rsidRDefault="008C0415" w:rsidP="008C0415">
      <w:pPr>
        <w:pStyle w:val="bbc-bm53ic"/>
        <w:shd w:val="clear" w:color="auto" w:fill="FDFDFD"/>
        <w:spacing w:after="0"/>
        <w:jc w:val="both"/>
        <w:rPr>
          <w:color w:val="FF0000"/>
          <w:u w:val="single"/>
        </w:rPr>
      </w:pPr>
      <w:r w:rsidRPr="00D6562B">
        <w:rPr>
          <w:color w:val="FF0000"/>
          <w:u w:val="single"/>
        </w:rPr>
        <w:t>La UE quiere evaluar el beneficio general de una empresa para la sociedad, es</w:t>
      </w:r>
      <w:r>
        <w:rPr>
          <w:color w:val="FF0000"/>
          <w:u w:val="single"/>
        </w:rPr>
        <w:t xml:space="preserve"> decir, si la empresa sirve al “interés público”</w:t>
      </w:r>
      <w:r w:rsidRPr="00D6562B">
        <w:rPr>
          <w:color w:val="FF0000"/>
          <w:u w:val="single"/>
        </w:rPr>
        <w:t xml:space="preserve"> o no. En el caso de algunas empresas (por ejemplo, fabricantes de alcohol o ciga</w:t>
      </w:r>
      <w:r>
        <w:rPr>
          <w:color w:val="FF0000"/>
          <w:u w:val="single"/>
        </w:rPr>
        <w:t>rrillos), la respuesta será un “no”</w:t>
      </w:r>
      <w:r w:rsidRPr="00D6562B">
        <w:rPr>
          <w:color w:val="FF0000"/>
          <w:u w:val="single"/>
        </w:rPr>
        <w:t xml:space="preserve"> automático. Para otro tipo de empresas, la UE creará otros sistemas de clasificación. Ya no será el mercado el que defina el interés público en virtud de su demanda, sino la pelota quedará en el tejado de los comités políticos. Se abren las puertas al lobbysmo extremo: el cabildeo se centrará en convencer a los políticos de que </w:t>
      </w:r>
      <w:r>
        <w:rPr>
          <w:color w:val="FF0000"/>
          <w:u w:val="single"/>
        </w:rPr>
        <w:t>la empresa que les contrató es “socialmente beneficiosa”</w:t>
      </w:r>
      <w:r w:rsidRPr="00D6562B">
        <w:rPr>
          <w:color w:val="FF0000"/>
          <w:u w:val="single"/>
        </w:rPr>
        <w:t>. De ese etiquetado también podrán salir muchas puertas giratorias.</w:t>
      </w:r>
    </w:p>
    <w:p w:rsidR="008C0415" w:rsidRDefault="008C0415" w:rsidP="008C0415">
      <w:pPr>
        <w:pStyle w:val="bbc-bm53ic"/>
        <w:shd w:val="clear" w:color="auto" w:fill="FDFDFD"/>
        <w:spacing w:after="0"/>
        <w:jc w:val="both"/>
      </w:pPr>
      <w:r>
        <w:t>Por supuesto, nada de esto debería ocurrir en una economía de mercado. En los sistemas económicos planificados por el Estado son los políticos sean los que deciden cómo se debe distribuir el dinero, cómo se debe escorar la producción... En cambio, bajo el capitalismo las empresas deciden y los consumidores determinan si la empresa es “beneficiosa” o no, determinando preferencias a través de las decisiones de compra. Por lo tanto, no hay nada más democrático que el capitalismo.</w:t>
      </w:r>
    </w:p>
    <w:p w:rsidR="008C0415" w:rsidRDefault="008C0415" w:rsidP="008C0415">
      <w:pPr>
        <w:pStyle w:val="bbc-bm53ic"/>
        <w:shd w:val="clear" w:color="auto" w:fill="FDFDFD"/>
        <w:spacing w:after="0"/>
        <w:jc w:val="both"/>
      </w:pPr>
      <w:r>
        <w:t>Friedrich Hayek, ganador del Premio Nobel de Economía, consideraba que la “presunción de conocimiento” era el error central de todos los socialistas. Las economías planificadas por el Estado han fracasado una y otra vez, porque se basan en la creencia de que los políticos y los funcionarios saben lo que es bueno para las personas, en lugar de dejar que la decisión la tomen las empresas y los consumidores.</w:t>
      </w:r>
    </w:p>
    <w:p w:rsidR="008C0415" w:rsidRDefault="008C0415" w:rsidP="008C0415">
      <w:pPr>
        <w:pStyle w:val="bbc-bm53ic"/>
        <w:shd w:val="clear" w:color="auto" w:fill="FDFDFD"/>
        <w:spacing w:after="0"/>
        <w:jc w:val="both"/>
        <w:rPr>
          <w:color w:val="FF0000"/>
          <w:u w:val="single"/>
        </w:rPr>
      </w:pPr>
      <w:r w:rsidRPr="00D6562B">
        <w:rPr>
          <w:color w:val="FF0000"/>
          <w:u w:val="single"/>
        </w:rPr>
        <w:t>La economía planificada celebra así su renacimiento en Bruselas. Los políticos, no el despreciado mercado, volverán</w:t>
      </w:r>
      <w:r>
        <w:rPr>
          <w:color w:val="FF0000"/>
          <w:u w:val="single"/>
        </w:rPr>
        <w:t xml:space="preserve"> a decidir qué es “socialmente beneficioso” y qué es “socialmente perjudicial”</w:t>
      </w:r>
      <w:r w:rsidRPr="00D6562B">
        <w:rPr>
          <w:color w:val="FF0000"/>
          <w:u w:val="single"/>
        </w:rPr>
        <w:t xml:space="preserve">. Ha habido al menos 24 experimentos socialistas en los últimos cien años, y todos ellos, sin excepción, han fracasado. Sin embargo, y de forma incomprensible a medida que pasan los años, las ideas que guiaron estos experimentos </w:t>
      </w:r>
      <w:r w:rsidRPr="00D6562B">
        <w:rPr>
          <w:color w:val="FF0000"/>
          <w:u w:val="single"/>
        </w:rPr>
        <w:lastRenderedPageBreak/>
        <w:t>empiezan a vivir un r</w:t>
      </w:r>
      <w:r>
        <w:rPr>
          <w:color w:val="FF0000"/>
          <w:u w:val="single"/>
        </w:rPr>
        <w:t>enacimiento. Ya no se habla de “socialismo” pero, en última instancia, la “taxonomía”</w:t>
      </w:r>
      <w:r w:rsidRPr="00D6562B">
        <w:rPr>
          <w:color w:val="FF0000"/>
          <w:u w:val="single"/>
        </w:rPr>
        <w:t xml:space="preserve"> de la Comisión Europea nos lleva por un camino muy parecido.</w:t>
      </w:r>
    </w:p>
    <w:p w:rsidR="008C0415" w:rsidRPr="008C3829" w:rsidRDefault="005B1384" w:rsidP="008C0415">
      <w:pPr>
        <w:spacing w:line="240" w:lineRule="auto"/>
        <w:jc w:val="both"/>
        <w:rPr>
          <w:rFonts w:ascii="Times New Roman" w:hAnsi="Times New Roman" w:cs="Times New Roman"/>
          <w:sz w:val="24"/>
          <w:szCs w:val="24"/>
          <w:u w:val="single"/>
        </w:rPr>
      </w:pPr>
      <w:r w:rsidRPr="008C3829">
        <w:rPr>
          <w:rFonts w:ascii="Times New Roman" w:hAnsi="Times New Roman" w:cs="Times New Roman"/>
          <w:sz w:val="24"/>
          <w:szCs w:val="24"/>
          <w:u w:val="single"/>
        </w:rPr>
        <w:t xml:space="preserve">Antes se atrapa a un mentiroso que a un cojo (la </w:t>
      </w:r>
      <w:r w:rsidR="008C3829">
        <w:rPr>
          <w:rFonts w:ascii="Times New Roman" w:hAnsi="Times New Roman" w:cs="Times New Roman"/>
          <w:sz w:val="24"/>
          <w:szCs w:val="24"/>
          <w:u w:val="single"/>
        </w:rPr>
        <w:t>“</w:t>
      </w:r>
      <w:r w:rsidRPr="008C3829">
        <w:rPr>
          <w:rFonts w:ascii="Times New Roman" w:hAnsi="Times New Roman" w:cs="Times New Roman"/>
          <w:sz w:val="24"/>
          <w:szCs w:val="24"/>
          <w:u w:val="single"/>
        </w:rPr>
        <w:t>taxonomía</w:t>
      </w:r>
      <w:r w:rsidR="008C3829">
        <w:rPr>
          <w:rFonts w:ascii="Times New Roman" w:hAnsi="Times New Roman" w:cs="Times New Roman"/>
          <w:sz w:val="24"/>
          <w:szCs w:val="24"/>
          <w:u w:val="single"/>
        </w:rPr>
        <w:t>”</w:t>
      </w:r>
      <w:r w:rsidRPr="008C3829">
        <w:rPr>
          <w:rFonts w:ascii="Times New Roman" w:hAnsi="Times New Roman" w:cs="Times New Roman"/>
          <w:sz w:val="24"/>
          <w:szCs w:val="24"/>
          <w:u w:val="single"/>
        </w:rPr>
        <w:t xml:space="preserve"> de los pícaros)</w:t>
      </w:r>
    </w:p>
    <w:p w:rsidR="008C0415" w:rsidRPr="006934A8" w:rsidRDefault="008C0415" w:rsidP="008C0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34A8">
        <w:rPr>
          <w:rFonts w:ascii="Times New Roman" w:hAnsi="Times New Roman" w:cs="Times New Roman"/>
          <w:sz w:val="24"/>
          <w:szCs w:val="24"/>
          <w:u w:val="single"/>
        </w:rPr>
        <w:t>Los bancos llaman a la acción climática mientras destinan 1,5 billones a la industria del carbón</w:t>
      </w:r>
      <w:r>
        <w:rPr>
          <w:rFonts w:ascii="Times New Roman" w:hAnsi="Times New Roman" w:cs="Times New Roman"/>
          <w:sz w:val="24"/>
          <w:szCs w:val="24"/>
        </w:rPr>
        <w:t xml:space="preserve"> (El Economista - </w:t>
      </w:r>
      <w:r w:rsidRPr="006934A8">
        <w:rPr>
          <w:rFonts w:ascii="Times New Roman" w:hAnsi="Times New Roman" w:cs="Times New Roman"/>
          <w:b/>
          <w:sz w:val="24"/>
          <w:szCs w:val="24"/>
        </w:rPr>
        <w:t>19/2/22</w:t>
      </w:r>
      <w:r>
        <w:rPr>
          <w:rFonts w:ascii="Times New Roman" w:hAnsi="Times New Roman" w:cs="Times New Roman"/>
          <w:sz w:val="24"/>
          <w:szCs w:val="24"/>
        </w:rPr>
        <w:t>)</w:t>
      </w:r>
    </w:p>
    <w:p w:rsidR="008C0415" w:rsidRPr="008B3484" w:rsidRDefault="008C0415" w:rsidP="008C0415">
      <w:pPr>
        <w:spacing w:line="240" w:lineRule="auto"/>
        <w:jc w:val="both"/>
        <w:rPr>
          <w:rFonts w:ascii="Times New Roman" w:hAnsi="Times New Roman" w:cs="Times New Roman"/>
          <w:color w:val="FF0000"/>
          <w:sz w:val="24"/>
          <w:szCs w:val="24"/>
          <w:u w:val="single"/>
        </w:rPr>
      </w:pPr>
      <w:r w:rsidRPr="006934A8">
        <w:rPr>
          <w:rFonts w:ascii="Times New Roman" w:hAnsi="Times New Roman" w:cs="Times New Roman"/>
          <w:sz w:val="24"/>
          <w:szCs w:val="24"/>
        </w:rPr>
        <w:t xml:space="preserve">El planeta se enfrenta a su mayor reto hasta la fecha: el cambio climático. Es un hecho que se acaba el tiempo para actuar ante esta crisis y evitar consecuencias mayores. Pese a todos los avisos y las evidencias, los bancos e inversores siguen financiando la industria del carbón, el combustible fósil más sucio del mundo. </w:t>
      </w:r>
      <w:r w:rsidRPr="008B3484">
        <w:rPr>
          <w:rFonts w:ascii="Times New Roman" w:hAnsi="Times New Roman" w:cs="Times New Roman"/>
          <w:color w:val="FF0000"/>
          <w:sz w:val="24"/>
          <w:szCs w:val="24"/>
          <w:u w:val="single"/>
        </w:rPr>
        <w:t>Entre enero de 2019 y noviembre de 2021, las instituciones bancarias destinaron cerca de 1,5 billones de dólares a la financiación de la industria del carbón.</w:t>
      </w:r>
    </w:p>
    <w:p w:rsidR="008C0415" w:rsidRPr="008B3484" w:rsidRDefault="008C0415" w:rsidP="008C0415">
      <w:pPr>
        <w:spacing w:line="240" w:lineRule="auto"/>
        <w:jc w:val="both"/>
        <w:rPr>
          <w:rFonts w:ascii="Times New Roman" w:hAnsi="Times New Roman" w:cs="Times New Roman"/>
          <w:color w:val="FF0000"/>
          <w:sz w:val="24"/>
          <w:szCs w:val="24"/>
          <w:u w:val="single"/>
        </w:rPr>
      </w:pPr>
      <w:r w:rsidRPr="008B3484">
        <w:rPr>
          <w:rFonts w:ascii="Times New Roman" w:hAnsi="Times New Roman" w:cs="Times New Roman"/>
          <w:color w:val="FF0000"/>
          <w:sz w:val="24"/>
          <w:szCs w:val="24"/>
          <w:u w:val="single"/>
        </w:rPr>
        <w:t>Media docena de bancos con sede en Estados Unidos, China, Japón, India, Canadá y Reino Unido son responsables de casi el 50% del dinero canalizado a empresas de la industria del carbón</w:t>
      </w:r>
      <w:r w:rsidRPr="006934A8">
        <w:rPr>
          <w:rFonts w:ascii="Times New Roman" w:hAnsi="Times New Roman" w:cs="Times New Roman"/>
          <w:sz w:val="24"/>
          <w:szCs w:val="24"/>
        </w:rPr>
        <w:t xml:space="preserve">, mientras que más de 360.000 millones corresponden a préstamos realizados por 376 bancos comerciales, según la investigación de las ONG climáticas Urgewald y Reclaim Finance. </w:t>
      </w:r>
      <w:r w:rsidRPr="008B3484">
        <w:rPr>
          <w:rFonts w:ascii="Times New Roman" w:hAnsi="Times New Roman" w:cs="Times New Roman"/>
          <w:color w:val="FF0000"/>
          <w:sz w:val="24"/>
          <w:szCs w:val="24"/>
          <w:u w:val="single"/>
        </w:rPr>
        <w:t>Cabe destacar que 10 de esos 12 prestamistas son miembros de la Net Zero Banking Alliance de la ONU, una iniciativa liderada por la industria bancaria que se compromete a alinear sus carteras con las emisiones netas cero para 2050.</w:t>
      </w:r>
    </w:p>
    <w:p w:rsidR="008C0415" w:rsidRPr="008B3484" w:rsidRDefault="008C0415" w:rsidP="008C0415">
      <w:pPr>
        <w:spacing w:line="240" w:lineRule="auto"/>
        <w:jc w:val="both"/>
        <w:rPr>
          <w:rFonts w:ascii="Times New Roman" w:hAnsi="Times New Roman" w:cs="Times New Roman"/>
          <w:sz w:val="24"/>
          <w:szCs w:val="24"/>
          <w:u w:val="single"/>
        </w:rPr>
      </w:pPr>
      <w:r w:rsidRPr="008B3484">
        <w:rPr>
          <w:rFonts w:ascii="Times New Roman" w:hAnsi="Times New Roman" w:cs="Times New Roman"/>
          <w:sz w:val="24"/>
          <w:szCs w:val="24"/>
          <w:u w:val="single"/>
        </w:rPr>
        <w:t>Las beneficiarias de estos préstamos forman parte de la Global Coal Exist List (GCEL), un conjunto de 1.032 empresas que representan el 90% de la producción mundial de carbón térmico y de la capacidad de combustión de carbón. Las actividades que desarrollan dichas compañías van desde la extracción y el comercio de carbón hasta la conversión del mismo en líquidos y la explotación de centrales eléctricas de este material.</w:t>
      </w:r>
    </w:p>
    <w:p w:rsidR="008C0415" w:rsidRPr="008B3484" w:rsidRDefault="008C0415" w:rsidP="008C0415">
      <w:pPr>
        <w:spacing w:line="240" w:lineRule="auto"/>
        <w:jc w:val="both"/>
        <w:rPr>
          <w:rFonts w:ascii="Times New Roman" w:hAnsi="Times New Roman" w:cs="Times New Roman"/>
          <w:color w:val="FF0000"/>
          <w:sz w:val="24"/>
          <w:szCs w:val="24"/>
          <w:u w:val="single"/>
        </w:rPr>
      </w:pPr>
      <w:r w:rsidRPr="008B3484">
        <w:rPr>
          <w:rFonts w:ascii="Times New Roman" w:hAnsi="Times New Roman" w:cs="Times New Roman"/>
          <w:color w:val="FF0000"/>
          <w:sz w:val="24"/>
          <w:szCs w:val="24"/>
          <w:u w:val="single"/>
        </w:rPr>
        <w:t>Las entidades japonesas Mizuho Financial, Mitsubishi UFJ Financial y SMBC Group son los principales prestamistas de la industria del carbón. El cuarto y quinto puesto lo ocupan Barclays y Citigroup. Todas ellas forman parte de la Net Zero Banking Alliance de Naciones Unidas.</w:t>
      </w:r>
    </w:p>
    <w:p w:rsidR="008C0415" w:rsidRPr="006934A8" w:rsidRDefault="008C0415" w:rsidP="008C041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Un portavoz de Barclays ha declarado a la CNBC que el banco se comprometió en 2019 a no financiar proyectos relacionados con el carbón. Mitsubishi UFJ Financial, por su parte, ha reiterado su objetivo de alcanzar la neutralidad de carbono en sus operaciones para 2030 y en su car</w:t>
      </w:r>
      <w:r>
        <w:rPr>
          <w:rFonts w:ascii="Times New Roman" w:hAnsi="Times New Roman" w:cs="Times New Roman"/>
          <w:sz w:val="24"/>
          <w:szCs w:val="24"/>
        </w:rPr>
        <w:t>tera de financiación para 2050.</w:t>
      </w:r>
    </w:p>
    <w:p w:rsidR="008C0415" w:rsidRPr="006934A8" w:rsidRDefault="008C0415" w:rsidP="008C0415">
      <w:pPr>
        <w:spacing w:line="240" w:lineRule="auto"/>
        <w:jc w:val="both"/>
        <w:rPr>
          <w:rFonts w:ascii="Times New Roman" w:hAnsi="Times New Roman" w:cs="Times New Roman"/>
          <w:sz w:val="24"/>
          <w:szCs w:val="24"/>
        </w:rPr>
      </w:pPr>
      <w:r w:rsidRPr="008B3484">
        <w:rPr>
          <w:rFonts w:ascii="Times New Roman" w:hAnsi="Times New Roman" w:cs="Times New Roman"/>
          <w:sz w:val="24"/>
          <w:szCs w:val="24"/>
          <w:u w:val="single"/>
        </w:rPr>
        <w:t>Las suscripciones se han convertido en el principal método de los bancos para recaudar capital para financiar a la industria del carbón</w:t>
      </w:r>
      <w:r w:rsidRPr="006934A8">
        <w:rPr>
          <w:rFonts w:ascii="Times New Roman" w:hAnsi="Times New Roman" w:cs="Times New Roman"/>
          <w:sz w:val="24"/>
          <w:szCs w:val="24"/>
        </w:rPr>
        <w:t>. Las entidades bancarias emiten bonos o acciones en nombre de las empresas y se los venden a los inversores como fondos de pensiones o de inversión.</w:t>
      </w:r>
    </w:p>
    <w:p w:rsidR="008C0415" w:rsidRPr="006934A8" w:rsidRDefault="008C0415" w:rsidP="008C041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A través de este proceso, 484 b</w:t>
      </w:r>
      <w:r>
        <w:rPr>
          <w:rFonts w:ascii="Times New Roman" w:hAnsi="Times New Roman" w:cs="Times New Roman"/>
          <w:sz w:val="24"/>
          <w:szCs w:val="24"/>
        </w:rPr>
        <w:t>ancos canalizaron cerca de 1,2 b</w:t>
      </w:r>
      <w:r w:rsidRPr="006934A8">
        <w:rPr>
          <w:rFonts w:ascii="Times New Roman" w:hAnsi="Times New Roman" w:cs="Times New Roman"/>
          <w:sz w:val="24"/>
          <w:szCs w:val="24"/>
        </w:rPr>
        <w:t>illones de dólares a empresas de la GCEL entre enero de 2019 y noviembre de 2021. Sólo 12 entidades de todas las participantes en la financiación del sector fueron responsables del 39% del total de las sus</w:t>
      </w:r>
      <w:r>
        <w:rPr>
          <w:rFonts w:ascii="Times New Roman" w:hAnsi="Times New Roman" w:cs="Times New Roman"/>
          <w:sz w:val="24"/>
          <w:szCs w:val="24"/>
        </w:rPr>
        <w:t>cripciones durante ese periodo.</w:t>
      </w:r>
    </w:p>
    <w:p w:rsidR="008C0415" w:rsidRPr="006934A8" w:rsidRDefault="008C0415" w:rsidP="008C0415">
      <w:pPr>
        <w:spacing w:line="240" w:lineRule="auto"/>
        <w:jc w:val="both"/>
        <w:rPr>
          <w:rFonts w:ascii="Times New Roman" w:hAnsi="Times New Roman" w:cs="Times New Roman"/>
          <w:sz w:val="24"/>
          <w:szCs w:val="24"/>
        </w:rPr>
      </w:pPr>
      <w:r w:rsidRPr="008B3484">
        <w:rPr>
          <w:rFonts w:ascii="Times New Roman" w:hAnsi="Times New Roman" w:cs="Times New Roman"/>
          <w:color w:val="FF0000"/>
          <w:sz w:val="24"/>
          <w:szCs w:val="24"/>
          <w:u w:val="single"/>
        </w:rPr>
        <w:t xml:space="preserve">Casi todas las entidades bancarias que financiaron a la industria del carbón mediante suscripciones tienen sede en China. En el top tres se encuentran el Industrial Commercial Bank of China, el China International Trust and Investment Corporation y el Shanghai </w:t>
      </w:r>
      <w:r w:rsidRPr="008B3484">
        <w:rPr>
          <w:rFonts w:ascii="Times New Roman" w:hAnsi="Times New Roman" w:cs="Times New Roman"/>
          <w:color w:val="FF0000"/>
          <w:sz w:val="24"/>
          <w:szCs w:val="24"/>
          <w:u w:val="single"/>
        </w:rPr>
        <w:lastRenderedPageBreak/>
        <w:t>Pudong Development Bank</w:t>
      </w:r>
      <w:r w:rsidRPr="006934A8">
        <w:rPr>
          <w:rFonts w:ascii="Times New Roman" w:hAnsi="Times New Roman" w:cs="Times New Roman"/>
          <w:sz w:val="24"/>
          <w:szCs w:val="24"/>
        </w:rPr>
        <w:t>. El único banco no chino entre los 12 principales suscriptores de la industria del carbón fue JPMorgan Chase, el mayor banco estadounidense por activos.</w:t>
      </w:r>
    </w:p>
    <w:p w:rsidR="008C0415" w:rsidRPr="006934A8" w:rsidRDefault="008C0415" w:rsidP="008C041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En respuesta a estas acusacione</w:t>
      </w:r>
      <w:r>
        <w:rPr>
          <w:rFonts w:ascii="Times New Roman" w:hAnsi="Times New Roman" w:cs="Times New Roman"/>
          <w:sz w:val="24"/>
          <w:szCs w:val="24"/>
        </w:rPr>
        <w:t>s, JPMorgan Chase ha asegurado “</w:t>
      </w:r>
      <w:r w:rsidRPr="006934A8">
        <w:rPr>
          <w:rFonts w:ascii="Times New Roman" w:hAnsi="Times New Roman" w:cs="Times New Roman"/>
          <w:sz w:val="24"/>
          <w:szCs w:val="24"/>
        </w:rPr>
        <w:t>ser el primer banco de Estados Unidos en establecer objetivos de reducción de carbon</w:t>
      </w:r>
      <w:r>
        <w:rPr>
          <w:rFonts w:ascii="Times New Roman" w:hAnsi="Times New Roman" w:cs="Times New Roman"/>
          <w:sz w:val="24"/>
          <w:szCs w:val="24"/>
        </w:rPr>
        <w:t>o para 2030 alineados con París”</w:t>
      </w:r>
      <w:r w:rsidRPr="006934A8">
        <w:rPr>
          <w:rFonts w:ascii="Times New Roman" w:hAnsi="Times New Roman" w:cs="Times New Roman"/>
          <w:sz w:val="24"/>
          <w:szCs w:val="24"/>
        </w:rPr>
        <w:t>.</w:t>
      </w:r>
    </w:p>
    <w:p w:rsidR="008C0415" w:rsidRPr="008B3484" w:rsidRDefault="008C0415" w:rsidP="008C0415">
      <w:pPr>
        <w:spacing w:line="240" w:lineRule="auto"/>
        <w:jc w:val="both"/>
        <w:rPr>
          <w:rFonts w:ascii="Times New Roman" w:hAnsi="Times New Roman" w:cs="Times New Roman"/>
          <w:color w:val="FF0000"/>
          <w:sz w:val="24"/>
          <w:szCs w:val="24"/>
          <w:u w:val="single"/>
        </w:rPr>
      </w:pPr>
      <w:r w:rsidRPr="008B3484">
        <w:rPr>
          <w:rFonts w:ascii="Times New Roman" w:hAnsi="Times New Roman" w:cs="Times New Roman"/>
          <w:color w:val="FF0000"/>
          <w:sz w:val="24"/>
          <w:szCs w:val="24"/>
          <w:u w:val="single"/>
        </w:rPr>
        <w:t>Junto a las entidades bancarias, los inversores institucionales también desempeñaron un papel esencial en la financiación de la industria del carbón. Los principales inversores institucionales con participaciones en la industria del carbón son Blackrock y Vanguard, de las casi 5.000 entidades investigadas.</w:t>
      </w:r>
    </w:p>
    <w:p w:rsidR="008C0415" w:rsidRPr="008B3484" w:rsidRDefault="008C0415" w:rsidP="008C0415">
      <w:pPr>
        <w:spacing w:line="240" w:lineRule="auto"/>
        <w:jc w:val="both"/>
        <w:rPr>
          <w:rFonts w:ascii="Times New Roman" w:hAnsi="Times New Roman" w:cs="Times New Roman"/>
          <w:color w:val="FF0000"/>
          <w:sz w:val="24"/>
          <w:szCs w:val="24"/>
          <w:u w:val="single"/>
        </w:rPr>
      </w:pPr>
      <w:r w:rsidRPr="008B3484">
        <w:rPr>
          <w:rFonts w:ascii="Times New Roman" w:hAnsi="Times New Roman" w:cs="Times New Roman"/>
          <w:color w:val="FF0000"/>
          <w:sz w:val="24"/>
          <w:szCs w:val="24"/>
          <w:u w:val="single"/>
        </w:rPr>
        <w:t>BlackRock es el que más dinero invirtió en la industria del carbón. En concreto, representa el 9% de las participaciones mundiales en acciones de carbón, con 109.000 millones de dólares de su capital en empresas productoras de carbón. Asimismo, es el principal inversor institucional mundial en empresas que construyen nuevas plantas de carbón, con más de 34.000 millones de dólares invertidos.</w:t>
      </w:r>
    </w:p>
    <w:p w:rsidR="008C0415" w:rsidRDefault="008C0415" w:rsidP="008C041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En cuanto Vanguard, un portavoz de la</w:t>
      </w:r>
      <w:r>
        <w:rPr>
          <w:rFonts w:ascii="Times New Roman" w:hAnsi="Times New Roman" w:cs="Times New Roman"/>
          <w:sz w:val="24"/>
          <w:szCs w:val="24"/>
        </w:rPr>
        <w:t xml:space="preserve"> entidad ha asegurado que está “</w:t>
      </w:r>
      <w:r w:rsidRPr="006934A8">
        <w:rPr>
          <w:rFonts w:ascii="Times New Roman" w:hAnsi="Times New Roman" w:cs="Times New Roman"/>
          <w:sz w:val="24"/>
          <w:szCs w:val="24"/>
        </w:rPr>
        <w:t>comprometida a alentar a las empresas, a través de una administración eficaz, a abordar lo</w:t>
      </w:r>
      <w:r>
        <w:rPr>
          <w:rFonts w:ascii="Times New Roman" w:hAnsi="Times New Roman" w:cs="Times New Roman"/>
          <w:sz w:val="24"/>
          <w:szCs w:val="24"/>
        </w:rPr>
        <w:t>s riesgos climáticos materiales”</w:t>
      </w:r>
      <w:r w:rsidRPr="006934A8">
        <w:rPr>
          <w:rFonts w:ascii="Times New Roman" w:hAnsi="Times New Roman" w:cs="Times New Roman"/>
          <w:sz w:val="24"/>
          <w:szCs w:val="24"/>
        </w:rPr>
        <w:t xml:space="preserve"> a través de la transición energética.</w:t>
      </w:r>
    </w:p>
    <w:p w:rsidR="00B019DD" w:rsidRDefault="00B019DD" w:rsidP="008C0415">
      <w:pPr>
        <w:spacing w:line="240" w:lineRule="auto"/>
        <w:jc w:val="both"/>
        <w:rPr>
          <w:rFonts w:ascii="Times New Roman" w:hAnsi="Times New Roman" w:cs="Times New Roman"/>
          <w:b/>
          <w:sz w:val="24"/>
          <w:szCs w:val="24"/>
        </w:rPr>
      </w:pPr>
      <w:r w:rsidRPr="00B019DD">
        <w:rPr>
          <w:rFonts w:ascii="Times New Roman" w:hAnsi="Times New Roman" w:cs="Times New Roman"/>
          <w:b/>
          <w:sz w:val="24"/>
          <w:szCs w:val="24"/>
        </w:rPr>
        <w:t xml:space="preserve">Nota: esperando a Godot </w:t>
      </w:r>
      <w:r w:rsidR="008C3829">
        <w:rPr>
          <w:rFonts w:ascii="Times New Roman" w:hAnsi="Times New Roman" w:cs="Times New Roman"/>
          <w:b/>
          <w:sz w:val="24"/>
          <w:szCs w:val="24"/>
        </w:rPr>
        <w:t>(porque Mambrú, se fue a la guerra)</w:t>
      </w:r>
    </w:p>
    <w:p w:rsidR="008C0415" w:rsidRDefault="00B019DD" w:rsidP="008C0415">
      <w:pPr>
        <w:spacing w:line="240" w:lineRule="auto"/>
        <w:jc w:val="both"/>
        <w:rPr>
          <w:rFonts w:ascii="Times New Roman" w:hAnsi="Times New Roman" w:cs="Times New Roman"/>
          <w:b/>
          <w:sz w:val="24"/>
          <w:szCs w:val="24"/>
        </w:rPr>
      </w:pPr>
      <w:r>
        <w:rPr>
          <w:rFonts w:ascii="Times New Roman" w:hAnsi="Times New Roman" w:cs="Times New Roman"/>
          <w:b/>
          <w:sz w:val="24"/>
          <w:szCs w:val="24"/>
        </w:rPr>
        <w:t>F</w:t>
      </w:r>
      <w:r w:rsidRPr="00B019DD">
        <w:rPr>
          <w:rFonts w:ascii="Times New Roman" w:hAnsi="Times New Roman" w:cs="Times New Roman"/>
          <w:b/>
          <w:sz w:val="24"/>
          <w:szCs w:val="24"/>
        </w:rPr>
        <w:t>alta un mensaje claro</w:t>
      </w:r>
      <w:r>
        <w:rPr>
          <w:rFonts w:ascii="Times New Roman" w:hAnsi="Times New Roman" w:cs="Times New Roman"/>
          <w:b/>
          <w:sz w:val="24"/>
          <w:szCs w:val="24"/>
        </w:rPr>
        <w:t xml:space="preserve"> por parte de las autoridades</w:t>
      </w:r>
      <w:r w:rsidR="00156D3B">
        <w:rPr>
          <w:rFonts w:ascii="Times New Roman" w:hAnsi="Times New Roman" w:cs="Times New Roman"/>
          <w:b/>
          <w:sz w:val="24"/>
          <w:szCs w:val="24"/>
        </w:rPr>
        <w:t xml:space="preserve"> europeas</w:t>
      </w:r>
      <w:r>
        <w:rPr>
          <w:rFonts w:ascii="Times New Roman" w:hAnsi="Times New Roman" w:cs="Times New Roman"/>
          <w:b/>
          <w:sz w:val="24"/>
          <w:szCs w:val="24"/>
        </w:rPr>
        <w:t xml:space="preserve"> y una prueba de</w:t>
      </w:r>
      <w:r w:rsidR="00156D3B">
        <w:rPr>
          <w:rFonts w:ascii="Times New Roman" w:hAnsi="Times New Roman" w:cs="Times New Roman"/>
          <w:b/>
          <w:sz w:val="24"/>
          <w:szCs w:val="24"/>
        </w:rPr>
        <w:t>l</w:t>
      </w:r>
      <w:r w:rsidRPr="00B019DD">
        <w:rPr>
          <w:rFonts w:ascii="Times New Roman" w:hAnsi="Times New Roman" w:cs="Times New Roman"/>
          <w:b/>
          <w:sz w:val="24"/>
          <w:szCs w:val="24"/>
        </w:rPr>
        <w:t xml:space="preserve"> espíritu de sacrificio</w:t>
      </w:r>
      <w:r>
        <w:rPr>
          <w:rFonts w:ascii="Times New Roman" w:hAnsi="Times New Roman" w:cs="Times New Roman"/>
          <w:b/>
          <w:sz w:val="24"/>
          <w:szCs w:val="24"/>
        </w:rPr>
        <w:t xml:space="preserve"> por parte</w:t>
      </w:r>
      <w:r w:rsidR="00156D3B">
        <w:rPr>
          <w:rFonts w:ascii="Times New Roman" w:hAnsi="Times New Roman" w:cs="Times New Roman"/>
          <w:b/>
          <w:sz w:val="24"/>
          <w:szCs w:val="24"/>
        </w:rPr>
        <w:t xml:space="preserve"> de la sociedad europea.</w:t>
      </w:r>
    </w:p>
    <w:p w:rsidR="00B019DD" w:rsidRDefault="00B019DD" w:rsidP="008C0415">
      <w:pPr>
        <w:spacing w:line="240" w:lineRule="auto"/>
        <w:jc w:val="both"/>
        <w:rPr>
          <w:rFonts w:ascii="Times New Roman" w:hAnsi="Times New Roman" w:cs="Times New Roman"/>
          <w:b/>
          <w:sz w:val="24"/>
          <w:szCs w:val="24"/>
        </w:rPr>
      </w:pPr>
      <w:r>
        <w:rPr>
          <w:rFonts w:ascii="Times New Roman" w:hAnsi="Times New Roman" w:cs="Times New Roman"/>
          <w:b/>
          <w:sz w:val="24"/>
          <w:szCs w:val="24"/>
        </w:rPr>
        <w:t>Godot o Mambrú (tanto monta, monta tanto)</w:t>
      </w:r>
      <w:r w:rsidR="00156D3B">
        <w:rPr>
          <w:rFonts w:ascii="Times New Roman" w:hAnsi="Times New Roman" w:cs="Times New Roman"/>
          <w:b/>
          <w:sz w:val="24"/>
          <w:szCs w:val="24"/>
        </w:rPr>
        <w:t xml:space="preserve"> debería dar el siguiente</w:t>
      </w:r>
      <w:r>
        <w:rPr>
          <w:rFonts w:ascii="Times New Roman" w:hAnsi="Times New Roman" w:cs="Times New Roman"/>
          <w:b/>
          <w:sz w:val="24"/>
          <w:szCs w:val="24"/>
        </w:rPr>
        <w:t xml:space="preserve"> mensaje a la </w:t>
      </w:r>
      <w:r w:rsidR="00156D3B">
        <w:rPr>
          <w:rFonts w:ascii="Times New Roman" w:hAnsi="Times New Roman" w:cs="Times New Roman"/>
          <w:b/>
          <w:sz w:val="24"/>
          <w:szCs w:val="24"/>
        </w:rPr>
        <w:t xml:space="preserve">ciudadanía europea: </w:t>
      </w:r>
      <w:r>
        <w:rPr>
          <w:rFonts w:ascii="Times New Roman" w:hAnsi="Times New Roman" w:cs="Times New Roman"/>
          <w:b/>
          <w:sz w:val="24"/>
          <w:szCs w:val="24"/>
        </w:rPr>
        <w:t>Estamos en guerra. Pero en vez de convocarlos a las armas (por ahora), les pedimos que hagan sacrificios de consumo (ahora) para venc</w:t>
      </w:r>
      <w:r w:rsidR="00156D3B">
        <w:rPr>
          <w:rFonts w:ascii="Times New Roman" w:hAnsi="Times New Roman" w:cs="Times New Roman"/>
          <w:b/>
          <w:sz w:val="24"/>
          <w:szCs w:val="24"/>
        </w:rPr>
        <w:t>er al enemigo (que antes, equivocadamente, creíamos</w:t>
      </w:r>
      <w:r>
        <w:rPr>
          <w:rFonts w:ascii="Times New Roman" w:hAnsi="Times New Roman" w:cs="Times New Roman"/>
          <w:b/>
          <w:sz w:val="24"/>
          <w:szCs w:val="24"/>
        </w:rPr>
        <w:t xml:space="preserve"> que era amigo). Una economía de guerra </w:t>
      </w:r>
      <w:r w:rsidR="005B1384">
        <w:rPr>
          <w:rFonts w:ascii="Times New Roman" w:hAnsi="Times New Roman" w:cs="Times New Roman"/>
          <w:b/>
          <w:sz w:val="24"/>
          <w:szCs w:val="24"/>
        </w:rPr>
        <w:t>en la que la principal</w:t>
      </w:r>
      <w:r>
        <w:rPr>
          <w:rFonts w:ascii="Times New Roman" w:hAnsi="Times New Roman" w:cs="Times New Roman"/>
          <w:b/>
          <w:sz w:val="24"/>
          <w:szCs w:val="24"/>
        </w:rPr>
        <w:t xml:space="preserve"> víctima debe ser la sociedad de consumo. </w:t>
      </w:r>
      <w:r w:rsidR="00156D3B">
        <w:rPr>
          <w:rFonts w:ascii="Times New Roman" w:hAnsi="Times New Roman" w:cs="Times New Roman"/>
          <w:b/>
          <w:sz w:val="24"/>
          <w:szCs w:val="24"/>
        </w:rPr>
        <w:t>Les pedimos “s</w:t>
      </w:r>
      <w:r>
        <w:rPr>
          <w:rFonts w:ascii="Times New Roman" w:hAnsi="Times New Roman" w:cs="Times New Roman"/>
          <w:b/>
          <w:sz w:val="24"/>
          <w:szCs w:val="24"/>
        </w:rPr>
        <w:t>udor y</w:t>
      </w:r>
      <w:r w:rsidR="00156D3B">
        <w:rPr>
          <w:rFonts w:ascii="Times New Roman" w:hAnsi="Times New Roman" w:cs="Times New Roman"/>
          <w:b/>
          <w:sz w:val="24"/>
          <w:szCs w:val="24"/>
        </w:rPr>
        <w:t xml:space="preserve"> lágrimas” (ahora), para no tener que pedirles “sangre” (mañana).</w:t>
      </w:r>
    </w:p>
    <w:p w:rsidR="00156D3B" w:rsidRDefault="00156D3B" w:rsidP="008C0415">
      <w:pPr>
        <w:spacing w:line="240" w:lineRule="auto"/>
        <w:jc w:val="both"/>
        <w:rPr>
          <w:rFonts w:ascii="Times New Roman" w:hAnsi="Times New Roman" w:cs="Times New Roman"/>
          <w:b/>
          <w:sz w:val="24"/>
          <w:szCs w:val="24"/>
        </w:rPr>
      </w:pPr>
      <w:r>
        <w:rPr>
          <w:rFonts w:ascii="Times New Roman" w:hAnsi="Times New Roman" w:cs="Times New Roman"/>
          <w:b/>
          <w:sz w:val="24"/>
          <w:szCs w:val="24"/>
        </w:rPr>
        <w:t>Hay que apagar las luces, hay que pasar frío o calor (según la época), hay que dejar de utilizar el automóvil, hay que utilizar los medios públicos de transporte, hay que plantar granos</w:t>
      </w:r>
      <w:r w:rsidR="005B1384">
        <w:rPr>
          <w:rFonts w:ascii="Times New Roman" w:hAnsi="Times New Roman" w:cs="Times New Roman"/>
          <w:b/>
          <w:sz w:val="24"/>
          <w:szCs w:val="24"/>
        </w:rPr>
        <w:t xml:space="preserve"> hasta en las macetas del balcón, hay que hacer una huerta en cada jardín</w:t>
      </w:r>
      <w:r>
        <w:rPr>
          <w:rFonts w:ascii="Times New Roman" w:hAnsi="Times New Roman" w:cs="Times New Roman"/>
          <w:b/>
          <w:sz w:val="24"/>
          <w:szCs w:val="24"/>
        </w:rPr>
        <w:t>… hay que postergar (todo lo que sea necesario) las metas medioambientales hasta que se resuelvan los problemas de sobera</w:t>
      </w:r>
      <w:r w:rsidR="005B1384">
        <w:rPr>
          <w:rFonts w:ascii="Times New Roman" w:hAnsi="Times New Roman" w:cs="Times New Roman"/>
          <w:b/>
          <w:sz w:val="24"/>
          <w:szCs w:val="24"/>
        </w:rPr>
        <w:t xml:space="preserve">nía energética y alimentaria, </w:t>
      </w:r>
      <w:r>
        <w:rPr>
          <w:rFonts w:ascii="Times New Roman" w:hAnsi="Times New Roman" w:cs="Times New Roman"/>
          <w:b/>
          <w:sz w:val="24"/>
          <w:szCs w:val="24"/>
        </w:rPr>
        <w:t>se restablezcan los flujos d</w:t>
      </w:r>
      <w:r w:rsidR="005B1384">
        <w:rPr>
          <w:rFonts w:ascii="Times New Roman" w:hAnsi="Times New Roman" w:cs="Times New Roman"/>
          <w:b/>
          <w:sz w:val="24"/>
          <w:szCs w:val="24"/>
        </w:rPr>
        <w:t>e insumos y mercancías normales y se pueda contener la inflación.</w:t>
      </w:r>
    </w:p>
    <w:p w:rsidR="00156D3B" w:rsidRPr="00B019DD" w:rsidRDefault="00611AB2" w:rsidP="008C0415">
      <w:pPr>
        <w:spacing w:line="240" w:lineRule="auto"/>
        <w:jc w:val="both"/>
        <w:rPr>
          <w:rFonts w:ascii="Times New Roman" w:hAnsi="Times New Roman" w:cs="Times New Roman"/>
          <w:b/>
          <w:sz w:val="24"/>
          <w:szCs w:val="24"/>
        </w:rPr>
      </w:pPr>
      <w:r>
        <w:rPr>
          <w:rFonts w:ascii="Times New Roman" w:hAnsi="Times New Roman" w:cs="Times New Roman"/>
          <w:b/>
          <w:sz w:val="24"/>
          <w:szCs w:val="24"/>
        </w:rPr>
        <w:t>Hay que hacer sacrificios (economía de guerra) en todos los niveles gubernamentales y de la sociedad, como no se habían visto (o conocido) desde finales de la Segunda Guerra Mundial. El gobierno debe dar el ejemplo (austeridad) y la sociedad probar su temple</w:t>
      </w:r>
      <w:r w:rsidR="001638F1">
        <w:rPr>
          <w:rFonts w:ascii="Times New Roman" w:hAnsi="Times New Roman" w:cs="Times New Roman"/>
          <w:b/>
          <w:sz w:val="24"/>
          <w:szCs w:val="24"/>
        </w:rPr>
        <w:t xml:space="preserve"> (sacrificio</w:t>
      </w:r>
      <w:r w:rsidR="005B1384">
        <w:rPr>
          <w:rFonts w:ascii="Times New Roman" w:hAnsi="Times New Roman" w:cs="Times New Roman"/>
          <w:b/>
          <w:sz w:val="24"/>
          <w:szCs w:val="24"/>
        </w:rPr>
        <w:t>)</w:t>
      </w:r>
      <w:r>
        <w:rPr>
          <w:rFonts w:ascii="Times New Roman" w:hAnsi="Times New Roman" w:cs="Times New Roman"/>
          <w:b/>
          <w:sz w:val="24"/>
          <w:szCs w:val="24"/>
        </w:rPr>
        <w:t>.</w:t>
      </w:r>
      <w:r w:rsidR="00DF01AC">
        <w:rPr>
          <w:rFonts w:ascii="Times New Roman" w:hAnsi="Times New Roman" w:cs="Times New Roman"/>
          <w:b/>
          <w:sz w:val="24"/>
          <w:szCs w:val="24"/>
        </w:rPr>
        <w:t xml:space="preserve">Hay que reducir, postergar o modificar consumos (públicos y privados). </w:t>
      </w:r>
    </w:p>
    <w:p w:rsidR="008C0415" w:rsidRDefault="00DF01AC" w:rsidP="008C041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Tal vez no le venga mal a la desmemoriada, consumista, y colesterólica, ciudadanía europea (empezando por sus representantes políticos) hacer un poco de dieta. </w:t>
      </w:r>
      <w:r w:rsidR="00EA50F5">
        <w:rPr>
          <w:rFonts w:ascii="Times New Roman" w:hAnsi="Times New Roman" w:cs="Times New Roman"/>
          <w:b/>
          <w:sz w:val="24"/>
          <w:szCs w:val="24"/>
        </w:rPr>
        <w:t xml:space="preserve">Una reflexión sobre lo visto y actuado en el último medio siglo. </w:t>
      </w:r>
      <w:r>
        <w:rPr>
          <w:rFonts w:ascii="Times New Roman" w:hAnsi="Times New Roman" w:cs="Times New Roman"/>
          <w:b/>
          <w:sz w:val="24"/>
          <w:szCs w:val="24"/>
        </w:rPr>
        <w:t>Una cura de humildad</w:t>
      </w:r>
      <w:r w:rsidR="00EA50F5">
        <w:rPr>
          <w:rFonts w:ascii="Times New Roman" w:hAnsi="Times New Roman" w:cs="Times New Roman"/>
          <w:b/>
          <w:sz w:val="24"/>
          <w:szCs w:val="24"/>
        </w:rPr>
        <w:t>. Un firme espíritu de enmienda. Un intento desesperado de luchar contra la estupidez…</w:t>
      </w:r>
    </w:p>
    <w:p w:rsidR="00EA50F5" w:rsidRPr="00DF01AC" w:rsidRDefault="00EA50F5" w:rsidP="008C0415">
      <w:pPr>
        <w:spacing w:line="240" w:lineRule="auto"/>
        <w:jc w:val="both"/>
        <w:rPr>
          <w:rFonts w:ascii="Times New Roman" w:hAnsi="Times New Roman" w:cs="Times New Roman"/>
          <w:b/>
          <w:sz w:val="24"/>
          <w:szCs w:val="24"/>
        </w:rPr>
      </w:pPr>
      <w:r>
        <w:rPr>
          <w:rFonts w:ascii="Times New Roman" w:hAnsi="Times New Roman" w:cs="Times New Roman"/>
          <w:b/>
          <w:sz w:val="24"/>
          <w:szCs w:val="24"/>
        </w:rPr>
        <w:t>Aunque Friedrich Nietzsche</w:t>
      </w:r>
      <w:r w:rsidR="00180B8E">
        <w:rPr>
          <w:rFonts w:ascii="Times New Roman" w:hAnsi="Times New Roman" w:cs="Times New Roman"/>
          <w:b/>
          <w:sz w:val="24"/>
          <w:szCs w:val="24"/>
        </w:rPr>
        <w:t xml:space="preserve"> nos dijo que</w:t>
      </w:r>
      <w:r>
        <w:rPr>
          <w:rFonts w:ascii="Times New Roman" w:hAnsi="Times New Roman" w:cs="Times New Roman"/>
          <w:b/>
          <w:sz w:val="24"/>
          <w:szCs w:val="24"/>
        </w:rPr>
        <w:t>: “</w:t>
      </w:r>
      <w:r w:rsidRPr="00EA50F5">
        <w:rPr>
          <w:rFonts w:ascii="Times New Roman" w:hAnsi="Times New Roman" w:cs="Times New Roman"/>
          <w:b/>
          <w:sz w:val="24"/>
          <w:szCs w:val="24"/>
        </w:rPr>
        <w:t>Contra la estupidez, hasta l</w:t>
      </w:r>
      <w:r>
        <w:rPr>
          <w:rFonts w:ascii="Times New Roman" w:hAnsi="Times New Roman" w:cs="Times New Roman"/>
          <w:b/>
          <w:sz w:val="24"/>
          <w:szCs w:val="24"/>
        </w:rPr>
        <w:t>os mismos dioses luchan en vano”</w:t>
      </w:r>
      <w:r w:rsidR="00180B8E">
        <w:rPr>
          <w:rFonts w:ascii="Times New Roman" w:hAnsi="Times New Roman" w:cs="Times New Roman"/>
          <w:b/>
          <w:sz w:val="24"/>
          <w:szCs w:val="24"/>
        </w:rPr>
        <w:t xml:space="preserve">, </w:t>
      </w:r>
      <w:r>
        <w:rPr>
          <w:rFonts w:ascii="Times New Roman" w:hAnsi="Times New Roman" w:cs="Times New Roman"/>
          <w:b/>
          <w:sz w:val="24"/>
          <w:szCs w:val="24"/>
        </w:rPr>
        <w:t>cuando está todo (o casi todo) perdido, vale la pena intentarlo.</w:t>
      </w:r>
    </w:p>
    <w:p w:rsidR="001C678E" w:rsidRPr="007E76EB" w:rsidRDefault="001C678E" w:rsidP="001C678E">
      <w:pPr>
        <w:shd w:val="clear" w:color="auto" w:fill="FFFFFF"/>
        <w:spacing w:line="240" w:lineRule="auto"/>
        <w:jc w:val="both"/>
        <w:textAlignment w:val="baseline"/>
        <w:rPr>
          <w:rFonts w:ascii="Times New Roman" w:eastAsia="Times New Roman" w:hAnsi="Times New Roman" w:cs="Times New Roman"/>
          <w:b/>
          <w:color w:val="FF0000"/>
          <w:sz w:val="24"/>
          <w:szCs w:val="24"/>
          <w:lang w:eastAsia="es-ES"/>
        </w:rPr>
      </w:pPr>
      <w:r w:rsidRPr="007E76EB">
        <w:rPr>
          <w:rFonts w:ascii="Times New Roman" w:eastAsia="Times New Roman" w:hAnsi="Times New Roman" w:cs="Times New Roman"/>
          <w:b/>
          <w:color w:val="FF0000"/>
          <w:sz w:val="24"/>
          <w:szCs w:val="24"/>
          <w:lang w:eastAsia="es-ES"/>
        </w:rPr>
        <w:lastRenderedPageBreak/>
        <w:t>5 - La Gran Renuncia (a ser una potencia política, económica y… militar) Si no te temen, no te respetan</w:t>
      </w:r>
    </w:p>
    <w:p w:rsidR="00E30227" w:rsidRDefault="00E30227" w:rsidP="00361C1A">
      <w:pPr>
        <w:pStyle w:val="NormalWeb"/>
        <w:spacing w:after="360"/>
        <w:jc w:val="both"/>
      </w:pPr>
      <w:r>
        <w:t>Si miramos la “evolución” de la productividad (única forma genuina de mejorar la competitividad</w:t>
      </w:r>
      <w:r w:rsidR="00FB5D4A">
        <w:t>,</w:t>
      </w:r>
      <w:r>
        <w:t xml:space="preserve"> en un mundo globalizado, según la opinión de los “grandes bonetes”)</w:t>
      </w:r>
      <w:r w:rsidR="00FB5D4A">
        <w:t xml:space="preserve"> no se puede decir que las “acciones” realizadas por los dirigentes de la Unión Europea hayan servido para que las empresas o los trabajadores aumentaran </w:t>
      </w:r>
      <w:r w:rsidR="00F22A02">
        <w:t>su eficiencia y renta.</w:t>
      </w:r>
    </w:p>
    <w:p w:rsidR="00F22A02" w:rsidRDefault="00F22A02" w:rsidP="00F22A02">
      <w:pPr>
        <w:pStyle w:val="NormalWeb"/>
        <w:spacing w:after="360"/>
        <w:jc w:val="both"/>
      </w:pPr>
      <w:r>
        <w:t xml:space="preserve">Desde el año 2008 en adelante, el largo proceso de devaluación interna, los recortes del estado de bienestar, las precariedad laboral y el empobrecimiento de la clase trabajadora, la larga y penosa represión financiera al ahorrista, la ingente cantidad de recursos públicos que se lanzaron al mercado (aumentando el déficit y la deuda pública), el relajamiento monetario del Banco Central Europeo (incremento exponencial de la masa monetaria), </w:t>
      </w:r>
      <w:r w:rsidR="00A26D89">
        <w:t xml:space="preserve">no </w:t>
      </w:r>
      <w:r>
        <w:t>han logrado mejorar la competitividad de la Unión Europea</w:t>
      </w:r>
      <w:r w:rsidR="005F2DE7">
        <w:t xml:space="preserve">. </w:t>
      </w:r>
    </w:p>
    <w:p w:rsidR="00F22A02" w:rsidRDefault="005F2DE7" w:rsidP="00F22A02">
      <w:pPr>
        <w:pStyle w:val="NormalWeb"/>
        <w:spacing w:after="360"/>
        <w:jc w:val="both"/>
      </w:pPr>
      <w:r>
        <w:t>Aquello que los analistas llaman la “Gran Renuncia” o la “Gran Dimisión”, que es</w:t>
      </w:r>
      <w:r w:rsidRPr="005F2DE7">
        <w:t xml:space="preserve"> el goteo masivo de trabajadores estadounidenses que han dicho adiós a sus trabajos, voluntariamente, desde que se inici</w:t>
      </w:r>
      <w:r>
        <w:t xml:space="preserve">ó la recuperación postpandémica, en el caso europeo, podría decirse que la “Gran Renuncia” ha sido la presentada por sus autoridades (Consejo Europeo, Parlamento Europeo, y Comisión Europea -más toda su corte de burócratas-) </w:t>
      </w:r>
      <w:r w:rsidRPr="00907CD4">
        <w:t>a ser una potencia política, económica y… militar</w:t>
      </w:r>
      <w:r w:rsidR="00907CD4" w:rsidRPr="00907CD4">
        <w:t>.</w:t>
      </w:r>
      <w:r w:rsidR="00907CD4">
        <w:t xml:space="preserve"> De ahí en adelante, todo ha ido “cuesta abajo”, ante la mirada atónita de los ciudadanos europeos (entre </w:t>
      </w:r>
      <w:r w:rsidR="00A26D89">
        <w:t>“</w:t>
      </w:r>
      <w:r w:rsidR="00907CD4">
        <w:t>la vergüenza de haber sido y el dolor de ya no ser</w:t>
      </w:r>
      <w:r w:rsidR="00A26D89">
        <w:t>”</w:t>
      </w:r>
      <w:r w:rsidR="00907CD4">
        <w:t xml:space="preserve">). </w:t>
      </w:r>
    </w:p>
    <w:p w:rsidR="00907CD4" w:rsidRDefault="007958FC" w:rsidP="00F22A02">
      <w:pPr>
        <w:pStyle w:val="NormalWeb"/>
        <w:spacing w:after="360"/>
        <w:jc w:val="both"/>
      </w:pPr>
      <w:r>
        <w:t xml:space="preserve">¿Caminando hacia atrás en el futuro (un regreso a la Edad Media), </w:t>
      </w:r>
      <w:r w:rsidR="00E204FA">
        <w:t>se puede ser más competitivo? ¿n</w:t>
      </w:r>
      <w:r>
        <w:t xml:space="preserve">o habrá que revisar con quién se comercia, y bajo qué condiciones? </w:t>
      </w:r>
    </w:p>
    <w:p w:rsidR="00907CD4" w:rsidRDefault="00907CD4" w:rsidP="00907CD4">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Falta de claridad a la hora de establecer socios y competidores internacionales. Las amistades peligrosas (¿ingenuidad, debilidad, connivencia, o corrupción?)</w:t>
      </w:r>
    </w:p>
    <w:p w:rsidR="00944AF8" w:rsidRDefault="007958FC" w:rsidP="00907CD4">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958FC">
        <w:rPr>
          <w:rFonts w:ascii="Times New Roman" w:eastAsia="Times New Roman" w:hAnsi="Times New Roman" w:cs="Times New Roman"/>
          <w:sz w:val="24"/>
          <w:szCs w:val="24"/>
          <w:lang w:eastAsia="es-ES"/>
        </w:rPr>
        <w:t>Fue Lord Palmerston</w:t>
      </w:r>
      <w:r w:rsidR="00944AF8">
        <w:rPr>
          <w:rFonts w:ascii="Times New Roman" w:eastAsia="Times New Roman" w:hAnsi="Times New Roman" w:cs="Times New Roman"/>
          <w:sz w:val="24"/>
          <w:szCs w:val="24"/>
          <w:lang w:eastAsia="es-ES"/>
        </w:rPr>
        <w:t>(</w:t>
      </w:r>
      <w:r w:rsidRPr="007958FC">
        <w:rPr>
          <w:rFonts w:ascii="Times New Roman" w:eastAsia="Times New Roman" w:hAnsi="Times New Roman" w:cs="Times New Roman"/>
          <w:sz w:val="24"/>
          <w:szCs w:val="24"/>
          <w:lang w:eastAsia="es-ES"/>
        </w:rPr>
        <w:t>político británico que ocupó el cargo de primer ministro del Reino Unido a mediados del s</w:t>
      </w:r>
      <w:r w:rsidR="00944AF8">
        <w:rPr>
          <w:rFonts w:ascii="Times New Roman" w:eastAsia="Times New Roman" w:hAnsi="Times New Roman" w:cs="Times New Roman"/>
          <w:sz w:val="24"/>
          <w:szCs w:val="24"/>
          <w:lang w:eastAsia="es-ES"/>
        </w:rPr>
        <w:t>iglo XIX durante dos ocasiones -</w:t>
      </w:r>
      <w:r w:rsidRPr="007958FC">
        <w:rPr>
          <w:rFonts w:ascii="Times New Roman" w:eastAsia="Times New Roman" w:hAnsi="Times New Roman" w:cs="Times New Roman"/>
          <w:sz w:val="24"/>
          <w:szCs w:val="24"/>
          <w:lang w:eastAsia="es-ES"/>
        </w:rPr>
        <w:t>1855-58 y 1859-65</w:t>
      </w:r>
      <w:r w:rsidR="00A26D89">
        <w:rPr>
          <w:rFonts w:ascii="Times New Roman" w:eastAsia="Times New Roman" w:hAnsi="Times New Roman" w:cs="Times New Roman"/>
          <w:sz w:val="24"/>
          <w:szCs w:val="24"/>
          <w:lang w:eastAsia="es-ES"/>
        </w:rPr>
        <w:t>-</w:t>
      </w:r>
      <w:r w:rsidR="00944AF8">
        <w:rPr>
          <w:rFonts w:ascii="Times New Roman" w:eastAsia="Times New Roman" w:hAnsi="Times New Roman" w:cs="Times New Roman"/>
          <w:sz w:val="24"/>
          <w:szCs w:val="24"/>
          <w:lang w:eastAsia="es-ES"/>
        </w:rPr>
        <w:t>)</w:t>
      </w:r>
      <w:r w:rsidRPr="007958FC">
        <w:rPr>
          <w:rFonts w:ascii="Times New Roman" w:eastAsia="Times New Roman" w:hAnsi="Times New Roman" w:cs="Times New Roman"/>
          <w:sz w:val="24"/>
          <w:szCs w:val="24"/>
          <w:lang w:eastAsia="es-ES"/>
        </w:rPr>
        <w:t xml:space="preserve"> quién </w:t>
      </w:r>
      <w:r w:rsidR="00944AF8">
        <w:rPr>
          <w:rFonts w:ascii="Times New Roman" w:eastAsia="Times New Roman" w:hAnsi="Times New Roman" w:cs="Times New Roman"/>
          <w:sz w:val="24"/>
          <w:szCs w:val="24"/>
          <w:lang w:eastAsia="es-ES"/>
        </w:rPr>
        <w:t>por primera vez acuñó la frase “</w:t>
      </w:r>
      <w:r w:rsidRPr="007958FC">
        <w:rPr>
          <w:rFonts w:ascii="Times New Roman" w:eastAsia="Times New Roman" w:hAnsi="Times New Roman" w:cs="Times New Roman"/>
          <w:sz w:val="24"/>
          <w:szCs w:val="24"/>
          <w:lang w:eastAsia="es-ES"/>
        </w:rPr>
        <w:t>Las naciones no tienen amigos ni enemigos permanentes, solo intereses permanentes</w:t>
      </w:r>
      <w:r w:rsidR="00944AF8">
        <w:rPr>
          <w:rFonts w:ascii="Times New Roman" w:eastAsia="Times New Roman" w:hAnsi="Times New Roman" w:cs="Times New Roman"/>
          <w:sz w:val="24"/>
          <w:szCs w:val="24"/>
          <w:lang w:eastAsia="es-ES"/>
        </w:rPr>
        <w:t>”</w:t>
      </w:r>
      <w:r w:rsidRPr="007958FC">
        <w:rPr>
          <w:rFonts w:ascii="Times New Roman" w:eastAsia="Times New Roman" w:hAnsi="Times New Roman" w:cs="Times New Roman"/>
          <w:sz w:val="24"/>
          <w:szCs w:val="24"/>
          <w:lang w:eastAsia="es-ES"/>
        </w:rPr>
        <w:t>.</w:t>
      </w:r>
      <w:r w:rsidR="00944AF8" w:rsidRPr="00944AF8">
        <w:rPr>
          <w:rFonts w:ascii="Times New Roman" w:eastAsia="Times New Roman" w:hAnsi="Times New Roman" w:cs="Times New Roman"/>
          <w:sz w:val="24"/>
          <w:szCs w:val="24"/>
          <w:lang w:eastAsia="es-ES"/>
        </w:rPr>
        <w:t>Dominó los asuntos ex</w:t>
      </w:r>
      <w:r w:rsidR="00944AF8">
        <w:rPr>
          <w:rFonts w:ascii="Times New Roman" w:eastAsia="Times New Roman" w:hAnsi="Times New Roman" w:cs="Times New Roman"/>
          <w:sz w:val="24"/>
          <w:szCs w:val="24"/>
          <w:lang w:eastAsia="es-ES"/>
        </w:rPr>
        <w:t xml:space="preserve">teriores </w:t>
      </w:r>
      <w:r w:rsidR="00944AF8" w:rsidRPr="00944AF8">
        <w:rPr>
          <w:rFonts w:ascii="Times New Roman" w:eastAsia="Times New Roman" w:hAnsi="Times New Roman" w:cs="Times New Roman"/>
          <w:sz w:val="24"/>
          <w:szCs w:val="24"/>
          <w:lang w:eastAsia="es-ES"/>
        </w:rPr>
        <w:t>cuando el Reino Unido estaba en la cumbre de su poder imperial.</w:t>
      </w:r>
      <w:r w:rsidRPr="007958FC">
        <w:rPr>
          <w:rFonts w:ascii="Times New Roman" w:eastAsia="Times New Roman" w:hAnsi="Times New Roman" w:cs="Times New Roman"/>
          <w:sz w:val="24"/>
          <w:szCs w:val="24"/>
          <w:lang w:eastAsia="es-ES"/>
        </w:rPr>
        <w:t xml:space="preserve"> Más tarde, el General Charles de Gaulle dijo algo parecido. </w:t>
      </w:r>
    </w:p>
    <w:p w:rsidR="00944AF8" w:rsidRDefault="007958FC" w:rsidP="00907CD4">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958FC">
        <w:rPr>
          <w:rFonts w:ascii="Times New Roman" w:eastAsia="Times New Roman" w:hAnsi="Times New Roman" w:cs="Times New Roman"/>
          <w:sz w:val="24"/>
          <w:szCs w:val="24"/>
          <w:lang w:eastAsia="es-ES"/>
        </w:rPr>
        <w:t>Por ello, muchos desconsideran a la diplomacia, por no estar  encaminada al bien común y al respeto de los altos principios de la humanidad.</w:t>
      </w:r>
      <w:r w:rsidR="00944AF8">
        <w:rPr>
          <w:rFonts w:ascii="Times New Roman" w:eastAsia="Times New Roman" w:hAnsi="Times New Roman" w:cs="Times New Roman"/>
          <w:sz w:val="24"/>
          <w:szCs w:val="24"/>
          <w:lang w:eastAsia="es-ES"/>
        </w:rPr>
        <w:t xml:space="preserve"> Y es posible (casi seguro) que por exceso o defecto la Unión Europea haya levantado la bandera de los altos principios abandonando el pragmatismo de los altos negocios.</w:t>
      </w:r>
    </w:p>
    <w:p w:rsidR="00603CE5" w:rsidRDefault="00944AF8" w:rsidP="00907CD4">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En esa neblina conceptual (miopía, connivencia, miedo, complejo, pasividad, comodidad, cobardía, </w:t>
      </w:r>
      <w:r w:rsidR="00603CE5">
        <w:rPr>
          <w:rFonts w:ascii="Times New Roman" w:eastAsia="Times New Roman" w:hAnsi="Times New Roman" w:cs="Times New Roman"/>
          <w:sz w:val="24"/>
          <w:szCs w:val="24"/>
          <w:lang w:eastAsia="es-ES"/>
        </w:rPr>
        <w:t>descuido, desdeño, decidía…) han cedido la dirección de sus intereses (políticos, económicos, estratégicos, defensivos…) a terceros países fuera del ámbito de la UE.</w:t>
      </w:r>
    </w:p>
    <w:p w:rsidR="007958FC" w:rsidRDefault="00603CE5" w:rsidP="00907CD4">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 Estados Unidos un país amigo, un socio, un enemigo potencial, o un competidor que se solo se mueve en función de sus intereses? </w:t>
      </w:r>
    </w:p>
    <w:p w:rsidR="00603CE5" w:rsidRPr="007958FC" w:rsidRDefault="00603CE5" w:rsidP="00603CE5">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 China un país amigo, un socio, un enemigo potencial, o un competidor que se solo se mueve en función de sus intereses?  </w:t>
      </w:r>
    </w:p>
    <w:p w:rsidR="00603CE5" w:rsidRPr="007958FC" w:rsidRDefault="00603CE5" w:rsidP="00603CE5">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 Japón un país amigo, un socio, un enemigo potencial, o un competidor que se solo se mueve en función de sus intereses?  </w:t>
      </w:r>
    </w:p>
    <w:p w:rsidR="00603CE5" w:rsidRDefault="00603CE5" w:rsidP="00603CE5">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¿Es Rusia un país amigo, un socio, un enemigo potencial, o un competidor que se solo se mueve en función de sus intereses?</w:t>
      </w:r>
    </w:p>
    <w:p w:rsidR="00603CE5" w:rsidRDefault="00603CE5" w:rsidP="00603CE5">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 el Reino Unido un país amigo, un socio, un enemigo potencial, o un competidor que se solo se mueve en función de sus intereses?</w:t>
      </w:r>
    </w:p>
    <w:p w:rsidR="00585E14" w:rsidRDefault="00603CE5" w:rsidP="00603CE5">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Y así podríamos seguir</w:t>
      </w:r>
      <w:r w:rsidR="00585E14">
        <w:rPr>
          <w:rFonts w:ascii="Times New Roman" w:eastAsia="Times New Roman" w:hAnsi="Times New Roman" w:cs="Times New Roman"/>
          <w:sz w:val="24"/>
          <w:szCs w:val="24"/>
          <w:lang w:eastAsia="es-ES"/>
        </w:rPr>
        <w:t xml:space="preserve"> enumerando regiones o países (avanzados, eme</w:t>
      </w:r>
      <w:r w:rsidR="00E204FA">
        <w:rPr>
          <w:rFonts w:ascii="Times New Roman" w:eastAsia="Times New Roman" w:hAnsi="Times New Roman" w:cs="Times New Roman"/>
          <w:sz w:val="24"/>
          <w:szCs w:val="24"/>
          <w:lang w:eastAsia="es-ES"/>
        </w:rPr>
        <w:t xml:space="preserve">rgentes, en vías de desarrollo, </w:t>
      </w:r>
      <w:r w:rsidR="00585E14">
        <w:rPr>
          <w:rFonts w:ascii="Times New Roman" w:eastAsia="Times New Roman" w:hAnsi="Times New Roman" w:cs="Times New Roman"/>
          <w:sz w:val="24"/>
          <w:szCs w:val="24"/>
          <w:lang w:eastAsia="es-ES"/>
        </w:rPr>
        <w:t xml:space="preserve">o subdesarrollados) para los cuales la Unión Europea debería establecer su carácter de </w:t>
      </w:r>
      <w:r w:rsidR="00585E14" w:rsidRPr="00585E14">
        <w:rPr>
          <w:rFonts w:ascii="Times New Roman" w:eastAsia="Times New Roman" w:hAnsi="Times New Roman" w:cs="Times New Roman"/>
          <w:sz w:val="24"/>
          <w:szCs w:val="24"/>
          <w:lang w:eastAsia="es-ES"/>
        </w:rPr>
        <w:t>so</w:t>
      </w:r>
      <w:r w:rsidR="00585E14">
        <w:rPr>
          <w:rFonts w:ascii="Times New Roman" w:eastAsia="Times New Roman" w:hAnsi="Times New Roman" w:cs="Times New Roman"/>
          <w:sz w:val="24"/>
          <w:szCs w:val="24"/>
          <w:lang w:eastAsia="es-ES"/>
        </w:rPr>
        <w:t xml:space="preserve">cios o competidores internacionales, </w:t>
      </w:r>
      <w:r w:rsidR="00585E14" w:rsidRPr="00585E14">
        <w:rPr>
          <w:rFonts w:ascii="Times New Roman" w:eastAsia="Times New Roman" w:hAnsi="Times New Roman" w:cs="Times New Roman"/>
          <w:sz w:val="24"/>
          <w:szCs w:val="24"/>
          <w:lang w:eastAsia="es-ES"/>
        </w:rPr>
        <w:t>as</w:t>
      </w:r>
      <w:r w:rsidR="00585E14">
        <w:rPr>
          <w:rFonts w:ascii="Times New Roman" w:eastAsia="Times New Roman" w:hAnsi="Times New Roman" w:cs="Times New Roman"/>
          <w:sz w:val="24"/>
          <w:szCs w:val="24"/>
          <w:lang w:eastAsia="es-ES"/>
        </w:rPr>
        <w:t>í como detectar las</w:t>
      </w:r>
      <w:r w:rsidR="00585E14" w:rsidRPr="00585E14">
        <w:rPr>
          <w:rFonts w:ascii="Times New Roman" w:eastAsia="Times New Roman" w:hAnsi="Times New Roman" w:cs="Times New Roman"/>
          <w:sz w:val="24"/>
          <w:szCs w:val="24"/>
          <w:lang w:eastAsia="es-ES"/>
        </w:rPr>
        <w:t xml:space="preserve"> amistades peligrosas</w:t>
      </w:r>
      <w:r w:rsidR="00585E14">
        <w:rPr>
          <w:rFonts w:ascii="Times New Roman" w:eastAsia="Times New Roman" w:hAnsi="Times New Roman" w:cs="Times New Roman"/>
          <w:sz w:val="24"/>
          <w:szCs w:val="24"/>
          <w:lang w:eastAsia="es-ES"/>
        </w:rPr>
        <w:t>.</w:t>
      </w:r>
    </w:p>
    <w:p w:rsidR="00585E14" w:rsidRDefault="00AC65A9" w:rsidP="00603CE5">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Uno de</w:t>
      </w:r>
      <w:r w:rsidR="00585E14">
        <w:rPr>
          <w:rFonts w:ascii="Times New Roman" w:eastAsia="Times New Roman" w:hAnsi="Times New Roman" w:cs="Times New Roman"/>
          <w:sz w:val="24"/>
          <w:szCs w:val="24"/>
          <w:lang w:eastAsia="es-ES"/>
        </w:rPr>
        <w:t xml:space="preserve"> los “intereses permanentes” que la Unión Europea debería establecer para con ella misma sería el del nivel de competencia que estaría dispuesta a aceptar para abrir su mercado.</w:t>
      </w:r>
    </w:p>
    <w:p w:rsidR="00585E14" w:rsidRDefault="00585E14" w:rsidP="00603CE5">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un</w:t>
      </w:r>
      <w:r w:rsidR="00AC65A9">
        <w:rPr>
          <w:rFonts w:ascii="Times New Roman" w:eastAsia="Times New Roman" w:hAnsi="Times New Roman" w:cs="Times New Roman"/>
          <w:sz w:val="24"/>
          <w:szCs w:val="24"/>
          <w:lang w:eastAsia="es-ES"/>
        </w:rPr>
        <w:t xml:space="preserve"> sistema de sanidad pública</w:t>
      </w:r>
      <w:r>
        <w:rPr>
          <w:rFonts w:ascii="Times New Roman" w:eastAsia="Times New Roman" w:hAnsi="Times New Roman" w:cs="Times New Roman"/>
          <w:sz w:val="24"/>
          <w:szCs w:val="24"/>
          <w:lang w:eastAsia="es-ES"/>
        </w:rPr>
        <w:t>?</w:t>
      </w:r>
    </w:p>
    <w:p w:rsidR="00AC65A9" w:rsidRDefault="00AC65A9"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un sistema de pensiones público?</w:t>
      </w:r>
    </w:p>
    <w:p w:rsidR="00AC65A9" w:rsidRDefault="00AC65A9"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un costoso estado de bienestar?</w:t>
      </w:r>
    </w:p>
    <w:p w:rsidR="00AC65A9" w:rsidRDefault="00AC65A9"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las mismas exigencias ambientales?</w:t>
      </w:r>
    </w:p>
    <w:p w:rsidR="007B5930" w:rsidRDefault="007B5930"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¿Se puede competir con EEUU, cuando ellos </w:t>
      </w:r>
      <w:r w:rsidR="00E204FA">
        <w:rPr>
          <w:rFonts w:ascii="Times New Roman" w:eastAsia="Times New Roman" w:hAnsi="Times New Roman" w:cs="Times New Roman"/>
          <w:sz w:val="24"/>
          <w:szCs w:val="24"/>
          <w:lang w:eastAsia="es-ES"/>
        </w:rPr>
        <w:t xml:space="preserve">no </w:t>
      </w:r>
      <w:r>
        <w:rPr>
          <w:rFonts w:ascii="Times New Roman" w:eastAsia="Times New Roman" w:hAnsi="Times New Roman" w:cs="Times New Roman"/>
          <w:sz w:val="24"/>
          <w:szCs w:val="24"/>
          <w:lang w:eastAsia="es-ES"/>
        </w:rPr>
        <w:t>ti</w:t>
      </w:r>
      <w:r w:rsidR="00E204FA">
        <w:rPr>
          <w:rFonts w:ascii="Times New Roman" w:eastAsia="Times New Roman" w:hAnsi="Times New Roman" w:cs="Times New Roman"/>
          <w:sz w:val="24"/>
          <w:szCs w:val="24"/>
          <w:lang w:eastAsia="es-ES"/>
        </w:rPr>
        <w:t>enen una presión fiscal similar</w:t>
      </w:r>
      <w:r>
        <w:rPr>
          <w:rFonts w:ascii="Times New Roman" w:eastAsia="Times New Roman" w:hAnsi="Times New Roman" w:cs="Times New Roman"/>
          <w:sz w:val="24"/>
          <w:szCs w:val="24"/>
          <w:lang w:eastAsia="es-ES"/>
        </w:rPr>
        <w:t>?</w:t>
      </w:r>
    </w:p>
    <w:p w:rsidR="00603CE5" w:rsidRDefault="00585E14" w:rsidP="00603CE5">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AC65A9">
        <w:rPr>
          <w:rFonts w:ascii="Times New Roman" w:eastAsia="Times New Roman" w:hAnsi="Times New Roman" w:cs="Times New Roman"/>
          <w:sz w:val="24"/>
          <w:szCs w:val="24"/>
          <w:lang w:eastAsia="es-ES"/>
        </w:rPr>
        <w:t>Se puede competir con EEUU, haciendo que los repartidores tengan que orinar en una botella</w:t>
      </w:r>
      <w:r w:rsidR="00E204FA">
        <w:rPr>
          <w:rFonts w:ascii="Times New Roman" w:eastAsia="Times New Roman" w:hAnsi="Times New Roman" w:cs="Times New Roman"/>
          <w:sz w:val="24"/>
          <w:szCs w:val="24"/>
          <w:lang w:eastAsia="es-ES"/>
        </w:rPr>
        <w:t>, que llevan en el vehículo, para no retrasar el pedido</w:t>
      </w:r>
      <w:r w:rsidR="00AC65A9">
        <w:rPr>
          <w:rFonts w:ascii="Times New Roman" w:eastAsia="Times New Roman" w:hAnsi="Times New Roman" w:cs="Times New Roman"/>
          <w:sz w:val="24"/>
          <w:szCs w:val="24"/>
          <w:lang w:eastAsia="es-ES"/>
        </w:rPr>
        <w:t xml:space="preserve"> (Amazon)?</w:t>
      </w:r>
    </w:p>
    <w:p w:rsidR="00AC65A9" w:rsidRDefault="00AC65A9"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cuando ellos no tienen un costoso estado de bienestar?</w:t>
      </w:r>
    </w:p>
    <w:p w:rsidR="00AC65A9" w:rsidRDefault="00AC65A9"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cuando ellos no tienen las mismas exigencias ambientales?</w:t>
      </w:r>
    </w:p>
    <w:p w:rsidR="00AC65A9" w:rsidRDefault="00AC65A9"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cuando ellos no tienen las mismas exigencias sanitarias?</w:t>
      </w:r>
    </w:p>
    <w:p w:rsidR="007B5930" w:rsidRDefault="00E204FA" w:rsidP="007B593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w:t>
      </w:r>
      <w:r w:rsidR="007B5930">
        <w:rPr>
          <w:rFonts w:ascii="Times New Roman" w:eastAsia="Times New Roman" w:hAnsi="Times New Roman" w:cs="Times New Roman"/>
          <w:sz w:val="24"/>
          <w:szCs w:val="24"/>
          <w:lang w:eastAsia="es-ES"/>
        </w:rPr>
        <w:t>, cuando ellos</w:t>
      </w:r>
      <w:r>
        <w:rPr>
          <w:rFonts w:ascii="Times New Roman" w:eastAsia="Times New Roman" w:hAnsi="Times New Roman" w:cs="Times New Roman"/>
          <w:sz w:val="24"/>
          <w:szCs w:val="24"/>
          <w:lang w:eastAsia="es-ES"/>
        </w:rPr>
        <w:t xml:space="preserve"> no</w:t>
      </w:r>
      <w:r w:rsidR="007B5930">
        <w:rPr>
          <w:rFonts w:ascii="Times New Roman" w:eastAsia="Times New Roman" w:hAnsi="Times New Roman" w:cs="Times New Roman"/>
          <w:sz w:val="24"/>
          <w:szCs w:val="24"/>
          <w:lang w:eastAsia="es-ES"/>
        </w:rPr>
        <w:t xml:space="preserve"> ti</w:t>
      </w:r>
      <w:r>
        <w:rPr>
          <w:rFonts w:ascii="Times New Roman" w:eastAsia="Times New Roman" w:hAnsi="Times New Roman" w:cs="Times New Roman"/>
          <w:sz w:val="24"/>
          <w:szCs w:val="24"/>
          <w:lang w:eastAsia="es-ES"/>
        </w:rPr>
        <w:t>enen una presión fiscal similar</w:t>
      </w:r>
      <w:r w:rsidR="007B5930">
        <w:rPr>
          <w:rFonts w:ascii="Times New Roman" w:eastAsia="Times New Roman" w:hAnsi="Times New Roman" w:cs="Times New Roman"/>
          <w:sz w:val="24"/>
          <w:szCs w:val="24"/>
          <w:lang w:eastAsia="es-ES"/>
        </w:rPr>
        <w:t>?</w:t>
      </w:r>
    </w:p>
    <w:p w:rsidR="00AC65A9" w:rsidRDefault="00AC65A9"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haciendo que los trabajadores tengan jornadas laborales de 16 horas, una semana de vacaciones al año, y deban pagar para ir al baño?</w:t>
      </w:r>
    </w:p>
    <w:p w:rsidR="00AC65A9" w:rsidRDefault="00AC65A9"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Estas mismas preguntas</w:t>
      </w:r>
      <w:r w:rsidR="007B5930">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o similares</w:t>
      </w:r>
      <w:r w:rsidR="007B5930">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deberían hacerse</w:t>
      </w:r>
      <w:r w:rsidR="007B5930">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y contestarse</w:t>
      </w:r>
      <w:r w:rsidR="007B5930">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los “burócratas”</w:t>
      </w:r>
      <w:r w:rsidR="007B5930">
        <w:rPr>
          <w:rFonts w:ascii="Times New Roman" w:eastAsia="Times New Roman" w:hAnsi="Times New Roman" w:cs="Times New Roman"/>
          <w:sz w:val="24"/>
          <w:szCs w:val="24"/>
          <w:lang w:eastAsia="es-ES"/>
        </w:rPr>
        <w:t xml:space="preserve"> de Bruselas, antes de abrir sus fronteras a los capitales y mercancías de terceros países.</w:t>
      </w:r>
    </w:p>
    <w:p w:rsidR="007B5930" w:rsidRDefault="007B5930"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libre comercio no puede adoptarse</w:t>
      </w:r>
      <w:r w:rsidR="00E204FA">
        <w:rPr>
          <w:rFonts w:ascii="Times New Roman" w:eastAsia="Times New Roman" w:hAnsi="Times New Roman" w:cs="Times New Roman"/>
          <w:sz w:val="24"/>
          <w:szCs w:val="24"/>
          <w:lang w:eastAsia="es-ES"/>
        </w:rPr>
        <w:t xml:space="preserve"> sin reciprocidad, sin igualdad de condiciones, s</w:t>
      </w:r>
      <w:r>
        <w:rPr>
          <w:rFonts w:ascii="Times New Roman" w:eastAsia="Times New Roman" w:hAnsi="Times New Roman" w:cs="Times New Roman"/>
          <w:sz w:val="24"/>
          <w:szCs w:val="24"/>
          <w:lang w:eastAsia="es-ES"/>
        </w:rPr>
        <w:t xml:space="preserve">in normativas equivalentes, o sin los aranceles compensatorios correspondientes. </w:t>
      </w:r>
    </w:p>
    <w:p w:rsidR="002C3860" w:rsidRDefault="007B5930"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libre comercio no puede practicarse con las “cartas marcadas” (juego de tahúres). El mercado europeo (500 millones de consumidores, con uno de los consumo</w:t>
      </w:r>
      <w:r w:rsidR="002C3860">
        <w:rPr>
          <w:rFonts w:ascii="Times New Roman" w:eastAsia="Times New Roman" w:hAnsi="Times New Roman" w:cs="Times New Roman"/>
          <w:sz w:val="24"/>
          <w:szCs w:val="24"/>
          <w:lang w:eastAsia="es-ES"/>
        </w:rPr>
        <w:t>s medio</w:t>
      </w:r>
      <w:r>
        <w:rPr>
          <w:rFonts w:ascii="Times New Roman" w:eastAsia="Times New Roman" w:hAnsi="Times New Roman" w:cs="Times New Roman"/>
          <w:sz w:val="24"/>
          <w:szCs w:val="24"/>
          <w:lang w:eastAsia="es-ES"/>
        </w:rPr>
        <w:t xml:space="preserve"> per cápita más alto</w:t>
      </w:r>
      <w:r w:rsidR="002C3860">
        <w:rPr>
          <w:rFonts w:ascii="Times New Roman" w:eastAsia="Times New Roman" w:hAnsi="Times New Roman" w:cs="Times New Roman"/>
          <w:sz w:val="24"/>
          <w:szCs w:val="24"/>
          <w:lang w:eastAsia="es-ES"/>
        </w:rPr>
        <w:t>s</w:t>
      </w:r>
      <w:r>
        <w:rPr>
          <w:rFonts w:ascii="Times New Roman" w:eastAsia="Times New Roman" w:hAnsi="Times New Roman" w:cs="Times New Roman"/>
          <w:sz w:val="24"/>
          <w:szCs w:val="24"/>
          <w:lang w:eastAsia="es-ES"/>
        </w:rPr>
        <w:t xml:space="preserve"> del mundo)</w:t>
      </w:r>
      <w:r w:rsidR="002C3860">
        <w:rPr>
          <w:rFonts w:ascii="Times New Roman" w:eastAsia="Times New Roman" w:hAnsi="Times New Roman" w:cs="Times New Roman"/>
          <w:sz w:val="24"/>
          <w:szCs w:val="24"/>
          <w:lang w:eastAsia="es-ES"/>
        </w:rPr>
        <w:t>, en forma “gratuita”, no recíproca, indiscriminada, irrestricta, asimétrica, descompensada, gravosa, desregulada, arbitraria, ruinosa, desleal, insostenible…</w:t>
      </w:r>
    </w:p>
    <w:p w:rsidR="00903016" w:rsidRDefault="002C3860"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El mercado europeo tiene mucho valor y no se puede entregar a cambio de nada. En el comercio (como ha enseñado </w:t>
      </w:r>
      <w:r w:rsidRPr="007958FC">
        <w:rPr>
          <w:rFonts w:ascii="Times New Roman" w:eastAsia="Times New Roman" w:hAnsi="Times New Roman" w:cs="Times New Roman"/>
          <w:sz w:val="24"/>
          <w:szCs w:val="24"/>
          <w:lang w:eastAsia="es-ES"/>
        </w:rPr>
        <w:t>Lord Palmerston</w:t>
      </w:r>
      <w:r>
        <w:rPr>
          <w:rFonts w:ascii="Times New Roman" w:eastAsia="Times New Roman" w:hAnsi="Times New Roman" w:cs="Times New Roman"/>
          <w:sz w:val="24"/>
          <w:szCs w:val="24"/>
          <w:lang w:eastAsia="es-ES"/>
        </w:rPr>
        <w:t>) solo imperan los intereses. A ver si se enteran los “burócratas” de Bruselas y se dejan</w:t>
      </w:r>
      <w:r w:rsidR="00903016">
        <w:rPr>
          <w:rFonts w:ascii="Times New Roman" w:eastAsia="Times New Roman" w:hAnsi="Times New Roman" w:cs="Times New Roman"/>
          <w:sz w:val="24"/>
          <w:szCs w:val="24"/>
          <w:lang w:eastAsia="es-ES"/>
        </w:rPr>
        <w:t xml:space="preserve"> de “cantarle a los pájaros”, de ser tan “fr</w:t>
      </w:r>
      <w:r w:rsidR="00A26D89">
        <w:rPr>
          <w:rFonts w:ascii="Times New Roman" w:eastAsia="Times New Roman" w:hAnsi="Times New Roman" w:cs="Times New Roman"/>
          <w:sz w:val="24"/>
          <w:szCs w:val="24"/>
          <w:lang w:eastAsia="es-ES"/>
        </w:rPr>
        <w:t>iendlies”, de ser tan “bizcochab</w:t>
      </w:r>
      <w:r w:rsidR="00903016">
        <w:rPr>
          <w:rFonts w:ascii="Times New Roman" w:eastAsia="Times New Roman" w:hAnsi="Times New Roman" w:cs="Times New Roman"/>
          <w:sz w:val="24"/>
          <w:szCs w:val="24"/>
          <w:lang w:eastAsia="es-ES"/>
        </w:rPr>
        <w:t>les”, de ser tan bl</w:t>
      </w:r>
      <w:r w:rsidR="00A539BA">
        <w:rPr>
          <w:rFonts w:ascii="Times New Roman" w:eastAsia="Times New Roman" w:hAnsi="Times New Roman" w:cs="Times New Roman"/>
          <w:sz w:val="24"/>
          <w:szCs w:val="24"/>
          <w:lang w:eastAsia="es-ES"/>
        </w:rPr>
        <w:t>anditos, de ser tan conniventes</w:t>
      </w:r>
      <w:r w:rsidR="00903016">
        <w:rPr>
          <w:rFonts w:ascii="Times New Roman" w:eastAsia="Times New Roman" w:hAnsi="Times New Roman" w:cs="Times New Roman"/>
          <w:sz w:val="24"/>
          <w:szCs w:val="24"/>
          <w:lang w:eastAsia="es-ES"/>
        </w:rPr>
        <w:t xml:space="preserve">,o de ser tan corruptos. </w:t>
      </w:r>
    </w:p>
    <w:p w:rsidR="00903016" w:rsidRDefault="00903016"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En la “economía de casino” que la Unión Europea ha aceptado participar (muy a mi pesar, aunque millonario en derrotas), donde se sientan a la mesa de Black Jack los mayores tahúres del mundo mundial, no puede andarse con chiquitas, no se puede estar medio embarazada.</w:t>
      </w:r>
    </w:p>
    <w:p w:rsidR="00593D5E" w:rsidRDefault="00593D5E"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Hay que ir</w:t>
      </w:r>
      <w:r w:rsidR="00903016">
        <w:rPr>
          <w:rFonts w:ascii="Times New Roman" w:eastAsia="Times New Roman" w:hAnsi="Times New Roman" w:cs="Times New Roman"/>
          <w:sz w:val="24"/>
          <w:szCs w:val="24"/>
          <w:lang w:eastAsia="es-ES"/>
        </w:rPr>
        <w:t xml:space="preserve"> a “tumba abierta</w:t>
      </w:r>
      <w:r>
        <w:rPr>
          <w:rFonts w:ascii="Times New Roman" w:eastAsia="Times New Roman" w:hAnsi="Times New Roman" w:cs="Times New Roman"/>
          <w:sz w:val="24"/>
          <w:szCs w:val="24"/>
          <w:lang w:eastAsia="es-ES"/>
        </w:rPr>
        <w:t xml:space="preserve">”, </w:t>
      </w:r>
      <w:r w:rsidRPr="00593D5E">
        <w:rPr>
          <w:rFonts w:ascii="Times New Roman" w:eastAsia="Times New Roman" w:hAnsi="Times New Roman" w:cs="Times New Roman"/>
          <w:sz w:val="24"/>
          <w:szCs w:val="24"/>
          <w:lang w:eastAsia="es-ES"/>
        </w:rPr>
        <w:t>asumiendo todos los riesgos, sin medir</w:t>
      </w:r>
      <w:r>
        <w:rPr>
          <w:rFonts w:ascii="Times New Roman" w:eastAsia="Times New Roman" w:hAnsi="Times New Roman" w:cs="Times New Roman"/>
          <w:sz w:val="24"/>
          <w:szCs w:val="24"/>
          <w:lang w:eastAsia="es-ES"/>
        </w:rPr>
        <w:t xml:space="preserve"> consecuencias, donde </w:t>
      </w:r>
      <w:r w:rsidRPr="00593D5E">
        <w:rPr>
          <w:rFonts w:ascii="Times New Roman" w:eastAsia="Times New Roman" w:hAnsi="Times New Roman" w:cs="Times New Roman"/>
          <w:sz w:val="24"/>
          <w:szCs w:val="24"/>
          <w:lang w:eastAsia="es-ES"/>
        </w:rPr>
        <w:t xml:space="preserve"> el único impedimento es la muerte.</w:t>
      </w:r>
      <w:r>
        <w:rPr>
          <w:rFonts w:ascii="Times New Roman" w:eastAsia="Times New Roman" w:hAnsi="Times New Roman" w:cs="Times New Roman"/>
          <w:sz w:val="24"/>
          <w:szCs w:val="24"/>
          <w:lang w:eastAsia="es-ES"/>
        </w:rPr>
        <w:t>A ver si se enteran los “burócratas” de Bruselas y se dejan de “cantarle a los pájaros”, de ser tan “fr</w:t>
      </w:r>
      <w:r w:rsidR="00A26D89">
        <w:rPr>
          <w:rFonts w:ascii="Times New Roman" w:eastAsia="Times New Roman" w:hAnsi="Times New Roman" w:cs="Times New Roman"/>
          <w:sz w:val="24"/>
          <w:szCs w:val="24"/>
          <w:lang w:eastAsia="es-ES"/>
        </w:rPr>
        <w:t>iendlies”, de ser tan “bizcochab</w:t>
      </w:r>
      <w:r>
        <w:rPr>
          <w:rFonts w:ascii="Times New Roman" w:eastAsia="Times New Roman" w:hAnsi="Times New Roman" w:cs="Times New Roman"/>
          <w:sz w:val="24"/>
          <w:szCs w:val="24"/>
          <w:lang w:eastAsia="es-ES"/>
        </w:rPr>
        <w:t>les”, de ser tan blanditos, de ser tan c</w:t>
      </w:r>
      <w:r w:rsidR="00A539BA">
        <w:rPr>
          <w:rFonts w:ascii="Times New Roman" w:eastAsia="Times New Roman" w:hAnsi="Times New Roman" w:cs="Times New Roman"/>
          <w:sz w:val="24"/>
          <w:szCs w:val="24"/>
          <w:lang w:eastAsia="es-ES"/>
        </w:rPr>
        <w:t>onniventes</w:t>
      </w:r>
      <w:r>
        <w:rPr>
          <w:rFonts w:ascii="Times New Roman" w:eastAsia="Times New Roman" w:hAnsi="Times New Roman" w:cs="Times New Roman"/>
          <w:sz w:val="24"/>
          <w:szCs w:val="24"/>
          <w:lang w:eastAsia="es-ES"/>
        </w:rPr>
        <w:t>,o de ser tan corruptos.</w:t>
      </w:r>
    </w:p>
    <w:p w:rsidR="00593D5E" w:rsidRDefault="00593D5E"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Con estos “global players” (norteamericanos, chinos, japoneses, rusos, ingleses, emergentes o sumergentes)</w:t>
      </w:r>
      <w:r w:rsidRPr="00593D5E">
        <w:rPr>
          <w:rFonts w:ascii="Times New Roman" w:eastAsia="Times New Roman" w:hAnsi="Times New Roman" w:cs="Times New Roman"/>
          <w:sz w:val="24"/>
          <w:szCs w:val="24"/>
          <w:lang w:eastAsia="es-ES"/>
        </w:rPr>
        <w:t xml:space="preserve"> experto</w:t>
      </w:r>
      <w:r>
        <w:rPr>
          <w:rFonts w:ascii="Times New Roman" w:eastAsia="Times New Roman" w:hAnsi="Times New Roman" w:cs="Times New Roman"/>
          <w:sz w:val="24"/>
          <w:szCs w:val="24"/>
          <w:lang w:eastAsia="es-ES"/>
        </w:rPr>
        <w:t>s</w:t>
      </w:r>
      <w:r w:rsidRPr="00593D5E">
        <w:rPr>
          <w:rFonts w:ascii="Times New Roman" w:eastAsia="Times New Roman" w:hAnsi="Times New Roman" w:cs="Times New Roman"/>
          <w:sz w:val="24"/>
          <w:szCs w:val="24"/>
          <w:lang w:eastAsia="es-ES"/>
        </w:rPr>
        <w:t xml:space="preserve"> jugando a las cartas, los dados, etc., y</w:t>
      </w:r>
      <w:r>
        <w:rPr>
          <w:rFonts w:ascii="Times New Roman" w:eastAsia="Times New Roman" w:hAnsi="Times New Roman" w:cs="Times New Roman"/>
          <w:sz w:val="24"/>
          <w:szCs w:val="24"/>
          <w:lang w:eastAsia="es-ES"/>
        </w:rPr>
        <w:t xml:space="preserve"> que</w:t>
      </w:r>
      <w:r w:rsidRPr="00593D5E">
        <w:rPr>
          <w:rFonts w:ascii="Times New Roman" w:eastAsia="Times New Roman" w:hAnsi="Times New Roman" w:cs="Times New Roman"/>
          <w:sz w:val="24"/>
          <w:szCs w:val="24"/>
          <w:lang w:eastAsia="es-ES"/>
        </w:rPr>
        <w:t xml:space="preserve"> lo hace</w:t>
      </w:r>
      <w:r w:rsidR="00A539BA">
        <w:rPr>
          <w:rFonts w:ascii="Times New Roman" w:eastAsia="Times New Roman" w:hAnsi="Times New Roman" w:cs="Times New Roman"/>
          <w:sz w:val="24"/>
          <w:szCs w:val="24"/>
          <w:lang w:eastAsia="es-ES"/>
        </w:rPr>
        <w:t>n</w:t>
      </w:r>
      <w:r w:rsidRPr="00593D5E">
        <w:rPr>
          <w:rFonts w:ascii="Times New Roman" w:eastAsia="Times New Roman" w:hAnsi="Times New Roman" w:cs="Times New Roman"/>
          <w:sz w:val="24"/>
          <w:szCs w:val="24"/>
          <w:lang w:eastAsia="es-ES"/>
        </w:rPr>
        <w:t xml:space="preserve"> con frecuencia, especialmente para apostar y ganar dinero sirviéndose de su habilidad o recu</w:t>
      </w:r>
      <w:r>
        <w:rPr>
          <w:rFonts w:ascii="Times New Roman" w:eastAsia="Times New Roman" w:hAnsi="Times New Roman" w:cs="Times New Roman"/>
          <w:sz w:val="24"/>
          <w:szCs w:val="24"/>
          <w:lang w:eastAsia="es-ES"/>
        </w:rPr>
        <w:t>rriendo al engaño y las trampas,</w:t>
      </w:r>
      <w:r w:rsidR="00A539BA">
        <w:rPr>
          <w:rFonts w:ascii="Times New Roman" w:eastAsia="Times New Roman" w:hAnsi="Times New Roman" w:cs="Times New Roman"/>
          <w:sz w:val="24"/>
          <w:szCs w:val="24"/>
          <w:lang w:eastAsia="es-ES"/>
        </w:rPr>
        <w:t xml:space="preserve"> “no hay que entrar al trapo”, “no hay que tragarse todos sus faroles”.</w:t>
      </w:r>
    </w:p>
    <w:p w:rsidR="00593D5E" w:rsidRDefault="00593D5E"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Después del Brexit, tal vez convenga más utilizar una frase del General De Gaulle, que una de Lord </w:t>
      </w:r>
      <w:r w:rsidR="00A5375E" w:rsidRPr="007958FC">
        <w:rPr>
          <w:rFonts w:ascii="Times New Roman" w:eastAsia="Times New Roman" w:hAnsi="Times New Roman" w:cs="Times New Roman"/>
          <w:sz w:val="24"/>
          <w:szCs w:val="24"/>
          <w:lang w:eastAsia="es-ES"/>
        </w:rPr>
        <w:t>Palmerston</w:t>
      </w:r>
      <w:r w:rsidR="00A5375E">
        <w:rPr>
          <w:rFonts w:ascii="Times New Roman" w:eastAsia="Times New Roman" w:hAnsi="Times New Roman" w:cs="Times New Roman"/>
          <w:sz w:val="24"/>
          <w:szCs w:val="24"/>
          <w:lang w:eastAsia="es-ES"/>
        </w:rPr>
        <w:t>, para</w:t>
      </w:r>
      <w:r w:rsidR="00F229BE">
        <w:rPr>
          <w:rFonts w:ascii="Times New Roman" w:eastAsia="Times New Roman" w:hAnsi="Times New Roman" w:cs="Times New Roman"/>
          <w:sz w:val="24"/>
          <w:szCs w:val="24"/>
          <w:lang w:eastAsia="es-ES"/>
        </w:rPr>
        <w:t xml:space="preserve"> que las </w:t>
      </w:r>
      <w:r w:rsidR="00A5375E">
        <w:rPr>
          <w:rFonts w:ascii="Times New Roman" w:eastAsia="Times New Roman" w:hAnsi="Times New Roman" w:cs="Times New Roman"/>
          <w:sz w:val="24"/>
          <w:szCs w:val="24"/>
          <w:lang w:eastAsia="es-ES"/>
        </w:rPr>
        <w:t>autoridades europeas</w:t>
      </w:r>
      <w:r w:rsidR="00F229BE">
        <w:rPr>
          <w:rFonts w:ascii="Times New Roman" w:eastAsia="Times New Roman" w:hAnsi="Times New Roman" w:cs="Times New Roman"/>
          <w:sz w:val="24"/>
          <w:szCs w:val="24"/>
          <w:lang w:eastAsia="es-ES"/>
        </w:rPr>
        <w:t xml:space="preserve"> reflexionen</w:t>
      </w:r>
      <w:r w:rsidR="00A5375E">
        <w:rPr>
          <w:rFonts w:ascii="Times New Roman" w:eastAsia="Times New Roman" w:hAnsi="Times New Roman" w:cs="Times New Roman"/>
          <w:sz w:val="24"/>
          <w:szCs w:val="24"/>
          <w:lang w:eastAsia="es-ES"/>
        </w:rPr>
        <w:t xml:space="preserve"> a la hora de elegir socios.</w:t>
      </w:r>
    </w:p>
    <w:p w:rsidR="00A5375E" w:rsidRDefault="00593D5E"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593D5E">
        <w:rPr>
          <w:rFonts w:ascii="Times New Roman" w:eastAsia="Times New Roman" w:hAnsi="Times New Roman" w:cs="Times New Roman"/>
          <w:sz w:val="24"/>
          <w:szCs w:val="24"/>
          <w:lang w:eastAsia="es-ES"/>
        </w:rPr>
        <w:t>“Francia no tiene amigos, sólo intereses”. Frase en respuesta a la esposa de Winston Churchill, cuando ésta le espetó: “General, no debe odiar a sus amigos más que a sus enemigos”. La frase se enmarca en otra cita de De Gaulle: “Los hombres pueden tener amigos, los hombres de estado no”.</w:t>
      </w:r>
    </w:p>
    <w:p w:rsidR="00F229BE" w:rsidRDefault="00A5375E"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Tal vez, si la Unión Europea revisara sus actuales criterios estratégicos, políticos, económicos, sociales, ambientales, </w:t>
      </w:r>
      <w:r w:rsidR="00F229BE">
        <w:rPr>
          <w:rFonts w:ascii="Times New Roman" w:eastAsia="Times New Roman" w:hAnsi="Times New Roman" w:cs="Times New Roman"/>
          <w:sz w:val="24"/>
          <w:szCs w:val="24"/>
          <w:lang w:eastAsia="es-ES"/>
        </w:rPr>
        <w:t xml:space="preserve">y </w:t>
      </w:r>
      <w:r>
        <w:rPr>
          <w:rFonts w:ascii="Times New Roman" w:eastAsia="Times New Roman" w:hAnsi="Times New Roman" w:cs="Times New Roman"/>
          <w:sz w:val="24"/>
          <w:szCs w:val="24"/>
          <w:lang w:eastAsia="es-ES"/>
        </w:rPr>
        <w:t xml:space="preserve">sanitarios, podría desenvolverse en condiciones de mayor autonomía, soberanía, </w:t>
      </w:r>
      <w:r w:rsidR="00F229BE">
        <w:rPr>
          <w:rFonts w:ascii="Times New Roman" w:eastAsia="Times New Roman" w:hAnsi="Times New Roman" w:cs="Times New Roman"/>
          <w:sz w:val="24"/>
          <w:szCs w:val="24"/>
          <w:lang w:eastAsia="es-ES"/>
        </w:rPr>
        <w:t xml:space="preserve">emancipación e independencia. </w:t>
      </w:r>
    </w:p>
    <w:p w:rsidR="00903016" w:rsidRDefault="00F229BE" w:rsidP="00AC65A9">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w:t>
      </w:r>
      <w:r w:rsidR="00607E6B">
        <w:rPr>
          <w:rFonts w:ascii="Times New Roman" w:eastAsia="Times New Roman" w:hAnsi="Times New Roman" w:cs="Times New Roman"/>
          <w:sz w:val="24"/>
          <w:szCs w:val="24"/>
          <w:lang w:eastAsia="es-ES"/>
        </w:rPr>
        <w:t xml:space="preserve"> asignatura pendiente de la Unión Europea</w:t>
      </w:r>
      <w:r>
        <w:rPr>
          <w:rFonts w:ascii="Times New Roman" w:eastAsia="Times New Roman" w:hAnsi="Times New Roman" w:cs="Times New Roman"/>
          <w:sz w:val="24"/>
          <w:szCs w:val="24"/>
          <w:lang w:eastAsia="es-ES"/>
        </w:rPr>
        <w:t xml:space="preserve"> estará en convence</w:t>
      </w:r>
      <w:r w:rsidR="00551824">
        <w:rPr>
          <w:rFonts w:ascii="Times New Roman" w:eastAsia="Times New Roman" w:hAnsi="Times New Roman" w:cs="Times New Roman"/>
          <w:sz w:val="24"/>
          <w:szCs w:val="24"/>
          <w:lang w:eastAsia="es-ES"/>
        </w:rPr>
        <w:t>rse que no puede haber soberanía</w:t>
      </w:r>
      <w:r>
        <w:rPr>
          <w:rFonts w:ascii="Times New Roman" w:eastAsia="Times New Roman" w:hAnsi="Times New Roman" w:cs="Times New Roman"/>
          <w:sz w:val="24"/>
          <w:szCs w:val="24"/>
          <w:lang w:eastAsia="es-ES"/>
        </w:rPr>
        <w:t xml:space="preserve"> sin “redaños” (d</w:t>
      </w:r>
      <w:r w:rsidRPr="00F229BE">
        <w:rPr>
          <w:rFonts w:ascii="Times New Roman" w:eastAsia="Times New Roman" w:hAnsi="Times New Roman" w:cs="Times New Roman"/>
          <w:sz w:val="24"/>
          <w:szCs w:val="24"/>
          <w:lang w:eastAsia="es-ES"/>
        </w:rPr>
        <w:t>eterminación y coraje para ha</w:t>
      </w:r>
      <w:r>
        <w:rPr>
          <w:rFonts w:ascii="Times New Roman" w:eastAsia="Times New Roman" w:hAnsi="Times New Roman" w:cs="Times New Roman"/>
          <w:sz w:val="24"/>
          <w:szCs w:val="24"/>
          <w:lang w:eastAsia="es-ES"/>
        </w:rPr>
        <w:t>cer algo difícil o desagradable)</w:t>
      </w:r>
      <w:r w:rsidR="00607E6B">
        <w:rPr>
          <w:rFonts w:ascii="Times New Roman" w:eastAsia="Times New Roman" w:hAnsi="Times New Roman" w:cs="Times New Roman"/>
          <w:sz w:val="24"/>
          <w:szCs w:val="24"/>
          <w:lang w:eastAsia="es-ES"/>
        </w:rPr>
        <w:t>.</w:t>
      </w:r>
    </w:p>
    <w:p w:rsidR="001C678E" w:rsidRPr="00A5375E" w:rsidRDefault="001C678E" w:rsidP="001C678E">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E4618">
        <w:rPr>
          <w:rFonts w:ascii="Times New Roman" w:eastAsia="Times New Roman" w:hAnsi="Times New Roman" w:cs="Times New Roman"/>
          <w:b/>
          <w:sz w:val="24"/>
          <w:szCs w:val="24"/>
          <w:lang w:eastAsia="es-ES"/>
        </w:rPr>
        <w:t xml:space="preserve">¿Puede la UE ser más segura sin refuerzo (mayor gasto) militar? </w:t>
      </w:r>
      <w:r w:rsidR="00607E6B">
        <w:rPr>
          <w:rFonts w:ascii="Times New Roman" w:eastAsia="Times New Roman" w:hAnsi="Times New Roman" w:cs="Times New Roman"/>
          <w:b/>
          <w:sz w:val="24"/>
          <w:szCs w:val="24"/>
          <w:lang w:eastAsia="es-ES"/>
        </w:rPr>
        <w:t xml:space="preserve">¿Dónde está el enemigo (peligro </w:t>
      </w:r>
      <w:r w:rsidRPr="007E4618">
        <w:rPr>
          <w:rFonts w:ascii="Times New Roman" w:eastAsia="Times New Roman" w:hAnsi="Times New Roman" w:cs="Times New Roman"/>
          <w:b/>
          <w:sz w:val="24"/>
          <w:szCs w:val="24"/>
          <w:lang w:eastAsia="es-ES"/>
        </w:rPr>
        <w:t xml:space="preserve">real) de la UE? ¿Cuál debería ser su hipótesis de guerra? Aliados, socios, amigos, competidores, adversarios, rivales, enemigos… </w:t>
      </w:r>
    </w:p>
    <w:p w:rsidR="00C77091" w:rsidRPr="00607E6B" w:rsidRDefault="00C77091" w:rsidP="001C678E">
      <w:pPr>
        <w:shd w:val="clear" w:color="auto" w:fill="FFFFFF"/>
        <w:spacing w:line="240" w:lineRule="auto"/>
        <w:jc w:val="both"/>
        <w:textAlignment w:val="baseline"/>
        <w:rPr>
          <w:rFonts w:ascii="Times New Roman" w:hAnsi="Times New Roman" w:cs="Times New Roman"/>
          <w:sz w:val="24"/>
          <w:szCs w:val="24"/>
          <w:shd w:val="clear" w:color="auto" w:fill="FFFFFF"/>
        </w:rPr>
      </w:pPr>
      <w:r w:rsidRPr="00607E6B">
        <w:rPr>
          <w:rFonts w:ascii="Times New Roman" w:hAnsi="Times New Roman" w:cs="Times New Roman"/>
          <w:sz w:val="24"/>
          <w:szCs w:val="24"/>
          <w:shd w:val="clear" w:color="auto" w:fill="FFFFFF"/>
        </w:rPr>
        <w:t>El mensaje que ha dejado la cumbre de la</w:t>
      </w:r>
      <w:r w:rsidR="00607E6B" w:rsidRPr="00607E6B">
        <w:rPr>
          <w:rFonts w:ascii="Times New Roman" w:hAnsi="Times New Roman" w:cs="Times New Roman"/>
          <w:sz w:val="24"/>
          <w:szCs w:val="24"/>
          <w:shd w:val="clear" w:color="auto" w:fill="FFFFFF"/>
        </w:rPr>
        <w:t xml:space="preserve"> OTAN celebrada a finales de junio (2022) en Madrid,</w:t>
      </w:r>
      <w:r w:rsidRPr="00607E6B">
        <w:rPr>
          <w:rFonts w:ascii="Times New Roman" w:hAnsi="Times New Roman" w:cs="Times New Roman"/>
          <w:sz w:val="24"/>
          <w:szCs w:val="24"/>
          <w:shd w:val="clear" w:color="auto" w:fill="FFFFFF"/>
        </w:rPr>
        <w:t xml:space="preserve"> apunta a un reforzamiento de la unidad y la capacidad defensiva de la Alianza Atlántica, pero también al regreso a un equilibrio geostratégico de oposición entre bloques de naciones. Como era previsible, dado el conflicto bélico desatado en Centroeuropa, el nuevo concepto estratégico aprobado en la cumbre sitúa a Rusia como la amenaza actual más seria para la seguridad de la organización, refuerza la presencia militar de EEUU en Europa y menciona por primera vez a China y el desafío sistémico que esta representa.</w:t>
      </w:r>
    </w:p>
    <w:p w:rsidR="00C77091" w:rsidRPr="00607E6B" w:rsidRDefault="00C77091" w:rsidP="00C77091">
      <w:pPr>
        <w:pStyle w:val="NormalWeb"/>
        <w:spacing w:after="360"/>
        <w:jc w:val="both"/>
        <w:rPr>
          <w:shd w:val="clear" w:color="auto" w:fill="FFFFFF"/>
        </w:rPr>
      </w:pPr>
      <w:r w:rsidRPr="00607E6B">
        <w:rPr>
          <w:shd w:val="clear" w:color="auto" w:fill="FFFFFF"/>
        </w:rPr>
        <w:t>Aunque la primera lectura de esta cumbre es indudablemente política, geoestratégica y militar, la hoja de ruta adoptada por la OTAN tiene unas consecuencias inequívoca e inevitablemente económicas. El estallido de la guerra de Ucrania ha sido el corolario de la destrucción del impulso globalizador que ha reconfigurado la economía mundial en las últimas décadas. Una larga etapa de crecimiento y prosperidad en los flujos comerciales que se interrumpió de forma abrupta con la llegada de la pandemia, la cual obligó a cerrar fronteras, paralizó exportaciones e importaciones y levantó sospechas entre socios comerciales, pero que experimentó sus primeras grietas con acontecimientos como el Brexit o la propia crisis de deuda soberana europea, que en 2012 estuvo a punto de romper el euro.</w:t>
      </w:r>
    </w:p>
    <w:p w:rsidR="00C77091" w:rsidRPr="00607E6B" w:rsidRDefault="00C77091" w:rsidP="00C77091">
      <w:pPr>
        <w:pStyle w:val="NormalWeb"/>
        <w:spacing w:after="360"/>
        <w:jc w:val="both"/>
        <w:rPr>
          <w:shd w:val="clear" w:color="auto" w:fill="FFFFFF"/>
        </w:rPr>
      </w:pPr>
      <w:r w:rsidRPr="00607E6B">
        <w:rPr>
          <w:shd w:val="clear" w:color="auto" w:fill="FFFFFF"/>
        </w:rPr>
        <w:lastRenderedPageBreak/>
        <w:t>La apuesta por un mayor gast</w:t>
      </w:r>
      <w:r w:rsidR="00551824">
        <w:rPr>
          <w:shd w:val="clear" w:color="auto" w:fill="FFFFFF"/>
        </w:rPr>
        <w:t>o en defensa por parte de Europa</w:t>
      </w:r>
      <w:r w:rsidRPr="00607E6B">
        <w:rPr>
          <w:shd w:val="clear" w:color="auto" w:fill="FFFFFF"/>
        </w:rPr>
        <w:t xml:space="preserve"> no es ni mucho menos una mala noticia para la economía, puesto que gran parte de esa inversión revertirá en la sociedad civil, en l</w:t>
      </w:r>
      <w:r w:rsidR="00551824">
        <w:rPr>
          <w:shd w:val="clear" w:color="auto" w:fill="FFFFFF"/>
        </w:rPr>
        <w:t>a industria y en la I+D de sus países</w:t>
      </w:r>
      <w:r w:rsidRPr="00607E6B">
        <w:rPr>
          <w:shd w:val="clear" w:color="auto" w:fill="FFFFFF"/>
        </w:rPr>
        <w:t>. Lo que sí puede ser</w:t>
      </w:r>
      <w:r w:rsidR="00551824">
        <w:rPr>
          <w:shd w:val="clear" w:color="auto" w:fill="FFFFFF"/>
        </w:rPr>
        <w:t xml:space="preserve"> una amenaza no solo para Europa</w:t>
      </w:r>
      <w:r w:rsidRPr="00607E6B">
        <w:rPr>
          <w:shd w:val="clear" w:color="auto" w:fill="FFFFFF"/>
        </w:rPr>
        <w:t>, sino para el conjunto de la economía mundial, es el resurgimiento de una polarización geopolítica que inevitabl</w:t>
      </w:r>
      <w:r w:rsidR="00551824">
        <w:rPr>
          <w:shd w:val="clear" w:color="auto" w:fill="FFFFFF"/>
        </w:rPr>
        <w:t>emente limitará las relaciones internacionales</w:t>
      </w:r>
      <w:r w:rsidRPr="00607E6B">
        <w:rPr>
          <w:shd w:val="clear" w:color="auto" w:fill="FFFFFF"/>
        </w:rPr>
        <w:t>, dificultará el comercio, elevará la inflación, ralentizará el crecimiento y puede llevar a las economías mundiales al borde la recesión. En ese marco es en el que Europa deberá diseñar las directrices de una política económica pensada para un mundo que vuelve a tener fronteras.</w:t>
      </w:r>
    </w:p>
    <w:p w:rsidR="001C678E" w:rsidRDefault="001C678E" w:rsidP="001C678E">
      <w:pPr>
        <w:shd w:val="clear" w:color="auto" w:fill="FFFFFF"/>
        <w:spacing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El fin del dividendo de la paz</w:t>
      </w:r>
      <w:r w:rsidRPr="000E3409">
        <w:rPr>
          <w:rFonts w:ascii="Times New Roman" w:hAnsi="Times New Roman" w:cs="Times New Roman"/>
          <w:b/>
          <w:sz w:val="24"/>
          <w:szCs w:val="24"/>
        </w:rPr>
        <w:t>¿Qué significa defender Europa?</w:t>
      </w:r>
      <w:r w:rsidR="00551824">
        <w:rPr>
          <w:rFonts w:ascii="Times New Roman" w:hAnsi="Times New Roman" w:cs="Times New Roman"/>
          <w:b/>
          <w:sz w:val="24"/>
          <w:szCs w:val="24"/>
        </w:rPr>
        <w:t xml:space="preserve"> ¿una OTAN sin gasto militar? ¿u</w:t>
      </w:r>
      <w:r w:rsidR="00DF596D">
        <w:rPr>
          <w:rFonts w:ascii="Times New Roman" w:hAnsi="Times New Roman" w:cs="Times New Roman"/>
          <w:b/>
          <w:sz w:val="24"/>
          <w:szCs w:val="24"/>
        </w:rPr>
        <w:t xml:space="preserve">na OTAN más europea? </w:t>
      </w:r>
      <w:r w:rsidR="00551824">
        <w:rPr>
          <w:rFonts w:ascii="Times New Roman" w:hAnsi="Times New Roman" w:cs="Times New Roman"/>
          <w:b/>
          <w:sz w:val="24"/>
          <w:szCs w:val="24"/>
        </w:rPr>
        <w:t>¿n</w:t>
      </w:r>
      <w:r w:rsidR="00DF596D" w:rsidRPr="00DF596D">
        <w:rPr>
          <w:rFonts w:ascii="Times New Roman" w:hAnsi="Times New Roman" w:cs="Times New Roman"/>
          <w:b/>
          <w:sz w:val="24"/>
          <w:szCs w:val="24"/>
        </w:rPr>
        <w:t>ecesita la UE un ejército que garantice su autonomía defensiva?</w:t>
      </w:r>
      <w:r w:rsidR="00551824">
        <w:rPr>
          <w:rFonts w:ascii="Times New Roman" w:hAnsi="Times New Roman" w:cs="Times New Roman"/>
          <w:b/>
          <w:sz w:val="24"/>
          <w:szCs w:val="24"/>
        </w:rPr>
        <w:t xml:space="preserve"> ¿p</w:t>
      </w:r>
      <w:r w:rsidR="00DF596D">
        <w:rPr>
          <w:rFonts w:ascii="Times New Roman" w:hAnsi="Times New Roman" w:cs="Times New Roman"/>
          <w:b/>
          <w:sz w:val="24"/>
          <w:szCs w:val="24"/>
        </w:rPr>
        <w:t xml:space="preserve">uede Europa seguir siendo hostigada por su “falta de </w:t>
      </w:r>
      <w:r>
        <w:rPr>
          <w:rFonts w:ascii="Times New Roman" w:hAnsi="Times New Roman" w:cs="Times New Roman"/>
          <w:b/>
          <w:sz w:val="24"/>
          <w:szCs w:val="24"/>
        </w:rPr>
        <w:t>coujones”</w:t>
      </w:r>
      <w:r w:rsidR="00A26D89">
        <w:rPr>
          <w:rFonts w:ascii="Times New Roman" w:hAnsi="Times New Roman" w:cs="Times New Roman"/>
          <w:b/>
          <w:sz w:val="24"/>
          <w:szCs w:val="24"/>
        </w:rPr>
        <w:t xml:space="preserve"> -sic-</w:t>
      </w:r>
      <w:r>
        <w:rPr>
          <w:rFonts w:ascii="Times New Roman" w:hAnsi="Times New Roman" w:cs="Times New Roman"/>
          <w:b/>
          <w:sz w:val="24"/>
          <w:szCs w:val="24"/>
        </w:rPr>
        <w:t>?)</w:t>
      </w:r>
      <w:r w:rsidR="00AB6B85">
        <w:rPr>
          <w:rFonts w:ascii="Times New Roman" w:hAnsi="Times New Roman" w:cs="Times New Roman"/>
          <w:b/>
          <w:sz w:val="24"/>
          <w:szCs w:val="24"/>
        </w:rPr>
        <w:t xml:space="preserve"> ¿</w:t>
      </w:r>
      <w:r w:rsidR="00551824">
        <w:rPr>
          <w:rFonts w:ascii="Times New Roman" w:hAnsi="Times New Roman" w:cs="Times New Roman"/>
          <w:b/>
          <w:sz w:val="24"/>
          <w:szCs w:val="24"/>
        </w:rPr>
        <w:t>s</w:t>
      </w:r>
      <w:r w:rsidR="000C0709">
        <w:rPr>
          <w:rFonts w:ascii="Times New Roman" w:hAnsi="Times New Roman" w:cs="Times New Roman"/>
          <w:b/>
          <w:sz w:val="24"/>
          <w:szCs w:val="24"/>
        </w:rPr>
        <w:t>e h</w:t>
      </w:r>
      <w:r w:rsidR="00AB6B85" w:rsidRPr="00AB6B85">
        <w:rPr>
          <w:rFonts w:ascii="Times New Roman" w:hAnsi="Times New Roman" w:cs="Times New Roman"/>
          <w:b/>
          <w:sz w:val="24"/>
          <w:szCs w:val="24"/>
        </w:rPr>
        <w:t>ar</w:t>
      </w:r>
      <w:r w:rsidR="00AB6B85">
        <w:rPr>
          <w:rFonts w:ascii="Times New Roman" w:hAnsi="Times New Roman" w:cs="Times New Roman"/>
          <w:b/>
          <w:sz w:val="24"/>
          <w:szCs w:val="24"/>
        </w:rPr>
        <w:t>á el refuerzo militar para que Europa</w:t>
      </w:r>
      <w:r w:rsidR="00AB6B85" w:rsidRPr="00AB6B85">
        <w:rPr>
          <w:rFonts w:ascii="Times New Roman" w:hAnsi="Times New Roman" w:cs="Times New Roman"/>
          <w:b/>
          <w:sz w:val="24"/>
          <w:szCs w:val="24"/>
        </w:rPr>
        <w:t xml:space="preserve"> sea más segura?</w:t>
      </w:r>
    </w:p>
    <w:p w:rsidR="00607E6B" w:rsidRPr="004D4FC4" w:rsidRDefault="00607E6B" w:rsidP="00607E6B">
      <w:pPr>
        <w:pStyle w:val="NormalWeb"/>
        <w:spacing w:after="360"/>
        <w:jc w:val="both"/>
        <w:rPr>
          <w:shd w:val="clear" w:color="auto" w:fill="FFFFFF"/>
        </w:rPr>
      </w:pPr>
      <w:r w:rsidRPr="004D4FC4">
        <w:rPr>
          <w:shd w:val="clear" w:color="auto" w:fill="FFFFFF"/>
        </w:rPr>
        <w:t>¿</w:t>
      </w:r>
      <w:r w:rsidRPr="004D4FC4">
        <w:rPr>
          <w:rStyle w:val="Textoennegrita"/>
          <w:b w:val="0"/>
          <w:bdr w:val="none" w:sz="0" w:space="0" w:color="auto" w:frame="1"/>
          <w:shd w:val="clear" w:color="auto" w:fill="FFFFFF"/>
        </w:rPr>
        <w:t>Cómo puede ser que tanta gloria pasada no sea más que un sueño de futuro</w:t>
      </w:r>
      <w:r w:rsidRPr="004D4FC4">
        <w:rPr>
          <w:shd w:val="clear" w:color="auto" w:fill="FFFFFF"/>
        </w:rPr>
        <w:t>? Tal vez, porque la realidad es bien distinta, producto de la infame política de unos dirigentes europeos cuyas capacidades están por debajo de las necesidades. Que no aciertan ni cuando rectifican.</w:t>
      </w:r>
    </w:p>
    <w:p w:rsidR="00607E6B" w:rsidRPr="004D4FC4" w:rsidRDefault="00607E6B" w:rsidP="00607E6B">
      <w:pPr>
        <w:pStyle w:val="NormalWeb"/>
        <w:spacing w:after="360"/>
        <w:jc w:val="both"/>
        <w:rPr>
          <w:shd w:val="clear" w:color="auto" w:fill="FFFFFF"/>
        </w:rPr>
      </w:pPr>
      <w:r w:rsidRPr="004D4FC4">
        <w:rPr>
          <w:shd w:val="clear" w:color="auto" w:fill="FFFFFF"/>
        </w:rPr>
        <w:t>Se “tragaron” la guerra de Afganistán, de Yugoslavia, de Irak, de Líbano, de Siria, o la primavera árabe, sin “pestañear”… Se “tragaron” la crisis financiera del año 2008 (provocada por E</w:t>
      </w:r>
      <w:r w:rsidR="003E4E67" w:rsidRPr="004D4FC4">
        <w:rPr>
          <w:shd w:val="clear" w:color="auto" w:fill="FFFFFF"/>
        </w:rPr>
        <w:t>EUU), en un estado de “inmovilidad” tancredista</w:t>
      </w:r>
      <w:r w:rsidRPr="004D4FC4">
        <w:rPr>
          <w:shd w:val="clear" w:color="auto" w:fill="FFFFFF"/>
        </w:rPr>
        <w:t xml:space="preserve">, la crisis sanitaria del año 2020 (provocada por China), sin “reclamar” daños y perjuicios… y eso por no hablar de la ceguera voluntaria o complicidad rentada ante la inmigración ilegal, el tráfico personas, drogas, armas, y capitales, o el refugio indisimulado a oligarcas, sátrapas y dictadores de terceros países… Para, al final (de momento) tragarse el chantaje ruso…  más “callados” que unas momias egipcias.   </w:t>
      </w:r>
    </w:p>
    <w:p w:rsidR="00607E6B" w:rsidRPr="004D4FC4" w:rsidRDefault="00607E6B" w:rsidP="00607E6B">
      <w:pPr>
        <w:pStyle w:val="NormalWeb"/>
        <w:spacing w:after="360"/>
        <w:jc w:val="both"/>
        <w:rPr>
          <w:shd w:val="clear" w:color="auto" w:fill="FFFFFF"/>
        </w:rPr>
      </w:pPr>
      <w:r w:rsidRPr="004D4FC4">
        <w:rPr>
          <w:shd w:val="clear" w:color="auto" w:fill="FFFFFF"/>
        </w:rPr>
        <w:t>De un estado de “muerte cerebral” como el que está sumida la Unión Europea, por manos y pies de unos dirigentes cínicos, venales, serviles, lacayos y genuflexos (</w:t>
      </w:r>
      <w:r w:rsidR="003E4E67" w:rsidRPr="004D4FC4">
        <w:rPr>
          <w:shd w:val="clear" w:color="auto" w:fill="FFFFFF"/>
        </w:rPr>
        <w:t xml:space="preserve">que posan ante las cámaras como unos personajes </w:t>
      </w:r>
      <w:r w:rsidRPr="004D4FC4">
        <w:rPr>
          <w:shd w:val="clear" w:color="auto" w:fill="FFFFFF"/>
        </w:rPr>
        <w:t>soberbios,</w:t>
      </w:r>
      <w:r w:rsidR="003E4E67" w:rsidRPr="004D4FC4">
        <w:rPr>
          <w:shd w:val="clear" w:color="auto" w:fill="FFFFFF"/>
        </w:rPr>
        <w:t xml:space="preserve"> fatuos y arrogantes, </w:t>
      </w:r>
      <w:r w:rsidRPr="004D4FC4">
        <w:rPr>
          <w:shd w:val="clear" w:color="auto" w:fill="FFFFFF"/>
        </w:rPr>
        <w:t>aunque</w:t>
      </w:r>
      <w:r w:rsidR="003E4E67" w:rsidRPr="004D4FC4">
        <w:rPr>
          <w:shd w:val="clear" w:color="auto" w:fill="FFFFFF"/>
        </w:rPr>
        <w:t xml:space="preserve"> sean unos</w:t>
      </w:r>
      <w:r w:rsidRPr="004D4FC4">
        <w:rPr>
          <w:shd w:val="clear" w:color="auto" w:fill="FFFFFF"/>
        </w:rPr>
        <w:t xml:space="preserve"> paletos insuperables en su levedad, y su capacidad para causar vergüenza ajena), solo se puede salir (volver a la vida), si la ciudadanía se revela y sale a la calle para exigir un cambio de paradigma… El sueño de una Europa mejor dependerá del resultado de esa lucha moral (dando sentido al reto fundacional de la Unión).</w:t>
      </w:r>
    </w:p>
    <w:p w:rsidR="00607E6B" w:rsidRPr="004D4FC4" w:rsidRDefault="00607E6B" w:rsidP="00607E6B">
      <w:pPr>
        <w:pStyle w:val="NormalWeb"/>
        <w:spacing w:after="360"/>
        <w:jc w:val="both"/>
        <w:rPr>
          <w:shd w:val="clear" w:color="auto" w:fill="FFFFFF"/>
        </w:rPr>
      </w:pPr>
      <w:r w:rsidRPr="004D4FC4">
        <w:rPr>
          <w:shd w:val="clear" w:color="auto" w:fill="FFFFFF"/>
        </w:rPr>
        <w:t xml:space="preserve">¿Está dispuesta, esta Europa en decadencia, a apostar fuerte por la victoria? No lo parece. </w:t>
      </w:r>
    </w:p>
    <w:p w:rsidR="00607E6B" w:rsidRPr="004D4FC4" w:rsidRDefault="00607E6B" w:rsidP="00607E6B">
      <w:pPr>
        <w:pStyle w:val="NormalWeb"/>
        <w:spacing w:after="360"/>
        <w:jc w:val="both"/>
        <w:rPr>
          <w:shd w:val="clear" w:color="auto" w:fill="FFFFFF"/>
        </w:rPr>
      </w:pPr>
      <w:r w:rsidRPr="004D4FC4">
        <w:rPr>
          <w:shd w:val="clear" w:color="auto" w:fill="FFFFFF"/>
        </w:rPr>
        <w:t>Ha llegado el momento de la verdad, la hora de afrontar los auténticos desafíos. Después de la “feria de las vanidades” llegan las “facturas” y hay que abonarlas (rascarse el bolsillo).</w:t>
      </w:r>
    </w:p>
    <w:p w:rsidR="003E4E67" w:rsidRPr="004D4FC4" w:rsidRDefault="003E4E67" w:rsidP="003E4E67">
      <w:pPr>
        <w:pStyle w:val="NormalWeb"/>
        <w:spacing w:after="360"/>
        <w:jc w:val="both"/>
        <w:rPr>
          <w:shd w:val="clear" w:color="auto" w:fill="FFFFFF"/>
        </w:rPr>
      </w:pPr>
      <w:r w:rsidRPr="004D4FC4">
        <w:rPr>
          <w:shd w:val="clear" w:color="auto" w:fill="FFFFFF"/>
        </w:rPr>
        <w:t>Si queremos seguridad, tendremos que pagárnosla.</w:t>
      </w:r>
      <w:r w:rsidR="004D4FC4" w:rsidRPr="004D4FC4">
        <w:rPr>
          <w:shd w:val="clear" w:color="auto" w:fill="FFFFFF"/>
        </w:rPr>
        <w:t xml:space="preserve"> Esta seguridad no solo debe alcanzar los asuntos militares (defensa), sino que debe extenderse a las materias primas, los </w:t>
      </w:r>
      <w:r w:rsidRPr="004D4FC4">
        <w:rPr>
          <w:shd w:val="clear" w:color="auto" w:fill="FFFFFF"/>
        </w:rPr>
        <w:t xml:space="preserve">alimentos, </w:t>
      </w:r>
      <w:r w:rsidR="004D4FC4" w:rsidRPr="004D4FC4">
        <w:rPr>
          <w:shd w:val="clear" w:color="auto" w:fill="FFFFFF"/>
        </w:rPr>
        <w:t xml:space="preserve">la </w:t>
      </w:r>
      <w:r w:rsidRPr="004D4FC4">
        <w:rPr>
          <w:shd w:val="clear" w:color="auto" w:fill="FFFFFF"/>
        </w:rPr>
        <w:t>energía</w:t>
      </w:r>
      <w:r w:rsidR="004D4FC4" w:rsidRPr="004D4FC4">
        <w:rPr>
          <w:shd w:val="clear" w:color="auto" w:fill="FFFFFF"/>
        </w:rPr>
        <w:t xml:space="preserve">, los insumos, y la </w:t>
      </w:r>
      <w:r w:rsidRPr="004D4FC4">
        <w:rPr>
          <w:shd w:val="clear" w:color="auto" w:fill="FFFFFF"/>
        </w:rPr>
        <w:t>tecnología…</w:t>
      </w:r>
      <w:r w:rsidR="004D4FC4" w:rsidRPr="004D4FC4">
        <w:rPr>
          <w:shd w:val="clear" w:color="auto" w:fill="FFFFFF"/>
        </w:rPr>
        <w:t xml:space="preserve"> Todo ello pasa a ser estratégico: todo ello está vinculado a razones de seguridad.  La seguridad militar, alimentaria, energética, de materias primas, insumos y tecnológica, hacen al desarrollo autónomo, independiente y soberano.</w:t>
      </w:r>
    </w:p>
    <w:p w:rsidR="004D4FC4" w:rsidRDefault="00B75D5A" w:rsidP="003E4E67">
      <w:pPr>
        <w:pStyle w:val="NormalWeb"/>
        <w:spacing w:after="360"/>
        <w:jc w:val="both"/>
        <w:rPr>
          <w:shd w:val="clear" w:color="auto" w:fill="FFFFFF"/>
        </w:rPr>
      </w:pPr>
      <w:r>
        <w:rPr>
          <w:shd w:val="clear" w:color="auto" w:fill="FFFFFF"/>
        </w:rPr>
        <w:t>No solo es una cuestión de “cojones”, sino también de “inteligencia”. Si no te temen no te respetan… y hoy por hoy, a la Unión Europea no le temen ni la respetan.</w:t>
      </w:r>
    </w:p>
    <w:p w:rsidR="00B75D5A" w:rsidRDefault="00B75D5A" w:rsidP="003E4E67">
      <w:pPr>
        <w:pStyle w:val="NormalWeb"/>
        <w:spacing w:after="360"/>
        <w:jc w:val="both"/>
        <w:rPr>
          <w:shd w:val="clear" w:color="auto" w:fill="FFFFFF"/>
        </w:rPr>
      </w:pPr>
      <w:r>
        <w:rPr>
          <w:shd w:val="clear" w:color="auto" w:fill="FFFFFF"/>
        </w:rPr>
        <w:lastRenderedPageBreak/>
        <w:t>No es cuestión de ir por el mundo mundial dando golpes, no es cuestión de invadir terceros países, poner o sacar gobiernos extranjeros, intervenir militarmente cuando se tuercen los negocios, sino en defender las fronteras interiores, en no aceptar bloqueos, en no tolerar chantajes, en sentarse en la mesa de negociación de los países poderosos y tratase de tú a tú.</w:t>
      </w:r>
    </w:p>
    <w:p w:rsidR="00E20040" w:rsidRDefault="00B75D5A" w:rsidP="003E4E67">
      <w:pPr>
        <w:pStyle w:val="NormalWeb"/>
        <w:spacing w:after="360"/>
        <w:jc w:val="both"/>
        <w:rPr>
          <w:shd w:val="clear" w:color="auto" w:fill="FFFFFF"/>
        </w:rPr>
      </w:pPr>
      <w:r>
        <w:rPr>
          <w:shd w:val="clear" w:color="auto" w:fill="FFFFFF"/>
        </w:rPr>
        <w:t>No ser más, pero tampoco menos, que otros países de similar poderío económico. A lo único que Europa debe sentir miedo es al miedo</w:t>
      </w:r>
      <w:r w:rsidR="00E20040">
        <w:rPr>
          <w:shd w:val="clear" w:color="auto" w:fill="FFFFFF"/>
        </w:rPr>
        <w:t xml:space="preserve"> mismo</w:t>
      </w:r>
      <w:r>
        <w:rPr>
          <w:shd w:val="clear" w:color="auto" w:fill="FFFFFF"/>
        </w:rPr>
        <w:t>.</w:t>
      </w:r>
      <w:r w:rsidR="00E20040">
        <w:rPr>
          <w:shd w:val="clear" w:color="auto" w:fill="FFFFFF"/>
        </w:rPr>
        <w:t xml:space="preserve"> Así dijo </w:t>
      </w:r>
      <w:r w:rsidR="00E20040" w:rsidRPr="00B75D5A">
        <w:rPr>
          <w:shd w:val="clear" w:color="auto" w:fill="FFFFFF"/>
        </w:rPr>
        <w:t>Franklin D. Roosevelt</w:t>
      </w:r>
      <w:r w:rsidR="00E20040">
        <w:rPr>
          <w:shd w:val="clear" w:color="auto" w:fill="FFFFFF"/>
        </w:rPr>
        <w:t xml:space="preserve">: </w:t>
      </w:r>
      <w:r w:rsidR="004F115E">
        <w:rPr>
          <w:shd w:val="clear" w:color="auto" w:fill="FFFFFF"/>
        </w:rPr>
        <w:t>“</w:t>
      </w:r>
      <w:r w:rsidRPr="00B75D5A">
        <w:rPr>
          <w:shd w:val="clear" w:color="auto" w:fill="FFFFFF"/>
        </w:rPr>
        <w:t>Lo único que tenemos que temer es al miedo mismo</w:t>
      </w:r>
      <w:r w:rsidR="004F115E">
        <w:rPr>
          <w:shd w:val="clear" w:color="auto" w:fill="FFFFFF"/>
        </w:rPr>
        <w:t>”</w:t>
      </w:r>
      <w:r w:rsidR="00E20040">
        <w:rPr>
          <w:shd w:val="clear" w:color="auto" w:fill="FFFFFF"/>
        </w:rPr>
        <w:t>.</w:t>
      </w:r>
    </w:p>
    <w:p w:rsidR="00E20040" w:rsidRDefault="00E20040" w:rsidP="003E4E67">
      <w:pPr>
        <w:pStyle w:val="NormalWeb"/>
        <w:spacing w:after="360"/>
        <w:jc w:val="both"/>
        <w:rPr>
          <w:shd w:val="clear" w:color="auto" w:fill="FFFFFF"/>
        </w:rPr>
      </w:pPr>
      <w:r>
        <w:rPr>
          <w:shd w:val="clear" w:color="auto" w:fill="FFFFFF"/>
        </w:rPr>
        <w:t>¿Se perderá el miedo haciendo “segui</w:t>
      </w:r>
      <w:r w:rsidR="00551824">
        <w:rPr>
          <w:shd w:val="clear" w:color="auto" w:fill="FFFFFF"/>
        </w:rPr>
        <w:t>dismo” de los Estados Unidos? ¿mendigándole su protección? ¿r</w:t>
      </w:r>
      <w:r>
        <w:rPr>
          <w:shd w:val="clear" w:color="auto" w:fill="FFFFFF"/>
        </w:rPr>
        <w:t>ecibiendo a unas “tropas de ocupación” como si fuera</w:t>
      </w:r>
      <w:r w:rsidR="00940A8C">
        <w:rPr>
          <w:shd w:val="clear" w:color="auto" w:fill="FFFFFF"/>
        </w:rPr>
        <w:t>n de</w:t>
      </w:r>
      <w:r w:rsidR="00551824">
        <w:rPr>
          <w:shd w:val="clear" w:color="auto" w:fill="FFFFFF"/>
        </w:rPr>
        <w:t xml:space="preserve"> la Cruz Roja? ¿p</w:t>
      </w:r>
      <w:r>
        <w:rPr>
          <w:shd w:val="clear" w:color="auto" w:fill="FFFFFF"/>
        </w:rPr>
        <w:t>ermitiéndole que Wall Street i</w:t>
      </w:r>
      <w:r w:rsidR="00551824">
        <w:rPr>
          <w:shd w:val="clear" w:color="auto" w:fill="FFFFFF"/>
        </w:rPr>
        <w:t>nfecte los mercados europeos? ¿d</w:t>
      </w:r>
      <w:r>
        <w:rPr>
          <w:shd w:val="clear" w:color="auto" w:fill="FFFFFF"/>
        </w:rPr>
        <w:t xml:space="preserve">ejando que Silicon Valley trafique con los datos, espíe, controle, manipule, intoxique, </w:t>
      </w:r>
      <w:r w:rsidR="00940A8C">
        <w:rPr>
          <w:shd w:val="clear" w:color="auto" w:fill="FFFFFF"/>
        </w:rPr>
        <w:t>y anestesie</w:t>
      </w:r>
      <w:r>
        <w:rPr>
          <w:shd w:val="clear" w:color="auto" w:fill="FFFFFF"/>
        </w:rPr>
        <w:t xml:space="preserve">, a los europeos? </w:t>
      </w:r>
    </w:p>
    <w:p w:rsidR="00940A8C" w:rsidRDefault="00E20040" w:rsidP="003E4E67">
      <w:pPr>
        <w:pStyle w:val="NormalWeb"/>
        <w:spacing w:after="360"/>
        <w:jc w:val="both"/>
        <w:rPr>
          <w:shd w:val="clear" w:color="auto" w:fill="FFFFFF"/>
        </w:rPr>
      </w:pPr>
      <w:r>
        <w:rPr>
          <w:shd w:val="clear" w:color="auto" w:fill="FFFFFF"/>
        </w:rPr>
        <w:t>¿Se perderá el miedo “regalándole” el mercado interior a China?</w:t>
      </w:r>
      <w:r w:rsidR="00551824">
        <w:rPr>
          <w:shd w:val="clear" w:color="auto" w:fill="FFFFFF"/>
        </w:rPr>
        <w:t xml:space="preserve"> ¿t</w:t>
      </w:r>
      <w:r w:rsidR="00940A8C">
        <w:rPr>
          <w:shd w:val="clear" w:color="auto" w:fill="FFFFFF"/>
        </w:rPr>
        <w:t>olerando que le contagie -accidental o premeditadamente- cualquier virus letal?</w:t>
      </w:r>
      <w:r w:rsidR="00551824">
        <w:rPr>
          <w:shd w:val="clear" w:color="auto" w:fill="FFFFFF"/>
        </w:rPr>
        <w:t xml:space="preserve"> ¿permitiendo</w:t>
      </w:r>
      <w:r>
        <w:rPr>
          <w:shd w:val="clear" w:color="auto" w:fill="FFFFFF"/>
        </w:rPr>
        <w:t xml:space="preserve"> que compr</w:t>
      </w:r>
      <w:r w:rsidR="00551824">
        <w:rPr>
          <w:shd w:val="clear" w:color="auto" w:fill="FFFFFF"/>
        </w:rPr>
        <w:t>e las empresas de bandera? ¿c</w:t>
      </w:r>
      <w:r>
        <w:rPr>
          <w:shd w:val="clear" w:color="auto" w:fill="FFFFFF"/>
        </w:rPr>
        <w:t>ediéndole la Agenda 2030</w:t>
      </w:r>
      <w:r w:rsidR="00551824">
        <w:rPr>
          <w:shd w:val="clear" w:color="auto" w:fill="FFFFFF"/>
        </w:rPr>
        <w:t>? ¿d</w:t>
      </w:r>
      <w:r w:rsidR="00940A8C">
        <w:rPr>
          <w:shd w:val="clear" w:color="auto" w:fill="FFFFFF"/>
        </w:rPr>
        <w:t xml:space="preserve">ejándola que presida el WEF de </w:t>
      </w:r>
      <w:r>
        <w:rPr>
          <w:shd w:val="clear" w:color="auto" w:fill="FFFFFF"/>
        </w:rPr>
        <w:t>Davos?</w:t>
      </w:r>
    </w:p>
    <w:p w:rsidR="00940A8C" w:rsidRDefault="00940A8C" w:rsidP="003E4E67">
      <w:pPr>
        <w:pStyle w:val="NormalWeb"/>
        <w:spacing w:after="360"/>
        <w:jc w:val="both"/>
        <w:rPr>
          <w:shd w:val="clear" w:color="auto" w:fill="FFFFFF"/>
        </w:rPr>
      </w:pPr>
      <w:r>
        <w:rPr>
          <w:shd w:val="clear" w:color="auto" w:fill="FFFFFF"/>
        </w:rPr>
        <w:t>¿Puede progresar la Unión Europea “caminando de rodillas”?</w:t>
      </w:r>
    </w:p>
    <w:p w:rsidR="00940A8C" w:rsidRDefault="00940A8C" w:rsidP="003E4E67">
      <w:pPr>
        <w:pStyle w:val="NormalWeb"/>
        <w:spacing w:after="360"/>
        <w:jc w:val="both"/>
        <w:rPr>
          <w:shd w:val="clear" w:color="auto" w:fill="FFFFFF"/>
        </w:rPr>
      </w:pPr>
      <w:r>
        <w:rPr>
          <w:shd w:val="clear" w:color="auto" w:fill="FFFFFF"/>
        </w:rPr>
        <w:t xml:space="preserve">Ya se ha “experimentado” (¿disfrutado?) con el “dividendo de la paz”, ya se ha visto el precio de “dormir con el enemigo”, ya se ha pagado suficiente por esas “noches de vino y rosas”… </w:t>
      </w:r>
      <w:r w:rsidR="00BA168B">
        <w:rPr>
          <w:shd w:val="clear" w:color="auto" w:fill="FFFFFF"/>
        </w:rPr>
        <w:t>después de la “resaca” (crisis del 2008 y 2020) hay que hacer la autocrítica, pedir perdón, tener espíritu de enmienda y… pagar las costas y coste de ser autónomo, soberano, e independiente. Ya está bien de ser el felpudo o alfombrilla de baño de los amos del universo.</w:t>
      </w:r>
    </w:p>
    <w:p w:rsidR="00BA168B" w:rsidRDefault="00BA168B" w:rsidP="003E4E67">
      <w:pPr>
        <w:pStyle w:val="NormalWeb"/>
        <w:spacing w:after="360"/>
        <w:jc w:val="both"/>
        <w:rPr>
          <w:shd w:val="clear" w:color="auto" w:fill="FFFFFF"/>
        </w:rPr>
      </w:pPr>
      <w:r>
        <w:rPr>
          <w:shd w:val="clear" w:color="auto" w:fill="FFFFFF"/>
        </w:rPr>
        <w:t>“</w:t>
      </w:r>
      <w:r w:rsidRPr="00BA168B">
        <w:rPr>
          <w:shd w:val="clear" w:color="auto" w:fill="FFFFFF"/>
        </w:rPr>
        <w:t>Cuando haces lo que más temes, entonces puedes hacer cualquier cosa</w:t>
      </w:r>
      <w:r>
        <w:rPr>
          <w:shd w:val="clear" w:color="auto" w:fill="FFFFFF"/>
        </w:rPr>
        <w:t>” (</w:t>
      </w:r>
      <w:r w:rsidRPr="00BA168B">
        <w:rPr>
          <w:shd w:val="clear" w:color="auto" w:fill="FFFFFF"/>
        </w:rPr>
        <w:t>Stephen Richards</w:t>
      </w:r>
      <w:r>
        <w:rPr>
          <w:shd w:val="clear" w:color="auto" w:fill="FFFFFF"/>
        </w:rPr>
        <w:t>).</w:t>
      </w:r>
    </w:p>
    <w:p w:rsidR="00F20D20" w:rsidRDefault="00F20D20" w:rsidP="00F20D20">
      <w:pPr>
        <w:spacing w:line="240" w:lineRule="auto"/>
        <w:jc w:val="both"/>
        <w:rPr>
          <w:rFonts w:ascii="Times New Roman" w:hAnsi="Times New Roman" w:cs="Times New Roman"/>
          <w:b/>
          <w:sz w:val="24"/>
          <w:szCs w:val="24"/>
        </w:rPr>
      </w:pPr>
      <w:r>
        <w:rPr>
          <w:rFonts w:ascii="Times New Roman" w:hAnsi="Times New Roman" w:cs="Times New Roman"/>
          <w:b/>
          <w:sz w:val="24"/>
          <w:szCs w:val="24"/>
        </w:rPr>
        <w:t>¿Dónde está el “peligro creciente” para la Unión Europea</w:t>
      </w:r>
      <w:r w:rsidRPr="00A5431F">
        <w:rPr>
          <w:rFonts w:ascii="Times New Roman" w:hAnsi="Times New Roman" w:cs="Times New Roman"/>
          <w:b/>
          <w:sz w:val="24"/>
          <w:szCs w:val="24"/>
        </w:rPr>
        <w:t>? (hipótesi</w:t>
      </w:r>
      <w:r>
        <w:rPr>
          <w:rFonts w:ascii="Times New Roman" w:hAnsi="Times New Roman" w:cs="Times New Roman"/>
          <w:b/>
          <w:sz w:val="24"/>
          <w:szCs w:val="24"/>
        </w:rPr>
        <w:t>s de guerra, para unos dirigentes</w:t>
      </w:r>
      <w:r w:rsidRPr="00A5431F">
        <w:rPr>
          <w:rFonts w:ascii="Times New Roman" w:hAnsi="Times New Roman" w:cs="Times New Roman"/>
          <w:b/>
          <w:sz w:val="24"/>
          <w:szCs w:val="24"/>
        </w:rPr>
        <w:t xml:space="preserve"> faltos de “coujones”)</w:t>
      </w:r>
    </w:p>
    <w:p w:rsidR="00F20D20" w:rsidRDefault="00F20D20" w:rsidP="00F20D20">
      <w:pPr>
        <w:spacing w:line="240" w:lineRule="auto"/>
        <w:jc w:val="both"/>
        <w:rPr>
          <w:rFonts w:ascii="Times New Roman" w:hAnsi="Times New Roman" w:cs="Times New Roman"/>
          <w:sz w:val="24"/>
          <w:szCs w:val="24"/>
        </w:rPr>
      </w:pPr>
      <w:r>
        <w:rPr>
          <w:rFonts w:ascii="Times New Roman" w:hAnsi="Times New Roman" w:cs="Times New Roman"/>
          <w:sz w:val="24"/>
          <w:szCs w:val="24"/>
        </w:rPr>
        <w:t>En el terreno de los supuestos, hasta donde la vista alcanza, creo que los principales “peligros” para la Unión Europea están representados por:</w:t>
      </w:r>
    </w:p>
    <w:p w:rsidR="00F20D20" w:rsidRDefault="00F20D20" w:rsidP="00F20D20">
      <w:pPr>
        <w:pStyle w:val="Prrafodelista"/>
        <w:numPr>
          <w:ilvl w:val="0"/>
          <w:numId w:val="18"/>
        </w:numPr>
        <w:spacing w:line="240" w:lineRule="auto"/>
        <w:jc w:val="both"/>
        <w:rPr>
          <w:rFonts w:ascii="Times New Roman" w:hAnsi="Times New Roman" w:cs="Times New Roman"/>
          <w:sz w:val="24"/>
          <w:szCs w:val="24"/>
        </w:rPr>
      </w:pPr>
      <w:r>
        <w:rPr>
          <w:rFonts w:ascii="Times New Roman" w:hAnsi="Times New Roman" w:cs="Times New Roman"/>
          <w:sz w:val="24"/>
          <w:szCs w:val="24"/>
        </w:rPr>
        <w:t>el terrorismo islámico</w:t>
      </w:r>
    </w:p>
    <w:p w:rsidR="00F20D20" w:rsidRDefault="00F20D20" w:rsidP="00F20D20">
      <w:pPr>
        <w:pStyle w:val="Prrafodelista"/>
        <w:numPr>
          <w:ilvl w:val="0"/>
          <w:numId w:val="18"/>
        </w:numPr>
        <w:spacing w:line="240" w:lineRule="auto"/>
        <w:jc w:val="both"/>
        <w:rPr>
          <w:rFonts w:ascii="Times New Roman" w:hAnsi="Times New Roman" w:cs="Times New Roman"/>
          <w:sz w:val="24"/>
          <w:szCs w:val="24"/>
        </w:rPr>
      </w:pPr>
      <w:r>
        <w:rPr>
          <w:rFonts w:ascii="Times New Roman" w:hAnsi="Times New Roman" w:cs="Times New Roman"/>
          <w:sz w:val="24"/>
          <w:szCs w:val="24"/>
        </w:rPr>
        <w:t>el aumento de la población musulmana</w:t>
      </w:r>
    </w:p>
    <w:p w:rsidR="00F20D20" w:rsidRDefault="00F20D20" w:rsidP="00F20D20">
      <w:pPr>
        <w:pStyle w:val="Prrafodelista"/>
        <w:numPr>
          <w:ilvl w:val="0"/>
          <w:numId w:val="18"/>
        </w:numPr>
        <w:spacing w:line="240" w:lineRule="auto"/>
        <w:jc w:val="both"/>
        <w:rPr>
          <w:rFonts w:ascii="Times New Roman" w:hAnsi="Times New Roman" w:cs="Times New Roman"/>
          <w:sz w:val="24"/>
          <w:szCs w:val="24"/>
        </w:rPr>
      </w:pPr>
      <w:r>
        <w:rPr>
          <w:rFonts w:ascii="Times New Roman" w:hAnsi="Times New Roman" w:cs="Times New Roman"/>
          <w:sz w:val="24"/>
          <w:szCs w:val="24"/>
        </w:rPr>
        <w:t>la migración masiva de población africana</w:t>
      </w:r>
    </w:p>
    <w:p w:rsidR="00F20D20" w:rsidRDefault="00F20D20" w:rsidP="00F20D20">
      <w:pPr>
        <w:spacing w:line="240" w:lineRule="auto"/>
        <w:jc w:val="both"/>
        <w:rPr>
          <w:rFonts w:ascii="Times New Roman" w:hAnsi="Times New Roman" w:cs="Times New Roman"/>
          <w:sz w:val="24"/>
          <w:szCs w:val="24"/>
        </w:rPr>
      </w:pPr>
      <w:r>
        <w:rPr>
          <w:rFonts w:ascii="Times New Roman" w:hAnsi="Times New Roman" w:cs="Times New Roman"/>
          <w:sz w:val="24"/>
          <w:szCs w:val="24"/>
        </w:rPr>
        <w:t>Y para estos “peligros” no hay “paraguas” de la OTAN que la puedan proteger.</w:t>
      </w:r>
    </w:p>
    <w:p w:rsidR="00F20D20" w:rsidRDefault="00F20D20" w:rsidP="00F20D2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Barajando hipotéticos “enemigos”, y “amenazas”, externos, defino los siguientes supuestos: </w:t>
      </w:r>
    </w:p>
    <w:p w:rsidR="00F20D20" w:rsidRDefault="00F20D20" w:rsidP="00F20D20">
      <w:pPr>
        <w:pStyle w:val="Prrafodelista"/>
        <w:numPr>
          <w:ilvl w:val="0"/>
          <w:numId w:val="18"/>
        </w:numPr>
        <w:spacing w:line="240" w:lineRule="auto"/>
        <w:jc w:val="both"/>
        <w:rPr>
          <w:rFonts w:ascii="Times New Roman" w:hAnsi="Times New Roman" w:cs="Times New Roman"/>
          <w:sz w:val="24"/>
          <w:szCs w:val="24"/>
        </w:rPr>
      </w:pPr>
      <w:r>
        <w:rPr>
          <w:rFonts w:ascii="Times New Roman" w:hAnsi="Times New Roman" w:cs="Times New Roman"/>
          <w:sz w:val="24"/>
          <w:szCs w:val="24"/>
        </w:rPr>
        <w:t>EEUU: su principal problema de seguridad está de “puertas para adentro”. Se están matando entre ellos mismos. La gran cantidad de armas en poder de particulares, el fanatismo religioso o político de parte de la población (supremacismo), la excesiva violencia policial, la rápida difusión de noticias y convocatorias por las redes sociales (viralización), permite suponer que la lucha interior se prolongará por muchos años.</w:t>
      </w:r>
    </w:p>
    <w:p w:rsidR="00F20D20" w:rsidRDefault="00F20D20" w:rsidP="00F20D20">
      <w:pPr>
        <w:pStyle w:val="Prrafodelista"/>
        <w:spacing w:line="240" w:lineRule="auto"/>
        <w:jc w:val="both"/>
        <w:rPr>
          <w:rFonts w:ascii="Times New Roman" w:hAnsi="Times New Roman" w:cs="Times New Roman"/>
          <w:sz w:val="24"/>
          <w:szCs w:val="24"/>
        </w:rPr>
      </w:pPr>
    </w:p>
    <w:p w:rsidR="00F20D20" w:rsidRDefault="00F20D20" w:rsidP="00F20D20">
      <w:pPr>
        <w:pStyle w:val="Prrafodelista"/>
        <w:numPr>
          <w:ilvl w:val="0"/>
          <w:numId w:val="18"/>
        </w:num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China: tiene que resolver la patata caliente de Hong Kong (vergonzosa cesión del RU), y la recuperación de Taiwán (la hermanita perdida), antes de preocuparse por avanzar hacia tierras lejanas (USA - UE). Por ahora a China le va muy bien con el </w:t>
      </w:r>
      <w:r>
        <w:rPr>
          <w:rFonts w:ascii="Times New Roman" w:hAnsi="Times New Roman" w:cs="Times New Roman"/>
          <w:sz w:val="24"/>
          <w:szCs w:val="24"/>
        </w:rPr>
        <w:lastRenderedPageBreak/>
        <w:t xml:space="preserve">desembarco de mercancías y capitales en los países avanzados, como para necesitar del ejército para proteger sus intereses. Tanto EEUU, como la UE, podrían hacerle mucho daño (tal vez mayor), si dejaran de comprarle manufacturas y le negaran la posibilidad de realizar inversiones regionales. </w:t>
      </w:r>
    </w:p>
    <w:p w:rsidR="00F20D20" w:rsidRPr="00AE2B6C" w:rsidRDefault="00F20D20" w:rsidP="00F20D20">
      <w:pPr>
        <w:pStyle w:val="Prrafodelista"/>
        <w:rPr>
          <w:rFonts w:ascii="Times New Roman" w:hAnsi="Times New Roman" w:cs="Times New Roman"/>
          <w:sz w:val="24"/>
          <w:szCs w:val="24"/>
        </w:rPr>
      </w:pPr>
    </w:p>
    <w:p w:rsidR="00F20D20" w:rsidRDefault="00F20D20" w:rsidP="00F20D20">
      <w:pPr>
        <w:pStyle w:val="Prrafodelista"/>
        <w:numPr>
          <w:ilvl w:val="0"/>
          <w:numId w:val="18"/>
        </w:numPr>
        <w:spacing w:line="240" w:lineRule="auto"/>
        <w:jc w:val="both"/>
        <w:rPr>
          <w:rFonts w:ascii="Times New Roman" w:hAnsi="Times New Roman" w:cs="Times New Roman"/>
          <w:sz w:val="24"/>
          <w:szCs w:val="24"/>
        </w:rPr>
      </w:pPr>
      <w:r w:rsidRPr="00AE2B6C">
        <w:rPr>
          <w:rFonts w:ascii="Times New Roman" w:hAnsi="Times New Roman" w:cs="Times New Roman"/>
          <w:sz w:val="24"/>
          <w:szCs w:val="24"/>
        </w:rPr>
        <w:t>Rusia: porequipamiento militar (armas nucleares) y grado de enajenación de sus dirigentes (ensoñación zarista), la UE no estaría en condiciones de dar batalla armada. Pero podría hacer mucho daño (tal ve</w:t>
      </w:r>
      <w:r>
        <w:rPr>
          <w:rFonts w:ascii="Times New Roman" w:hAnsi="Times New Roman" w:cs="Times New Roman"/>
          <w:sz w:val="24"/>
          <w:szCs w:val="24"/>
        </w:rPr>
        <w:t>z mayor), si cancelara las compras de</w:t>
      </w:r>
      <w:r w:rsidRPr="00AE2B6C">
        <w:rPr>
          <w:rFonts w:ascii="Times New Roman" w:hAnsi="Times New Roman" w:cs="Times New Roman"/>
          <w:sz w:val="24"/>
          <w:szCs w:val="24"/>
        </w:rPr>
        <w:t xml:space="preserve"> gas y petróleo. </w:t>
      </w:r>
      <w:r>
        <w:rPr>
          <w:rFonts w:ascii="Times New Roman" w:hAnsi="Times New Roman" w:cs="Times New Roman"/>
          <w:sz w:val="24"/>
          <w:szCs w:val="24"/>
        </w:rPr>
        <w:t>Si dejara de financiarle sus delirios de grandeza, de permitirles a los oligarcas radicarse en su territorio (comprando casas, barcos, aviones, automóviles, artículos de lujo), de facilitarle el blanqueo dinero a través de sus entidades financieras, de permitirles comprar clubes de fútbol… podría inspirar temor y respeto.</w:t>
      </w:r>
    </w:p>
    <w:p w:rsidR="00F20D20" w:rsidRDefault="00F20D20" w:rsidP="00F20D2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Principales </w:t>
      </w:r>
      <w:r w:rsidR="008E61EB">
        <w:rPr>
          <w:rFonts w:ascii="Times New Roman" w:hAnsi="Times New Roman" w:cs="Times New Roman"/>
          <w:sz w:val="24"/>
          <w:szCs w:val="24"/>
        </w:rPr>
        <w:t>“</w:t>
      </w:r>
      <w:r>
        <w:rPr>
          <w:rFonts w:ascii="Times New Roman" w:hAnsi="Times New Roman" w:cs="Times New Roman"/>
          <w:sz w:val="24"/>
          <w:szCs w:val="24"/>
        </w:rPr>
        <w:t>peligros crecientes</w:t>
      </w:r>
      <w:r w:rsidR="008E61EB">
        <w:rPr>
          <w:rFonts w:ascii="Times New Roman" w:hAnsi="Times New Roman" w:cs="Times New Roman"/>
          <w:sz w:val="24"/>
          <w:szCs w:val="24"/>
        </w:rPr>
        <w:t>”</w:t>
      </w:r>
      <w:r>
        <w:rPr>
          <w:rFonts w:ascii="Times New Roman" w:hAnsi="Times New Roman" w:cs="Times New Roman"/>
          <w:sz w:val="24"/>
          <w:szCs w:val="24"/>
        </w:rPr>
        <w:t xml:space="preserve"> de la Unión Europea (y la manera de enfrentarlos):</w:t>
      </w:r>
    </w:p>
    <w:p w:rsidR="00F20D20" w:rsidRDefault="00F20D20" w:rsidP="00F20D20">
      <w:pPr>
        <w:pStyle w:val="Prrafodelista"/>
        <w:numPr>
          <w:ilvl w:val="0"/>
          <w:numId w:val="18"/>
        </w:num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terrorismo islámico: así como EEUU tiene el enemigo dentro de sus fronteras (su misma población, que se mata entre sí), en la Unión Europea (por cercanía y accesibilidad) es el terrorismo islámico la principal amenaza y el mayor peligro exterior e interior. Un tipo de terrorismo que no se puede combatir por medios militares convencionales, sino a través de los servicios de inteligencia, fuerzas especiales, medios tecnológicos sofisticados, controles estrictos del movimiento de personas </w:t>
      </w:r>
      <w:r w:rsidR="007678F7">
        <w:rPr>
          <w:rFonts w:ascii="Times New Roman" w:hAnsi="Times New Roman" w:cs="Times New Roman"/>
          <w:sz w:val="24"/>
          <w:szCs w:val="24"/>
        </w:rPr>
        <w:t>desde los países comprometidos con</w:t>
      </w:r>
      <w:r>
        <w:rPr>
          <w:rFonts w:ascii="Times New Roman" w:hAnsi="Times New Roman" w:cs="Times New Roman"/>
          <w:sz w:val="24"/>
          <w:szCs w:val="24"/>
        </w:rPr>
        <w:t xml:space="preserve"> el fundamentalismo islámico, rápida colaboración de la justicia, apoyo de la prensa y participación activa de la población.</w:t>
      </w:r>
    </w:p>
    <w:p w:rsidR="00F20D20" w:rsidRDefault="00F20D20" w:rsidP="00F20D20">
      <w:pPr>
        <w:pStyle w:val="Prrafodelista"/>
        <w:spacing w:line="240" w:lineRule="auto"/>
        <w:jc w:val="both"/>
        <w:rPr>
          <w:rFonts w:ascii="Times New Roman" w:hAnsi="Times New Roman" w:cs="Times New Roman"/>
          <w:sz w:val="24"/>
          <w:szCs w:val="24"/>
        </w:rPr>
      </w:pPr>
    </w:p>
    <w:p w:rsidR="00F20D20" w:rsidRPr="004A493B" w:rsidRDefault="00F20D20" w:rsidP="00F20D20">
      <w:pPr>
        <w:pStyle w:val="Prrafodelista"/>
        <w:numPr>
          <w:ilvl w:val="0"/>
          <w:numId w:val="18"/>
        </w:numPr>
        <w:spacing w:line="240" w:lineRule="auto"/>
        <w:jc w:val="both"/>
        <w:rPr>
          <w:rFonts w:ascii="Times New Roman" w:hAnsi="Times New Roman" w:cs="Times New Roman"/>
          <w:sz w:val="24"/>
          <w:szCs w:val="24"/>
        </w:rPr>
      </w:pPr>
      <w:r>
        <w:rPr>
          <w:rFonts w:ascii="Times New Roman" w:hAnsi="Times New Roman" w:cs="Times New Roman"/>
          <w:sz w:val="24"/>
          <w:szCs w:val="24"/>
        </w:rPr>
        <w:t>El aumento de la población musulmana: el gran talón de Aquiles de los países europeos. Por tolerancia, relativismo, complejos coloniales, supuestos de integración o multiculturalidad, invierno demográfico, necesidades de mano de obra, se ha permitido una corriente inmigratoria de países musulmanes (Medio Oriente y África), que han superado los porcentajes racionales de absorción social (menos del 10% de la población total) creando guetos dentro de las principales ciudades europeas, marginación, delincuencia, criminalidad, prostitución, tráfico de drogas, llegando al extremo de crear algunas “no-go zones”.</w:t>
      </w:r>
    </w:p>
    <w:p w:rsidR="00F20D20" w:rsidRDefault="00F20D20" w:rsidP="00F20D20">
      <w:pPr>
        <w:spacing w:line="240" w:lineRule="auto"/>
        <w:ind w:left="708"/>
        <w:jc w:val="both"/>
        <w:rPr>
          <w:rFonts w:ascii="Times New Roman" w:hAnsi="Times New Roman" w:cs="Times New Roman"/>
          <w:sz w:val="24"/>
          <w:szCs w:val="24"/>
        </w:rPr>
      </w:pPr>
      <w:r w:rsidRPr="004A493B">
        <w:rPr>
          <w:rFonts w:ascii="Times New Roman" w:hAnsi="Times New Roman" w:cs="Times New Roman"/>
          <w:sz w:val="24"/>
          <w:szCs w:val="24"/>
        </w:rPr>
        <w:t xml:space="preserve">Inseguridad, intimidación religiosa, robos, agresiones, crimen organizado… son algunos de los ingredientes que caracterizan a las </w:t>
      </w:r>
      <w:r>
        <w:rPr>
          <w:rFonts w:ascii="Times New Roman" w:hAnsi="Times New Roman" w:cs="Times New Roman"/>
          <w:sz w:val="24"/>
          <w:szCs w:val="24"/>
        </w:rPr>
        <w:t>“</w:t>
      </w:r>
      <w:r w:rsidRPr="004A493B">
        <w:rPr>
          <w:rFonts w:ascii="Times New Roman" w:hAnsi="Times New Roman" w:cs="Times New Roman"/>
          <w:sz w:val="24"/>
          <w:szCs w:val="24"/>
        </w:rPr>
        <w:t>no-go zones</w:t>
      </w:r>
      <w:r>
        <w:rPr>
          <w:rFonts w:ascii="Times New Roman" w:hAnsi="Times New Roman" w:cs="Times New Roman"/>
          <w:sz w:val="24"/>
          <w:szCs w:val="24"/>
        </w:rPr>
        <w:t>”</w:t>
      </w:r>
      <w:r w:rsidRPr="004A493B">
        <w:rPr>
          <w:rFonts w:ascii="Times New Roman" w:hAnsi="Times New Roman" w:cs="Times New Roman"/>
          <w:sz w:val="24"/>
          <w:szCs w:val="24"/>
        </w:rPr>
        <w:t>; el eufemismo postmoderno de los guetos, que no son una novedad en Europa pero sí un tema tabú, silenciado por medios y dirigentes nacionales que niegan la existencia de un problema que existe en las grandes ciudades europeas.</w:t>
      </w:r>
    </w:p>
    <w:p w:rsidR="00F20D20" w:rsidRDefault="00F20D20" w:rsidP="00F20D20">
      <w:pPr>
        <w:spacing w:line="240" w:lineRule="auto"/>
        <w:ind w:left="708"/>
        <w:jc w:val="both"/>
        <w:rPr>
          <w:rFonts w:ascii="Times New Roman" w:hAnsi="Times New Roman" w:cs="Times New Roman"/>
          <w:sz w:val="24"/>
          <w:szCs w:val="24"/>
        </w:rPr>
      </w:pPr>
      <w:r>
        <w:rPr>
          <w:rFonts w:ascii="Times New Roman" w:hAnsi="Times New Roman" w:cs="Times New Roman"/>
          <w:sz w:val="24"/>
          <w:szCs w:val="24"/>
        </w:rPr>
        <w:t>Las no-go</w:t>
      </w:r>
      <w:r w:rsidRPr="004A493B">
        <w:rPr>
          <w:rFonts w:ascii="Times New Roman" w:hAnsi="Times New Roman" w:cs="Times New Roman"/>
          <w:sz w:val="24"/>
          <w:szCs w:val="24"/>
        </w:rPr>
        <w:t xml:space="preserve"> zones, lo que</w:t>
      </w:r>
      <w:r>
        <w:rPr>
          <w:rFonts w:ascii="Times New Roman" w:hAnsi="Times New Roman" w:cs="Times New Roman"/>
          <w:sz w:val="24"/>
          <w:szCs w:val="24"/>
        </w:rPr>
        <w:t xml:space="preserve"> se entendería en español como “zonas prohibidas”</w:t>
      </w:r>
      <w:r w:rsidRPr="004A493B">
        <w:rPr>
          <w:rFonts w:ascii="Times New Roman" w:hAnsi="Times New Roman" w:cs="Times New Roman"/>
          <w:sz w:val="24"/>
          <w:szCs w:val="24"/>
        </w:rPr>
        <w:t>, son mini estados islám</w:t>
      </w:r>
      <w:r>
        <w:rPr>
          <w:rFonts w:ascii="Times New Roman" w:hAnsi="Times New Roman" w:cs="Times New Roman"/>
          <w:sz w:val="24"/>
          <w:szCs w:val="24"/>
        </w:rPr>
        <w:t>icos en los que rige la sharía -la ley islámica-</w:t>
      </w:r>
      <w:r w:rsidRPr="004A493B">
        <w:rPr>
          <w:rFonts w:ascii="Times New Roman" w:hAnsi="Times New Roman" w:cs="Times New Roman"/>
          <w:sz w:val="24"/>
          <w:szCs w:val="24"/>
        </w:rPr>
        <w:t xml:space="preserve"> y en los que sus vecinos musulmanes actúan con impunidad, sabedores de que las autoridades no entrarán en la zona para detenerlos. </w:t>
      </w:r>
    </w:p>
    <w:p w:rsidR="00F20D20" w:rsidRDefault="00F20D20" w:rsidP="00F20D20">
      <w:pPr>
        <w:spacing w:line="240" w:lineRule="auto"/>
        <w:ind w:left="708"/>
        <w:jc w:val="both"/>
        <w:rPr>
          <w:rFonts w:ascii="Times New Roman" w:hAnsi="Times New Roman" w:cs="Times New Roman"/>
          <w:sz w:val="24"/>
          <w:szCs w:val="24"/>
        </w:rPr>
      </w:pPr>
      <w:r w:rsidRPr="004E243A">
        <w:rPr>
          <w:rFonts w:ascii="Times New Roman" w:hAnsi="Times New Roman" w:cs="Times New Roman"/>
          <w:sz w:val="24"/>
          <w:szCs w:val="24"/>
        </w:rPr>
        <w:t>El ejemplo más reciente e ilustrativo: el barrio de Saint</w:t>
      </w:r>
      <w:r>
        <w:rPr>
          <w:rFonts w:ascii="Times New Roman" w:hAnsi="Times New Roman" w:cs="Times New Roman"/>
          <w:sz w:val="24"/>
          <w:szCs w:val="24"/>
        </w:rPr>
        <w:t>-Denis, cuando</w:t>
      </w:r>
      <w:r w:rsidRPr="004E243A">
        <w:rPr>
          <w:rFonts w:ascii="Times New Roman" w:hAnsi="Times New Roman" w:cs="Times New Roman"/>
          <w:sz w:val="24"/>
          <w:szCs w:val="24"/>
        </w:rPr>
        <w:t xml:space="preserve"> se jugó la final de la Champions entre el Liverpool y el Real Madrid y en el que grupos de violentos magrebíes se colaron en el estadio generando el caos en las inmediaciones del campo y que también atracaron y provocaron el pánico de los turistas al terminar el partido.</w:t>
      </w:r>
    </w:p>
    <w:p w:rsidR="00F20D20" w:rsidRDefault="00F20D20" w:rsidP="00F20D20">
      <w:pPr>
        <w:spacing w:line="240" w:lineRule="auto"/>
        <w:ind w:left="708"/>
        <w:jc w:val="both"/>
        <w:rPr>
          <w:rFonts w:ascii="Times New Roman" w:hAnsi="Times New Roman" w:cs="Times New Roman"/>
          <w:sz w:val="24"/>
          <w:szCs w:val="24"/>
        </w:rPr>
      </w:pPr>
      <w:r>
        <w:rPr>
          <w:rFonts w:ascii="Times New Roman" w:hAnsi="Times New Roman" w:cs="Times New Roman"/>
          <w:sz w:val="24"/>
          <w:szCs w:val="24"/>
        </w:rPr>
        <w:t>Pero las no-go</w:t>
      </w:r>
      <w:r w:rsidRPr="004E243A">
        <w:rPr>
          <w:rFonts w:ascii="Times New Roman" w:hAnsi="Times New Roman" w:cs="Times New Roman"/>
          <w:sz w:val="24"/>
          <w:szCs w:val="24"/>
        </w:rPr>
        <w:t xml:space="preserve"> zones no son u</w:t>
      </w:r>
      <w:r>
        <w:rPr>
          <w:rFonts w:ascii="Times New Roman" w:hAnsi="Times New Roman" w:cs="Times New Roman"/>
          <w:sz w:val="24"/>
          <w:szCs w:val="24"/>
        </w:rPr>
        <w:t xml:space="preserve">n problema exclusivo de Francia. Bélgica, Suecia, Reino Unido, España, Italia, e incluso Estados Unidos, </w:t>
      </w:r>
      <w:r w:rsidRPr="001B18FE">
        <w:rPr>
          <w:rFonts w:ascii="Times New Roman" w:hAnsi="Times New Roman" w:cs="Times New Roman"/>
          <w:sz w:val="24"/>
          <w:szCs w:val="24"/>
        </w:rPr>
        <w:t>ostenta</w:t>
      </w:r>
      <w:r>
        <w:rPr>
          <w:rFonts w:ascii="Times New Roman" w:hAnsi="Times New Roman" w:cs="Times New Roman"/>
          <w:sz w:val="24"/>
          <w:szCs w:val="24"/>
        </w:rPr>
        <w:t>n</w:t>
      </w:r>
      <w:r w:rsidRPr="001B18FE">
        <w:rPr>
          <w:rFonts w:ascii="Times New Roman" w:hAnsi="Times New Roman" w:cs="Times New Roman"/>
          <w:sz w:val="24"/>
          <w:szCs w:val="24"/>
        </w:rPr>
        <w:t xml:space="preserve"> el du</w:t>
      </w:r>
      <w:r>
        <w:rPr>
          <w:rFonts w:ascii="Times New Roman" w:hAnsi="Times New Roman" w:cs="Times New Roman"/>
          <w:sz w:val="24"/>
          <w:szCs w:val="24"/>
        </w:rPr>
        <w:t>doso honor de contar con no-go</w:t>
      </w:r>
      <w:r w:rsidRPr="001B18FE">
        <w:rPr>
          <w:rFonts w:ascii="Times New Roman" w:hAnsi="Times New Roman" w:cs="Times New Roman"/>
          <w:sz w:val="24"/>
          <w:szCs w:val="24"/>
        </w:rPr>
        <w:t xml:space="preserve"> zones.</w:t>
      </w:r>
    </w:p>
    <w:p w:rsidR="00F20D20" w:rsidRDefault="00F20D20" w:rsidP="00F20D20">
      <w:pPr>
        <w:pStyle w:val="Prrafodelista"/>
        <w:numPr>
          <w:ilvl w:val="0"/>
          <w:numId w:val="18"/>
        </w:num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migración masiva de población africana: el mayor de los “peligros” al que se enfrenta Europa es, a mi modo de ver, la potencial “invasión” que podría sufrir por el desplazamiento de millones (si han leído bien, millones, por no decir, decenas de millones) de desesperados, empobrecidos, hambreados, indigentes, miserables, necesitados, perseguidos, represaliados, desplazados, desde distintos países africanos.</w:t>
      </w:r>
    </w:p>
    <w:p w:rsidR="00F20D20" w:rsidRDefault="00F20D20" w:rsidP="00F20D20">
      <w:pPr>
        <w:pStyle w:val="Prrafodelista"/>
        <w:spacing w:line="240" w:lineRule="auto"/>
        <w:jc w:val="both"/>
        <w:rPr>
          <w:rFonts w:ascii="Times New Roman" w:hAnsi="Times New Roman" w:cs="Times New Roman"/>
          <w:sz w:val="24"/>
          <w:szCs w:val="24"/>
        </w:rPr>
      </w:pPr>
    </w:p>
    <w:p w:rsidR="00F20D20" w:rsidRPr="00C02477" w:rsidRDefault="00F20D20" w:rsidP="00F20D20">
      <w:pPr>
        <w:pStyle w:val="Prrafodelista"/>
        <w:spacing w:line="240" w:lineRule="auto"/>
        <w:jc w:val="both"/>
        <w:rPr>
          <w:rFonts w:ascii="Times New Roman" w:hAnsi="Times New Roman" w:cs="Times New Roman"/>
          <w:sz w:val="24"/>
          <w:szCs w:val="24"/>
        </w:rPr>
      </w:pPr>
      <w:r w:rsidRPr="00C02477">
        <w:rPr>
          <w:rFonts w:ascii="Times New Roman" w:hAnsi="Times New Roman" w:cs="Times New Roman"/>
          <w:sz w:val="24"/>
          <w:szCs w:val="24"/>
        </w:rPr>
        <w:t>Reloj de población de África</w:t>
      </w:r>
      <w:r>
        <w:rPr>
          <w:rFonts w:ascii="Times New Roman" w:hAnsi="Times New Roman" w:cs="Times New Roman"/>
          <w:sz w:val="24"/>
          <w:szCs w:val="24"/>
        </w:rPr>
        <w:t xml:space="preserve"> (Tic, Tac, Tic, Tac, Tic, Tac…)</w:t>
      </w:r>
    </w:p>
    <w:p w:rsidR="00F20D20" w:rsidRDefault="00F20D20" w:rsidP="00F20D20">
      <w:pPr>
        <w:spacing w:line="240" w:lineRule="auto"/>
        <w:ind w:left="708"/>
        <w:jc w:val="both"/>
        <w:rPr>
          <w:rFonts w:ascii="Times New Roman" w:hAnsi="Times New Roman" w:cs="Times New Roman"/>
          <w:sz w:val="24"/>
          <w:szCs w:val="24"/>
        </w:rPr>
      </w:pPr>
      <w:r>
        <w:rPr>
          <w:rFonts w:ascii="Times New Roman" w:hAnsi="Times New Roman" w:cs="Times New Roman"/>
          <w:sz w:val="24"/>
          <w:szCs w:val="24"/>
        </w:rPr>
        <w:t>¿Cuántos habitantes tenía</w:t>
      </w:r>
      <w:r w:rsidRPr="00C02477">
        <w:rPr>
          <w:rFonts w:ascii="Times New Roman" w:hAnsi="Times New Roman" w:cs="Times New Roman"/>
          <w:sz w:val="24"/>
          <w:szCs w:val="24"/>
        </w:rPr>
        <w:t xml:space="preserve"> África en el 20</w:t>
      </w:r>
      <w:r>
        <w:rPr>
          <w:rFonts w:ascii="Times New Roman" w:hAnsi="Times New Roman" w:cs="Times New Roman"/>
          <w:sz w:val="24"/>
          <w:szCs w:val="24"/>
        </w:rPr>
        <w:t>21? 1.320.000.</w:t>
      </w:r>
      <w:r w:rsidRPr="00C02477">
        <w:rPr>
          <w:rFonts w:ascii="Times New Roman" w:hAnsi="Times New Roman" w:cs="Times New Roman"/>
          <w:sz w:val="24"/>
          <w:szCs w:val="24"/>
        </w:rPr>
        <w:t>000 hab.</w:t>
      </w:r>
    </w:p>
    <w:p w:rsidR="00F20D20" w:rsidRDefault="00F20D20" w:rsidP="00F20D20">
      <w:pPr>
        <w:spacing w:line="240" w:lineRule="auto"/>
        <w:ind w:left="708"/>
        <w:jc w:val="both"/>
        <w:rPr>
          <w:rFonts w:ascii="Times New Roman" w:hAnsi="Times New Roman" w:cs="Times New Roman"/>
          <w:sz w:val="24"/>
          <w:szCs w:val="24"/>
        </w:rPr>
      </w:pPr>
      <w:r w:rsidRPr="00C02477">
        <w:rPr>
          <w:rFonts w:ascii="Times New Roman" w:hAnsi="Times New Roman" w:cs="Times New Roman"/>
          <w:sz w:val="24"/>
          <w:szCs w:val="24"/>
        </w:rPr>
        <w:t>¿Cuántos ha</w:t>
      </w:r>
      <w:r>
        <w:rPr>
          <w:rFonts w:ascii="Times New Roman" w:hAnsi="Times New Roman" w:cs="Times New Roman"/>
          <w:sz w:val="24"/>
          <w:szCs w:val="24"/>
        </w:rPr>
        <w:t>bitantes tiene África en el 2022</w:t>
      </w:r>
      <w:r w:rsidRPr="00C02477">
        <w:rPr>
          <w:rFonts w:ascii="Times New Roman" w:hAnsi="Times New Roman" w:cs="Times New Roman"/>
          <w:sz w:val="24"/>
          <w:szCs w:val="24"/>
        </w:rPr>
        <w:t>?</w:t>
      </w:r>
      <w:r>
        <w:rPr>
          <w:rFonts w:ascii="Times New Roman" w:hAnsi="Times New Roman" w:cs="Times New Roman"/>
          <w:sz w:val="24"/>
          <w:szCs w:val="24"/>
        </w:rPr>
        <w:t xml:space="preserve">  1.411.416.</w:t>
      </w:r>
      <w:r w:rsidRPr="00C02477">
        <w:rPr>
          <w:rFonts w:ascii="Times New Roman" w:hAnsi="Times New Roman" w:cs="Times New Roman"/>
          <w:sz w:val="24"/>
          <w:szCs w:val="24"/>
        </w:rPr>
        <w:t>940</w:t>
      </w:r>
      <w:r>
        <w:rPr>
          <w:rFonts w:ascii="Times New Roman" w:hAnsi="Times New Roman" w:cs="Times New Roman"/>
          <w:sz w:val="24"/>
          <w:szCs w:val="24"/>
        </w:rPr>
        <w:t xml:space="preserve"> hab.</w:t>
      </w:r>
    </w:p>
    <w:p w:rsidR="00F20D20" w:rsidRDefault="00F20D20" w:rsidP="00F20D20">
      <w:pPr>
        <w:spacing w:line="240" w:lineRule="auto"/>
        <w:ind w:left="708"/>
        <w:jc w:val="both"/>
        <w:rPr>
          <w:rFonts w:ascii="Times New Roman" w:hAnsi="Times New Roman" w:cs="Times New Roman"/>
          <w:sz w:val="24"/>
          <w:szCs w:val="24"/>
        </w:rPr>
      </w:pPr>
      <w:r>
        <w:rPr>
          <w:rFonts w:ascii="Times New Roman" w:hAnsi="Times New Roman" w:cs="Times New Roman"/>
          <w:sz w:val="24"/>
          <w:szCs w:val="24"/>
        </w:rPr>
        <w:t>Hagan números señores:</w:t>
      </w:r>
    </w:p>
    <w:p w:rsidR="00F20D20" w:rsidRDefault="00F20D20" w:rsidP="00F20D20">
      <w:pPr>
        <w:pStyle w:val="Prrafodelista"/>
        <w:numPr>
          <w:ilvl w:val="0"/>
          <w:numId w:val="18"/>
        </w:numPr>
        <w:spacing w:line="240" w:lineRule="auto"/>
        <w:jc w:val="both"/>
        <w:rPr>
          <w:rFonts w:ascii="Times New Roman" w:hAnsi="Times New Roman" w:cs="Times New Roman"/>
          <w:sz w:val="24"/>
          <w:szCs w:val="24"/>
        </w:rPr>
      </w:pPr>
      <w:r>
        <w:rPr>
          <w:rFonts w:ascii="Times New Roman" w:hAnsi="Times New Roman" w:cs="Times New Roman"/>
          <w:sz w:val="24"/>
          <w:szCs w:val="24"/>
        </w:rPr>
        <w:t>Con que se “desplace” el 10 % de ese magma poblac</w:t>
      </w:r>
      <w:r w:rsidR="008E61EB">
        <w:rPr>
          <w:rFonts w:ascii="Times New Roman" w:hAnsi="Times New Roman" w:cs="Times New Roman"/>
          <w:sz w:val="24"/>
          <w:szCs w:val="24"/>
        </w:rPr>
        <w:t>ional, Europa se vería “invadida</w:t>
      </w:r>
      <w:r>
        <w:rPr>
          <w:rFonts w:ascii="Times New Roman" w:hAnsi="Times New Roman" w:cs="Times New Roman"/>
          <w:sz w:val="24"/>
          <w:szCs w:val="24"/>
        </w:rPr>
        <w:t>” por 140.000.000 millones de desesperados, empobrecidos, hambreados, indigentes, miserables, necesitados, perseguidos, represaliados, desp</w:t>
      </w:r>
      <w:r w:rsidR="008E61EB">
        <w:rPr>
          <w:rFonts w:ascii="Times New Roman" w:hAnsi="Times New Roman" w:cs="Times New Roman"/>
          <w:sz w:val="24"/>
          <w:szCs w:val="24"/>
        </w:rPr>
        <w:t>lazados, desde África</w:t>
      </w:r>
      <w:r>
        <w:rPr>
          <w:rFonts w:ascii="Times New Roman" w:hAnsi="Times New Roman" w:cs="Times New Roman"/>
          <w:sz w:val="24"/>
          <w:szCs w:val="24"/>
        </w:rPr>
        <w:t>.</w:t>
      </w:r>
    </w:p>
    <w:p w:rsidR="00F20D20" w:rsidRDefault="00F20D20" w:rsidP="00F20D20">
      <w:pPr>
        <w:pStyle w:val="Prrafodelista"/>
        <w:spacing w:line="240" w:lineRule="auto"/>
        <w:jc w:val="both"/>
        <w:rPr>
          <w:rFonts w:ascii="Times New Roman" w:hAnsi="Times New Roman" w:cs="Times New Roman"/>
          <w:sz w:val="24"/>
          <w:szCs w:val="24"/>
        </w:rPr>
      </w:pPr>
    </w:p>
    <w:p w:rsidR="00F20D20" w:rsidRDefault="00F20D20" w:rsidP="00F20D20">
      <w:pPr>
        <w:pStyle w:val="Prrafodelista"/>
        <w:spacing w:line="240" w:lineRule="auto"/>
        <w:ind w:left="708"/>
        <w:jc w:val="both"/>
        <w:rPr>
          <w:rFonts w:ascii="Times New Roman" w:hAnsi="Times New Roman" w:cs="Times New Roman"/>
          <w:sz w:val="24"/>
          <w:szCs w:val="24"/>
        </w:rPr>
      </w:pPr>
      <w:r w:rsidRPr="006E726A">
        <w:rPr>
          <w:rFonts w:ascii="Times New Roman" w:hAnsi="Times New Roman" w:cs="Times New Roman"/>
          <w:sz w:val="24"/>
          <w:szCs w:val="24"/>
        </w:rPr>
        <w:t xml:space="preserve">Para ir </w:t>
      </w:r>
      <w:r w:rsidR="007678F7">
        <w:rPr>
          <w:rFonts w:ascii="Times New Roman" w:hAnsi="Times New Roman" w:cs="Times New Roman"/>
          <w:sz w:val="24"/>
          <w:szCs w:val="24"/>
        </w:rPr>
        <w:t>“</w:t>
      </w:r>
      <w:r w:rsidRPr="006E726A">
        <w:rPr>
          <w:rFonts w:ascii="Times New Roman" w:hAnsi="Times New Roman" w:cs="Times New Roman"/>
          <w:sz w:val="24"/>
          <w:szCs w:val="24"/>
        </w:rPr>
        <w:t>at</w:t>
      </w:r>
      <w:r w:rsidR="008E61EB">
        <w:rPr>
          <w:rFonts w:ascii="Times New Roman" w:hAnsi="Times New Roman" w:cs="Times New Roman"/>
          <w:sz w:val="24"/>
          <w:szCs w:val="24"/>
        </w:rPr>
        <w:t>errizando la ilusión</w:t>
      </w:r>
      <w:r w:rsidR="007678F7">
        <w:rPr>
          <w:rFonts w:ascii="Times New Roman" w:hAnsi="Times New Roman" w:cs="Times New Roman"/>
          <w:sz w:val="24"/>
          <w:szCs w:val="24"/>
        </w:rPr>
        <w:t>”</w:t>
      </w:r>
      <w:r w:rsidR="008E61EB">
        <w:rPr>
          <w:rFonts w:ascii="Times New Roman" w:hAnsi="Times New Roman" w:cs="Times New Roman"/>
          <w:sz w:val="24"/>
          <w:szCs w:val="24"/>
        </w:rPr>
        <w:t xml:space="preserve"> (de las ONGs cómplices, los </w:t>
      </w:r>
      <w:r w:rsidRPr="006E726A">
        <w:rPr>
          <w:rFonts w:ascii="Times New Roman" w:hAnsi="Times New Roman" w:cs="Times New Roman"/>
          <w:sz w:val="24"/>
          <w:szCs w:val="24"/>
        </w:rPr>
        <w:t xml:space="preserve">defensores de los derechos humanos, </w:t>
      </w:r>
      <w:r>
        <w:rPr>
          <w:rFonts w:ascii="Times New Roman" w:hAnsi="Times New Roman" w:cs="Times New Roman"/>
          <w:sz w:val="24"/>
          <w:szCs w:val="24"/>
        </w:rPr>
        <w:t xml:space="preserve">o </w:t>
      </w:r>
      <w:r w:rsidR="008E61EB">
        <w:rPr>
          <w:rFonts w:ascii="Times New Roman" w:hAnsi="Times New Roman" w:cs="Times New Roman"/>
          <w:sz w:val="24"/>
          <w:szCs w:val="24"/>
        </w:rPr>
        <w:t xml:space="preserve">los </w:t>
      </w:r>
      <w:r w:rsidRPr="006E726A">
        <w:rPr>
          <w:rFonts w:ascii="Times New Roman" w:hAnsi="Times New Roman" w:cs="Times New Roman"/>
          <w:sz w:val="24"/>
          <w:szCs w:val="24"/>
        </w:rPr>
        <w:t>profetas de la</w:t>
      </w:r>
      <w:r w:rsidR="008E61EB">
        <w:rPr>
          <w:rFonts w:ascii="Times New Roman" w:hAnsi="Times New Roman" w:cs="Times New Roman"/>
          <w:sz w:val="24"/>
          <w:szCs w:val="24"/>
        </w:rPr>
        <w:t xml:space="preserve"> Alianza de las C</w:t>
      </w:r>
      <w:r>
        <w:rPr>
          <w:rFonts w:ascii="Times New Roman" w:hAnsi="Times New Roman" w:cs="Times New Roman"/>
          <w:sz w:val="24"/>
          <w:szCs w:val="24"/>
        </w:rPr>
        <w:t>ivilizaciones):</w:t>
      </w:r>
      <w:r w:rsidRPr="006E726A">
        <w:rPr>
          <w:rFonts w:ascii="Times New Roman" w:hAnsi="Times New Roman" w:cs="Times New Roman"/>
          <w:sz w:val="24"/>
          <w:szCs w:val="24"/>
        </w:rPr>
        <w:t xml:space="preserve"> 140 millones de “invitados”</w:t>
      </w:r>
      <w:r>
        <w:rPr>
          <w:rFonts w:ascii="Times New Roman" w:hAnsi="Times New Roman" w:cs="Times New Roman"/>
          <w:sz w:val="24"/>
          <w:szCs w:val="24"/>
        </w:rPr>
        <w:t xml:space="preserve"> africanos</w:t>
      </w:r>
      <w:r w:rsidRPr="006E726A">
        <w:rPr>
          <w:rFonts w:ascii="Times New Roman" w:hAnsi="Times New Roman" w:cs="Times New Roman"/>
          <w:sz w:val="24"/>
          <w:szCs w:val="24"/>
        </w:rPr>
        <w:t xml:space="preserve"> representan el 18,66% de la población de Eu</w:t>
      </w:r>
      <w:r>
        <w:rPr>
          <w:rFonts w:ascii="Times New Roman" w:hAnsi="Times New Roman" w:cs="Times New Roman"/>
          <w:sz w:val="24"/>
          <w:szCs w:val="24"/>
        </w:rPr>
        <w:t>ropa en el año 2022</w:t>
      </w:r>
      <w:r w:rsidRPr="006E726A">
        <w:rPr>
          <w:rFonts w:ascii="Times New Roman" w:hAnsi="Times New Roman" w:cs="Times New Roman"/>
          <w:sz w:val="24"/>
          <w:szCs w:val="24"/>
        </w:rPr>
        <w:t xml:space="preserve"> (750 millones)</w:t>
      </w:r>
      <w:r w:rsidR="008E61EB">
        <w:rPr>
          <w:rFonts w:ascii="Times New Roman" w:hAnsi="Times New Roman" w:cs="Times New Roman"/>
          <w:sz w:val="24"/>
          <w:szCs w:val="24"/>
        </w:rPr>
        <w:t>, y el</w:t>
      </w:r>
      <w:r>
        <w:rPr>
          <w:rFonts w:ascii="Times New Roman" w:hAnsi="Times New Roman" w:cs="Times New Roman"/>
          <w:sz w:val="24"/>
          <w:szCs w:val="24"/>
        </w:rPr>
        <w:t xml:space="preserve"> equivalente al 31,31%  de la población de la Unión Europea en el año 2022 (447</w:t>
      </w:r>
      <w:r w:rsidRPr="006E726A">
        <w:rPr>
          <w:rFonts w:ascii="Times New Roman" w:hAnsi="Times New Roman" w:cs="Times New Roman"/>
          <w:sz w:val="24"/>
          <w:szCs w:val="24"/>
        </w:rPr>
        <w:t xml:space="preserve"> millones)</w:t>
      </w:r>
      <w:r>
        <w:rPr>
          <w:rFonts w:ascii="Times New Roman" w:hAnsi="Times New Roman" w:cs="Times New Roman"/>
          <w:sz w:val="24"/>
          <w:szCs w:val="24"/>
        </w:rPr>
        <w:t>.</w:t>
      </w:r>
    </w:p>
    <w:p w:rsidR="00F20D20" w:rsidRDefault="00F20D20" w:rsidP="00F20D20">
      <w:pPr>
        <w:pStyle w:val="Prrafodelista"/>
        <w:spacing w:line="240" w:lineRule="auto"/>
        <w:ind w:left="708"/>
        <w:jc w:val="both"/>
        <w:rPr>
          <w:rFonts w:ascii="Times New Roman" w:hAnsi="Times New Roman" w:cs="Times New Roman"/>
          <w:sz w:val="24"/>
          <w:szCs w:val="24"/>
        </w:rPr>
      </w:pPr>
    </w:p>
    <w:p w:rsidR="00F20D20" w:rsidRPr="008E61EB" w:rsidRDefault="00F20D20" w:rsidP="008E61EB">
      <w:pPr>
        <w:pStyle w:val="Prrafodelista"/>
        <w:spacing w:line="240" w:lineRule="auto"/>
        <w:ind w:left="708"/>
        <w:jc w:val="both"/>
        <w:rPr>
          <w:rFonts w:ascii="Times New Roman" w:hAnsi="Times New Roman" w:cs="Times New Roman"/>
          <w:sz w:val="24"/>
          <w:szCs w:val="24"/>
        </w:rPr>
      </w:pPr>
      <w:r>
        <w:rPr>
          <w:rFonts w:ascii="Times New Roman" w:hAnsi="Times New Roman" w:cs="Times New Roman"/>
          <w:sz w:val="24"/>
          <w:szCs w:val="24"/>
        </w:rPr>
        <w:t>Si la UE no sabe qué hacer, ni cómo darle alimento, vivienda, sanidad, y educación</w:t>
      </w:r>
      <w:r w:rsidR="008E61EB">
        <w:rPr>
          <w:rFonts w:ascii="Times New Roman" w:hAnsi="Times New Roman" w:cs="Times New Roman"/>
          <w:sz w:val="24"/>
          <w:szCs w:val="24"/>
        </w:rPr>
        <w:t>,</w:t>
      </w:r>
      <w:r>
        <w:rPr>
          <w:rFonts w:ascii="Times New Roman" w:hAnsi="Times New Roman" w:cs="Times New Roman"/>
          <w:sz w:val="24"/>
          <w:szCs w:val="24"/>
        </w:rPr>
        <w:t xml:space="preserve"> a 5 millones de desplazados ucranianos (“unos de los nuestros”), cómo hará con 140 millones de africanos (aunque el éxodo se reparta a lo largo de 10 años). </w:t>
      </w:r>
      <w:r w:rsidRPr="008E61EB">
        <w:rPr>
          <w:rFonts w:ascii="Times New Roman" w:hAnsi="Times New Roman" w:cs="Times New Roman"/>
          <w:sz w:val="24"/>
          <w:szCs w:val="24"/>
        </w:rPr>
        <w:t>Un final de pesadilla, sobre el que no he leído, o</w:t>
      </w:r>
      <w:r w:rsidR="008E61EB">
        <w:rPr>
          <w:rFonts w:ascii="Times New Roman" w:hAnsi="Times New Roman" w:cs="Times New Roman"/>
          <w:sz w:val="24"/>
          <w:szCs w:val="24"/>
        </w:rPr>
        <w:t xml:space="preserve"> escuchado, ninguna opinión de </w:t>
      </w:r>
      <w:r w:rsidRPr="008E61EB">
        <w:rPr>
          <w:rFonts w:ascii="Times New Roman" w:hAnsi="Times New Roman" w:cs="Times New Roman"/>
          <w:sz w:val="24"/>
          <w:szCs w:val="24"/>
        </w:rPr>
        <w:t>prestigiosas vacas sagradas o</w:t>
      </w:r>
      <w:r w:rsidR="008E61EB">
        <w:rPr>
          <w:rFonts w:ascii="Times New Roman" w:hAnsi="Times New Roman" w:cs="Times New Roman"/>
          <w:sz w:val="24"/>
          <w:szCs w:val="24"/>
        </w:rPr>
        <w:t xml:space="preserve"> distinguidos</w:t>
      </w:r>
      <w:r w:rsidRPr="008E61EB">
        <w:rPr>
          <w:rFonts w:ascii="Times New Roman" w:hAnsi="Times New Roman" w:cs="Times New Roman"/>
          <w:sz w:val="24"/>
          <w:szCs w:val="24"/>
        </w:rPr>
        <w:t xml:space="preserve"> gurús mediáticos. ¿Será por qué “lo malo es despertar”?</w:t>
      </w:r>
    </w:p>
    <w:p w:rsidR="001C678E" w:rsidRPr="00BA168B" w:rsidRDefault="001C678E" w:rsidP="00BA168B">
      <w:pPr>
        <w:pStyle w:val="NormalWeb"/>
        <w:spacing w:after="360"/>
        <w:jc w:val="both"/>
        <w:rPr>
          <w:shd w:val="clear" w:color="auto" w:fill="FFFFFF"/>
        </w:rPr>
      </w:pPr>
      <w:r w:rsidRPr="007E76EB">
        <w:rPr>
          <w:b/>
          <w:color w:val="FF0000"/>
        </w:rPr>
        <w:t xml:space="preserve">6 - Relato “progre”, superioridad moral, y discriminación positiva </w:t>
      </w:r>
    </w:p>
    <w:p w:rsidR="001C678E" w:rsidRDefault="001C678E"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La enorme hipocresía (</w:t>
      </w:r>
      <w:r w:rsidR="009F55ED">
        <w:rPr>
          <w:rFonts w:ascii="Times New Roman" w:eastAsia="Times New Roman" w:hAnsi="Times New Roman" w:cs="Times New Roman"/>
          <w:b/>
          <w:sz w:val="24"/>
          <w:szCs w:val="24"/>
          <w:lang w:eastAsia="es-ES"/>
        </w:rPr>
        <w:t xml:space="preserve">consumo y tráfico de drogas, </w:t>
      </w:r>
      <w:r>
        <w:rPr>
          <w:rFonts w:ascii="Times New Roman" w:eastAsia="Times New Roman" w:hAnsi="Times New Roman" w:cs="Times New Roman"/>
          <w:b/>
          <w:sz w:val="24"/>
          <w:szCs w:val="24"/>
          <w:lang w:eastAsia="es-ES"/>
        </w:rPr>
        <w:t>derechos de las minorías, ideología de género, feminismo fundamentalista,</w:t>
      </w:r>
      <w:r w:rsidR="00B316C9">
        <w:rPr>
          <w:rFonts w:ascii="Times New Roman" w:eastAsia="Times New Roman" w:hAnsi="Times New Roman" w:cs="Times New Roman"/>
          <w:b/>
          <w:sz w:val="24"/>
          <w:szCs w:val="24"/>
          <w:lang w:eastAsia="es-ES"/>
        </w:rPr>
        <w:t xml:space="preserve"> autodeterminación de género,</w:t>
      </w:r>
      <w:r>
        <w:rPr>
          <w:rFonts w:ascii="Times New Roman" w:eastAsia="Times New Roman" w:hAnsi="Times New Roman" w:cs="Times New Roman"/>
          <w:b/>
          <w:sz w:val="24"/>
          <w:szCs w:val="24"/>
          <w:lang w:eastAsia="es-ES"/>
        </w:rPr>
        <w:t xml:space="preserve"> idioma inclusivo</w:t>
      </w:r>
      <w:r w:rsidR="00AC198E">
        <w:rPr>
          <w:rFonts w:ascii="Times New Roman" w:eastAsia="Times New Roman" w:hAnsi="Times New Roman" w:cs="Times New Roman"/>
          <w:b/>
          <w:sz w:val="24"/>
          <w:szCs w:val="24"/>
          <w:lang w:eastAsia="es-ES"/>
        </w:rPr>
        <w:t>, orgullo LGTBIQ+</w:t>
      </w:r>
      <w:r w:rsidR="00EB6201">
        <w:rPr>
          <w:rFonts w:ascii="Times New Roman" w:eastAsia="Times New Roman" w:hAnsi="Times New Roman" w:cs="Times New Roman"/>
          <w:b/>
          <w:sz w:val="24"/>
          <w:szCs w:val="24"/>
          <w:lang w:eastAsia="es-ES"/>
        </w:rPr>
        <w:t>, teoría queer</w:t>
      </w:r>
      <w:r>
        <w:rPr>
          <w:rFonts w:ascii="Times New Roman" w:eastAsia="Times New Roman" w:hAnsi="Times New Roman" w:cs="Times New Roman"/>
          <w:b/>
          <w:sz w:val="24"/>
          <w:szCs w:val="24"/>
          <w:lang w:eastAsia="es-ES"/>
        </w:rPr>
        <w:t>)</w:t>
      </w:r>
    </w:p>
    <w:p w:rsidR="008E61EB" w:rsidRPr="00EB2371" w:rsidRDefault="00EB2371" w:rsidP="008E61EB">
      <w:pPr>
        <w:spacing w:line="240" w:lineRule="auto"/>
        <w:jc w:val="both"/>
        <w:rPr>
          <w:rFonts w:ascii="Times New Roman" w:hAnsi="Times New Roman" w:cs="Times New Roman"/>
          <w:sz w:val="24"/>
          <w:szCs w:val="24"/>
        </w:rPr>
      </w:pPr>
      <w:r w:rsidRPr="00EB2371">
        <w:rPr>
          <w:rFonts w:ascii="Times New Roman" w:hAnsi="Times New Roman" w:cs="Times New Roman"/>
          <w:sz w:val="24"/>
          <w:szCs w:val="24"/>
        </w:rPr>
        <w:t xml:space="preserve">En el </w:t>
      </w:r>
      <w:r w:rsidR="008E61EB" w:rsidRPr="00EB2371">
        <w:rPr>
          <w:rFonts w:ascii="Times New Roman" w:hAnsi="Times New Roman" w:cs="Times New Roman"/>
          <w:sz w:val="24"/>
          <w:szCs w:val="24"/>
        </w:rPr>
        <w:t>Paper</w:t>
      </w:r>
      <w:r w:rsidR="008E61EB">
        <w:rPr>
          <w:rFonts w:ascii="Times New Roman" w:hAnsi="Times New Roman" w:cs="Times New Roman"/>
          <w:b/>
          <w:sz w:val="24"/>
          <w:szCs w:val="24"/>
        </w:rPr>
        <w:t xml:space="preserve"> - </w:t>
      </w:r>
      <w:r>
        <w:rPr>
          <w:rFonts w:ascii="Times New Roman" w:hAnsi="Times New Roman" w:cs="Times New Roman"/>
          <w:b/>
          <w:sz w:val="24"/>
          <w:szCs w:val="24"/>
        </w:rPr>
        <w:t>“</w:t>
      </w:r>
      <w:r w:rsidR="008E61EB">
        <w:rPr>
          <w:rFonts w:ascii="Times New Roman" w:hAnsi="Times New Roman" w:cs="Times New Roman"/>
          <w:b/>
          <w:sz w:val="24"/>
          <w:szCs w:val="24"/>
        </w:rPr>
        <w:t>Capitalismo “woke”: cuando a la “estolidez”, se le agrega la “infamia” (</w:t>
      </w:r>
      <w:r w:rsidR="008E61EB" w:rsidRPr="00EB3FA8">
        <w:rPr>
          <w:rFonts w:ascii="Times New Roman" w:hAnsi="Times New Roman" w:cs="Times New Roman"/>
          <w:b/>
          <w:sz w:val="24"/>
          <w:szCs w:val="24"/>
        </w:rPr>
        <w:t>algun</w:t>
      </w:r>
      <w:r w:rsidR="008E61EB">
        <w:rPr>
          <w:rFonts w:ascii="Times New Roman" w:hAnsi="Times New Roman" w:cs="Times New Roman"/>
          <w:b/>
          <w:sz w:val="24"/>
          <w:szCs w:val="24"/>
        </w:rPr>
        <w:t>as historias de cabotaje, y el tedio que provoca el</w:t>
      </w:r>
      <w:r w:rsidR="008E61EB" w:rsidRPr="00EB3FA8">
        <w:rPr>
          <w:rFonts w:ascii="Times New Roman" w:hAnsi="Times New Roman" w:cs="Times New Roman"/>
          <w:b/>
          <w:sz w:val="24"/>
          <w:szCs w:val="24"/>
        </w:rPr>
        <w:t xml:space="preserve"> comportamiento políticamente correcto)</w:t>
      </w:r>
      <w:r>
        <w:rPr>
          <w:rFonts w:ascii="Times New Roman" w:hAnsi="Times New Roman" w:cs="Times New Roman"/>
          <w:b/>
          <w:sz w:val="24"/>
          <w:szCs w:val="24"/>
        </w:rPr>
        <w:t>”</w:t>
      </w:r>
      <w:r>
        <w:rPr>
          <w:rFonts w:ascii="Times New Roman" w:hAnsi="Times New Roman" w:cs="Times New Roman"/>
          <w:sz w:val="24"/>
          <w:szCs w:val="24"/>
        </w:rPr>
        <w:t xml:space="preserve">, publicado el </w:t>
      </w:r>
      <w:r w:rsidRPr="00A539BA">
        <w:rPr>
          <w:rFonts w:ascii="Times New Roman" w:hAnsi="Times New Roman" w:cs="Times New Roman"/>
          <w:b/>
          <w:sz w:val="24"/>
          <w:szCs w:val="24"/>
        </w:rPr>
        <w:t>15/8/22</w:t>
      </w:r>
      <w:r>
        <w:rPr>
          <w:rFonts w:ascii="Times New Roman" w:hAnsi="Times New Roman" w:cs="Times New Roman"/>
          <w:sz w:val="24"/>
          <w:szCs w:val="24"/>
        </w:rPr>
        <w:t xml:space="preserve">,  como </w:t>
      </w:r>
      <w:r w:rsidRPr="00EB2371">
        <w:rPr>
          <w:rFonts w:ascii="Times New Roman" w:hAnsi="Times New Roman" w:cs="Times New Roman"/>
          <w:b/>
          <w:sz w:val="24"/>
          <w:szCs w:val="24"/>
        </w:rPr>
        <w:t>Introducción</w:t>
      </w:r>
      <w:r>
        <w:rPr>
          <w:rFonts w:ascii="Times New Roman" w:hAnsi="Times New Roman" w:cs="Times New Roman"/>
          <w:sz w:val="24"/>
          <w:szCs w:val="24"/>
        </w:rPr>
        <w:t xml:space="preserve"> al tema, escribí;</w:t>
      </w:r>
    </w:p>
    <w:p w:rsidR="008E61EB" w:rsidRPr="00FD7F8B" w:rsidRDefault="00EB2371" w:rsidP="008E61EB">
      <w:pPr>
        <w:spacing w:line="240" w:lineRule="auto"/>
        <w:jc w:val="both"/>
        <w:rPr>
          <w:rFonts w:ascii="Times New Roman" w:hAnsi="Times New Roman" w:cs="Times New Roman"/>
          <w:b/>
          <w:sz w:val="24"/>
          <w:szCs w:val="24"/>
          <w:shd w:val="clear" w:color="auto" w:fill="FAFAFA"/>
        </w:rPr>
      </w:pPr>
      <w:r>
        <w:rPr>
          <w:rFonts w:ascii="Times New Roman" w:hAnsi="Times New Roman" w:cs="Times New Roman"/>
          <w:b/>
          <w:sz w:val="24"/>
          <w:szCs w:val="24"/>
        </w:rPr>
        <w:t>D</w:t>
      </w:r>
      <w:r w:rsidR="008E61EB" w:rsidRPr="00FD7F8B">
        <w:rPr>
          <w:rFonts w:ascii="Times New Roman" w:hAnsi="Times New Roman" w:cs="Times New Roman"/>
          <w:b/>
          <w:sz w:val="24"/>
          <w:szCs w:val="24"/>
          <w:shd w:val="clear" w:color="auto" w:fill="FAFAFA"/>
        </w:rPr>
        <w:t xml:space="preserve">el </w:t>
      </w:r>
      <w:r w:rsidR="008E61EB">
        <w:rPr>
          <w:rFonts w:ascii="Times New Roman" w:hAnsi="Times New Roman" w:cs="Times New Roman"/>
          <w:b/>
          <w:sz w:val="24"/>
          <w:szCs w:val="24"/>
          <w:shd w:val="clear" w:color="auto" w:fill="FAFAFA"/>
        </w:rPr>
        <w:t>“</w:t>
      </w:r>
      <w:r w:rsidR="008E61EB" w:rsidRPr="00FD7F8B">
        <w:rPr>
          <w:rFonts w:ascii="Times New Roman" w:hAnsi="Times New Roman" w:cs="Times New Roman"/>
          <w:b/>
          <w:sz w:val="24"/>
          <w:szCs w:val="24"/>
          <w:shd w:val="clear" w:color="auto" w:fill="FAFAFA"/>
        </w:rPr>
        <w:t>silencio</w:t>
      </w:r>
      <w:r w:rsidR="008E61EB">
        <w:rPr>
          <w:rFonts w:ascii="Times New Roman" w:hAnsi="Times New Roman" w:cs="Times New Roman"/>
          <w:b/>
          <w:sz w:val="24"/>
          <w:szCs w:val="24"/>
          <w:shd w:val="clear" w:color="auto" w:fill="FAFAFA"/>
        </w:rPr>
        <w:t>”</w:t>
      </w:r>
      <w:r w:rsidR="008E61EB" w:rsidRPr="00FD7F8B">
        <w:rPr>
          <w:rFonts w:ascii="Times New Roman" w:hAnsi="Times New Roman" w:cs="Times New Roman"/>
          <w:b/>
          <w:sz w:val="24"/>
          <w:szCs w:val="24"/>
          <w:shd w:val="clear" w:color="auto" w:fill="FAFAFA"/>
        </w:rPr>
        <w:t xml:space="preserve"> de los corderos</w:t>
      </w:r>
      <w:r w:rsidR="008E61EB">
        <w:rPr>
          <w:rFonts w:ascii="Times New Roman" w:hAnsi="Times New Roman" w:cs="Times New Roman"/>
          <w:b/>
          <w:sz w:val="24"/>
          <w:szCs w:val="24"/>
          <w:shd w:val="clear" w:color="auto" w:fill="FAFAFA"/>
        </w:rPr>
        <w:t>,</w:t>
      </w:r>
      <w:r w:rsidR="008E61EB" w:rsidRPr="00FD7F8B">
        <w:rPr>
          <w:rFonts w:ascii="Times New Roman" w:hAnsi="Times New Roman" w:cs="Times New Roman"/>
          <w:b/>
          <w:sz w:val="24"/>
          <w:szCs w:val="24"/>
          <w:shd w:val="clear" w:color="auto" w:fill="FAFAFA"/>
        </w:rPr>
        <w:t xml:space="preserve"> a la </w:t>
      </w:r>
      <w:r w:rsidR="008E61EB">
        <w:rPr>
          <w:rFonts w:ascii="Times New Roman" w:hAnsi="Times New Roman" w:cs="Times New Roman"/>
          <w:b/>
          <w:sz w:val="24"/>
          <w:szCs w:val="24"/>
          <w:shd w:val="clear" w:color="auto" w:fill="FAFAFA"/>
        </w:rPr>
        <w:t>“</w:t>
      </w:r>
      <w:r w:rsidR="008E61EB" w:rsidRPr="00FD7F8B">
        <w:rPr>
          <w:rFonts w:ascii="Times New Roman" w:hAnsi="Times New Roman" w:cs="Times New Roman"/>
          <w:b/>
          <w:sz w:val="24"/>
          <w:szCs w:val="24"/>
          <w:shd w:val="clear" w:color="auto" w:fill="FAFAFA"/>
        </w:rPr>
        <w:t>obediencia</w:t>
      </w:r>
      <w:r w:rsidR="008E61EB">
        <w:rPr>
          <w:rFonts w:ascii="Times New Roman" w:hAnsi="Times New Roman" w:cs="Times New Roman"/>
          <w:b/>
          <w:sz w:val="24"/>
          <w:szCs w:val="24"/>
          <w:shd w:val="clear" w:color="auto" w:fill="FAFAFA"/>
        </w:rPr>
        <w:t>”</w:t>
      </w:r>
      <w:r w:rsidR="008E61EB" w:rsidRPr="00FD7F8B">
        <w:rPr>
          <w:rFonts w:ascii="Times New Roman" w:hAnsi="Times New Roman" w:cs="Times New Roman"/>
          <w:b/>
          <w:sz w:val="24"/>
          <w:szCs w:val="24"/>
          <w:shd w:val="clear" w:color="auto" w:fill="FAFAFA"/>
        </w:rPr>
        <w:t xml:space="preserve"> de los corderos</w:t>
      </w:r>
    </w:p>
    <w:p w:rsidR="008E61EB" w:rsidRPr="00CC0F8F" w:rsidRDefault="008E61EB" w:rsidP="008E61EB">
      <w:pPr>
        <w:spacing w:line="240" w:lineRule="auto"/>
        <w:jc w:val="both"/>
        <w:rPr>
          <w:rFonts w:ascii="Times New Roman" w:hAnsi="Times New Roman" w:cs="Times New Roman"/>
          <w:sz w:val="24"/>
          <w:szCs w:val="24"/>
          <w:shd w:val="clear" w:color="auto" w:fill="FAFAFA"/>
        </w:rPr>
      </w:pPr>
      <w:r w:rsidRPr="00CC0F8F">
        <w:rPr>
          <w:rFonts w:ascii="Times New Roman" w:hAnsi="Times New Roman" w:cs="Times New Roman"/>
          <w:sz w:val="24"/>
          <w:szCs w:val="24"/>
          <w:shd w:val="clear" w:color="auto" w:fill="FAFAFA"/>
        </w:rPr>
        <w:t>Estamos en un estadio intelectual, político, y económico</w:t>
      </w:r>
      <w:r>
        <w:rPr>
          <w:rFonts w:ascii="Times New Roman" w:hAnsi="Times New Roman" w:cs="Times New Roman"/>
          <w:sz w:val="24"/>
          <w:szCs w:val="24"/>
          <w:shd w:val="clear" w:color="auto" w:fill="FAFAFA"/>
        </w:rPr>
        <w:t>,</w:t>
      </w:r>
      <w:r w:rsidRPr="00CC0F8F">
        <w:rPr>
          <w:rFonts w:ascii="Times New Roman" w:hAnsi="Times New Roman" w:cs="Times New Roman"/>
          <w:sz w:val="24"/>
          <w:szCs w:val="24"/>
          <w:shd w:val="clear" w:color="auto" w:fill="FAFAFA"/>
        </w:rPr>
        <w:t xml:space="preserve"> en el que como individuos, no podemos elegir, hacia dónde queremos ir, o vamos, sino que nos llevan. Y eso es ya bastante inquietante, bastante insoportable, bastante indignante. Y lo que es peor aún: no nos fiamos del guía.</w:t>
      </w:r>
      <w:r>
        <w:rPr>
          <w:rFonts w:ascii="Times New Roman" w:hAnsi="Times New Roman" w:cs="Times New Roman"/>
          <w:sz w:val="24"/>
          <w:szCs w:val="24"/>
          <w:shd w:val="clear" w:color="auto" w:fill="FAFAFA"/>
        </w:rPr>
        <w:t xml:space="preserve"> Entre esos falsos pastores, están los “ofendiditos” y los “nuevos puritanos”.</w:t>
      </w:r>
    </w:p>
    <w:p w:rsidR="008E61EB" w:rsidRDefault="008E61EB" w:rsidP="008E61EB">
      <w:pPr>
        <w:spacing w:line="240" w:lineRule="auto"/>
        <w:jc w:val="both"/>
        <w:rPr>
          <w:rFonts w:ascii="Times New Roman" w:hAnsi="Times New Roman" w:cs="Times New Roman"/>
          <w:sz w:val="24"/>
          <w:szCs w:val="24"/>
          <w:shd w:val="clear" w:color="auto" w:fill="FAFAFA"/>
        </w:rPr>
      </w:pPr>
      <w:r w:rsidRPr="00CC0F8F">
        <w:rPr>
          <w:rFonts w:ascii="Times New Roman" w:hAnsi="Times New Roman" w:cs="Times New Roman"/>
          <w:sz w:val="24"/>
          <w:szCs w:val="24"/>
          <w:shd w:val="clear" w:color="auto" w:fill="FAFAFA"/>
        </w:rPr>
        <w:t>Pero tanto Europa, como Estados Unidos</w:t>
      </w:r>
      <w:r>
        <w:rPr>
          <w:rFonts w:ascii="Times New Roman" w:hAnsi="Times New Roman" w:cs="Times New Roman"/>
          <w:sz w:val="24"/>
          <w:szCs w:val="24"/>
          <w:shd w:val="clear" w:color="auto" w:fill="FAFAFA"/>
        </w:rPr>
        <w:t>,</w:t>
      </w:r>
      <w:r w:rsidRPr="00CC0F8F">
        <w:rPr>
          <w:rFonts w:ascii="Times New Roman" w:hAnsi="Times New Roman" w:cs="Times New Roman"/>
          <w:sz w:val="24"/>
          <w:szCs w:val="24"/>
          <w:shd w:val="clear" w:color="auto" w:fill="FAFAFA"/>
        </w:rPr>
        <w:t xml:space="preserve"> so</w:t>
      </w:r>
      <w:r>
        <w:rPr>
          <w:rFonts w:ascii="Times New Roman" w:hAnsi="Times New Roman" w:cs="Times New Roman"/>
          <w:sz w:val="24"/>
          <w:szCs w:val="24"/>
          <w:shd w:val="clear" w:color="auto" w:fill="FAFAFA"/>
        </w:rPr>
        <w:t xml:space="preserve">n democracias, y </w:t>
      </w:r>
      <w:r w:rsidRPr="00CC0F8F">
        <w:rPr>
          <w:rFonts w:ascii="Times New Roman" w:hAnsi="Times New Roman" w:cs="Times New Roman"/>
          <w:sz w:val="24"/>
          <w:szCs w:val="24"/>
          <w:shd w:val="clear" w:color="auto" w:fill="FAFAFA"/>
        </w:rPr>
        <w:t>sus ciudadanos</w:t>
      </w:r>
      <w:r>
        <w:rPr>
          <w:rFonts w:ascii="Times New Roman" w:hAnsi="Times New Roman" w:cs="Times New Roman"/>
          <w:sz w:val="24"/>
          <w:szCs w:val="24"/>
          <w:shd w:val="clear" w:color="auto" w:fill="FAFAFA"/>
        </w:rPr>
        <w:t xml:space="preserve"> no sólo  tenemos</w:t>
      </w:r>
      <w:r w:rsidRPr="00CC0F8F">
        <w:rPr>
          <w:rFonts w:ascii="Times New Roman" w:hAnsi="Times New Roman" w:cs="Times New Roman"/>
          <w:sz w:val="24"/>
          <w:szCs w:val="24"/>
          <w:shd w:val="clear" w:color="auto" w:fill="FAFAFA"/>
        </w:rPr>
        <w:t xml:space="preserve"> derecho a decidir qué nación qu</w:t>
      </w:r>
      <w:r>
        <w:rPr>
          <w:rFonts w:ascii="Times New Roman" w:hAnsi="Times New Roman" w:cs="Times New Roman"/>
          <w:sz w:val="24"/>
          <w:szCs w:val="24"/>
          <w:shd w:val="clear" w:color="auto" w:fill="FAFAFA"/>
        </w:rPr>
        <w:t>eremos ser, sino qué vida queremos</w:t>
      </w:r>
      <w:r w:rsidRPr="00CC0F8F">
        <w:rPr>
          <w:rFonts w:ascii="Times New Roman" w:hAnsi="Times New Roman" w:cs="Times New Roman"/>
          <w:sz w:val="24"/>
          <w:szCs w:val="24"/>
          <w:shd w:val="clear" w:color="auto" w:fill="FAFAFA"/>
        </w:rPr>
        <w:t xml:space="preserve"> llevar. Pero… nos llevan. Nosabemos adónde, nosabemos por qué, y empezamos, eso sí, a sospechar quiénes. Mejor dicho: quiénes llevan a quien nos lleva.</w:t>
      </w:r>
    </w:p>
    <w:p w:rsidR="00A539BA" w:rsidRDefault="00A539BA" w:rsidP="008E61EB">
      <w:pPr>
        <w:spacing w:line="240" w:lineRule="auto"/>
        <w:jc w:val="both"/>
        <w:rPr>
          <w:rFonts w:ascii="Times New Roman" w:hAnsi="Times New Roman" w:cs="Times New Roman"/>
          <w:sz w:val="24"/>
          <w:szCs w:val="24"/>
          <w:shd w:val="clear" w:color="auto" w:fill="FAFAFA"/>
        </w:rPr>
      </w:pPr>
    </w:p>
    <w:p w:rsidR="008E61EB" w:rsidRDefault="008E61EB" w:rsidP="008E61E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¿Cuáles son </w:t>
      </w:r>
      <w:r w:rsidRPr="00B458C5">
        <w:rPr>
          <w:rFonts w:ascii="Times New Roman" w:hAnsi="Times New Roman" w:cs="Times New Roman"/>
          <w:sz w:val="24"/>
          <w:szCs w:val="24"/>
        </w:rPr>
        <w:t xml:space="preserve">las mayores “sonseras” posmodernas? </w:t>
      </w:r>
    </w:p>
    <w:p w:rsidR="008E61EB" w:rsidRPr="00B458C5" w:rsidRDefault="008E61EB" w:rsidP="008E61EB">
      <w:pPr>
        <w:spacing w:line="240" w:lineRule="auto"/>
        <w:jc w:val="both"/>
        <w:rPr>
          <w:rFonts w:ascii="Times New Roman" w:hAnsi="Times New Roman" w:cs="Times New Roman"/>
          <w:sz w:val="24"/>
          <w:szCs w:val="24"/>
        </w:rPr>
      </w:pPr>
      <w:r>
        <w:rPr>
          <w:rFonts w:ascii="Times New Roman" w:hAnsi="Times New Roman" w:cs="Times New Roman"/>
          <w:sz w:val="24"/>
          <w:szCs w:val="24"/>
        </w:rPr>
        <w:t>No están todas las que son, pero sí son toda</w:t>
      </w:r>
      <w:r w:rsidRPr="00B458C5">
        <w:rPr>
          <w:rFonts w:ascii="Times New Roman" w:hAnsi="Times New Roman" w:cs="Times New Roman"/>
          <w:sz w:val="24"/>
          <w:szCs w:val="24"/>
        </w:rPr>
        <w:t>s los que están</w:t>
      </w:r>
      <w:r>
        <w:rPr>
          <w:rFonts w:ascii="Times New Roman" w:hAnsi="Times New Roman" w:cs="Times New Roman"/>
          <w:sz w:val="24"/>
          <w:szCs w:val="24"/>
        </w:rPr>
        <w:t xml:space="preserve">: </w:t>
      </w:r>
      <w:r w:rsidRPr="00EB3FA8">
        <w:rPr>
          <w:rFonts w:ascii="Times New Roman" w:hAnsi="Times New Roman" w:cs="Times New Roman"/>
          <w:sz w:val="24"/>
          <w:szCs w:val="24"/>
        </w:rPr>
        <w:t>ecológicas</w:t>
      </w:r>
      <w:r>
        <w:rPr>
          <w:rFonts w:ascii="Times New Roman" w:hAnsi="Times New Roman" w:cs="Times New Roman"/>
          <w:sz w:val="24"/>
          <w:szCs w:val="24"/>
        </w:rPr>
        <w:t xml:space="preserve"> (sostenibilidad)</w:t>
      </w:r>
      <w:r w:rsidRPr="00EB3FA8">
        <w:rPr>
          <w:rFonts w:ascii="Times New Roman" w:hAnsi="Times New Roman" w:cs="Times New Roman"/>
          <w:sz w:val="24"/>
          <w:szCs w:val="24"/>
        </w:rPr>
        <w:t>, de género</w:t>
      </w:r>
      <w:r>
        <w:rPr>
          <w:rFonts w:ascii="Times New Roman" w:hAnsi="Times New Roman" w:cs="Times New Roman"/>
          <w:sz w:val="24"/>
          <w:szCs w:val="24"/>
        </w:rPr>
        <w:t xml:space="preserve"> (feminismo)</w:t>
      </w:r>
      <w:r w:rsidRPr="00EB3FA8">
        <w:rPr>
          <w:rFonts w:ascii="Times New Roman" w:hAnsi="Times New Roman" w:cs="Times New Roman"/>
          <w:sz w:val="24"/>
          <w:szCs w:val="24"/>
        </w:rPr>
        <w:t>, sexuales</w:t>
      </w:r>
      <w:r>
        <w:rPr>
          <w:rFonts w:ascii="Times New Roman" w:hAnsi="Times New Roman" w:cs="Times New Roman"/>
          <w:sz w:val="24"/>
          <w:szCs w:val="24"/>
        </w:rPr>
        <w:t xml:space="preserve"> (LGTBIQ+)</w:t>
      </w:r>
      <w:r w:rsidRPr="00EB3FA8">
        <w:rPr>
          <w:rFonts w:ascii="Times New Roman" w:hAnsi="Times New Roman" w:cs="Times New Roman"/>
          <w:sz w:val="24"/>
          <w:szCs w:val="24"/>
        </w:rPr>
        <w:t>, digitales (</w:t>
      </w:r>
      <w:r>
        <w:rPr>
          <w:rFonts w:ascii="Times New Roman" w:hAnsi="Times New Roman" w:cs="Times New Roman"/>
          <w:sz w:val="24"/>
          <w:szCs w:val="24"/>
        </w:rPr>
        <w:t>virtual, red social, plataforma, algoritmo, smartlife, robótica, inteligencia artificial, metaverso), energéticas (taxonomía), económicas (disruptiva, asociativa, blockchain, criptomoneda, inversiones alternativas, fintech</w:t>
      </w:r>
      <w:r w:rsidRPr="00EB3FA8">
        <w:rPr>
          <w:rFonts w:ascii="Times New Roman" w:hAnsi="Times New Roman" w:cs="Times New Roman"/>
          <w:sz w:val="24"/>
          <w:szCs w:val="24"/>
        </w:rPr>
        <w:t>)</w:t>
      </w:r>
      <w:r>
        <w:rPr>
          <w:rFonts w:ascii="Times New Roman" w:hAnsi="Times New Roman" w:cs="Times New Roman"/>
          <w:sz w:val="24"/>
          <w:szCs w:val="24"/>
        </w:rPr>
        <w:t xml:space="preserve">, </w:t>
      </w:r>
      <w:r w:rsidRPr="00EB3FA8">
        <w:rPr>
          <w:rFonts w:ascii="Times New Roman" w:hAnsi="Times New Roman" w:cs="Times New Roman"/>
          <w:sz w:val="24"/>
          <w:szCs w:val="24"/>
        </w:rPr>
        <w:t>idiomáticas</w:t>
      </w:r>
      <w:r>
        <w:rPr>
          <w:rFonts w:ascii="Times New Roman" w:hAnsi="Times New Roman" w:cs="Times New Roman"/>
          <w:sz w:val="24"/>
          <w:szCs w:val="24"/>
        </w:rPr>
        <w:t xml:space="preserve"> (neolengua)</w:t>
      </w:r>
      <w:r w:rsidRPr="00EB3FA8">
        <w:rPr>
          <w:rFonts w:ascii="Times New Roman" w:hAnsi="Times New Roman" w:cs="Times New Roman"/>
          <w:sz w:val="24"/>
          <w:szCs w:val="24"/>
        </w:rPr>
        <w:t>,</w:t>
      </w:r>
      <w:r>
        <w:rPr>
          <w:rFonts w:ascii="Times New Roman" w:hAnsi="Times New Roman" w:cs="Times New Roman"/>
          <w:sz w:val="24"/>
          <w:szCs w:val="24"/>
        </w:rPr>
        <w:t xml:space="preserve"> reivindicativas,o </w:t>
      </w:r>
      <w:r w:rsidRPr="00EB3FA8">
        <w:rPr>
          <w:rFonts w:ascii="Times New Roman" w:hAnsi="Times New Roman" w:cs="Times New Roman"/>
          <w:sz w:val="24"/>
          <w:szCs w:val="24"/>
        </w:rPr>
        <w:t>políticamente correctas</w:t>
      </w:r>
      <w:r>
        <w:rPr>
          <w:rFonts w:ascii="Times New Roman" w:hAnsi="Times New Roman" w:cs="Times New Roman"/>
          <w:sz w:val="24"/>
          <w:szCs w:val="24"/>
        </w:rPr>
        <w:t>…</w:t>
      </w:r>
    </w:p>
    <w:p w:rsidR="008E61EB" w:rsidRDefault="008E61EB" w:rsidP="008E61EB">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¿Quiénes son los principales</w:t>
      </w:r>
      <w:r w:rsidRPr="00CC0F8F">
        <w:rPr>
          <w:rFonts w:ascii="Times New Roman" w:hAnsi="Times New Roman" w:cs="Times New Roman"/>
          <w:sz w:val="24"/>
          <w:szCs w:val="24"/>
          <w:shd w:val="clear" w:color="auto" w:fill="FAFAFA"/>
        </w:rPr>
        <w:t xml:space="preserve"> responsable</w:t>
      </w:r>
      <w:r>
        <w:rPr>
          <w:rFonts w:ascii="Times New Roman" w:hAnsi="Times New Roman" w:cs="Times New Roman"/>
          <w:sz w:val="24"/>
          <w:szCs w:val="24"/>
          <w:shd w:val="clear" w:color="auto" w:fill="FAFAFA"/>
        </w:rPr>
        <w:t>s</w:t>
      </w:r>
      <w:r w:rsidRPr="00CC0F8F">
        <w:rPr>
          <w:rFonts w:ascii="Times New Roman" w:hAnsi="Times New Roman" w:cs="Times New Roman"/>
          <w:sz w:val="24"/>
          <w:szCs w:val="24"/>
          <w:shd w:val="clear" w:color="auto" w:fill="FAFAFA"/>
        </w:rPr>
        <w:t xml:space="preserve"> de tanta irresponsabilidad?</w:t>
      </w:r>
    </w:p>
    <w:p w:rsidR="008E61EB" w:rsidRPr="00CC0F8F" w:rsidRDefault="008E61EB" w:rsidP="008E61EB">
      <w:pPr>
        <w:spacing w:line="240" w:lineRule="auto"/>
        <w:jc w:val="both"/>
        <w:rPr>
          <w:rFonts w:ascii="Times New Roman" w:hAnsi="Times New Roman" w:cs="Times New Roman"/>
          <w:sz w:val="24"/>
          <w:szCs w:val="24"/>
          <w:shd w:val="clear" w:color="auto" w:fill="FAFAFA"/>
        </w:rPr>
      </w:pPr>
      <w:r w:rsidRPr="00B458C5">
        <w:rPr>
          <w:rFonts w:ascii="Times New Roman" w:hAnsi="Times New Roman" w:cs="Times New Roman"/>
          <w:sz w:val="24"/>
          <w:szCs w:val="24"/>
        </w:rPr>
        <w:t>No están todos los que son</w:t>
      </w:r>
      <w:r>
        <w:rPr>
          <w:rFonts w:ascii="Times New Roman" w:hAnsi="Times New Roman" w:cs="Times New Roman"/>
          <w:sz w:val="24"/>
          <w:szCs w:val="24"/>
        </w:rPr>
        <w:t>,</w:t>
      </w:r>
      <w:r w:rsidRPr="00B458C5">
        <w:rPr>
          <w:rFonts w:ascii="Times New Roman" w:hAnsi="Times New Roman" w:cs="Times New Roman"/>
          <w:sz w:val="24"/>
          <w:szCs w:val="24"/>
        </w:rPr>
        <w:t xml:space="preserve"> pero sí son todos los que están</w:t>
      </w:r>
      <w:r>
        <w:rPr>
          <w:rFonts w:ascii="Times New Roman" w:hAnsi="Times New Roman" w:cs="Times New Roman"/>
          <w:sz w:val="24"/>
          <w:szCs w:val="24"/>
        </w:rPr>
        <w:t>: “las FAANGs” (</w:t>
      </w:r>
      <w:r w:rsidRPr="002F4684">
        <w:rPr>
          <w:rFonts w:ascii="Times New Roman" w:hAnsi="Times New Roman" w:cs="Times New Roman"/>
          <w:sz w:val="24"/>
          <w:szCs w:val="24"/>
        </w:rPr>
        <w:t xml:space="preserve">Facebook, Apple, Amazon, Netflix y </w:t>
      </w:r>
      <w:r>
        <w:rPr>
          <w:rFonts w:ascii="Times New Roman" w:hAnsi="Times New Roman" w:cs="Times New Roman"/>
          <w:sz w:val="24"/>
          <w:szCs w:val="24"/>
        </w:rPr>
        <w:t>Google (</w:t>
      </w:r>
      <w:r w:rsidRPr="002F4684">
        <w:rPr>
          <w:rFonts w:ascii="Times New Roman" w:hAnsi="Times New Roman" w:cs="Times New Roman"/>
          <w:sz w:val="24"/>
          <w:szCs w:val="24"/>
        </w:rPr>
        <w:t>Alphabet</w:t>
      </w:r>
      <w:r>
        <w:rPr>
          <w:rFonts w:ascii="Times New Roman" w:hAnsi="Times New Roman" w:cs="Times New Roman"/>
          <w:sz w:val="24"/>
          <w:szCs w:val="24"/>
        </w:rPr>
        <w:t>)</w:t>
      </w:r>
      <w:r w:rsidRPr="002F4684">
        <w:rPr>
          <w:rFonts w:ascii="Times New Roman" w:hAnsi="Times New Roman" w:cs="Times New Roman"/>
          <w:sz w:val="24"/>
          <w:szCs w:val="24"/>
        </w:rPr>
        <w:t>,</w:t>
      </w:r>
      <w:r>
        <w:rPr>
          <w:rFonts w:ascii="Times New Roman" w:hAnsi="Times New Roman" w:cs="Times New Roman"/>
          <w:sz w:val="24"/>
          <w:szCs w:val="24"/>
        </w:rPr>
        <w:t xml:space="preserve"> los ecologistas radicales, los ideólogos de género, las feministas extremas, los profetas de las nuevas tecnologías, los apóstoles de la economía disruptiva, los operadores de alta velocidad, los filólogos de la neolengua, y los políticos, empresarios, líderes de opinión, académicos, y gurús mediáticos, que se someten a la dictadura del comportamiento políticamente correcto.  </w:t>
      </w:r>
    </w:p>
    <w:p w:rsidR="008E61EB" w:rsidRDefault="008E61EB" w:rsidP="008E61EB">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T</w:t>
      </w:r>
      <w:r w:rsidRPr="00CC0F8F">
        <w:rPr>
          <w:rFonts w:ascii="Times New Roman" w:hAnsi="Times New Roman" w:cs="Times New Roman"/>
          <w:sz w:val="24"/>
          <w:szCs w:val="24"/>
          <w:shd w:val="clear" w:color="auto" w:fill="FAFAFA"/>
        </w:rPr>
        <w:t>enemos derecho a la duda grave, muy grave, sobre lo que estos inmorales descerebr</w:t>
      </w:r>
      <w:r>
        <w:rPr>
          <w:rFonts w:ascii="Times New Roman" w:hAnsi="Times New Roman" w:cs="Times New Roman"/>
          <w:sz w:val="24"/>
          <w:szCs w:val="24"/>
          <w:shd w:val="clear" w:color="auto" w:fill="FAFAFA"/>
        </w:rPr>
        <w:t xml:space="preserve">ados pudieran estar preparando. </w:t>
      </w:r>
      <w:r w:rsidRPr="00CC0F8F">
        <w:rPr>
          <w:rFonts w:ascii="Times New Roman" w:hAnsi="Times New Roman" w:cs="Times New Roman"/>
          <w:sz w:val="24"/>
          <w:szCs w:val="24"/>
          <w:shd w:val="clear" w:color="auto" w:fill="FAFAFA"/>
        </w:rPr>
        <w:t>Aunque no</w:t>
      </w:r>
      <w:r>
        <w:rPr>
          <w:rFonts w:ascii="Times New Roman" w:hAnsi="Times New Roman" w:cs="Times New Roman"/>
          <w:sz w:val="24"/>
          <w:szCs w:val="24"/>
          <w:shd w:val="clear" w:color="auto" w:fill="FAFAFA"/>
        </w:rPr>
        <w:t xml:space="preserve"> podamosacusar (aún), aunque no tengamos</w:t>
      </w:r>
      <w:r w:rsidRPr="00CC0F8F">
        <w:rPr>
          <w:rFonts w:ascii="Times New Roman" w:hAnsi="Times New Roman" w:cs="Times New Roman"/>
          <w:sz w:val="24"/>
          <w:szCs w:val="24"/>
          <w:shd w:val="clear" w:color="auto" w:fill="FAFAFA"/>
        </w:rPr>
        <w:t xml:space="preserve"> suficientes pruebas</w:t>
      </w:r>
      <w:r>
        <w:rPr>
          <w:rFonts w:ascii="Times New Roman" w:hAnsi="Times New Roman" w:cs="Times New Roman"/>
          <w:sz w:val="24"/>
          <w:szCs w:val="24"/>
          <w:shd w:val="clear" w:color="auto" w:fill="FAFAFA"/>
        </w:rPr>
        <w:t xml:space="preserve"> (todavía)..., como todos, tenemos</w:t>
      </w:r>
      <w:r w:rsidRPr="00CC0F8F">
        <w:rPr>
          <w:rFonts w:ascii="Times New Roman" w:hAnsi="Times New Roman" w:cs="Times New Roman"/>
          <w:sz w:val="24"/>
          <w:szCs w:val="24"/>
          <w:shd w:val="clear" w:color="auto" w:fill="FAFAFA"/>
        </w:rPr>
        <w:t xml:space="preserve"> el derecho a sospechar cuando lo raro no se explica y lo oscuro no se clarifica.</w:t>
      </w:r>
    </w:p>
    <w:p w:rsidR="008E61EB" w:rsidRPr="00CC0F8F" w:rsidRDefault="008E61EB" w:rsidP="008E61EB">
      <w:pPr>
        <w:spacing w:line="240" w:lineRule="auto"/>
        <w:jc w:val="both"/>
        <w:rPr>
          <w:rFonts w:ascii="Times New Roman" w:hAnsi="Times New Roman" w:cs="Times New Roman"/>
          <w:sz w:val="24"/>
          <w:szCs w:val="24"/>
          <w:shd w:val="clear" w:color="auto" w:fill="FAFAFA"/>
        </w:rPr>
      </w:pPr>
      <w:r w:rsidRPr="00CC0F8F">
        <w:rPr>
          <w:rFonts w:ascii="Times New Roman" w:hAnsi="Times New Roman" w:cs="Times New Roman"/>
          <w:sz w:val="24"/>
          <w:szCs w:val="24"/>
          <w:shd w:val="clear" w:color="auto" w:fill="FAFAFA"/>
        </w:rPr>
        <w:t>Con su te</w:t>
      </w:r>
      <w:r>
        <w:rPr>
          <w:rFonts w:ascii="Times New Roman" w:hAnsi="Times New Roman" w:cs="Times New Roman"/>
          <w:sz w:val="24"/>
          <w:szCs w:val="24"/>
          <w:shd w:val="clear" w:color="auto" w:fill="FAFAFA"/>
        </w:rPr>
        <w:t>nebroso accionar buscan provocar</w:t>
      </w:r>
      <w:r w:rsidRPr="00CC0F8F">
        <w:rPr>
          <w:rFonts w:ascii="Times New Roman" w:hAnsi="Times New Roman" w:cs="Times New Roman"/>
          <w:sz w:val="24"/>
          <w:szCs w:val="24"/>
          <w:shd w:val="clear" w:color="auto" w:fill="FAFAFA"/>
        </w:rPr>
        <w:t xml:space="preserve"> miedo, un miedo cerval y, por ende, una obediencia mansa. Se tiene un tremendo interés en asustar y desinformar. Y si el miedo esclaviza, la ignorancia es la peor de las tiranías. </w:t>
      </w:r>
    </w:p>
    <w:p w:rsidR="008E61EB" w:rsidRDefault="008E61EB" w:rsidP="008E61EB">
      <w:pPr>
        <w:spacing w:line="240" w:lineRule="auto"/>
        <w:jc w:val="both"/>
        <w:rPr>
          <w:rFonts w:ascii="Times New Roman" w:hAnsi="Times New Roman" w:cs="Times New Roman"/>
          <w:sz w:val="24"/>
          <w:szCs w:val="24"/>
          <w:shd w:val="clear" w:color="auto" w:fill="FAFAFA"/>
        </w:rPr>
      </w:pPr>
      <w:r w:rsidRPr="00CC0F8F">
        <w:rPr>
          <w:rFonts w:ascii="Times New Roman" w:hAnsi="Times New Roman" w:cs="Times New Roman"/>
          <w:sz w:val="24"/>
          <w:szCs w:val="24"/>
          <w:shd w:val="clear" w:color="auto" w:fill="FAFAFA"/>
        </w:rPr>
        <w:t>¿Quién gana con todo esto? Pues, por supuesto, los señores del dinero (Wall Street), los fabricantes de ficciones (Silicon Valley) que mueven los manubrios; y, quizá casualmente, China.</w:t>
      </w:r>
      <w:r>
        <w:rPr>
          <w:rFonts w:ascii="Times New Roman" w:hAnsi="Times New Roman" w:cs="Times New Roman"/>
          <w:sz w:val="24"/>
          <w:szCs w:val="24"/>
          <w:shd w:val="clear" w:color="auto" w:fill="FAFAFA"/>
        </w:rPr>
        <w:t xml:space="preserve"> El refugio de último recurso ideado por los amos del universo, y predicado por Davos.</w:t>
      </w:r>
    </w:p>
    <w:p w:rsidR="008E61EB" w:rsidRPr="00F80B16" w:rsidRDefault="008E61EB" w:rsidP="008E61EB">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rPr>
        <w:t>Estos profetas de las “sonseras” posmodernas, son una especie de Esopo II.</w:t>
      </w:r>
      <w:r w:rsidRPr="00EB3FA8">
        <w:rPr>
          <w:rFonts w:ascii="Times New Roman" w:hAnsi="Times New Roman" w:cs="Times New Roman"/>
          <w:sz w:val="24"/>
          <w:szCs w:val="24"/>
        </w:rPr>
        <w:t xml:space="preserve"> Esopo</w:t>
      </w:r>
      <w:r>
        <w:rPr>
          <w:rFonts w:ascii="Times New Roman" w:hAnsi="Times New Roman" w:cs="Times New Roman"/>
          <w:sz w:val="24"/>
          <w:szCs w:val="24"/>
        </w:rPr>
        <w:t xml:space="preserve"> I hizo hablar a los animales, y</w:t>
      </w:r>
      <w:r w:rsidRPr="00EB3FA8">
        <w:rPr>
          <w:rFonts w:ascii="Times New Roman" w:hAnsi="Times New Roman" w:cs="Times New Roman"/>
          <w:sz w:val="24"/>
          <w:szCs w:val="24"/>
        </w:rPr>
        <w:t xml:space="preserve"> estos (Esopo II) hacen es</w:t>
      </w:r>
      <w:r>
        <w:rPr>
          <w:rFonts w:ascii="Times New Roman" w:hAnsi="Times New Roman" w:cs="Times New Roman"/>
          <w:sz w:val="24"/>
          <w:szCs w:val="24"/>
        </w:rPr>
        <w:t>cribir a los animales (con un máximo de 140</w:t>
      </w:r>
      <w:r w:rsidRPr="00EB3FA8">
        <w:rPr>
          <w:rFonts w:ascii="Times New Roman" w:hAnsi="Times New Roman" w:cs="Times New Roman"/>
          <w:sz w:val="24"/>
          <w:szCs w:val="24"/>
        </w:rPr>
        <w:t xml:space="preserve"> caracteres en Twitter).</w:t>
      </w:r>
      <w:r>
        <w:rPr>
          <w:rFonts w:ascii="Times New Roman" w:hAnsi="Times New Roman" w:cs="Times New Roman"/>
          <w:sz w:val="24"/>
          <w:szCs w:val="24"/>
        </w:rPr>
        <w:t xml:space="preserve"> Abducidos, por una especie de neolengua que les borra la cabeza.</w:t>
      </w:r>
    </w:p>
    <w:p w:rsidR="008E61EB" w:rsidRDefault="008E61EB" w:rsidP="008E61EB">
      <w:pPr>
        <w:spacing w:line="240" w:lineRule="auto"/>
        <w:jc w:val="both"/>
        <w:rPr>
          <w:rFonts w:ascii="Times New Roman" w:hAnsi="Times New Roman" w:cs="Times New Roman"/>
          <w:sz w:val="24"/>
          <w:szCs w:val="24"/>
        </w:rPr>
      </w:pPr>
      <w:r w:rsidRPr="00EB3FA8">
        <w:rPr>
          <w:rFonts w:ascii="Times New Roman" w:hAnsi="Times New Roman" w:cs="Times New Roman"/>
          <w:sz w:val="24"/>
          <w:szCs w:val="24"/>
        </w:rPr>
        <w:t xml:space="preserve">El auténtico </w:t>
      </w:r>
      <w:r>
        <w:rPr>
          <w:rFonts w:ascii="Times New Roman" w:hAnsi="Times New Roman" w:cs="Times New Roman"/>
          <w:sz w:val="24"/>
          <w:szCs w:val="24"/>
        </w:rPr>
        <w:t>“ciber</w:t>
      </w:r>
      <w:r w:rsidRPr="00EB3FA8">
        <w:rPr>
          <w:rFonts w:ascii="Times New Roman" w:hAnsi="Times New Roman" w:cs="Times New Roman"/>
          <w:sz w:val="24"/>
          <w:szCs w:val="24"/>
        </w:rPr>
        <w:t>ataque” lo están realizando a la inteligencia</w:t>
      </w:r>
      <w:r>
        <w:rPr>
          <w:rFonts w:ascii="Times New Roman" w:hAnsi="Times New Roman" w:cs="Times New Roman"/>
          <w:sz w:val="24"/>
          <w:szCs w:val="24"/>
        </w:rPr>
        <w:t xml:space="preserve"> (además de a la cultura, la moral, la ética y la estética)</w:t>
      </w:r>
      <w:r w:rsidRPr="00EB3FA8">
        <w:rPr>
          <w:rFonts w:ascii="Times New Roman" w:hAnsi="Times New Roman" w:cs="Times New Roman"/>
          <w:sz w:val="24"/>
          <w:szCs w:val="24"/>
        </w:rPr>
        <w:t>.Han “devaluado” el futuro.</w:t>
      </w:r>
      <w:r>
        <w:rPr>
          <w:rFonts w:ascii="Times New Roman" w:hAnsi="Times New Roman" w:cs="Times New Roman"/>
          <w:sz w:val="24"/>
          <w:szCs w:val="24"/>
        </w:rPr>
        <w:t xml:space="preserve"> Están engendrando unas “Repúblicas de Tontos” (de avestruces y agujeros), donde impere el comportamiento políticamente correcto: digital, feminista, ecológico, animalista, bisexual. Avatares progres del Metaverso. </w:t>
      </w:r>
    </w:p>
    <w:p w:rsidR="008E61EB" w:rsidRPr="00CA5776" w:rsidRDefault="008E61EB" w:rsidP="008E61EB">
      <w:pPr>
        <w:spacing w:line="240" w:lineRule="auto"/>
        <w:jc w:val="both"/>
        <w:rPr>
          <w:rFonts w:ascii="Times New Roman" w:hAnsi="Times New Roman" w:cs="Times New Roman"/>
          <w:sz w:val="24"/>
          <w:szCs w:val="24"/>
        </w:rPr>
      </w:pPr>
      <w:r w:rsidRPr="00CA5776">
        <w:rPr>
          <w:rFonts w:ascii="Times New Roman" w:hAnsi="Times New Roman" w:cs="Times New Roman"/>
          <w:sz w:val="24"/>
          <w:szCs w:val="24"/>
        </w:rPr>
        <w:t>Se trata de crear una sociedad que pierda su interés por la polí</w:t>
      </w:r>
      <w:r>
        <w:rPr>
          <w:rFonts w:ascii="Times New Roman" w:hAnsi="Times New Roman" w:cs="Times New Roman"/>
          <w:sz w:val="24"/>
          <w:szCs w:val="24"/>
        </w:rPr>
        <w:t xml:space="preserve">tica -por el cuestionamiento de </w:t>
      </w:r>
      <w:r w:rsidRPr="00CA5776">
        <w:rPr>
          <w:rFonts w:ascii="Times New Roman" w:hAnsi="Times New Roman" w:cs="Times New Roman"/>
          <w:sz w:val="24"/>
          <w:szCs w:val="24"/>
        </w:rPr>
        <w:t>sus instituciones-, que deje de pensar en su destino. Se trata de impulsar una falsa concepción de la democracia como un mero proc</w:t>
      </w:r>
      <w:r>
        <w:rPr>
          <w:rFonts w:ascii="Times New Roman" w:hAnsi="Times New Roman" w:cs="Times New Roman"/>
          <w:sz w:val="24"/>
          <w:szCs w:val="24"/>
        </w:rPr>
        <w:t>edimiento que no dé</w:t>
      </w:r>
      <w:r w:rsidRPr="00CA5776">
        <w:rPr>
          <w:rFonts w:ascii="Times New Roman" w:hAnsi="Times New Roman" w:cs="Times New Roman"/>
          <w:sz w:val="24"/>
          <w:szCs w:val="24"/>
        </w:rPr>
        <w:t xml:space="preserve"> cabida a la posibilidad y necesidad de hacerse preguntas respecto a las finalidades de la vida colectiva.</w:t>
      </w:r>
    </w:p>
    <w:p w:rsidR="008E61EB" w:rsidRPr="00B7484E" w:rsidRDefault="008E61EB" w:rsidP="008E61EB">
      <w:pPr>
        <w:spacing w:line="240" w:lineRule="auto"/>
        <w:jc w:val="both"/>
        <w:rPr>
          <w:rFonts w:ascii="Times New Roman" w:hAnsi="Times New Roman" w:cs="Times New Roman"/>
          <w:sz w:val="24"/>
          <w:szCs w:val="24"/>
        </w:rPr>
      </w:pPr>
      <w:r w:rsidRPr="00B7484E">
        <w:rPr>
          <w:rFonts w:ascii="Times New Roman" w:hAnsi="Times New Roman" w:cs="Times New Roman"/>
          <w:sz w:val="24"/>
          <w:szCs w:val="24"/>
        </w:rPr>
        <w:t>Direcciones políticas empeñadas en demostrar su incompetencia y su impotencia, elección de líderes vendibles de cara a las temporadas electorales, vacuidad ideológica de los partidos, interferencia constante de lobbies, sindicatos burocratizados dedicados a la autoconservación, movimientos sociales minoritarios y fragmentados, sustitución del pensamiento creador por comentarios e interpretaciones, desintegración de roles tradicionales sin construcción de otros nuevos, desorientación y anomia, pri</w:t>
      </w:r>
      <w:r>
        <w:rPr>
          <w:rFonts w:ascii="Times New Roman" w:hAnsi="Times New Roman" w:cs="Times New Roman"/>
          <w:sz w:val="24"/>
          <w:szCs w:val="24"/>
        </w:rPr>
        <w:t>vatización y despolitización.</w:t>
      </w:r>
    </w:p>
    <w:p w:rsidR="008E61EB" w:rsidRPr="00B7484E" w:rsidRDefault="008E61EB" w:rsidP="008E61EB">
      <w:pPr>
        <w:spacing w:line="240" w:lineRule="auto"/>
        <w:jc w:val="both"/>
        <w:rPr>
          <w:rFonts w:ascii="Times New Roman" w:hAnsi="Times New Roman" w:cs="Times New Roman"/>
          <w:sz w:val="24"/>
          <w:szCs w:val="24"/>
        </w:rPr>
      </w:pPr>
      <w:r>
        <w:rPr>
          <w:rFonts w:ascii="Times New Roman" w:hAnsi="Times New Roman" w:cs="Times New Roman"/>
          <w:sz w:val="24"/>
          <w:szCs w:val="24"/>
        </w:rPr>
        <w:t>“La insignificancia</w:t>
      </w:r>
      <w:r w:rsidRPr="00B7484E">
        <w:rPr>
          <w:rFonts w:ascii="Times New Roman" w:hAnsi="Times New Roman" w:cs="Times New Roman"/>
          <w:sz w:val="24"/>
          <w:szCs w:val="24"/>
        </w:rPr>
        <w:t xml:space="preserve"> avanza</w:t>
      </w:r>
      <w:r>
        <w:rPr>
          <w:rFonts w:ascii="Times New Roman" w:hAnsi="Times New Roman" w:cs="Times New Roman"/>
          <w:sz w:val="24"/>
          <w:szCs w:val="24"/>
        </w:rPr>
        <w:t>”</w:t>
      </w:r>
      <w:r w:rsidRPr="00B7484E">
        <w:rPr>
          <w:rFonts w:ascii="Times New Roman" w:hAnsi="Times New Roman" w:cs="Times New Roman"/>
          <w:sz w:val="24"/>
          <w:szCs w:val="24"/>
        </w:rPr>
        <w:t xml:space="preserve">, nos dice Cornelius Castoriadis: </w:t>
      </w:r>
      <w:r>
        <w:rPr>
          <w:rFonts w:ascii="Times New Roman" w:hAnsi="Times New Roman" w:cs="Times New Roman"/>
          <w:sz w:val="24"/>
          <w:szCs w:val="24"/>
        </w:rPr>
        <w:t>“</w:t>
      </w:r>
      <w:r w:rsidRPr="00B7484E">
        <w:rPr>
          <w:rFonts w:ascii="Times New Roman" w:hAnsi="Times New Roman" w:cs="Times New Roman"/>
          <w:sz w:val="24"/>
          <w:szCs w:val="24"/>
        </w:rPr>
        <w:t xml:space="preserve">es crisis de sentido en los planos colectivo e individual. ¿Pueden las sociedades occidentales seguir </w:t>
      </w:r>
      <w:r w:rsidRPr="00B7484E">
        <w:rPr>
          <w:rFonts w:ascii="Times New Roman" w:hAnsi="Times New Roman" w:cs="Times New Roman"/>
          <w:sz w:val="24"/>
          <w:szCs w:val="24"/>
        </w:rPr>
        <w:lastRenderedPageBreak/>
        <w:t>autorepresentándose? ¿pueden seguir siendo capaces de fabricar el tipo de individuo necesario para la continuidad de su funcionamiento? Crisis de autorepresentación de la sociedad. Crisis del proceso identificatorio en el individuo. Ambas son caras de la misma moneda, de esa indisoluble relación entre lo psíquico y lo históricosocial</w:t>
      </w:r>
      <w:r>
        <w:rPr>
          <w:rFonts w:ascii="Times New Roman" w:hAnsi="Times New Roman" w:cs="Times New Roman"/>
          <w:sz w:val="24"/>
          <w:szCs w:val="24"/>
        </w:rPr>
        <w:t>”</w:t>
      </w:r>
      <w:r w:rsidRPr="00B7484E">
        <w:rPr>
          <w:rFonts w:ascii="Times New Roman" w:hAnsi="Times New Roman" w:cs="Times New Roman"/>
          <w:sz w:val="24"/>
          <w:szCs w:val="24"/>
        </w:rPr>
        <w:t>.</w:t>
      </w:r>
    </w:p>
    <w:p w:rsidR="008E61EB" w:rsidRPr="00B7484E" w:rsidRDefault="008E61EB" w:rsidP="008E61EB">
      <w:pPr>
        <w:spacing w:line="240" w:lineRule="auto"/>
        <w:jc w:val="both"/>
        <w:rPr>
          <w:rFonts w:ascii="Times New Roman" w:hAnsi="Times New Roman" w:cs="Times New Roman"/>
          <w:sz w:val="24"/>
          <w:szCs w:val="24"/>
        </w:rPr>
      </w:pPr>
      <w:r w:rsidRPr="00B7484E">
        <w:rPr>
          <w:rFonts w:ascii="Times New Roman" w:hAnsi="Times New Roman" w:cs="Times New Roman"/>
          <w:sz w:val="24"/>
          <w:szCs w:val="24"/>
        </w:rPr>
        <w:t xml:space="preserve">Los responsables políticos se tornan impotentes. Lo único que pueden hacer es seguir la corriente, es decir, aplicar las políticas de moda. En realidad no son políticos, sino politiqueros, en el sentido de </w:t>
      </w:r>
      <w:r>
        <w:rPr>
          <w:rFonts w:ascii="Times New Roman" w:hAnsi="Times New Roman" w:cs="Times New Roman"/>
          <w:sz w:val="24"/>
          <w:szCs w:val="24"/>
        </w:rPr>
        <w:t>micro</w:t>
      </w:r>
      <w:r w:rsidRPr="00B7484E">
        <w:rPr>
          <w:rFonts w:ascii="Times New Roman" w:hAnsi="Times New Roman" w:cs="Times New Roman"/>
          <w:sz w:val="24"/>
          <w:szCs w:val="24"/>
        </w:rPr>
        <w:t xml:space="preserve">políticos. Gentes que cazan sufragios por cualquier medio. No tienen ningún programa. Su objetivo es permanecer en el poder o volver al poder, y para ello son capaces de todo. Hay una relación intrínseca entre esta especie de nulidad política, esta nulidad de la política y esta insignificancia en los otros dominios, en las artes, en la filosofía o en la literatura. Es el espíritu de los tiempos. Todo conspira para extender la insignificancia. </w:t>
      </w:r>
    </w:p>
    <w:p w:rsidR="008E61EB" w:rsidRPr="00B7484E" w:rsidRDefault="008E61EB" w:rsidP="008E61EB">
      <w:pPr>
        <w:spacing w:line="240" w:lineRule="auto"/>
        <w:jc w:val="both"/>
        <w:rPr>
          <w:rFonts w:ascii="Times New Roman" w:hAnsi="Times New Roman" w:cs="Times New Roman"/>
          <w:sz w:val="24"/>
          <w:szCs w:val="24"/>
        </w:rPr>
      </w:pPr>
      <w:r w:rsidRPr="00B7484E">
        <w:rPr>
          <w:rFonts w:ascii="Times New Roman" w:hAnsi="Times New Roman" w:cs="Times New Roman"/>
          <w:sz w:val="24"/>
          <w:szCs w:val="24"/>
        </w:rPr>
        <w:t xml:space="preserve">Hay una frase magnífica de Aristóteles: “¿Quién es ciudadano? Es ciudadano el que es capaz de gobernar y de ser gobernado”. </w:t>
      </w:r>
    </w:p>
    <w:p w:rsidR="008E61EB" w:rsidRPr="00B7484E" w:rsidRDefault="008E61EB" w:rsidP="008E61EB">
      <w:pPr>
        <w:spacing w:line="240" w:lineRule="auto"/>
        <w:jc w:val="both"/>
        <w:rPr>
          <w:rFonts w:ascii="Times New Roman" w:hAnsi="Times New Roman" w:cs="Times New Roman"/>
          <w:sz w:val="24"/>
          <w:szCs w:val="24"/>
        </w:rPr>
      </w:pPr>
      <w:r w:rsidRPr="00B7484E">
        <w:rPr>
          <w:rFonts w:ascii="Times New Roman" w:hAnsi="Times New Roman" w:cs="Times New Roman"/>
          <w:sz w:val="24"/>
          <w:szCs w:val="24"/>
        </w:rPr>
        <w:t xml:space="preserve">¿Por qué no ser capaces de gobernar? Porque todo el “sistema” está orientado a hacerlo desaprender, a convencerlo de que hay expertos a quienes ellos tienen que confiar sus asuntos. Entonces hay una contraeducación política. Cuando en verdad la gente debería habituarse a ejercer todo tipo de responsabilidades y a tomar iniciativas, se terminan habituando a seguir o a votar por las opciones que otros les presentan. </w:t>
      </w:r>
    </w:p>
    <w:p w:rsidR="008E61EB" w:rsidRPr="00B7484E" w:rsidRDefault="008E61EB" w:rsidP="008E61EB">
      <w:pPr>
        <w:spacing w:line="240" w:lineRule="auto"/>
        <w:jc w:val="both"/>
        <w:rPr>
          <w:rFonts w:ascii="Times New Roman" w:hAnsi="Times New Roman" w:cs="Times New Roman"/>
          <w:sz w:val="24"/>
          <w:szCs w:val="24"/>
        </w:rPr>
      </w:pPr>
      <w:r w:rsidRPr="00B7484E">
        <w:rPr>
          <w:rFonts w:ascii="Times New Roman" w:hAnsi="Times New Roman" w:cs="Times New Roman"/>
          <w:sz w:val="24"/>
          <w:szCs w:val="24"/>
        </w:rPr>
        <w:t xml:space="preserve">Se crea un círculo vicioso. Cuanto más la gente se retira de la actividad, más algunos burócratas, políticos, autodenominados responsables, toman la delantera. Ellos tienen una buena justificación: “Tomo la iniciativa porque la gente no hace nada”. Y mientras, cuanto más dominan, más piensa la gente: “No vale la pena meterse, ya hay muchos que se ocupan, y además, de cualquier manera, no se puede hacer nada”. </w:t>
      </w:r>
    </w:p>
    <w:p w:rsidR="008E61EB" w:rsidRPr="00747DFB" w:rsidRDefault="008E61EB" w:rsidP="008E61EB">
      <w:pPr>
        <w:spacing w:line="240" w:lineRule="auto"/>
        <w:jc w:val="both"/>
        <w:rPr>
          <w:rFonts w:ascii="Times New Roman" w:hAnsi="Times New Roman" w:cs="Times New Roman"/>
          <w:sz w:val="24"/>
          <w:szCs w:val="24"/>
        </w:rPr>
      </w:pPr>
      <w:r>
        <w:rPr>
          <w:rFonts w:ascii="Times New Roman" w:hAnsi="Times New Roman" w:cs="Times New Roman"/>
          <w:sz w:val="24"/>
          <w:szCs w:val="24"/>
        </w:rPr>
        <w:t>Existe</w:t>
      </w:r>
      <w:r w:rsidRPr="00747DFB">
        <w:rPr>
          <w:rFonts w:ascii="Times New Roman" w:hAnsi="Times New Roman" w:cs="Times New Roman"/>
          <w:sz w:val="24"/>
          <w:szCs w:val="24"/>
        </w:rPr>
        <w:t xml:space="preserve"> una suerte de terrorismo del pensamiento único, es decir de un no-pensamiento. Es único en el sentido de que es el primer pensamiento que es un no pensamiento integral, donde lo que domina es la resignación; incluso entre los representantes del liberalismo. ¿Cuál es el gran argumento en este momento? “Quizás sea malo, pero el otro término de la alternativa era peor”. Y esto paraliza a mucha gente. Esto es lo que está detrás del agotamiento ideológico y solo se podrá salir de él si verdaderamente existe un renacimiento de la crítica potente al sistema. Y un renacimiento de la actividad de la gente, de</w:t>
      </w:r>
      <w:r>
        <w:rPr>
          <w:rFonts w:ascii="Times New Roman" w:hAnsi="Times New Roman" w:cs="Times New Roman"/>
          <w:sz w:val="24"/>
          <w:szCs w:val="24"/>
        </w:rPr>
        <w:t xml:space="preserve"> una participación de la gente,  con el fin de abandonar el conformismo generalizado.</w:t>
      </w:r>
    </w:p>
    <w:p w:rsidR="008E61EB" w:rsidRPr="00E4499D" w:rsidRDefault="008E61EB" w:rsidP="008E61EB">
      <w:pPr>
        <w:spacing w:line="240" w:lineRule="auto"/>
        <w:jc w:val="both"/>
        <w:rPr>
          <w:rFonts w:ascii="Times New Roman" w:hAnsi="Times New Roman" w:cs="Times New Roman"/>
          <w:sz w:val="24"/>
          <w:szCs w:val="24"/>
        </w:rPr>
      </w:pPr>
      <w:r w:rsidRPr="00E4499D">
        <w:rPr>
          <w:rFonts w:ascii="Times New Roman" w:hAnsi="Times New Roman" w:cs="Times New Roman"/>
          <w:sz w:val="24"/>
          <w:szCs w:val="24"/>
        </w:rPr>
        <w:t xml:space="preserve">En su libro </w:t>
      </w:r>
      <w:r>
        <w:rPr>
          <w:rFonts w:ascii="Times New Roman" w:hAnsi="Times New Roman" w:cs="Times New Roman"/>
          <w:sz w:val="24"/>
          <w:szCs w:val="24"/>
        </w:rPr>
        <w:t>“</w:t>
      </w:r>
      <w:r w:rsidRPr="00E4499D">
        <w:rPr>
          <w:rFonts w:ascii="Times New Roman" w:hAnsi="Times New Roman" w:cs="Times New Roman"/>
          <w:sz w:val="24"/>
          <w:szCs w:val="24"/>
        </w:rPr>
        <w:t>El Avance de la Insignificancia</w:t>
      </w:r>
      <w:r>
        <w:rPr>
          <w:rFonts w:ascii="Times New Roman" w:hAnsi="Times New Roman" w:cs="Times New Roman"/>
          <w:sz w:val="24"/>
          <w:szCs w:val="24"/>
        </w:rPr>
        <w:t>”</w:t>
      </w:r>
      <w:r w:rsidRPr="00E4499D">
        <w:rPr>
          <w:rFonts w:ascii="Times New Roman" w:hAnsi="Times New Roman" w:cs="Times New Roman"/>
          <w:sz w:val="24"/>
          <w:szCs w:val="24"/>
        </w:rPr>
        <w:t>, Cast</w:t>
      </w:r>
      <w:r>
        <w:rPr>
          <w:rFonts w:ascii="Times New Roman" w:hAnsi="Times New Roman" w:cs="Times New Roman"/>
          <w:sz w:val="24"/>
          <w:szCs w:val="24"/>
        </w:rPr>
        <w:t>o</w:t>
      </w:r>
      <w:r w:rsidRPr="00E4499D">
        <w:rPr>
          <w:rFonts w:ascii="Times New Roman" w:hAnsi="Times New Roman" w:cs="Times New Roman"/>
          <w:sz w:val="24"/>
          <w:szCs w:val="24"/>
        </w:rPr>
        <w:t>riadis sostiene: “Hoy hay una deliberación en todos los sentidos del término en relación con las determinaciones de la socialización de los individuos. Se ha entrado en una época de ausencia de límites en todos los campos, y es en esto que poseemos el deseo de lo infinito. Esta liberación es, en un sentido, una gran conquista. No es cuestión de volver a las sociedades de repetición. Pero también es preciso -éste es un gran tema- aprender a autolimitarse, individual y colectivamente. La sociedad capitalista es una sociedad que corre hacia el abismo, desde todos los puntos de vista, pues no sabe autolimitarse. Y una sociedad verdaderamente libre, una sociedad autónoma, debe saber autolimitarse, saber que hay cosas que no se pueden hacer o que ni siquiera hay que tratar de hacer o que no hay que desear”.</w:t>
      </w:r>
    </w:p>
    <w:p w:rsidR="008E61EB" w:rsidRPr="00E4499D" w:rsidRDefault="008E61EB" w:rsidP="008E61EB">
      <w:pPr>
        <w:spacing w:line="240" w:lineRule="auto"/>
        <w:jc w:val="both"/>
        <w:rPr>
          <w:rFonts w:ascii="Times New Roman" w:hAnsi="Times New Roman" w:cs="Times New Roman"/>
          <w:sz w:val="24"/>
          <w:szCs w:val="24"/>
        </w:rPr>
      </w:pPr>
      <w:r w:rsidRPr="00E4499D">
        <w:rPr>
          <w:rFonts w:ascii="Times New Roman" w:hAnsi="Times New Roman" w:cs="Times New Roman"/>
          <w:sz w:val="24"/>
          <w:szCs w:val="24"/>
        </w:rPr>
        <w:t xml:space="preserve">El imaginario de nuestra época, es el de la expansión ilimitada, es la acumulación de la baratija -un televisor en cada habitación, una computadora en cada habitación- esto es lo que hay que destruir. El sistema se apoya en este imaginario. La libertad es muy difícil. Porque es </w:t>
      </w:r>
      <w:r w:rsidRPr="00E4499D">
        <w:rPr>
          <w:rFonts w:ascii="Times New Roman" w:hAnsi="Times New Roman" w:cs="Times New Roman"/>
          <w:sz w:val="24"/>
          <w:szCs w:val="24"/>
        </w:rPr>
        <w:lastRenderedPageBreak/>
        <w:t xml:space="preserve">muy fácil dejarse llevar. El hombre es un animal perezoso. Hay una frase maravillosa de Tucídides: “Hay que elegir: descansar o ser libre”. Y Pericles le dice a los Atenienses: “Si quieren ser libres hay que trabajar”. </w:t>
      </w:r>
    </w:p>
    <w:p w:rsidR="008E61EB" w:rsidRPr="00E4499D" w:rsidRDefault="008E61EB" w:rsidP="008E61EB">
      <w:pPr>
        <w:spacing w:line="240" w:lineRule="auto"/>
        <w:jc w:val="both"/>
        <w:rPr>
          <w:rFonts w:ascii="Times New Roman" w:hAnsi="Times New Roman" w:cs="Times New Roman"/>
          <w:sz w:val="24"/>
          <w:szCs w:val="24"/>
        </w:rPr>
      </w:pPr>
      <w:r w:rsidRPr="00E4499D">
        <w:rPr>
          <w:rFonts w:ascii="Times New Roman" w:hAnsi="Times New Roman" w:cs="Times New Roman"/>
          <w:sz w:val="24"/>
          <w:szCs w:val="24"/>
        </w:rPr>
        <w:t>El Maestro Castoriadis, concluye; “Ustedes no pueden reposar. No pueden sentarse frente al televisor. Ustedes no son libres cuando están frente al televisor. Ustedes creen ser libres haciendo zapping como imbéciles, ustedes no son libres, es una falsa libertad. La libertad es la actividad. Y la libertad, es una actividad que al mismo tiempo se autolimita, es decir que sabe que puede hacer todo pero que no debe hacer todo. Este es el gran problema de la democracia y el individualismo”.</w:t>
      </w:r>
    </w:p>
    <w:p w:rsidR="008E61EB" w:rsidRDefault="008E61EB" w:rsidP="008E61EB">
      <w:pPr>
        <w:spacing w:line="240" w:lineRule="auto"/>
        <w:jc w:val="both"/>
        <w:rPr>
          <w:rFonts w:ascii="Times New Roman" w:hAnsi="Times New Roman" w:cs="Times New Roman"/>
          <w:sz w:val="24"/>
          <w:szCs w:val="24"/>
          <w:shd w:val="clear" w:color="auto" w:fill="FAFAFA"/>
        </w:rPr>
      </w:pPr>
      <w:r w:rsidRPr="00CC0F8F">
        <w:rPr>
          <w:rFonts w:ascii="Times New Roman" w:hAnsi="Times New Roman" w:cs="Times New Roman"/>
          <w:sz w:val="24"/>
          <w:szCs w:val="24"/>
          <w:shd w:val="clear" w:color="auto" w:fill="FAFAFA"/>
        </w:rPr>
        <w:t>¡Ojalá rompan su silencio los corderos! y caigan en la cuenta de que nos llevan unos guías que no saben a dónde van, o... lo saben demasiado. Pero, si hay polémica y preguntas, debe haber respuestas y explicaciones ¿Dónde? No en</w:t>
      </w:r>
      <w:r>
        <w:rPr>
          <w:rFonts w:ascii="Times New Roman" w:hAnsi="Times New Roman" w:cs="Times New Roman"/>
          <w:sz w:val="24"/>
          <w:szCs w:val="24"/>
          <w:shd w:val="clear" w:color="auto" w:fill="FAFAFA"/>
        </w:rPr>
        <w:t xml:space="preserve"> las redes sociales (sospechosas), o tertulias periodísticas (amordazadas)</w:t>
      </w:r>
      <w:r w:rsidRPr="00CC0F8F">
        <w:rPr>
          <w:rFonts w:ascii="Times New Roman" w:hAnsi="Times New Roman" w:cs="Times New Roman"/>
          <w:sz w:val="24"/>
          <w:szCs w:val="24"/>
          <w:shd w:val="clear" w:color="auto" w:fill="FAFAFA"/>
        </w:rPr>
        <w:t>, sino en ese lugar sagrado de la palabra verdadera que se llama el Parlamento, en ese el lugar sagrado del pensamiento verdadero que se llama la Universidad, y de ser conveniente y necesario</w:t>
      </w:r>
      <w:r>
        <w:rPr>
          <w:rFonts w:ascii="Times New Roman" w:hAnsi="Times New Roman" w:cs="Times New Roman"/>
          <w:sz w:val="24"/>
          <w:szCs w:val="24"/>
          <w:shd w:val="clear" w:color="auto" w:fill="FAFAFA"/>
        </w:rPr>
        <w:t>,</w:t>
      </w:r>
      <w:r w:rsidRPr="00CC0F8F">
        <w:rPr>
          <w:rFonts w:ascii="Times New Roman" w:hAnsi="Times New Roman" w:cs="Times New Roman"/>
          <w:sz w:val="24"/>
          <w:szCs w:val="24"/>
          <w:shd w:val="clear" w:color="auto" w:fill="FAFAFA"/>
        </w:rPr>
        <w:t xml:space="preserve"> en ese último bastión de la civilidad, que se llama la calle.</w:t>
      </w:r>
    </w:p>
    <w:p w:rsidR="008E61EB" w:rsidRDefault="008E61EB" w:rsidP="008E61EB">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¿Podemos estar ante una fórmula posmoderna de la “banalización del</w:t>
      </w:r>
      <w:r w:rsidRPr="00A31FAD">
        <w:rPr>
          <w:rFonts w:ascii="Times New Roman" w:hAnsi="Times New Roman" w:cs="Times New Roman"/>
          <w:sz w:val="24"/>
          <w:szCs w:val="24"/>
          <w:shd w:val="clear" w:color="auto" w:fill="FAFAFA"/>
        </w:rPr>
        <w:t xml:space="preserve"> mal</w:t>
      </w:r>
      <w:r>
        <w:rPr>
          <w:rFonts w:ascii="Times New Roman" w:hAnsi="Times New Roman" w:cs="Times New Roman"/>
          <w:sz w:val="24"/>
          <w:szCs w:val="24"/>
          <w:shd w:val="clear" w:color="auto" w:fill="FAFAFA"/>
        </w:rPr>
        <w:t>”?</w:t>
      </w:r>
    </w:p>
    <w:p w:rsidR="008E61EB" w:rsidRDefault="008E61EB" w:rsidP="008E61EB">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Parafraseando el concepto</w:t>
      </w:r>
      <w:r w:rsidRPr="00A31FAD">
        <w:rPr>
          <w:rFonts w:ascii="Times New Roman" w:hAnsi="Times New Roman" w:cs="Times New Roman"/>
          <w:sz w:val="24"/>
          <w:szCs w:val="24"/>
          <w:shd w:val="clear" w:color="auto" w:fill="FAFAFA"/>
        </w:rPr>
        <w:t xml:space="preserve"> acuñado por la fil</w:t>
      </w:r>
      <w:r>
        <w:rPr>
          <w:rFonts w:ascii="Times New Roman" w:hAnsi="Times New Roman" w:cs="Times New Roman"/>
          <w:sz w:val="24"/>
          <w:szCs w:val="24"/>
          <w:shd w:val="clear" w:color="auto" w:fill="FAFAFA"/>
        </w:rPr>
        <w:t>ósofa alemana Hannah Arendt se podría</w:t>
      </w:r>
      <w:r w:rsidRPr="00A31FAD">
        <w:rPr>
          <w:rFonts w:ascii="Times New Roman" w:hAnsi="Times New Roman" w:cs="Times New Roman"/>
          <w:sz w:val="24"/>
          <w:szCs w:val="24"/>
          <w:shd w:val="clear" w:color="auto" w:fill="FAFAFA"/>
        </w:rPr>
        <w:t xml:space="preserve"> describir cómo un sistema de poder político</w:t>
      </w:r>
      <w:r>
        <w:rPr>
          <w:rFonts w:ascii="Times New Roman" w:hAnsi="Times New Roman" w:cs="Times New Roman"/>
          <w:sz w:val="24"/>
          <w:szCs w:val="24"/>
          <w:shd w:val="clear" w:color="auto" w:fill="FAFAFA"/>
        </w:rPr>
        <w:t>, tecnológico, económico, y social,  a través del cual se pretende abducir, anestesiar, manipular, intoxicar, desinformar, trivializar, espiar, controlar, atemorizar, a los</w:t>
      </w:r>
      <w:r w:rsidRPr="00A31FAD">
        <w:rPr>
          <w:rFonts w:ascii="Times New Roman" w:hAnsi="Times New Roman" w:cs="Times New Roman"/>
          <w:sz w:val="24"/>
          <w:szCs w:val="24"/>
          <w:shd w:val="clear" w:color="auto" w:fill="FAFAFA"/>
        </w:rPr>
        <w:t xml:space="preserve"> sere</w:t>
      </w:r>
      <w:r>
        <w:rPr>
          <w:rFonts w:ascii="Times New Roman" w:hAnsi="Times New Roman" w:cs="Times New Roman"/>
          <w:sz w:val="24"/>
          <w:szCs w:val="24"/>
          <w:shd w:val="clear" w:color="auto" w:fill="FAFAFA"/>
        </w:rPr>
        <w:t>s humanos, empleando</w:t>
      </w:r>
      <w:r w:rsidRPr="00A31FAD">
        <w:rPr>
          <w:rFonts w:ascii="Times New Roman" w:hAnsi="Times New Roman" w:cs="Times New Roman"/>
          <w:sz w:val="24"/>
          <w:szCs w:val="24"/>
          <w:shd w:val="clear" w:color="auto" w:fill="FAFAFA"/>
        </w:rPr>
        <w:t xml:space="preserve"> procedimiento</w:t>
      </w:r>
      <w:r>
        <w:rPr>
          <w:rFonts w:ascii="Times New Roman" w:hAnsi="Times New Roman" w:cs="Times New Roman"/>
          <w:sz w:val="24"/>
          <w:szCs w:val="24"/>
          <w:shd w:val="clear" w:color="auto" w:fill="FAFAFA"/>
        </w:rPr>
        <w:t>s</w:t>
      </w:r>
      <w:r w:rsidRPr="00A31FAD">
        <w:rPr>
          <w:rFonts w:ascii="Times New Roman" w:hAnsi="Times New Roman" w:cs="Times New Roman"/>
          <w:sz w:val="24"/>
          <w:szCs w:val="24"/>
          <w:shd w:val="clear" w:color="auto" w:fill="FAFAFA"/>
        </w:rPr>
        <w:t xml:space="preserve"> burocrático</w:t>
      </w:r>
      <w:r>
        <w:rPr>
          <w:rFonts w:ascii="Times New Roman" w:hAnsi="Times New Roman" w:cs="Times New Roman"/>
          <w:sz w:val="24"/>
          <w:szCs w:val="24"/>
          <w:shd w:val="clear" w:color="auto" w:fill="FAFAFA"/>
        </w:rPr>
        <w:t>s</w:t>
      </w:r>
      <w:r w:rsidRPr="00A31FAD">
        <w:rPr>
          <w:rFonts w:ascii="Times New Roman" w:hAnsi="Times New Roman" w:cs="Times New Roman"/>
          <w:sz w:val="24"/>
          <w:szCs w:val="24"/>
          <w:shd w:val="clear" w:color="auto" w:fill="FAFAFA"/>
        </w:rPr>
        <w:t xml:space="preserve"> ejecutado</w:t>
      </w:r>
      <w:r>
        <w:rPr>
          <w:rFonts w:ascii="Times New Roman" w:hAnsi="Times New Roman" w:cs="Times New Roman"/>
          <w:sz w:val="24"/>
          <w:szCs w:val="24"/>
          <w:shd w:val="clear" w:color="auto" w:fill="FAFAFA"/>
        </w:rPr>
        <w:t>s</w:t>
      </w:r>
      <w:r w:rsidRPr="00A31FAD">
        <w:rPr>
          <w:rFonts w:ascii="Times New Roman" w:hAnsi="Times New Roman" w:cs="Times New Roman"/>
          <w:sz w:val="24"/>
          <w:szCs w:val="24"/>
          <w:shd w:val="clear" w:color="auto" w:fill="FAFAFA"/>
        </w:rPr>
        <w:t xml:space="preserve"> por funcionarios incapaces de pensar en las consecuencias éticas y morales de sus</w:t>
      </w:r>
      <w:r>
        <w:rPr>
          <w:rFonts w:ascii="Times New Roman" w:hAnsi="Times New Roman" w:cs="Times New Roman"/>
          <w:sz w:val="24"/>
          <w:szCs w:val="24"/>
          <w:shd w:val="clear" w:color="auto" w:fill="FAFAFA"/>
        </w:rPr>
        <w:t xml:space="preserve"> actos</w:t>
      </w:r>
      <w:r w:rsidRPr="00A31FAD">
        <w:rPr>
          <w:rFonts w:ascii="Times New Roman" w:hAnsi="Times New Roman" w:cs="Times New Roman"/>
          <w:sz w:val="24"/>
          <w:szCs w:val="24"/>
          <w:shd w:val="clear" w:color="auto" w:fill="FAFAFA"/>
        </w:rPr>
        <w:t>.</w:t>
      </w:r>
    </w:p>
    <w:p w:rsidR="008E61EB" w:rsidRDefault="008E61EB" w:rsidP="008E61E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Paradigmas, mantras, mitos, sectarismos, fanatismos, ignorancia, adicciones, superioridad moral, amnesias inducidas, entretenimientos pueriles, redes sociales opioides, estupideces digitales, y otras inmundicias intelectuales, forman parte de la caja de herramientas de los “borradores de cabeza”; unos individuos avaros, codiciosos, arrogantes, soberbios, fatuos, y faltos de ética, que desde sus púlpitos en Wall Street, Silicon Valley o Davos, no dudan en entregar el poder mundial al Partido Comunista de China, a cambio de asegurar sus negocios, y que se valen de unos zombis radicalizados, dogmáticos, racistas, irresponsables, y sobrados de ignorancia (iletrados o analfabetos funcionales), para suministrar el placebo del capitalismo “woke” que distraiga, entretenga, controle, y arre a la manada. Un “soma” (droga feliz) para lograr que los avestruces (sopistas), sigan sin sacar la cabeza del agujero. </w:t>
      </w:r>
    </w:p>
    <w:p w:rsidR="00667ADF" w:rsidRDefault="00EB2371" w:rsidP="00667ADF">
      <w:pPr>
        <w:pStyle w:val="NormalWeb"/>
        <w:shd w:val="clear" w:color="auto" w:fill="FFFFFF"/>
        <w:spacing w:after="360"/>
        <w:jc w:val="both"/>
      </w:pPr>
      <w:r w:rsidRPr="00667ADF">
        <w:rPr>
          <w:b/>
        </w:rPr>
        <w:t>¿Cuáles son los preceptos del pensamiento woke?</w:t>
      </w:r>
      <w:r w:rsidR="00667ADF">
        <w:t xml:space="preserve"> (Fuente: Artículo </w:t>
      </w:r>
      <w:r w:rsidR="00667ADF" w:rsidRPr="00667ADF">
        <w:t>“Elogio y refutación del pensamiento Woke”, de José Antonio Marina, publicado en la</w:t>
      </w:r>
      <w:r w:rsidR="00667ADF">
        <w:t xml:space="preserve"> Revista El Panóptico, Número 35 - </w:t>
      </w:r>
      <w:r w:rsidR="00667ADF" w:rsidRPr="004A6AC0">
        <w:rPr>
          <w:b/>
        </w:rPr>
        <w:t>1/9/21</w:t>
      </w:r>
      <w:r w:rsidR="00667ADF">
        <w:t>)</w:t>
      </w:r>
    </w:p>
    <w:p w:rsidR="00EB2371" w:rsidRDefault="00EB2371" w:rsidP="00EB2371">
      <w:pPr>
        <w:pStyle w:val="NormalWeb"/>
        <w:shd w:val="clear" w:color="auto" w:fill="FFFFFF"/>
        <w:spacing w:after="360"/>
        <w:jc w:val="both"/>
      </w:pPr>
      <w:r>
        <w:t xml:space="preserve">El dogma central es que vivimos en una sociedad binaria compuesta de oprimidos y opresores. Esa es su estructura básica. No puede haber neutralidad ni comunicación entre ambos bandos. Lo demás no tiene relevancia. El movimiento tiene razón en sus reivindicaciones, pero aceptó para justificarlas una mala filosofía, que   lo ha llevado más allá de lo racionalmente aceptable. Se trata de la “filosofía postmoderna”, en especial la de Michel Foucault y Jacques Derrida, que ha tenido gran resonancia en las facultades de humanidades americanas. Adelantaré que gran parte de los excesos del wokismo se deben a un fracaso de las Humanidades (incluida la filosofía) como especialidad universitaria, que debe hacernos reflexionar, y que ha sido denunciada, entre otros, por Greg Lukianoff et Jonathan Haidt en La transformación de la mente moderna (traducción extraña del título </w:t>
      </w:r>
      <w:r>
        <w:lastRenderedPageBreak/>
        <w:t>original “The Coddling of the American Mind”). El pensamiento postmoderno consideró que el motor de la historia era el poder, que no había posibilidad de un conocimiento universal, porque el conocimiento era una imposición de la clase dominante, que todo era creación social, que no teníamos forma de alcanzar la objetividad, y que necesitábamos “deconstruir” las gigantescas y peligrosas construcciones de nuestras certezas si queríamos ser libres. No bastaba con pequeños retoques: el cambio tenía que ser radical.</w:t>
      </w:r>
    </w:p>
    <w:p w:rsidR="00EB2371" w:rsidRDefault="00EB2371" w:rsidP="00EB2371">
      <w:pPr>
        <w:pStyle w:val="NormalWeb"/>
        <w:shd w:val="clear" w:color="auto" w:fill="FFFFFF"/>
        <w:spacing w:after="360"/>
        <w:jc w:val="both"/>
      </w:pPr>
      <w:r>
        <w:t>El modelo atrajo a otros colectivos oprimidos, en especial a los que eran discriminados por razones de género, orientación sexual, o por disfunciones físicas o mentales. Se multiplicaron las cátedras de estudios descoloniales, de género, de teoría critica de la raza, interseccionalidad, teoría queer, discapacidades y obesidad (disability and fat studies).  Los opresores eran los blancos, los hombres, la cultura patriarcal dominante. En virtud de la nueva doctrina del pecado original, no podía haber excepciones, todos eran pecadores. Si una persona decía “Yo no soy racista”, estaba en realidad aceptando que pertenecía a un sistema racista. Y lo mismo si decía que no era machista, o que quería la igualdad. La categoría de víctima se amplió al admitir las “microagresiones”, que podían ser realizadas sin que el agresor fuera consciente de ellas, y que no dependían de una acción objetiva, sino del sentimiento de hostilidad sentido por la víctima.</w:t>
      </w:r>
    </w:p>
    <w:p w:rsidR="00EB2371" w:rsidRDefault="00EB2371" w:rsidP="00EB2371">
      <w:pPr>
        <w:pStyle w:val="NormalWeb"/>
        <w:shd w:val="clear" w:color="auto" w:fill="FFFFFF"/>
        <w:spacing w:after="360"/>
        <w:jc w:val="both"/>
      </w:pPr>
      <w:r>
        <w:t>El problema de la descalificación en bloque de la cultura occidental -por ser blanca, patriarcal, machista, opresora, colonialista- es que al cancelarla se cancelan también sus grandes creaciones: la universalidad de los derechos, la razón como modo de verificar los conocimientos, la objetividad como esencia de la justicia, el pensamiento crítico. Hay que deconstruir la cultura actual y construir un mundo nuevo. Pero ¿con qué mimbres, con qué ideas, con qué certezas, con qué criterios?</w:t>
      </w:r>
    </w:p>
    <w:p w:rsidR="00EB2371" w:rsidRDefault="00EB2371" w:rsidP="00EB2371">
      <w:pPr>
        <w:pStyle w:val="NormalWeb"/>
        <w:shd w:val="clear" w:color="auto" w:fill="FFFFFF"/>
        <w:spacing w:after="360"/>
        <w:jc w:val="both"/>
      </w:pPr>
      <w:r>
        <w:t xml:space="preserve">El feminismo clásico reivindicaba la igualdad de derechos, mientras </w:t>
      </w:r>
      <w:r w:rsidR="00DD6529">
        <w:t>que los movimientos woke (LGTBIQ+</w:t>
      </w:r>
      <w:r>
        <w:t>) lo que desean es abolir cualquier distinción establecida por la cultura cis, incluida la de “mujer”. Un movimiento que pretendía ser crítico ha abolido toda posibilidad de crítica, porque ha negado la posibilidad de objetividad. Solo el poder da conocimientos. Esa es la tesis de Foucault que triunfa en el mundo woke. Lo importante es, pues, conquistar el poder. Pero, como he explicado en otros Panópticos, no hay en ello nada nuevo. Esa es la vieja política, la política ancestral. La que han sufrido las víctimas y que ahora, metidas en un círculo diabólico, acaban defendiendo. De nuevo desde el Panóptico reconozco otro módulo muy viejo. Los cristianos perseguidos por la intolerancia romana, reclamaban libertad de religión. Una vez convertido el cristianismo en religión oficial acabó creando la inquisición. La novedad de wokismo se anula a sí misma. En una carta publicada por estudiantes negros de las universidades de Pomona y Claremont, exponían con claridad estas ideas: “Históricamente, la supremacía blanca ha venerado el concepto de objetividad y ha proclamado la dicotomía entre lo “subjetivo” y lo “objetivo” con el fin de silenciar a los pueblos oprimidos, La idea de que existe una única verdad -“la Verdad”- es un constructo eurooccidental profundamente arraigado en la Ilustración, un movimiento que calificó a las personas Negras y Oscuras de subhumanas e inmunes al dolor,(…) En aquellos aspectos que ponen en peligro  nuestra existencia en el espacio público, la idea de que la verdad es una entidad que debe buscarse equivale a querer silenciar a los pueblos oprimidos” (Citado en D.Murray, La masa enfurecida, Peninsula,p.186).</w:t>
      </w:r>
    </w:p>
    <w:p w:rsidR="00EB2371" w:rsidRDefault="00EB2371" w:rsidP="00EB2371">
      <w:pPr>
        <w:pStyle w:val="NormalWeb"/>
        <w:shd w:val="clear" w:color="auto" w:fill="FFFFFF"/>
        <w:spacing w:after="360"/>
        <w:jc w:val="both"/>
      </w:pPr>
      <w:r>
        <w:t xml:space="preserve">Como han sido aceptadas por la izquierda -más preocupada por temas de identidad que de igualdad-, como ha expuesto Fukuyama en Identidades, (Deusto), se ha podido extender la idea de que la izquierda actual es anticientífica y anti ilustrada. Eso es lo que animó a Steven </w:t>
      </w:r>
      <w:r>
        <w:lastRenderedPageBreak/>
        <w:t xml:space="preserve">Pinker a escribir un tomo de setecientas páginas en defensa de la Ilustración. Lo cierto es que las exageraciones woke han dado origen a críticas irónicas y a sucesos cómicos. Un ejemplo es el paródico libro Woke de Titania McGrath, seudónimo de Andrew Doyle, aparentemente escrito por una activista woke, que dice cosas como “La única manera de que respete a un hombre es cuando esté embarazado de un feto no binario” o “Como icono millennial a la vanguardia del activismo en redes, estoy excepcionalmente capacitada para guiarte a través de la apabullante multitud de conceptos que contiene la doctrina woke actual. En pocas palabras, soy mucho mejor persona que tú”. Otro ejemplo es el protagonizado por Peter Boghossian, James Lindsay y Helen Puckrose, que escribieron veinte artículos disparatados, los enviaron a revistas de humanidades, y consiguieron que varios de ellos fueran publicados, para posterior vergüenza de los editores cuando descubrieron el fraude. Alguno con títulos tan hilarantes como los siguientes.  “Entrando por la puerta de atrás; retando la homofobia, la homohisteria, la transhisteria y la transfobia del hombre hetero mediante el uso receptivo de juguetes sexuales penetrantes” (M. Smith (pseudonym) 2018). </w:t>
      </w:r>
      <w:r w:rsidRPr="00D833F7">
        <w:t xml:space="preserve">“Going in Through the Back Door: Challenging Straight Male Homohysteria and Transphobia through Receptive Penetrative Sex Toy Use” </w:t>
      </w:r>
      <w:r>
        <w:t xml:space="preserve">(Sexuality &amp; Culture), o “Reacciones humanas a la cultura de la violación y la performatividad queer en los parques urbanos de perros en Portland, Oregon, </w:t>
      </w:r>
      <w:r w:rsidRPr="00D833F7">
        <w:t>(Helen Wilson (pseudony</w:t>
      </w:r>
      <w:r>
        <w:t xml:space="preserve">m) </w:t>
      </w:r>
      <w:r w:rsidRPr="00D833F7">
        <w:t xml:space="preserve">2018). </w:t>
      </w:r>
      <w:r w:rsidRPr="004A6AC0">
        <w:rPr>
          <w:lang w:val="en-US"/>
        </w:rPr>
        <w:t>“Human Reactions to Rape Culture and Queer Performativity at Urban</w:t>
      </w:r>
      <w:r>
        <w:rPr>
          <w:lang w:val="en-US"/>
        </w:rPr>
        <w:t xml:space="preserve"> Dog Parks in Portland, Oregon”,(Gender, Place &amp; Culture</w:t>
      </w:r>
      <w:r w:rsidRPr="00D833F7">
        <w:rPr>
          <w:lang w:val="en-US"/>
        </w:rPr>
        <w:t xml:space="preserve">). </w:t>
      </w:r>
      <w:r>
        <w:t>Una vez descubierto el engaño, las revistas retiraron los artículos.</w:t>
      </w:r>
    </w:p>
    <w:p w:rsidR="00EB2371" w:rsidRPr="00B24990" w:rsidRDefault="00EB2371" w:rsidP="00EB2371">
      <w:pPr>
        <w:pStyle w:val="NormalWeb"/>
        <w:shd w:val="clear" w:color="auto" w:fill="FFFFFF"/>
        <w:spacing w:after="360"/>
        <w:jc w:val="both"/>
      </w:pPr>
      <w:r>
        <w:t xml:space="preserve">Una ocurrencia verdaderamente ingeniosa es el Postmodernism Generator (“generador de posmodernismo”) un programa informático que produce automáticamente “imitaciones cercanas” de la escritura posmodernista. Fue escrito en 1996 por Andrew C. Bulhak de la Universidad de Monash utilizando Dada Engine, un sistema para generar texto aleatorio a partir de gramáticas recursivas, </w:t>
      </w:r>
      <w:r w:rsidRPr="001449BE">
        <w:t xml:space="preserve">(Bulhak, Andrew C. 1996). </w:t>
      </w:r>
      <w:r>
        <w:rPr>
          <w:lang w:val="en-US"/>
        </w:rPr>
        <w:t>“</w:t>
      </w:r>
      <w:r w:rsidRPr="004A6AC0">
        <w:rPr>
          <w:lang w:val="en-US"/>
        </w:rPr>
        <w:t>On the Simulation of Postmodernism and Mental Debility usin</w:t>
      </w:r>
      <w:r>
        <w:rPr>
          <w:lang w:val="en-US"/>
        </w:rPr>
        <w:t>g Recursive Transition Networks”, (</w:t>
      </w:r>
      <w:r w:rsidRPr="001449BE">
        <w:rPr>
          <w:lang w:val="en-US"/>
        </w:rPr>
        <w:t xml:space="preserve">Monash University. </w:t>
      </w:r>
      <w:r w:rsidRPr="00B24990">
        <w:t xml:space="preserve">Department of Computer Science Technical Report). </w:t>
      </w:r>
    </w:p>
    <w:p w:rsidR="00EB2371" w:rsidRDefault="00EB2371" w:rsidP="00EB2371">
      <w:pPr>
        <w:pStyle w:val="NormalWeb"/>
        <w:shd w:val="clear" w:color="auto" w:fill="FFFFFF"/>
        <w:spacing w:after="360"/>
        <w:jc w:val="both"/>
      </w:pPr>
      <w:r>
        <w:t>La conclusión de este Panóptico es que las buenas causas (y en su origen el wokismo lo era) no pueden defenderse con malas filosofías, que necesitamos rehabilitar la verdad y defender las Humanidades con más rigor, y que el universalismo de los derechos es la única defensa eficaz de las diferencias.</w:t>
      </w:r>
    </w:p>
    <w:p w:rsidR="00667ADF" w:rsidRPr="001449BE" w:rsidRDefault="00667ADF" w:rsidP="00667ADF">
      <w:pPr>
        <w:spacing w:line="240" w:lineRule="auto"/>
        <w:jc w:val="both"/>
        <w:rPr>
          <w:rFonts w:ascii="Times New Roman" w:hAnsi="Times New Roman" w:cs="Times New Roman"/>
          <w:b/>
          <w:sz w:val="24"/>
          <w:szCs w:val="24"/>
        </w:rPr>
      </w:pPr>
      <w:r w:rsidRPr="001449BE">
        <w:rPr>
          <w:rFonts w:ascii="Times New Roman" w:hAnsi="Times New Roman" w:cs="Times New Roman"/>
          <w:b/>
          <w:sz w:val="24"/>
          <w:szCs w:val="24"/>
        </w:rPr>
        <w:t>Cuesta admitir que, por mucho que uno busque, no se encuentra (casi) nada bueno</w:t>
      </w:r>
    </w:p>
    <w:p w:rsidR="00667ADF" w:rsidRPr="001449BE" w:rsidRDefault="00667ADF" w:rsidP="00667ADF">
      <w:pPr>
        <w:spacing w:line="240" w:lineRule="auto"/>
        <w:jc w:val="both"/>
        <w:rPr>
          <w:rFonts w:ascii="Times New Roman" w:hAnsi="Times New Roman" w:cs="Times New Roman"/>
          <w:sz w:val="24"/>
          <w:szCs w:val="24"/>
          <w:shd w:val="clear" w:color="auto" w:fill="FFFFFF"/>
        </w:rPr>
      </w:pPr>
      <w:r w:rsidRPr="001449BE">
        <w:rPr>
          <w:rStyle w:val="Textoennegrita"/>
          <w:rFonts w:ascii="Times New Roman" w:hAnsi="Times New Roman" w:cs="Times New Roman"/>
          <w:b w:val="0"/>
          <w:sz w:val="24"/>
          <w:szCs w:val="24"/>
          <w:shd w:val="clear" w:color="auto" w:fill="FFFFFF"/>
        </w:rPr>
        <w:t>Difícil encontrar algo bueno en las propuestas de ciertos individuos (por ser generoso en la calificación) dispuestos a cortar cabezas a diestra y siniestra, convencidos de su superioridad moral, aunque no respaldados por un brillante currículum, pero convencidos de su inexpugnable condición de hombres de último recurso, a quienes todo les está permitido</w:t>
      </w:r>
      <w:r w:rsidRPr="001449BE">
        <w:rPr>
          <w:rFonts w:ascii="Times New Roman" w:hAnsi="Times New Roman" w:cs="Times New Roman"/>
          <w:sz w:val="24"/>
          <w:szCs w:val="24"/>
          <w:shd w:val="clear" w:color="auto" w:fill="FFFFFF"/>
        </w:rPr>
        <w:t xml:space="preserve">. </w:t>
      </w:r>
    </w:p>
    <w:p w:rsidR="00667ADF" w:rsidRPr="001449BE" w:rsidRDefault="00667ADF" w:rsidP="00667ADF">
      <w:pPr>
        <w:spacing w:line="240" w:lineRule="auto"/>
        <w:jc w:val="both"/>
        <w:rPr>
          <w:rFonts w:ascii="Times New Roman" w:hAnsi="Times New Roman" w:cs="Times New Roman"/>
          <w:sz w:val="24"/>
          <w:szCs w:val="24"/>
          <w:shd w:val="clear" w:color="auto" w:fill="FFFFFF"/>
        </w:rPr>
      </w:pPr>
      <w:r w:rsidRPr="001449BE">
        <w:rPr>
          <w:rFonts w:ascii="Times New Roman" w:hAnsi="Times New Roman" w:cs="Times New Roman"/>
          <w:sz w:val="24"/>
          <w:szCs w:val="24"/>
          <w:shd w:val="clear" w:color="auto" w:fill="FFFFFF"/>
        </w:rPr>
        <w:t xml:space="preserve">Una especie de “Torquemadas” posmodernos, en permanente estado de exigir cuentas a su alrededor. Un cierto tipo de personajes que, sintiéndose invulnerables, terminan haciendo de la prepotencia su norma de conducta. Aunque a la hora de la verdad (solos, abandonados, y sin el menor apoyo) queden expuestos a arder en la hoguera que ellos mismos han alimentado, como la mayoría de los </w:t>
      </w:r>
      <w:r w:rsidR="00A539BA">
        <w:rPr>
          <w:rFonts w:ascii="Times New Roman" w:hAnsi="Times New Roman" w:cs="Times New Roman"/>
          <w:sz w:val="24"/>
          <w:szCs w:val="24"/>
          <w:shd w:val="clear" w:color="auto" w:fill="FFFFFF"/>
        </w:rPr>
        <w:t>“</w:t>
      </w:r>
      <w:r w:rsidRPr="001449BE">
        <w:rPr>
          <w:rFonts w:ascii="Times New Roman" w:hAnsi="Times New Roman" w:cs="Times New Roman"/>
          <w:sz w:val="24"/>
          <w:szCs w:val="24"/>
          <w:shd w:val="clear" w:color="auto" w:fill="FFFFFF"/>
        </w:rPr>
        <w:t>Torquemadas</w:t>
      </w:r>
      <w:r w:rsidR="00A539BA">
        <w:rPr>
          <w:rFonts w:ascii="Times New Roman" w:hAnsi="Times New Roman" w:cs="Times New Roman"/>
          <w:sz w:val="24"/>
          <w:szCs w:val="24"/>
          <w:shd w:val="clear" w:color="auto" w:fill="FFFFFF"/>
        </w:rPr>
        <w:t>”</w:t>
      </w:r>
      <w:r w:rsidRPr="001449BE">
        <w:rPr>
          <w:rFonts w:ascii="Times New Roman" w:hAnsi="Times New Roman" w:cs="Times New Roman"/>
          <w:sz w:val="24"/>
          <w:szCs w:val="24"/>
          <w:shd w:val="clear" w:color="auto" w:fill="FFFFFF"/>
        </w:rPr>
        <w:t xml:space="preserve"> que en el mundo han sido.</w:t>
      </w:r>
    </w:p>
    <w:p w:rsidR="00667ADF" w:rsidRPr="00667ADF" w:rsidRDefault="00667ADF" w:rsidP="00667ADF">
      <w:pPr>
        <w:spacing w:line="240" w:lineRule="auto"/>
        <w:jc w:val="both"/>
        <w:rPr>
          <w:rStyle w:val="nfasis"/>
          <w:rFonts w:ascii="Times New Roman" w:hAnsi="Times New Roman" w:cs="Times New Roman"/>
          <w:bCs/>
          <w:i w:val="0"/>
          <w:iCs w:val="0"/>
          <w:sz w:val="24"/>
          <w:szCs w:val="24"/>
          <w:shd w:val="clear" w:color="auto" w:fill="FFFFFF"/>
        </w:rPr>
      </w:pPr>
      <w:r w:rsidRPr="001449BE">
        <w:rPr>
          <w:rFonts w:ascii="Times New Roman" w:hAnsi="Times New Roman" w:cs="Times New Roman"/>
          <w:sz w:val="24"/>
          <w:szCs w:val="24"/>
          <w:shd w:val="clear" w:color="auto" w:fill="FFFFFF"/>
        </w:rPr>
        <w:t xml:space="preserve">Y mientras estos delirantes (disparatados, fanáticos. alucinados, enajenados), imponen su pensamiento “único” a una sociedad civil anestesiada, abducida, atemorizada, idiotizada, adocenada, estabulada, pastueña, silente, pasiva, inane, débil, superficial, frívola, entretenida, los grandes banqueros y empresarios, acostumbrados a utilizar los medios públicos y </w:t>
      </w:r>
      <w:r w:rsidRPr="001449BE">
        <w:rPr>
          <w:rFonts w:ascii="Times New Roman" w:hAnsi="Times New Roman" w:cs="Times New Roman"/>
          <w:sz w:val="24"/>
          <w:szCs w:val="24"/>
          <w:shd w:val="clear" w:color="auto" w:fill="FFFFFF"/>
        </w:rPr>
        <w:lastRenderedPageBreak/>
        <w:t xml:space="preserve">empresariales, con fines privados, en medio del silencio de unos consejos de administración dispuestos a hacer la vista gorda con cualquier tropelía del jefe, y contando con la connivencia (o corrupción) de los líderes políticos, se quitan la corbata, se disfrazan de jóvenes rebeldes, usan jean y sudaderas, se montan en bicicleta, fingen ser “ecologistas”, </w:t>
      </w:r>
      <w:r w:rsidRPr="00667ADF">
        <w:rPr>
          <w:rFonts w:ascii="Times New Roman" w:hAnsi="Times New Roman" w:cs="Times New Roman"/>
          <w:sz w:val="24"/>
          <w:szCs w:val="24"/>
          <w:shd w:val="clear" w:color="auto" w:fill="FFFFFF"/>
        </w:rPr>
        <w:t>simulan ser “veganos”, aparentan compartir los postulados de los movimientos #</w:t>
      </w:r>
      <w:r w:rsidRPr="00667ADF">
        <w:rPr>
          <w:rStyle w:val="nfasis"/>
          <w:rFonts w:ascii="Times New Roman" w:hAnsi="Times New Roman" w:cs="Times New Roman"/>
          <w:bCs/>
          <w:i w:val="0"/>
          <w:sz w:val="24"/>
          <w:szCs w:val="24"/>
          <w:shd w:val="clear" w:color="auto" w:fill="FFFFFF"/>
        </w:rPr>
        <w:t xml:space="preserve">MeToo, Black Lives Matter, </w:t>
      </w:r>
      <w:r w:rsidR="00DD6529">
        <w:rPr>
          <w:rFonts w:ascii="Times New Roman" w:hAnsi="Times New Roman" w:cs="Times New Roman"/>
          <w:sz w:val="24"/>
          <w:szCs w:val="24"/>
        </w:rPr>
        <w:t>LGTBIQ+</w:t>
      </w:r>
      <w:r w:rsidRPr="00667ADF">
        <w:rPr>
          <w:rStyle w:val="nfasis"/>
          <w:rFonts w:ascii="Times New Roman" w:hAnsi="Times New Roman" w:cs="Times New Roman"/>
          <w:bCs/>
          <w:i w:val="0"/>
          <w:sz w:val="24"/>
          <w:szCs w:val="24"/>
          <w:shd w:val="clear" w:color="auto" w:fill="FFFFFF"/>
        </w:rPr>
        <w:t>, y lo que haga falta, para poder seguir “empujando la soga”.</w:t>
      </w:r>
    </w:p>
    <w:p w:rsidR="00667ADF" w:rsidRPr="00667ADF" w:rsidRDefault="00667ADF" w:rsidP="00667ADF">
      <w:pPr>
        <w:spacing w:line="240" w:lineRule="auto"/>
        <w:jc w:val="both"/>
        <w:rPr>
          <w:rStyle w:val="nfasis"/>
          <w:rFonts w:ascii="Times New Roman" w:hAnsi="Times New Roman" w:cs="Times New Roman"/>
          <w:bCs/>
          <w:i w:val="0"/>
          <w:iCs w:val="0"/>
          <w:sz w:val="24"/>
          <w:szCs w:val="24"/>
          <w:shd w:val="clear" w:color="auto" w:fill="FFFFFF"/>
        </w:rPr>
      </w:pPr>
      <w:r w:rsidRPr="00667ADF">
        <w:rPr>
          <w:rStyle w:val="nfasis"/>
          <w:rFonts w:ascii="Times New Roman" w:hAnsi="Times New Roman" w:cs="Times New Roman"/>
          <w:bCs/>
          <w:i w:val="0"/>
          <w:sz w:val="24"/>
          <w:szCs w:val="24"/>
          <w:shd w:val="clear" w:color="auto" w:fill="FFFFFF"/>
        </w:rPr>
        <w:t>Dentro del esperpéntico “capitalismo woke”, se ha llegado al surrealista planteo del Foro Económico Mundial (Davos 2021 y Davos 2022), en el que se acepta, bendice, y promueve el pensamiento (¿único?) de Xi Jinping (secretario general del Comité Central del Partido Comunista de China, presidente de la Comisión Militar Central​ y, presidente de la República Popular China): “en el año 2030, no tendrás nada y serás feliz”.</w:t>
      </w:r>
    </w:p>
    <w:p w:rsidR="00667ADF" w:rsidRPr="00667ADF" w:rsidRDefault="00667ADF" w:rsidP="00667ADF">
      <w:pPr>
        <w:spacing w:line="240" w:lineRule="auto"/>
        <w:jc w:val="both"/>
        <w:rPr>
          <w:rStyle w:val="nfasis"/>
          <w:rFonts w:ascii="Times New Roman" w:hAnsi="Times New Roman" w:cs="Times New Roman"/>
          <w:bCs/>
          <w:i w:val="0"/>
          <w:iCs w:val="0"/>
          <w:sz w:val="24"/>
          <w:szCs w:val="24"/>
          <w:shd w:val="clear" w:color="auto" w:fill="FFFFFF"/>
        </w:rPr>
      </w:pPr>
      <w:r w:rsidRPr="00667ADF">
        <w:rPr>
          <w:rStyle w:val="nfasis"/>
          <w:rFonts w:ascii="Times New Roman" w:hAnsi="Times New Roman" w:cs="Times New Roman"/>
          <w:bCs/>
          <w:i w:val="0"/>
          <w:sz w:val="24"/>
          <w:szCs w:val="24"/>
          <w:shd w:val="clear" w:color="auto" w:fill="FFFFFF"/>
        </w:rPr>
        <w:t>Solo faltó agregar: “y de no ser así, que el ejército chino te lo demande” (¿Davos 2023?)</w:t>
      </w:r>
    </w:p>
    <w:p w:rsidR="00667ADF" w:rsidRPr="00667ADF" w:rsidRDefault="00667ADF" w:rsidP="00667ADF">
      <w:pPr>
        <w:spacing w:line="240" w:lineRule="auto"/>
        <w:jc w:val="both"/>
        <w:rPr>
          <w:rStyle w:val="nfasis"/>
          <w:rFonts w:ascii="Times New Roman" w:hAnsi="Times New Roman" w:cs="Times New Roman"/>
          <w:bCs/>
          <w:i w:val="0"/>
          <w:iCs w:val="0"/>
          <w:sz w:val="24"/>
          <w:szCs w:val="24"/>
          <w:shd w:val="clear" w:color="auto" w:fill="FFFFFF"/>
        </w:rPr>
      </w:pPr>
      <w:r w:rsidRPr="00667ADF">
        <w:rPr>
          <w:rStyle w:val="nfasis"/>
          <w:rFonts w:ascii="Times New Roman" w:hAnsi="Times New Roman" w:cs="Times New Roman"/>
          <w:bCs/>
          <w:i w:val="0"/>
          <w:sz w:val="24"/>
          <w:szCs w:val="24"/>
          <w:shd w:val="clear" w:color="auto" w:fill="FFFFFF"/>
        </w:rPr>
        <w:t>A fuerza de soportar tanta ignominia, y si nadie lo remedia (que parece lo más probable, hasta donde la vista alcanza) me animo a dejar planteada la ecuación de futuro de los negocios internacionales en la era del “capitalismo woke”:</w:t>
      </w:r>
    </w:p>
    <w:p w:rsidR="00667ADF" w:rsidRPr="00667ADF" w:rsidRDefault="00667ADF" w:rsidP="00667ADF">
      <w:pPr>
        <w:spacing w:line="240" w:lineRule="auto"/>
        <w:jc w:val="both"/>
        <w:rPr>
          <w:rStyle w:val="nfasis"/>
          <w:rFonts w:ascii="Times New Roman" w:hAnsi="Times New Roman" w:cs="Times New Roman"/>
          <w:bCs/>
          <w:i w:val="0"/>
          <w:iCs w:val="0"/>
          <w:sz w:val="24"/>
          <w:szCs w:val="24"/>
          <w:shd w:val="clear" w:color="auto" w:fill="FFFFFF"/>
        </w:rPr>
      </w:pPr>
      <w:r w:rsidRPr="00667ADF">
        <w:rPr>
          <w:rStyle w:val="nfasis"/>
          <w:rFonts w:ascii="Times New Roman" w:hAnsi="Times New Roman" w:cs="Times New Roman"/>
          <w:bCs/>
          <w:i w:val="0"/>
          <w:sz w:val="24"/>
          <w:szCs w:val="24"/>
          <w:shd w:val="clear" w:color="auto" w:fill="FFFFFF"/>
        </w:rPr>
        <w:t>Partido Comunista de China + Silicon Valley = dictadura de mercado + sociedad vigilada</w:t>
      </w:r>
    </w:p>
    <w:p w:rsidR="00667ADF" w:rsidRPr="00667ADF" w:rsidRDefault="00667ADF" w:rsidP="00667ADF">
      <w:pPr>
        <w:spacing w:line="240" w:lineRule="auto"/>
        <w:jc w:val="both"/>
        <w:rPr>
          <w:rStyle w:val="nfasis"/>
          <w:rFonts w:ascii="Times New Roman" w:hAnsi="Times New Roman" w:cs="Times New Roman"/>
          <w:bCs/>
          <w:i w:val="0"/>
          <w:iCs w:val="0"/>
          <w:sz w:val="24"/>
          <w:szCs w:val="24"/>
          <w:shd w:val="clear" w:color="auto" w:fill="FFFFFF"/>
        </w:rPr>
      </w:pPr>
      <w:r w:rsidRPr="00667ADF">
        <w:rPr>
          <w:rStyle w:val="nfasis"/>
          <w:rFonts w:ascii="Times New Roman" w:hAnsi="Times New Roman" w:cs="Times New Roman"/>
          <w:bCs/>
          <w:i w:val="0"/>
          <w:sz w:val="24"/>
          <w:szCs w:val="24"/>
          <w:shd w:val="clear" w:color="auto" w:fill="FFFFFF"/>
        </w:rPr>
        <w:t>Unos logreros, aprovechados y especuladores, que utilizan el capitalismo woke para destruir la democracia y la libertad. Silicon Valley (tecnología), Wall Street (especulación) y Davos (relato) al entregarse a la protección de China están lanzando al capitalismo a una carrera desenfrenada hacia el abismo. En el “juego del gallina” habrá que ver quien termina ganando.</w:t>
      </w:r>
    </w:p>
    <w:p w:rsidR="00667ADF" w:rsidRPr="00667ADF" w:rsidRDefault="00667ADF" w:rsidP="00667ADF">
      <w:pPr>
        <w:spacing w:line="240" w:lineRule="auto"/>
        <w:jc w:val="both"/>
        <w:rPr>
          <w:rStyle w:val="nfasis"/>
          <w:rFonts w:ascii="Times New Roman" w:hAnsi="Times New Roman" w:cs="Times New Roman"/>
          <w:bCs/>
          <w:i w:val="0"/>
          <w:iCs w:val="0"/>
          <w:sz w:val="24"/>
          <w:szCs w:val="24"/>
          <w:shd w:val="clear" w:color="auto" w:fill="FFFFFF"/>
        </w:rPr>
      </w:pPr>
      <w:r w:rsidRPr="00667ADF">
        <w:rPr>
          <w:rStyle w:val="nfasis"/>
          <w:rFonts w:ascii="Times New Roman" w:hAnsi="Times New Roman" w:cs="Times New Roman"/>
          <w:bCs/>
          <w:i w:val="0"/>
          <w:sz w:val="24"/>
          <w:szCs w:val="24"/>
          <w:shd w:val="clear" w:color="auto" w:fill="FFFFFF"/>
        </w:rPr>
        <w:t xml:space="preserve">En el proceso de canibalizar la inteligencia y evitar la crítica social, los perfectos impostores, a la vez que perfectos idiotas (que buscan el tiempo perdido), son los movimientos minoritarios, que ni siquiera representan a la minoría mayoritaria, donde se colocan (o pretenden colocarse) no por mérito, sino por sexo, color, tendencia sexual, imponiendo discriminaciones negativas irrisorias e irracionales. </w:t>
      </w:r>
    </w:p>
    <w:p w:rsidR="00667ADF" w:rsidRPr="00667ADF" w:rsidRDefault="00667ADF" w:rsidP="00667ADF">
      <w:pPr>
        <w:spacing w:line="240" w:lineRule="auto"/>
        <w:jc w:val="both"/>
        <w:rPr>
          <w:rStyle w:val="nfasis"/>
          <w:rFonts w:ascii="Times New Roman" w:hAnsi="Times New Roman" w:cs="Times New Roman"/>
          <w:bCs/>
          <w:i w:val="0"/>
          <w:iCs w:val="0"/>
          <w:sz w:val="24"/>
          <w:szCs w:val="24"/>
          <w:shd w:val="clear" w:color="auto" w:fill="FFFFFF"/>
        </w:rPr>
      </w:pPr>
      <w:r w:rsidRPr="00667ADF">
        <w:rPr>
          <w:rStyle w:val="nfasis"/>
          <w:rFonts w:ascii="Times New Roman" w:hAnsi="Times New Roman" w:cs="Times New Roman"/>
          <w:bCs/>
          <w:i w:val="0"/>
          <w:sz w:val="24"/>
          <w:szCs w:val="24"/>
          <w:shd w:val="clear" w:color="auto" w:fill="FFFFFF"/>
        </w:rPr>
        <w:t>Mientras los amos del universo “hacen saltar la banca” en una economía de casino (tal vez, Macao), los líderes del movimiento woke, se entretienen practicando formas de racismo vengativo, sectarismo político, fanatismo ideológico, dogmatismo alucinado, y el rebaño académico, político, literario y mediático, que se ha ido acostumbrando a estas formas de discriminación, se afana en actuaciones políticamente correctas, en un estado de inconciencia absoluta que provoca alarma, espanto, cuando no miedo.</w:t>
      </w:r>
    </w:p>
    <w:p w:rsidR="00667ADF" w:rsidRPr="00667ADF" w:rsidRDefault="00667ADF" w:rsidP="00667ADF">
      <w:pPr>
        <w:spacing w:line="240" w:lineRule="auto"/>
        <w:jc w:val="both"/>
        <w:rPr>
          <w:rStyle w:val="nfasis"/>
          <w:rFonts w:ascii="Times New Roman" w:hAnsi="Times New Roman" w:cs="Times New Roman"/>
          <w:bCs/>
          <w:i w:val="0"/>
          <w:iCs w:val="0"/>
          <w:sz w:val="24"/>
          <w:szCs w:val="24"/>
          <w:shd w:val="clear" w:color="auto" w:fill="FFFFFF"/>
        </w:rPr>
      </w:pPr>
      <w:r w:rsidRPr="00667ADF">
        <w:rPr>
          <w:rStyle w:val="nfasis"/>
          <w:rFonts w:ascii="Times New Roman" w:hAnsi="Times New Roman" w:cs="Times New Roman"/>
          <w:bCs/>
          <w:i w:val="0"/>
          <w:sz w:val="24"/>
          <w:szCs w:val="24"/>
          <w:shd w:val="clear" w:color="auto" w:fill="FFFFFF"/>
        </w:rPr>
        <w:t>Todo esto constituye la gran estafa del capitalismo woke y la posmodernidad.</w:t>
      </w:r>
    </w:p>
    <w:p w:rsidR="00667ADF" w:rsidRDefault="00667ADF" w:rsidP="00667ADF">
      <w:pPr>
        <w:spacing w:line="240" w:lineRule="auto"/>
        <w:jc w:val="both"/>
        <w:rPr>
          <w:rFonts w:ascii="Times New Roman" w:hAnsi="Times New Roman" w:cs="Times New Roman"/>
          <w:sz w:val="24"/>
          <w:szCs w:val="24"/>
        </w:rPr>
      </w:pPr>
      <w:r>
        <w:rPr>
          <w:rFonts w:ascii="Times New Roman" w:hAnsi="Times New Roman" w:cs="Times New Roman"/>
          <w:b/>
          <w:sz w:val="24"/>
          <w:szCs w:val="24"/>
        </w:rPr>
        <w:t>Los agradadores compulsivos del aluvión zoológico, y el final (trágico) de la ópera bufa</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Alexis de Toqueville dijo que “los franceses quieren la igualdad, y cuando no pueden obtenerla, la ansían en la esclavitud”. Pienso que a los “wokes” puede sucederle lo mismo, con algunas de sus reclamaciones y exigencias: ecologismo radical, animalismo extremo, ideología de género, movimientos sociales reivindicativos, imposición paritaria del idioma…</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 xml:space="preserve">Los cínicos que hoy le “bailan el agua” a los movimientos radicales: Silicon Valley y su factoría de ficciones, Wall Street y su economía de casino, el Foro Económico Mundial y su Gran Reseteo, y por fin, el Partido Comunista de China, y su fábrica del </w:t>
      </w:r>
      <w:r>
        <w:rPr>
          <w:rFonts w:ascii="Times New Roman" w:hAnsi="Times New Roman" w:cs="Times New Roman"/>
          <w:sz w:val="24"/>
          <w:szCs w:val="24"/>
        </w:rPr>
        <w:t>mundo, terminarán “distribuyendo</w:t>
      </w:r>
      <w:r w:rsidRPr="00052C7A">
        <w:rPr>
          <w:rFonts w:ascii="Times New Roman" w:hAnsi="Times New Roman" w:cs="Times New Roman"/>
          <w:sz w:val="24"/>
          <w:szCs w:val="24"/>
        </w:rPr>
        <w:t>” el “soma”, para que los “revolucionarios” woke, puedan: vivir sin pensar en nada, sin det</w:t>
      </w:r>
      <w:r>
        <w:rPr>
          <w:rFonts w:ascii="Times New Roman" w:hAnsi="Times New Roman" w:cs="Times New Roman"/>
          <w:sz w:val="24"/>
          <w:szCs w:val="24"/>
        </w:rPr>
        <w:t>enerse un momento a reflexionar;</w:t>
      </w:r>
      <w:r w:rsidRPr="00052C7A">
        <w:rPr>
          <w:rFonts w:ascii="Times New Roman" w:hAnsi="Times New Roman" w:cs="Times New Roman"/>
          <w:sz w:val="24"/>
          <w:szCs w:val="24"/>
        </w:rPr>
        <w:t xml:space="preserve"> vivir alegremente, sin preocupaciones.</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lastRenderedPageBreak/>
        <w:t>Entonces, tal vez, puedan comprobar si en la Plaza de Tiananmén, es posible manifestarse bajo la pancarta de #MeToo, de Black Live</w:t>
      </w:r>
      <w:r w:rsidR="00DD6529">
        <w:rPr>
          <w:rFonts w:ascii="Times New Roman" w:hAnsi="Times New Roman" w:cs="Times New Roman"/>
          <w:sz w:val="24"/>
          <w:szCs w:val="24"/>
        </w:rPr>
        <w:t>s Matter, del colectivo LGTBIQ+</w:t>
      </w:r>
      <w:r w:rsidRPr="00052C7A">
        <w:rPr>
          <w:rFonts w:ascii="Times New Roman" w:hAnsi="Times New Roman" w:cs="Times New Roman"/>
          <w:sz w:val="24"/>
          <w:szCs w:val="24"/>
        </w:rPr>
        <w:t>, hacer la Marcha del Orgullo Gay, peticionar por el derecho de los animales, exigir que se instalen baños unisex, reclamar por el uso paritario del idioma: matria, autoridadas, miembras, a woman, niños, niñas y niñes, todos, todas y todes…</w:t>
      </w:r>
    </w:p>
    <w:p w:rsidR="00667ADF" w:rsidRPr="00052C7A" w:rsidRDefault="00667ADF" w:rsidP="00667ADF">
      <w:pPr>
        <w:spacing w:line="240" w:lineRule="auto"/>
        <w:jc w:val="both"/>
        <w:rPr>
          <w:rFonts w:ascii="Times New Roman" w:hAnsi="Times New Roman" w:cs="Times New Roman"/>
          <w:sz w:val="24"/>
          <w:szCs w:val="24"/>
        </w:rPr>
      </w:pPr>
      <w:r>
        <w:rPr>
          <w:rFonts w:ascii="Times New Roman" w:hAnsi="Times New Roman" w:cs="Times New Roman"/>
          <w:sz w:val="24"/>
          <w:szCs w:val="24"/>
        </w:rPr>
        <w:t>Resultará apasionante</w:t>
      </w:r>
      <w:r w:rsidRPr="00052C7A">
        <w:rPr>
          <w:rFonts w:ascii="Times New Roman" w:hAnsi="Times New Roman" w:cs="Times New Roman"/>
          <w:sz w:val="24"/>
          <w:szCs w:val="24"/>
        </w:rPr>
        <w:t xml:space="preserve"> escuchar a los animalistas conven</w:t>
      </w:r>
      <w:r>
        <w:rPr>
          <w:rFonts w:ascii="Times New Roman" w:hAnsi="Times New Roman" w:cs="Times New Roman"/>
          <w:sz w:val="24"/>
          <w:szCs w:val="24"/>
        </w:rPr>
        <w:t>ciendo</w:t>
      </w:r>
      <w:r w:rsidRPr="00052C7A">
        <w:rPr>
          <w:rFonts w:ascii="Times New Roman" w:hAnsi="Times New Roman" w:cs="Times New Roman"/>
          <w:sz w:val="24"/>
          <w:szCs w:val="24"/>
        </w:rPr>
        <w:t xml:space="preserve"> a los chinos: que los gallos violan a las gallinas, que se deben devolver los huevos a las gallinas, porque son</w:t>
      </w:r>
      <w:r>
        <w:rPr>
          <w:rFonts w:ascii="Times New Roman" w:hAnsi="Times New Roman" w:cs="Times New Roman"/>
          <w:sz w:val="24"/>
          <w:szCs w:val="24"/>
        </w:rPr>
        <w:t xml:space="preserve"> suyos,… y, ya de paso, diciéndoles</w:t>
      </w:r>
      <w:r w:rsidRPr="00052C7A">
        <w:rPr>
          <w:rFonts w:ascii="Times New Roman" w:hAnsi="Times New Roman" w:cs="Times New Roman"/>
          <w:sz w:val="24"/>
          <w:szCs w:val="24"/>
        </w:rPr>
        <w:t xml:space="preserve"> que no se deben comer perros, ratones, pangolines o murciélagos, porque también son hijos de Dios… o de Mao (mejor).</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Los “titiriteros” del “Gran Reseteo” no cejan en el empeño para que los woke continúen abducidos por los iPhone, mirando todo el día la pantalla, metidos en el metaverso de Facebook, j</w:t>
      </w:r>
      <w:r>
        <w:rPr>
          <w:rFonts w:ascii="Times New Roman" w:hAnsi="Times New Roman" w:cs="Times New Roman"/>
          <w:sz w:val="24"/>
          <w:szCs w:val="24"/>
        </w:rPr>
        <w:t>ugando a la PlayStation, adocenados en e</w:t>
      </w:r>
      <w:r w:rsidRPr="00052C7A">
        <w:rPr>
          <w:rFonts w:ascii="Times New Roman" w:hAnsi="Times New Roman" w:cs="Times New Roman"/>
          <w:sz w:val="24"/>
          <w:szCs w:val="24"/>
        </w:rPr>
        <w:t>l Big Data, cautivos de los algoritmos, espiados, traficados, intoxicados, desinformados, entretenidos, anestesiados, atontados, para que cuando se caigan de la pancarta, sigan marchando como ovejas hacia el magnífico futuro que les espera: chofer de Uber, rider de Deliveroo, anfitrión de Airbnb, empaquetador de Amazon, o como falso autónomo al servicio de otros talentos disruptivos.</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¿Dónde quedará la “superioridad moral”, el “sectarismo”, la “ideología de género”? ¿Qué harán cuándo descubran que solo han servido de “batidores” en la partida de caza de las Big Tech? ¿Adoptarán por debilidad o por bajeza, la desairada posición del burlador burlado? ¿Dejarán todo en manos de los “tramoyistas” de Silicon Valley, y de los “libretistas” de Wall Street, aceptando el triste papel de “corifeos”, resignados a admitir un destin</w:t>
      </w:r>
      <w:r>
        <w:rPr>
          <w:rFonts w:ascii="Times New Roman" w:hAnsi="Times New Roman" w:cs="Times New Roman"/>
          <w:sz w:val="24"/>
          <w:szCs w:val="24"/>
        </w:rPr>
        <w:t>o  incomprensiblemente inferior? ¿Aceptarán lo ridículo de tantos “trending topic”, y de tantas “hogueras” en las redes sociales?</w:t>
      </w:r>
    </w:p>
    <w:p w:rsidR="00667ADF"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 xml:space="preserve">Han quedado prisioneros de una naturaleza hecha toda de mentiras, donde ya no saben si son artífices, cómplices o víctimas. Una penosa situación que se constata (confirma), con el pobre (deshonroso) papel que los “amos del universo”, les tiene asignado. </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 xml:space="preserve">Incapaces de arreglar lo estropeado, donde lo que imaginaban enorme se ha transformado en insignificantes granos de arena, al final estos radicalizados minoritarios terminaran sintiendo una suerte de “vértigo inverso”, provocado por tanto mirar hacia arriba. </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Famosos por un día en Instagra</w:t>
      </w:r>
      <w:r>
        <w:rPr>
          <w:rFonts w:ascii="Times New Roman" w:hAnsi="Times New Roman" w:cs="Times New Roman"/>
          <w:sz w:val="24"/>
          <w:szCs w:val="24"/>
        </w:rPr>
        <w:t>m, cineastas de bolsillo en Tik</w:t>
      </w:r>
      <w:r w:rsidRPr="00052C7A">
        <w:rPr>
          <w:rFonts w:ascii="Times New Roman" w:hAnsi="Times New Roman" w:cs="Times New Roman"/>
          <w:sz w:val="24"/>
          <w:szCs w:val="24"/>
        </w:rPr>
        <w:t>Tok, virales en Facebook, memos de memes por Internet, pirómanos de las redes, los  nuevos movimientos radicales, terminarán muriendo de sobredosis (o saturados de opioides), como ya ocurrió con sus hermanos mayores: #occupywallstreet, Movimiento 15-M (indignados), chalecos amarillos…, neutralizados por los “servicios de inteligencia”, abandonados por los “ingenieros sociales” que los crearon, alentaron, y toleraron, como “mal menor”, o como “anes</w:t>
      </w:r>
      <w:r>
        <w:rPr>
          <w:rFonts w:ascii="Times New Roman" w:hAnsi="Times New Roman" w:cs="Times New Roman"/>
          <w:sz w:val="24"/>
          <w:szCs w:val="24"/>
        </w:rPr>
        <w:t>tésico</w:t>
      </w:r>
      <w:r w:rsidRPr="00052C7A">
        <w:rPr>
          <w:rFonts w:ascii="Times New Roman" w:hAnsi="Times New Roman" w:cs="Times New Roman"/>
          <w:sz w:val="24"/>
          <w:szCs w:val="24"/>
        </w:rPr>
        <w:t xml:space="preserve"> de masas</w:t>
      </w:r>
      <w:r>
        <w:rPr>
          <w:rFonts w:ascii="Times New Roman" w:hAnsi="Times New Roman" w:cs="Times New Roman"/>
          <w:sz w:val="24"/>
          <w:szCs w:val="24"/>
        </w:rPr>
        <w:t>”</w:t>
      </w:r>
      <w:r w:rsidRPr="00052C7A">
        <w:rPr>
          <w:rFonts w:ascii="Times New Roman" w:hAnsi="Times New Roman" w:cs="Times New Roman"/>
          <w:sz w:val="24"/>
          <w:szCs w:val="24"/>
        </w:rPr>
        <w:t xml:space="preserve">; reemplazados por otras “Marmotas”, que sigan  ayudando a los “global players”, a mantener a la sociedad, “atrapada en el tiempo”. </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Por exceso (sobreactuación, abuso), o por defecto (falta de representatividad, hastío), van perdiendo su aspecto novedoso, contestatario, revolucionario, romántico, heroico, altruista, desinteresado, idealista, soñador… se tornan (o descubren) como burócratas, aprovechados, arribistas, oportunistas, ambiciosos, aburguesados, progres de salón, izquierda caviar… para terminar formando parte del “sistema”, aunque sea en su parte más imprevisible.</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lastRenderedPageBreak/>
        <w:t>Se les deja para que “animen” los telediarios, presenten algún “informe” para dar cierta pátina de modernidad a los foros empresariales, o “neutralicen” a otros movimientos sociales, que los servicios de inteligencia consideran más peligrosos, para el “establishment”.</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 xml:space="preserve">Así ha ocurrido con Greenpeace, WWF (Fondo Mundial para la Naturaleza), Amigos de la Tierra, Ecologistas en Acción, International Pollutants Elimination Network (IPEN), Environmental Defense Fund (EDF), Oxfam… que de vez en cuando dan una nota folclórica.  </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 xml:space="preserve">Al final, con el transcurso del tiempo, todo queda limitado a unos grupúsculos minoritarios integrados por personas insatisfechas, irreverentes, fastidiosas, vocingleras, escandalosas, desorbitadas, histéricas, alucinadas, delirantes, tóxicas, que aparentan (simulan, fingen, teatralizan) ir contra el sistema. A unos dirigentes que en un principio intentan “vivir del momio” (subvenciones, donaciones, cuotas sociales), para terminar pasándose a las filas del (supuesto) enemigo, en cuanto pillan unos fondos del estado, ocupan un cargo público (pastando del presupuesto), o se pueden compran una casa de alto standing (morar como ricos en el nombre de los pobres). De ese modo la mediocridad, irrelevancia, oportunismo, o hipocresía, de estos movimientos radicales, terminan por invalidar sus planteos. </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 xml:space="preserve">Pero antes de hundirse en el precipicio del olvido, estos “reclamadores” compulsivos, hacen (y pueden hacer) mucho daño. Mientras juegan a las “estudiantinas”, en una forma tan vulgar, tan ordinaria, tropezando con las palabras, que al parecer no entienden ni ellos mismos; levantando banderas exóticas, curiosas banderas que no flamean, por ejemplo, para pedir que se promueva una perspectiva de familia, en vez de una perspectiva de género, o que se investigue más la inteligencia natural, que la inteligencia artificial… y aunque resulte difícil no pensar que allí no hay nada, dónde no hay inteligencia, ni bondad, qué se puede esperar: </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Una inconsciencia absoluta que provoca miedo.</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Una incongruencia absoluta que provoca desasosiego.</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Una incompetencia absoluta que provoca náuseas.</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Muchas veces se discute únicamente porque no se comprende lo que quiere decir el antagonista de uno. Aun así, a riesgo de no convencer a los radicales extremos, o de ser vencido en el deba</w:t>
      </w:r>
      <w:r>
        <w:rPr>
          <w:rFonts w:ascii="Times New Roman" w:hAnsi="Times New Roman" w:cs="Times New Roman"/>
          <w:sz w:val="24"/>
          <w:szCs w:val="24"/>
        </w:rPr>
        <w:t>te, les dejo una reflexión personal</w:t>
      </w:r>
      <w:r w:rsidRPr="00052C7A">
        <w:rPr>
          <w:rFonts w:ascii="Times New Roman" w:hAnsi="Times New Roman" w:cs="Times New Roman"/>
          <w:sz w:val="24"/>
          <w:szCs w:val="24"/>
        </w:rPr>
        <w:t xml:space="preserve">: resulta inexplicable, por donde se lo mire, que el elocuente silencio de la mayoría social, no aturda a unas/os “plañideras/os” minoritarias/os. Ante tal pisoteo de la inteligencia, con más duda que esperanza, en lugar de merecida ira, solo puedo albergar compasión. </w:t>
      </w:r>
    </w:p>
    <w:p w:rsidR="00667ADF" w:rsidRPr="00052C7A" w:rsidRDefault="00667ADF" w:rsidP="00667ADF">
      <w:pPr>
        <w:spacing w:line="240" w:lineRule="auto"/>
        <w:jc w:val="both"/>
        <w:rPr>
          <w:rFonts w:ascii="Times New Roman" w:hAnsi="Times New Roman" w:cs="Times New Roman"/>
          <w:sz w:val="24"/>
          <w:szCs w:val="24"/>
          <w:shd w:val="clear" w:color="auto" w:fill="FFFFFF"/>
        </w:rPr>
      </w:pPr>
      <w:r w:rsidRPr="00052C7A">
        <w:rPr>
          <w:rFonts w:ascii="Times New Roman" w:hAnsi="Times New Roman" w:cs="Times New Roman"/>
          <w:sz w:val="24"/>
          <w:szCs w:val="24"/>
          <w:shd w:val="clear" w:color="auto" w:fill="FFFFFF"/>
        </w:rPr>
        <w:t>Entre tanto cuadrúpedo, pesebre y alfalfa, frente a las ideas posmodernas más inocuas de los últimos tiempos</w:t>
      </w:r>
      <w:r w:rsidRPr="00052C7A">
        <w:rPr>
          <w:rStyle w:val="Textoennegrita"/>
          <w:rFonts w:ascii="Times New Roman" w:hAnsi="Times New Roman" w:cs="Times New Roman"/>
          <w:b w:val="0"/>
          <w:sz w:val="24"/>
          <w:szCs w:val="24"/>
          <w:shd w:val="clear" w:color="auto" w:fill="FFFFFF"/>
        </w:rPr>
        <w:t xml:space="preserve">… aunque los ganapanes de la pluma se esfuercen por </w:t>
      </w:r>
      <w:r w:rsidRPr="00052C7A">
        <w:rPr>
          <w:rFonts w:ascii="Times New Roman" w:hAnsi="Times New Roman" w:cs="Times New Roman"/>
          <w:sz w:val="24"/>
          <w:szCs w:val="24"/>
          <w:shd w:val="clear" w:color="auto" w:fill="FFFFFF"/>
        </w:rPr>
        <w:t xml:space="preserve">sustentar el concepto (aspirando a sacar algo de ese vacío de pensamiento, tratando de blanquear un presente de naderías, y vacío intelectual), dejo planteadas algunas preguntas finales a los </w:t>
      </w:r>
      <w:r w:rsidRPr="00052C7A">
        <w:rPr>
          <w:rStyle w:val="Textoennegrita"/>
          <w:rFonts w:ascii="Times New Roman" w:hAnsi="Times New Roman" w:cs="Times New Roman"/>
          <w:b w:val="0"/>
          <w:sz w:val="24"/>
          <w:szCs w:val="24"/>
          <w:shd w:val="clear" w:color="auto" w:fill="FFFFFF"/>
        </w:rPr>
        <w:t>voluntariosos vendedores de crecepelo</w:t>
      </w:r>
      <w:r w:rsidRPr="00052C7A">
        <w:rPr>
          <w:rFonts w:ascii="Times New Roman" w:hAnsi="Times New Roman" w:cs="Times New Roman"/>
          <w:sz w:val="24"/>
          <w:szCs w:val="24"/>
          <w:shd w:val="clear" w:color="auto" w:fill="FFFFFF"/>
        </w:rPr>
        <w:t xml:space="preserve"> (indignados, progres, ecologistas, animalistas, falsificadores del idioma, paritarios, o reivindicadores de pancarta):</w:t>
      </w:r>
    </w:p>
    <w:p w:rsidR="00667ADF" w:rsidRPr="00052C7A" w:rsidRDefault="00667ADF" w:rsidP="00667ADF">
      <w:pPr>
        <w:spacing w:line="240" w:lineRule="auto"/>
        <w:jc w:val="both"/>
        <w:rPr>
          <w:rFonts w:ascii="Times New Roman" w:hAnsi="Times New Roman" w:cs="Times New Roman"/>
          <w:sz w:val="24"/>
          <w:szCs w:val="24"/>
          <w:shd w:val="clear" w:color="auto" w:fill="FFFFFF"/>
        </w:rPr>
      </w:pPr>
      <w:r w:rsidRPr="00052C7A">
        <w:rPr>
          <w:rFonts w:ascii="Times New Roman" w:hAnsi="Times New Roman" w:cs="Times New Roman"/>
          <w:sz w:val="24"/>
          <w:szCs w:val="24"/>
          <w:shd w:val="clear" w:color="auto" w:fill="FFFFFF"/>
        </w:rPr>
        <w:t>¿Alguna de vuestras propuestas puede ayudar a crear más empleo, radicar más empresas, aumentar las inversiones, incrementar la actividad económica o la productividad, reducir la burocracia, aminorar el déficit fiscal, disminuir la deuda pública, crecer los salarios, mejorar la distribución de los ingresos, fortalecer la presencia internacional, acrecentar las exportaciones, sustituir las importaciones…?</w:t>
      </w:r>
    </w:p>
    <w:p w:rsidR="00667ADF" w:rsidRPr="00052C7A" w:rsidRDefault="00667ADF" w:rsidP="00667ADF">
      <w:pPr>
        <w:spacing w:line="240" w:lineRule="auto"/>
        <w:jc w:val="both"/>
        <w:rPr>
          <w:rFonts w:ascii="Times New Roman" w:hAnsi="Times New Roman" w:cs="Times New Roman"/>
          <w:sz w:val="24"/>
          <w:szCs w:val="24"/>
          <w:shd w:val="clear" w:color="auto" w:fill="FFFFFF"/>
        </w:rPr>
      </w:pPr>
      <w:r w:rsidRPr="00052C7A">
        <w:rPr>
          <w:rFonts w:ascii="Times New Roman" w:hAnsi="Times New Roman" w:cs="Times New Roman"/>
          <w:sz w:val="24"/>
          <w:szCs w:val="24"/>
          <w:shd w:val="clear" w:color="auto" w:fill="FFFFFF"/>
        </w:rPr>
        <w:lastRenderedPageBreak/>
        <w:t>¿Alguna de vuestras propuestas puede ayudar a incubar nuevas empresas, a crear un ambiente propicio para crear, o impulsar proyectos y negocios?</w:t>
      </w:r>
    </w:p>
    <w:p w:rsidR="00667ADF" w:rsidRPr="00052C7A" w:rsidRDefault="00667ADF" w:rsidP="00667ADF">
      <w:pPr>
        <w:spacing w:line="240" w:lineRule="auto"/>
        <w:jc w:val="both"/>
        <w:rPr>
          <w:rFonts w:ascii="Times New Roman" w:hAnsi="Times New Roman" w:cs="Times New Roman"/>
          <w:sz w:val="24"/>
          <w:szCs w:val="24"/>
          <w:shd w:val="clear" w:color="auto" w:fill="FFFFFF"/>
        </w:rPr>
      </w:pPr>
      <w:r w:rsidRPr="00052C7A">
        <w:rPr>
          <w:rFonts w:ascii="Times New Roman" w:hAnsi="Times New Roman" w:cs="Times New Roman"/>
          <w:sz w:val="24"/>
          <w:szCs w:val="24"/>
          <w:shd w:val="clear" w:color="auto" w:fill="FFFFFF"/>
        </w:rPr>
        <w:t xml:space="preserve">¿En resumen, alguna de vuestras ideas, puntos de vista, creencias, dogmas, mantras, paradigmas, o alquimias, puede contribuir al crecimiento del Producto Bruto Interno? </w:t>
      </w:r>
    </w:p>
    <w:p w:rsidR="00667ADF" w:rsidRPr="00052C7A" w:rsidRDefault="00667ADF" w:rsidP="00667ADF">
      <w:pPr>
        <w:spacing w:line="240" w:lineRule="auto"/>
        <w:jc w:val="both"/>
        <w:rPr>
          <w:rFonts w:ascii="Times New Roman" w:hAnsi="Times New Roman" w:cs="Times New Roman"/>
          <w:sz w:val="24"/>
          <w:szCs w:val="24"/>
          <w:shd w:val="clear" w:color="auto" w:fill="FFFFFF"/>
        </w:rPr>
      </w:pPr>
      <w:r w:rsidRPr="00052C7A">
        <w:rPr>
          <w:rFonts w:ascii="Times New Roman" w:hAnsi="Times New Roman" w:cs="Times New Roman"/>
          <w:sz w:val="24"/>
          <w:szCs w:val="24"/>
          <w:shd w:val="clear" w:color="auto" w:fill="FFFFFF"/>
        </w:rPr>
        <w:t>Y si se quiere dejar el “ámbito económico”, por demasiado “prosaico”, podemos pasar a las cuestiones “sociales”, siempre tan presentes en el manual de la progresía: ¿Alguna de vuestras propuestas puede ayudar a crear instituciones tan “insólitas”, como buenas escuelas donde aprender, buenos oficios en los que hacerse un hueco, buenos hospitales donde no morirse, un plan de natalidad para evitar el invierno demográfico de los países avanzados?</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shd w:val="clear" w:color="auto" w:fill="FFFFFF"/>
        </w:rPr>
        <w:t xml:space="preserve">Si la respuesta (que doy por seguro) es, no, nada, ninguno, no sabe, o no contesta (peor aún)…  </w:t>
      </w:r>
      <w:r w:rsidRPr="00052C7A">
        <w:rPr>
          <w:rStyle w:val="Textoennegrita"/>
          <w:rFonts w:ascii="Times New Roman" w:hAnsi="Times New Roman" w:cs="Times New Roman"/>
          <w:b w:val="0"/>
          <w:sz w:val="24"/>
          <w:szCs w:val="24"/>
          <w:shd w:val="clear" w:color="auto" w:fill="FFFFFF"/>
        </w:rPr>
        <w:t xml:space="preserve">se podrá comprobar que con sus propuestas “radicales”, “disparatadas”, “utópicas”,  las posibilidades de desarrollo y progreso de los países avanzados, no murieron, las están matando. Que los objetivos sociales y económicos de los países avanzados no se quedaron sin sentido, vieron cómo se los dejaban de lado, para abrazar propuestas reivindicativas, minoritarias, sectarias, fanáticas, exaltadas, intolerantes, intransigentes, dogmáticas… que son aprovechadas por </w:t>
      </w:r>
      <w:r w:rsidRPr="00052C7A">
        <w:rPr>
          <w:rFonts w:ascii="Times New Roman" w:hAnsi="Times New Roman" w:cs="Times New Roman"/>
          <w:sz w:val="24"/>
          <w:szCs w:val="24"/>
        </w:rPr>
        <w:t>los ultra ricos que han “amañado” el juego para que solo puedan ganar ellos. Tanta ineptitud, sectarismo y malas compañías, terminan consolidando la plutocracia.</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Mientras los niñatos “woke” envían mensajitos con el móvil, desfilan con sus pancartas y se hacen selfies, los “Davos Man” continúan doblega</w:t>
      </w:r>
      <w:r>
        <w:rPr>
          <w:rFonts w:ascii="Times New Roman" w:hAnsi="Times New Roman" w:cs="Times New Roman"/>
          <w:sz w:val="24"/>
          <w:szCs w:val="24"/>
        </w:rPr>
        <w:t>n</w:t>
      </w:r>
      <w:r w:rsidRPr="00052C7A">
        <w:rPr>
          <w:rFonts w:ascii="Times New Roman" w:hAnsi="Times New Roman" w:cs="Times New Roman"/>
          <w:sz w:val="24"/>
          <w:szCs w:val="24"/>
        </w:rPr>
        <w:t>do a los legisladores, continúan pirateando el sistema antimonopolio, y continúan sobornando a los sindicatos para que la clase trabajadora no tenga una respuesta ante las acciones de sus empresas.</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 xml:space="preserve">En vez de preocuparse por reformar el sistema, para mejorar el capitalismo, los apóstoles del pensamiento woke se han tragado el anzuelo que le pusieron los ultra ricos, y en el “baile de máscaras”, asumen un papel de placebo para “distraer” a la sociedad, mientras China se prepara para suceder a la democracia cuando los países avanzados se tornen ingobernables.  </w:t>
      </w:r>
    </w:p>
    <w:p w:rsidR="00667ADF" w:rsidRPr="00052C7A" w:rsidRDefault="00667ADF" w:rsidP="00667ADF">
      <w:pPr>
        <w:spacing w:line="240" w:lineRule="auto"/>
        <w:jc w:val="both"/>
        <w:rPr>
          <w:rFonts w:ascii="Times New Roman" w:hAnsi="Times New Roman" w:cs="Times New Roman"/>
          <w:sz w:val="24"/>
          <w:szCs w:val="24"/>
        </w:rPr>
      </w:pPr>
      <w:r w:rsidRPr="00052C7A">
        <w:rPr>
          <w:rFonts w:ascii="Times New Roman" w:hAnsi="Times New Roman" w:cs="Times New Roman"/>
          <w:sz w:val="24"/>
          <w:szCs w:val="24"/>
        </w:rPr>
        <w:t>Marcha la comparsa woke</w:t>
      </w:r>
      <w:r>
        <w:rPr>
          <w:rFonts w:ascii="Times New Roman" w:hAnsi="Times New Roman" w:cs="Times New Roman"/>
          <w:sz w:val="24"/>
          <w:szCs w:val="24"/>
        </w:rPr>
        <w:t>,</w:t>
      </w:r>
      <w:r w:rsidRPr="00052C7A">
        <w:rPr>
          <w:rFonts w:ascii="Times New Roman" w:hAnsi="Times New Roman" w:cs="Times New Roman"/>
          <w:sz w:val="24"/>
          <w:szCs w:val="24"/>
        </w:rPr>
        <w:t xml:space="preserve"> desfila al grito de ¡sí se puede! Y tanto que se puede… seguir nutriendo el catálogo de mentiras de Davos &amp; Co</w:t>
      </w:r>
      <w:r>
        <w:rPr>
          <w:rFonts w:ascii="Times New Roman" w:hAnsi="Times New Roman" w:cs="Times New Roman"/>
          <w:sz w:val="24"/>
          <w:szCs w:val="24"/>
        </w:rPr>
        <w:t>.</w:t>
      </w:r>
      <w:r w:rsidRPr="00052C7A">
        <w:rPr>
          <w:rFonts w:ascii="Times New Roman" w:hAnsi="Times New Roman" w:cs="Times New Roman"/>
          <w:sz w:val="24"/>
          <w:szCs w:val="24"/>
        </w:rPr>
        <w:t>, dando por tierra con la nueva política, el capitalismo de rostro humano, o la flamante ética, que venían a traernos. Ni nueva, ni ética.</w:t>
      </w:r>
    </w:p>
    <w:p w:rsidR="00667ADF" w:rsidRDefault="00667ADF" w:rsidP="00667ADF">
      <w:pPr>
        <w:spacing w:line="240" w:lineRule="auto"/>
        <w:jc w:val="both"/>
        <w:rPr>
          <w:rFonts w:ascii="Times New Roman" w:hAnsi="Times New Roman" w:cs="Times New Roman"/>
          <w:sz w:val="24"/>
          <w:szCs w:val="24"/>
          <w:shd w:val="clear" w:color="auto" w:fill="FFFFFF"/>
        </w:rPr>
      </w:pPr>
      <w:r w:rsidRPr="00052C7A">
        <w:rPr>
          <w:rStyle w:val="Textoennegrita"/>
          <w:rFonts w:ascii="Times New Roman" w:hAnsi="Times New Roman" w:cs="Times New Roman"/>
          <w:b w:val="0"/>
          <w:sz w:val="24"/>
          <w:szCs w:val="24"/>
          <w:shd w:val="clear" w:color="auto" w:fill="FFFFFF"/>
        </w:rPr>
        <w:t xml:space="preserve">El asunto fundamental es que los “dilettanti” del radicalismo extremo, en su despliegue de desmesura, pueden terminar convirtiendo a Estados </w:t>
      </w:r>
      <w:r>
        <w:rPr>
          <w:rStyle w:val="Textoennegrita"/>
          <w:rFonts w:ascii="Times New Roman" w:hAnsi="Times New Roman" w:cs="Times New Roman"/>
          <w:b w:val="0"/>
          <w:sz w:val="24"/>
          <w:szCs w:val="24"/>
          <w:shd w:val="clear" w:color="auto" w:fill="FFFFFF"/>
        </w:rPr>
        <w:t xml:space="preserve">Unidos y a la Unión Europea en </w:t>
      </w:r>
      <w:r w:rsidRPr="00052C7A">
        <w:rPr>
          <w:rFonts w:ascii="Times New Roman" w:hAnsi="Times New Roman" w:cs="Times New Roman"/>
          <w:sz w:val="24"/>
          <w:szCs w:val="24"/>
          <w:shd w:val="clear" w:color="auto" w:fill="FFFFFF"/>
        </w:rPr>
        <w:t>Parques Temáticos, y a sus economías en videojuegos, con el “copyright” de Silicon Valley, el “profit” de Wall Street, y la “police force” del Partido Comunista de China.</w:t>
      </w:r>
    </w:p>
    <w:p w:rsidR="00430FF2" w:rsidRDefault="001C678E" w:rsidP="00430FF2">
      <w:pPr>
        <w:shd w:val="clear" w:color="auto" w:fill="FFFFFF"/>
        <w:spacing w:line="240" w:lineRule="auto"/>
        <w:jc w:val="both"/>
        <w:textAlignment w:val="baseline"/>
        <w:rPr>
          <w:rFonts w:ascii="Times New Roman" w:hAnsi="Times New Roman" w:cs="Times New Roman"/>
          <w:b/>
          <w:sz w:val="24"/>
          <w:szCs w:val="24"/>
        </w:rPr>
      </w:pPr>
      <w:r>
        <w:rPr>
          <w:rFonts w:ascii="Times New Roman" w:eastAsia="Times New Roman" w:hAnsi="Times New Roman" w:cs="Times New Roman"/>
          <w:b/>
          <w:sz w:val="24"/>
          <w:szCs w:val="24"/>
          <w:lang w:eastAsia="es-ES"/>
        </w:rPr>
        <w:t>El insoportable cinismo</w:t>
      </w:r>
      <w:r w:rsidR="00430FF2">
        <w:rPr>
          <w:rFonts w:ascii="Times New Roman" w:eastAsia="Times New Roman" w:hAnsi="Times New Roman" w:cs="Times New Roman"/>
          <w:b/>
          <w:sz w:val="24"/>
          <w:szCs w:val="24"/>
          <w:lang w:eastAsia="es-ES"/>
        </w:rPr>
        <w:t xml:space="preserve"> y la dictadura de las minorías </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que las “minorías” impongan su criterio (cualquiera fuera) a las “mayorías”. Pueden (y merecen) solicitar respeto por sus ideas, pero no pueden establecer las reglas sociales de la mayoría de la población. ¿Desde cuándo un “mal menor”, es un “bien mayor”?</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tolerar la ausencia de sentido del ridículo.</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adoptar ideologías, paradigmas, mantras, dogmas, axiomas, premisas, o postulados, que sean ofensivos a la inteligencia.</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aceptar el desorden irreparable de las ideas.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estar regido por el “todo o nada” y el “maximalismo”.</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lastRenderedPageBreak/>
        <w:t>Me niego a asumir el trabajo de abrirme camino entre tantos imbéciles morales.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perde</w:t>
      </w:r>
      <w:r>
        <w:rPr>
          <w:rFonts w:ascii="Times New Roman" w:hAnsi="Times New Roman" w:cs="Times New Roman"/>
          <w:sz w:val="24"/>
          <w:szCs w:val="24"/>
        </w:rPr>
        <w:t>rme la vida real por culpa del S</w:t>
      </w:r>
      <w:r w:rsidRPr="00884B49">
        <w:rPr>
          <w:rFonts w:ascii="Times New Roman" w:hAnsi="Times New Roman" w:cs="Times New Roman"/>
          <w:sz w:val="24"/>
          <w:szCs w:val="24"/>
        </w:rPr>
        <w:t>martphone (un estudio reciente -Reino Unido- dice que “pasamos” (pasan) 5 horas al día, pegados a “nuestros” (vuestros) móviles</w:t>
      </w:r>
      <w:r>
        <w:rPr>
          <w:rFonts w:ascii="Times New Roman" w:hAnsi="Times New Roman" w:cs="Times New Roman"/>
          <w:sz w:val="24"/>
          <w:szCs w:val="24"/>
        </w:rPr>
        <w:t>)</w:t>
      </w:r>
      <w:r w:rsidRPr="00884B49">
        <w:rPr>
          <w:rFonts w:ascii="Times New Roman" w:hAnsi="Times New Roman" w:cs="Times New Roman"/>
          <w:sz w:val="24"/>
          <w:szCs w:val="24"/>
        </w:rPr>
        <w:t>.</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 xml:space="preserve">Me niego a transformarme en un adicto a las nuevas tecnologías. </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tragar todas las “evacuaciones” (mierdas) de la “factoría de ficciones”.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someterme a la dictadura de las “big tech”.</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permitir que Elon Musk “conecte” mi cerebro a máquinas.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que Tim Cook me meta un AirTag en el culo.</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aceptar la verdad revelada de los titanes d</w:t>
      </w:r>
      <w:r>
        <w:rPr>
          <w:rFonts w:ascii="Times New Roman" w:hAnsi="Times New Roman" w:cs="Times New Roman"/>
          <w:sz w:val="24"/>
          <w:szCs w:val="24"/>
        </w:rPr>
        <w:t>el metaverso (Zuckerberg y otros</w:t>
      </w:r>
      <w:r w:rsidRPr="00884B49">
        <w:rPr>
          <w:rFonts w:ascii="Times New Roman" w:hAnsi="Times New Roman" w:cs="Times New Roman"/>
          <w:sz w:val="24"/>
          <w:szCs w:val="24"/>
        </w:rPr>
        <w:t xml:space="preserve"> sospechosos habituales).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que trafiquen con mis datos.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que me impongan una realidad virtual.</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que me sometan a la manipulación (categorización) del big data.</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sucumbir frívolamente (por avaricia, o por miseria) a los servicios ofrecidos por Amazon, Uber, Deliveroo, Airbnb, o a ser orientado por las</w:t>
      </w:r>
      <w:r>
        <w:rPr>
          <w:rFonts w:ascii="Times New Roman" w:hAnsi="Times New Roman" w:cs="Times New Roman"/>
          <w:sz w:val="24"/>
          <w:szCs w:val="24"/>
        </w:rPr>
        <w:t xml:space="preserve"> sugerencias de un/a “personal s</w:t>
      </w:r>
      <w:r w:rsidRPr="00884B49">
        <w:rPr>
          <w:rFonts w:ascii="Times New Roman" w:hAnsi="Times New Roman" w:cs="Times New Roman"/>
          <w:sz w:val="24"/>
          <w:szCs w:val="24"/>
        </w:rPr>
        <w:t>hop</w:t>
      </w:r>
      <w:r>
        <w:rPr>
          <w:rFonts w:ascii="Times New Roman" w:hAnsi="Times New Roman" w:cs="Times New Roman"/>
          <w:sz w:val="24"/>
          <w:szCs w:val="24"/>
        </w:rPr>
        <w:t>p</w:t>
      </w:r>
      <w:r w:rsidRPr="00884B49">
        <w:rPr>
          <w:rFonts w:ascii="Times New Roman" w:hAnsi="Times New Roman" w:cs="Times New Roman"/>
          <w:sz w:val="24"/>
          <w:szCs w:val="24"/>
        </w:rPr>
        <w:t>er”, o a dejarme subyugar por  el estilo de vida de un/a “influencer”.</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aceptar el nuevo orden internacional que quieren imponer China (con la ayuda de Wall Street y Silicon Valley) y Rusia (con la cobardía y servilismo de la Unión Europea).</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comulgar con la insaciabilidad de los totalitarismos (a la hora de minar la autonomía intelectual y espiritual de los individuos).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dejarme condicionar por la potencia de los aparatos propagandísticos y represivos de los profetas del pensamiento único.</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que me espíen y vigilen</w:t>
      </w:r>
      <w:r>
        <w:rPr>
          <w:rFonts w:ascii="Times New Roman" w:hAnsi="Times New Roman" w:cs="Times New Roman"/>
          <w:sz w:val="24"/>
          <w:szCs w:val="24"/>
        </w:rPr>
        <w:t>,</w:t>
      </w:r>
      <w:r w:rsidRPr="00884B49">
        <w:rPr>
          <w:rFonts w:ascii="Times New Roman" w:hAnsi="Times New Roman" w:cs="Times New Roman"/>
          <w:sz w:val="24"/>
          <w:szCs w:val="24"/>
        </w:rPr>
        <w:t xml:space="preserve"> con el argumento (cínico) de la seguridad.</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aceptar los postulados del ecologismo radical.</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aceptar que la energía nuclear o el gas, no son verdes.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prescindir de la energía nuclear o de gas, mientras otros países permitan el uso del carbón como fuente de energía.</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 xml:space="preserve">Me niego a hacer sacrificios ecológicos </w:t>
      </w:r>
      <w:r>
        <w:rPr>
          <w:rFonts w:ascii="Times New Roman" w:hAnsi="Times New Roman" w:cs="Times New Roman"/>
          <w:sz w:val="24"/>
          <w:szCs w:val="24"/>
        </w:rPr>
        <w:t>no multilaterales (no simultáneos y proporcionales</w:t>
      </w:r>
      <w:r w:rsidRPr="00884B49">
        <w:rPr>
          <w:rFonts w:ascii="Times New Roman" w:hAnsi="Times New Roman" w:cs="Times New Roman"/>
          <w:sz w:val="24"/>
          <w:szCs w:val="24"/>
        </w:rPr>
        <w:t>).</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aceptar que la culpa del daño ambiental la tengan los pedos de las vacas.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 xml:space="preserve">Me niego a aceptar que Davos me señale que alimentos debo comer para salvar el planeta. </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aceptar las soflamas de Bill Gates en favor de la carne vegetal.</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 xml:space="preserve">Me niego a que me obliguen a ser un herbívoro involuntario. </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lastRenderedPageBreak/>
        <w:t>Me niego a comer algas, lentejas, fonio (un cereal), okra (un vegetal), moringa (un árbol), espinacas y champiñones, involuntariamente, según la receta planetaria de Davos.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que mi perro viva mejor que yo.</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que mi perro sea citado en un juicio como testigo.</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aceptar que decir “aburrirse como ostras” sea una expresión especista.</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hablar de los derechos de una langosta, un cangrejo, un mosquito o una esponja.</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igualar derechos con bienestar.</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aceptar que comer higos es comer insectos.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 xml:space="preserve">Me niego a aceptar que ordeñar vacas, </w:t>
      </w:r>
      <w:r>
        <w:rPr>
          <w:rFonts w:ascii="Times New Roman" w:hAnsi="Times New Roman" w:cs="Times New Roman"/>
          <w:sz w:val="24"/>
          <w:szCs w:val="24"/>
        </w:rPr>
        <w:t xml:space="preserve">sea </w:t>
      </w:r>
      <w:r w:rsidRPr="00884B49">
        <w:rPr>
          <w:rFonts w:ascii="Times New Roman" w:hAnsi="Times New Roman" w:cs="Times New Roman"/>
          <w:sz w:val="24"/>
          <w:szCs w:val="24"/>
        </w:rPr>
        <w:t>una forma de esclavizarlas.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considerar que los “perros guía”, están en condiciones de servidumbre.</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prohibir el foie gras, porque es el origen del maltrato a patos.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aceptar el fin de la pirotecnia, porque causa trastornos a los animales.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proteger a los animales del uso publicitario.</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la abolición total de los zoológicos.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la abolición de las corridas de toros.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la prohibición de la caza del lobo cuando haya razones de seguridad ganadera.</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aceptar que los gallos violan a las gallinas.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aceptar que los pájaros le disparen a las escopetas.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poner a los zorros a cuidar a las gallinas.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aceptar y adoptar todos los postulados de la ideología de género.</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propugnar una igualdad de género y empoderamiento de las mujeres, más allá de la equidad (ecuanimidad) de oportunidades.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ser condescendiente con las mujeres empoderadas que no dan la talla.</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ser complaciente con las feministas “progres” de los países avanzados, que no critican al trato (vejatorio) que se da a las mujeres en los países islámicos.</w:t>
      </w:r>
    </w:p>
    <w:p w:rsidR="00430FF2"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dar credibilidad y confianza a los movimientos sociales reivindicativos (del esnobismo progre, o el fanatismo racial).</w:t>
      </w:r>
    </w:p>
    <w:p w:rsidR="00430FF2" w:rsidRPr="00884B49" w:rsidRDefault="00430FF2" w:rsidP="00430FF2">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concurrir a los talleres de nuevas masculinidades.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ser un miembro más de la macrogranja de los Tartufos.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procesionar con Boris Karloff aunque haga el papel de San Francisco de Asís.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 xml:space="preserve">Me niego a bendecir estas caricaturas de la propia caricatura. </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lastRenderedPageBreak/>
        <w:t>Me niego a que unos analfabetos funcionales dicten las reglas del lenguaje.</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utilizar estrambotes grama</w:t>
      </w:r>
      <w:r>
        <w:rPr>
          <w:rFonts w:ascii="Times New Roman" w:hAnsi="Times New Roman" w:cs="Times New Roman"/>
          <w:sz w:val="24"/>
          <w:szCs w:val="24"/>
        </w:rPr>
        <w:t>ticales como: él, ella, elle; todos, todas, todes; portavoz, portavoza; dirigente, dirigenta; miembros, miembras; autoridades, autoridadas; y similares variantes, que ofenden la gramática, la ortografía y la inteligencia.</w:t>
      </w:r>
    </w:p>
    <w:p w:rsidR="00430FF2" w:rsidRPr="00884B49" w:rsidRDefault="00430FF2" w:rsidP="00430F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Me niego a que se instalen baños únicos </w:t>
      </w:r>
      <w:r w:rsidRPr="00884B49">
        <w:rPr>
          <w:rFonts w:ascii="Times New Roman" w:hAnsi="Times New Roman" w:cs="Times New Roman"/>
          <w:sz w:val="24"/>
          <w:szCs w:val="24"/>
        </w:rPr>
        <w:t>en los col</w:t>
      </w:r>
      <w:r>
        <w:rPr>
          <w:rFonts w:ascii="Times New Roman" w:hAnsi="Times New Roman" w:cs="Times New Roman"/>
          <w:sz w:val="24"/>
          <w:szCs w:val="24"/>
        </w:rPr>
        <w:t>egios (para no estigmatizar a los “queer”</w:t>
      </w:r>
      <w:r w:rsidRPr="00884B49">
        <w:rPr>
          <w:rFonts w:ascii="Times New Roman" w:hAnsi="Times New Roman" w:cs="Times New Roman"/>
          <w:sz w:val="24"/>
          <w:szCs w:val="24"/>
        </w:rPr>
        <w:t>).</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ser habitante de una “matria”.</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que unos ignorantes dirijan mi destino.</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aceptar los supremacismos (de color, sexo, religión, raza…).</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aceptar que el sexo es una “autodeterminación” (identidad de género).</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silenciar que las mujeres menstrúan, y los hombres eyaculan.</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decir que las personas de raza negra, son personas “no blancas”.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aceptar que las matemáticas denoten alguna supremacía blanca, porque califiquen las respuestas de correctas o incorrectas.</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tragar toda esta monserga (imbecilidad) porque es “políticamente correcta”.</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Me niego a rendirme ante este “aluvión zoológico” del pensamiento único.</w:t>
      </w:r>
    </w:p>
    <w:p w:rsidR="00430FF2" w:rsidRPr="00884B49" w:rsidRDefault="00430FF2" w:rsidP="00430FF2">
      <w:pPr>
        <w:spacing w:line="240" w:lineRule="auto"/>
        <w:jc w:val="both"/>
        <w:rPr>
          <w:rFonts w:ascii="Times New Roman" w:hAnsi="Times New Roman" w:cs="Times New Roman"/>
          <w:sz w:val="24"/>
          <w:szCs w:val="24"/>
        </w:rPr>
      </w:pPr>
      <w:r w:rsidRPr="00884B49">
        <w:rPr>
          <w:rFonts w:ascii="Times New Roman" w:hAnsi="Times New Roman" w:cs="Times New Roman"/>
          <w:sz w:val="24"/>
          <w:szCs w:val="24"/>
        </w:rPr>
        <w:t xml:space="preserve">Pueden llamarme misógino, patriarcal, racista, retrógrado, reaccionario, unilateral, exagerado, neorrancio, malhumorado, neofascista, carca, viejuno, nostálgico… y hasta decadente, pero nunca me podrán considerar un ciego </w:t>
      </w:r>
      <w:r>
        <w:rPr>
          <w:rFonts w:ascii="Times New Roman" w:hAnsi="Times New Roman" w:cs="Times New Roman"/>
          <w:sz w:val="24"/>
          <w:szCs w:val="24"/>
        </w:rPr>
        <w:t>voluntario, sectario</w:t>
      </w:r>
      <w:r w:rsidRPr="00884B49">
        <w:rPr>
          <w:rFonts w:ascii="Times New Roman" w:hAnsi="Times New Roman" w:cs="Times New Roman"/>
          <w:sz w:val="24"/>
          <w:szCs w:val="24"/>
        </w:rPr>
        <w:t>, fanático, anómico, amoral, frívolo, superficial, conformista, indiferente, insensato, permisivo, relativista, condescendiente, manipula</w:t>
      </w:r>
      <w:r>
        <w:rPr>
          <w:rFonts w:ascii="Times New Roman" w:hAnsi="Times New Roman" w:cs="Times New Roman"/>
          <w:sz w:val="24"/>
          <w:szCs w:val="24"/>
        </w:rPr>
        <w:t xml:space="preserve">ble, intoxicable, sobornable, </w:t>
      </w:r>
      <w:r w:rsidRPr="00884B49">
        <w:rPr>
          <w:rFonts w:ascii="Times New Roman" w:hAnsi="Times New Roman" w:cs="Times New Roman"/>
          <w:sz w:val="24"/>
          <w:szCs w:val="24"/>
        </w:rPr>
        <w:t>connivente…</w:t>
      </w:r>
      <w:r>
        <w:rPr>
          <w:rFonts w:ascii="Times New Roman" w:hAnsi="Times New Roman" w:cs="Times New Roman"/>
          <w:sz w:val="24"/>
          <w:szCs w:val="24"/>
        </w:rPr>
        <w:t xml:space="preserve"> o con un atisbo de superioridad moral.</w:t>
      </w:r>
    </w:p>
    <w:p w:rsidR="00430FF2" w:rsidRDefault="00430FF2" w:rsidP="00430FF2">
      <w:pPr>
        <w:spacing w:line="240" w:lineRule="auto"/>
        <w:jc w:val="both"/>
        <w:rPr>
          <w:rFonts w:ascii="Times New Roman" w:hAnsi="Times New Roman" w:cs="Times New Roman"/>
          <w:sz w:val="24"/>
          <w:szCs w:val="24"/>
        </w:rPr>
      </w:pPr>
      <w:r w:rsidRPr="00C31359">
        <w:rPr>
          <w:rFonts w:ascii="Times New Roman" w:hAnsi="Times New Roman" w:cs="Times New Roman"/>
          <w:sz w:val="24"/>
          <w:szCs w:val="24"/>
        </w:rPr>
        <w:t xml:space="preserve">Pero, más allá de mí adjetivación, volvamos a lo importante: ¿En qué momento nos pasó esto? ¿Por qué hemos sido abducidos por una alienación social, o una demencia colectiva, tan grave, extendida, y profunda? </w:t>
      </w:r>
      <w:r>
        <w:rPr>
          <w:rFonts w:ascii="Times New Roman" w:hAnsi="Times New Roman" w:cs="Times New Roman"/>
          <w:sz w:val="24"/>
          <w:szCs w:val="24"/>
        </w:rPr>
        <w:t>¿Puede ser un ensayo de ingeniería social, para manipular a las personas, para que hagan y digan lo que se quiere?</w:t>
      </w:r>
    </w:p>
    <w:p w:rsidR="00430FF2" w:rsidRPr="00CC2BA4" w:rsidRDefault="00430FF2" w:rsidP="00430FF2">
      <w:pPr>
        <w:pStyle w:val="NormalWeb"/>
        <w:shd w:val="clear" w:color="auto" w:fill="FFFFFF"/>
        <w:spacing w:after="360"/>
        <w:jc w:val="both"/>
      </w:pPr>
      <w:r>
        <w:rPr>
          <w:b/>
        </w:rPr>
        <w:t xml:space="preserve">Anexo: </w:t>
      </w:r>
      <w:r w:rsidRPr="00776054">
        <w:rPr>
          <w:b/>
        </w:rPr>
        <w:t>Manual de “</w:t>
      </w:r>
      <w:r>
        <w:rPr>
          <w:b/>
        </w:rPr>
        <w:t xml:space="preserve">sonseras” posmodernas (algunas historias sugerentes, rescatadas de la “maldita hemeroteca”, y unos breves comentarios personales, de cabotaje)  </w:t>
      </w:r>
    </w:p>
    <w:p w:rsidR="0009037B" w:rsidRDefault="0009037B" w:rsidP="0009037B">
      <w:pPr>
        <w:spacing w:line="240" w:lineRule="auto"/>
        <w:jc w:val="both"/>
        <w:rPr>
          <w:rFonts w:ascii="Times New Roman" w:hAnsi="Times New Roman" w:cs="Times New Roman"/>
          <w:b/>
          <w:sz w:val="24"/>
          <w:szCs w:val="24"/>
        </w:rPr>
      </w:pPr>
      <w:r>
        <w:rPr>
          <w:rFonts w:ascii="Times New Roman" w:hAnsi="Times New Roman" w:cs="Times New Roman"/>
          <w:b/>
          <w:sz w:val="24"/>
          <w:szCs w:val="24"/>
        </w:rPr>
        <w:t>Ecologismo radical</w:t>
      </w:r>
    </w:p>
    <w:p w:rsidR="0009037B" w:rsidRPr="00776054" w:rsidRDefault="0009037B" w:rsidP="0009037B">
      <w:pPr>
        <w:spacing w:line="240" w:lineRule="auto"/>
        <w:jc w:val="both"/>
        <w:rPr>
          <w:rFonts w:ascii="Times New Roman" w:hAnsi="Times New Roman" w:cs="Times New Roman"/>
          <w:sz w:val="24"/>
          <w:szCs w:val="24"/>
        </w:rPr>
      </w:pPr>
      <w:r w:rsidRPr="00776054">
        <w:rPr>
          <w:rFonts w:ascii="Times New Roman" w:hAnsi="Times New Roman" w:cs="Times New Roman"/>
          <w:sz w:val="24"/>
          <w:szCs w:val="24"/>
        </w:rPr>
        <w:t>El ecologismo es el activismo de la ecología, en el sentido de constituir un movimiento cívico que pretende aplicar los conceptos ecol</w:t>
      </w:r>
      <w:r>
        <w:rPr>
          <w:rFonts w:ascii="Times New Roman" w:hAnsi="Times New Roman" w:cs="Times New Roman"/>
          <w:sz w:val="24"/>
          <w:szCs w:val="24"/>
        </w:rPr>
        <w:t>ógicos al cuidado del ambiente</w:t>
      </w:r>
      <w:r w:rsidRPr="00776054">
        <w:rPr>
          <w:rFonts w:ascii="Times New Roman" w:hAnsi="Times New Roman" w:cs="Times New Roman"/>
          <w:sz w:val="24"/>
          <w:szCs w:val="24"/>
        </w:rPr>
        <w:t>... Por lo tanto, las grandes alteraciones que introduce en el medio natural, producen intensas modificaciones que alteran el equilibrio ecológico.</w:t>
      </w:r>
    </w:p>
    <w:p w:rsidR="0009037B" w:rsidRDefault="0009037B" w:rsidP="0009037B">
      <w:pPr>
        <w:spacing w:line="240" w:lineRule="auto"/>
        <w:jc w:val="both"/>
        <w:rPr>
          <w:rFonts w:ascii="Times New Roman" w:hAnsi="Times New Roman" w:cs="Times New Roman"/>
          <w:sz w:val="24"/>
          <w:szCs w:val="24"/>
        </w:rPr>
      </w:pPr>
      <w:r w:rsidRPr="00776054">
        <w:rPr>
          <w:rFonts w:ascii="Times New Roman" w:hAnsi="Times New Roman" w:cs="Times New Roman"/>
          <w:sz w:val="24"/>
          <w:szCs w:val="24"/>
        </w:rPr>
        <w:t>Se entiende por ecologismo radical todas aquellas teorías y prácticas del ecologismo inconformista con las políticas conservacionistas, y que tienden al ecocentrismo. En determinados casos, aunque no como totalidad, es utilizado como sustento ideológico del ecoterrorismo.</w:t>
      </w:r>
    </w:p>
    <w:p w:rsidR="00090337" w:rsidRDefault="00090337" w:rsidP="0009037B">
      <w:pPr>
        <w:spacing w:line="240" w:lineRule="auto"/>
        <w:jc w:val="both"/>
        <w:rPr>
          <w:rFonts w:ascii="Times New Roman" w:hAnsi="Times New Roman" w:cs="Times New Roman"/>
          <w:sz w:val="24"/>
          <w:szCs w:val="24"/>
        </w:rPr>
      </w:pPr>
    </w:p>
    <w:p w:rsidR="0009037B" w:rsidRDefault="0009037B" w:rsidP="0009037B">
      <w:pPr>
        <w:spacing w:line="240" w:lineRule="auto"/>
        <w:jc w:val="both"/>
        <w:rPr>
          <w:rFonts w:ascii="Times New Roman" w:hAnsi="Times New Roman" w:cs="Times New Roman"/>
          <w:b/>
          <w:sz w:val="24"/>
          <w:szCs w:val="24"/>
        </w:rPr>
      </w:pPr>
      <w:r w:rsidRPr="008C57B5">
        <w:rPr>
          <w:rFonts w:ascii="Times New Roman" w:hAnsi="Times New Roman" w:cs="Times New Roman"/>
          <w:b/>
          <w:sz w:val="24"/>
          <w:szCs w:val="24"/>
        </w:rPr>
        <w:lastRenderedPageBreak/>
        <w:t>Animalismo extremo (irracional y contraproducente)</w:t>
      </w:r>
    </w:p>
    <w:p w:rsidR="0009037B" w:rsidRDefault="0009037B" w:rsidP="000903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638CC">
        <w:rPr>
          <w:rFonts w:ascii="Times New Roman" w:hAnsi="Times New Roman" w:cs="Times New Roman"/>
          <w:sz w:val="24"/>
          <w:szCs w:val="24"/>
          <w:u w:val="single"/>
        </w:rPr>
        <w:t>Animalismo enfurecido: la disparatada lucha por los derechos de tu mascota</w:t>
      </w:r>
      <w:r>
        <w:rPr>
          <w:rFonts w:ascii="Times New Roman" w:hAnsi="Times New Roman" w:cs="Times New Roman"/>
          <w:sz w:val="24"/>
          <w:szCs w:val="24"/>
        </w:rPr>
        <w:t xml:space="preserve"> (El Mundo - </w:t>
      </w:r>
      <w:r w:rsidRPr="00A638CC">
        <w:rPr>
          <w:rFonts w:ascii="Times New Roman" w:hAnsi="Times New Roman" w:cs="Times New Roman"/>
          <w:b/>
          <w:sz w:val="24"/>
          <w:szCs w:val="24"/>
        </w:rPr>
        <w:t>21/5/19</w:t>
      </w:r>
      <w:r>
        <w:rPr>
          <w:rFonts w:ascii="Times New Roman" w:hAnsi="Times New Roman" w:cs="Times New Roman"/>
          <w:sz w:val="24"/>
          <w:szCs w:val="24"/>
        </w:rPr>
        <w:t>)</w:t>
      </w:r>
    </w:p>
    <w:p w:rsidR="0009037B" w:rsidRPr="00866294" w:rsidRDefault="0009037B" w:rsidP="0009037B">
      <w:pPr>
        <w:spacing w:line="240" w:lineRule="auto"/>
        <w:jc w:val="both"/>
        <w:rPr>
          <w:rFonts w:ascii="Times New Roman" w:hAnsi="Times New Roman" w:cs="Times New Roman"/>
          <w:sz w:val="24"/>
          <w:szCs w:val="24"/>
        </w:rPr>
      </w:pPr>
      <w:r>
        <w:rPr>
          <w:rFonts w:ascii="Times New Roman" w:hAnsi="Times New Roman" w:cs="Times New Roman"/>
          <w:sz w:val="24"/>
          <w:szCs w:val="24"/>
        </w:rPr>
        <w:t>(Por Rodrigo Terrasa)</w:t>
      </w:r>
    </w:p>
    <w:p w:rsidR="0009037B" w:rsidRPr="0009037B" w:rsidRDefault="0009037B" w:rsidP="0009037B">
      <w:pPr>
        <w:spacing w:line="240" w:lineRule="auto"/>
        <w:jc w:val="both"/>
        <w:rPr>
          <w:rFonts w:ascii="Times New Roman" w:hAnsi="Times New Roman" w:cs="Times New Roman"/>
          <w:sz w:val="24"/>
          <w:szCs w:val="24"/>
        </w:rPr>
      </w:pPr>
      <w:r w:rsidRPr="0009037B">
        <w:rPr>
          <w:rFonts w:ascii="Times New Roman" w:hAnsi="Times New Roman" w:cs="Times New Roman"/>
          <w:sz w:val="24"/>
          <w:szCs w:val="24"/>
        </w:rPr>
        <w:t>Morcillas de sangre humana, perros “citados” a declarar como testigos, vigilias a las puertas de los mataderos... ¿Se ha convertido la loable defensa de los animales en un delirio permanente?</w:t>
      </w:r>
    </w:p>
    <w:p w:rsidR="0009037B" w:rsidRPr="0009037B" w:rsidRDefault="0009037B" w:rsidP="0009037B">
      <w:pPr>
        <w:spacing w:line="240" w:lineRule="auto"/>
        <w:jc w:val="both"/>
        <w:rPr>
          <w:rFonts w:ascii="Times New Roman" w:hAnsi="Times New Roman" w:cs="Times New Roman"/>
          <w:sz w:val="24"/>
          <w:szCs w:val="24"/>
        </w:rPr>
      </w:pPr>
      <w:r w:rsidRPr="0009037B">
        <w:rPr>
          <w:rFonts w:ascii="Times New Roman" w:hAnsi="Times New Roman" w:cs="Times New Roman"/>
          <w:sz w:val="24"/>
          <w:szCs w:val="24"/>
        </w:rPr>
        <w:t>Por qué tu perro vive mejor que tú</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Milagros fue citada hace un par de semanas en el Juzgado de lo Penal número 1 de Santa Cruz de Tenerife en calidad de testigo por un caso de maltrato de hace casi siete años. Y el asunto sería algo dramáticamente habitual en España si Milagros no fuera la propia víctima de la agresión y si Milagros no fuera, además, una perra. Una hembra de raza</w:t>
      </w:r>
      <w:r w:rsidRPr="0009037B">
        <w:rPr>
          <w:rFonts w:ascii="Times New Roman" w:eastAsia="Times New Roman" w:hAnsi="Times New Roman" w:cs="Times New Roman"/>
          <w:i/>
          <w:iCs/>
          <w:sz w:val="24"/>
          <w:szCs w:val="24"/>
          <w:bdr w:val="none" w:sz="0" w:space="0" w:color="auto" w:frame="1"/>
          <w:lang w:eastAsia="es-ES"/>
        </w:rPr>
        <w:t> </w:t>
      </w:r>
      <w:r w:rsidRPr="00090337">
        <w:rPr>
          <w:rFonts w:ascii="Times New Roman" w:eastAsia="Times New Roman" w:hAnsi="Times New Roman" w:cs="Times New Roman"/>
          <w:iCs/>
          <w:sz w:val="24"/>
          <w:szCs w:val="24"/>
          <w:bdr w:val="none" w:sz="0" w:space="0" w:color="auto" w:frame="1"/>
          <w:lang w:eastAsia="es-ES"/>
        </w:rPr>
        <w:t>pitbull</w:t>
      </w:r>
      <w:r w:rsidRPr="0009037B">
        <w:rPr>
          <w:rFonts w:ascii="Times New Roman" w:eastAsia="Times New Roman" w:hAnsi="Times New Roman" w:cs="Times New Roman"/>
          <w:i/>
          <w:iCs/>
          <w:sz w:val="24"/>
          <w:szCs w:val="24"/>
          <w:bdr w:val="none" w:sz="0" w:space="0" w:color="auto" w:frame="1"/>
          <w:lang w:eastAsia="es-ES"/>
        </w:rPr>
        <w:t> </w:t>
      </w:r>
      <w:r w:rsidRPr="0009037B">
        <w:rPr>
          <w:rFonts w:ascii="Times New Roman" w:eastAsia="Times New Roman" w:hAnsi="Times New Roman" w:cs="Times New Roman"/>
          <w:sz w:val="24"/>
          <w:szCs w:val="24"/>
          <w:lang w:eastAsia="es-ES"/>
        </w:rPr>
        <w:t>de color marrón con el pecho y el morro blancos que fue arrojada a la basura por su dueño en el interior de una maleta en el año 2012 y que asistió la semana pasada al juicio como si tal cosa. “Que pase la testigo perjudicada, la perra Milagros”, dijo la juez. Y la perra pasó. Luego la fiscal de Medio Ambiente aclaró a los asistentes, por si acaso, que “obviamente” la testigo no iba a declarar.</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“Ya está bien de considerar que sólo las personas tenemos derechos. También los animales tienen obligaciones y derechos, y uno de ellos es acudir a su pleito”, explicó días después la magistrada Sandra Barrera en la Cadena Ser para justificar la inédita citación de la perra.</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¿Realmente tiene obligaciones un perro? ¿Cuáles son exactamente? ¿Tiene de verdad un </w:t>
      </w:r>
      <w:r w:rsidRPr="00090337">
        <w:rPr>
          <w:rFonts w:ascii="Times New Roman" w:eastAsia="Times New Roman" w:hAnsi="Times New Roman" w:cs="Times New Roman"/>
          <w:iCs/>
          <w:sz w:val="24"/>
          <w:szCs w:val="24"/>
          <w:bdr w:val="none" w:sz="0" w:space="0" w:color="auto" w:frame="1"/>
          <w:lang w:eastAsia="es-ES"/>
        </w:rPr>
        <w:t>pitbull</w:t>
      </w:r>
      <w:r w:rsidRPr="0009037B">
        <w:rPr>
          <w:rFonts w:ascii="Times New Roman" w:eastAsia="Times New Roman" w:hAnsi="Times New Roman" w:cs="Times New Roman"/>
          <w:i/>
          <w:iCs/>
          <w:sz w:val="24"/>
          <w:szCs w:val="24"/>
          <w:bdr w:val="none" w:sz="0" w:space="0" w:color="auto" w:frame="1"/>
          <w:lang w:eastAsia="es-ES"/>
        </w:rPr>
        <w:t> </w:t>
      </w:r>
      <w:r w:rsidRPr="0009037B">
        <w:rPr>
          <w:rFonts w:ascii="Times New Roman" w:eastAsia="Times New Roman" w:hAnsi="Times New Roman" w:cs="Times New Roman"/>
          <w:sz w:val="24"/>
          <w:szCs w:val="24"/>
          <w:lang w:eastAsia="es-ES"/>
        </w:rPr>
        <w:t>el derecho a asistir a su pleito? ¿Son necesarios estos gestos para concienciar sobre el maltrato animal o ha desvariado definitivamente el movimiento animalista?</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La </w:t>
      </w:r>
      <w:r w:rsidRPr="00090337">
        <w:rPr>
          <w:rFonts w:ascii="Times New Roman" w:eastAsia="Times New Roman" w:hAnsi="Times New Roman" w:cs="Times New Roman"/>
          <w:iCs/>
          <w:sz w:val="24"/>
          <w:szCs w:val="24"/>
          <w:bdr w:val="none" w:sz="0" w:space="0" w:color="auto" w:frame="1"/>
          <w:lang w:eastAsia="es-ES"/>
        </w:rPr>
        <w:t>testificación</w:t>
      </w:r>
      <w:r w:rsidRPr="00090337">
        <w:rPr>
          <w:rFonts w:ascii="Times New Roman" w:eastAsia="Times New Roman" w:hAnsi="Times New Roman" w:cs="Times New Roman"/>
          <w:sz w:val="24"/>
          <w:szCs w:val="24"/>
          <w:lang w:eastAsia="es-ES"/>
        </w:rPr>
        <w:t> </w:t>
      </w:r>
      <w:r w:rsidRPr="0009037B">
        <w:rPr>
          <w:rFonts w:ascii="Times New Roman" w:eastAsia="Times New Roman" w:hAnsi="Times New Roman" w:cs="Times New Roman"/>
          <w:sz w:val="24"/>
          <w:szCs w:val="24"/>
          <w:lang w:eastAsia="es-ES"/>
        </w:rPr>
        <w:t>de la perra Milagros coincide en el tiempo con campañas que te recomiendan no llamar “rata” a tu cuñado por muy tacaño que sea, ataques de radicales veganos en distintos puntos de Europa contra las carnicerías, iniciativas para alimentar a las mascotas con dietas veganas, </w:t>
      </w:r>
      <w:r w:rsidRPr="0009037B">
        <w:rPr>
          <w:rFonts w:ascii="Times New Roman" w:eastAsia="Times New Roman" w:hAnsi="Times New Roman" w:cs="Times New Roman"/>
          <w:bCs/>
          <w:sz w:val="24"/>
          <w:szCs w:val="24"/>
          <w:bdr w:val="none" w:sz="0" w:space="0" w:color="auto" w:frame="1"/>
          <w:lang w:eastAsia="es-ES"/>
        </w:rPr>
        <w:t>vigilias para despedir con abrazos a los cerdos en la puerta de los mataderos</w:t>
      </w:r>
      <w:r w:rsidRPr="0009037B">
        <w:rPr>
          <w:rFonts w:ascii="Times New Roman" w:eastAsia="Times New Roman" w:hAnsi="Times New Roman" w:cs="Times New Roman"/>
          <w:sz w:val="24"/>
          <w:szCs w:val="24"/>
          <w:lang w:eastAsia="es-ES"/>
        </w:rPr>
        <w:t> e incluso con una novedosa receta que nos permite (¿por fin?) elaborar </w:t>
      </w:r>
      <w:r w:rsidRPr="0009037B">
        <w:rPr>
          <w:rFonts w:ascii="Times New Roman" w:eastAsia="Times New Roman" w:hAnsi="Times New Roman" w:cs="Times New Roman"/>
          <w:bCs/>
          <w:sz w:val="24"/>
          <w:szCs w:val="24"/>
          <w:bdr w:val="none" w:sz="0" w:space="0" w:color="auto" w:frame="1"/>
          <w:lang w:eastAsia="es-ES"/>
        </w:rPr>
        <w:t>morcillas con nuestra propia sangre</w:t>
      </w:r>
      <w:r w:rsidRPr="0009037B">
        <w:rPr>
          <w:rFonts w:ascii="Times New Roman" w:eastAsia="Times New Roman" w:hAnsi="Times New Roman" w:cs="Times New Roman"/>
          <w:sz w:val="24"/>
          <w:szCs w:val="24"/>
          <w:lang w:eastAsia="es-ES"/>
        </w:rPr>
        <w:t>.</w:t>
      </w:r>
    </w:p>
    <w:p w:rsidR="00090337" w:rsidRPr="0009037B" w:rsidRDefault="00090337"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El disparate ha dinamitado incluso las teorías más locas del filósofo australiano </w:t>
      </w:r>
      <w:r w:rsidRPr="0009037B">
        <w:rPr>
          <w:rFonts w:ascii="Times New Roman" w:eastAsia="Times New Roman" w:hAnsi="Times New Roman" w:cs="Times New Roman"/>
          <w:bCs/>
          <w:sz w:val="24"/>
          <w:szCs w:val="24"/>
          <w:bdr w:val="none" w:sz="0" w:space="0" w:color="auto" w:frame="1"/>
          <w:lang w:eastAsia="es-ES"/>
        </w:rPr>
        <w:t>Peter Singer</w:t>
      </w:r>
      <w:r w:rsidRPr="0009037B">
        <w:rPr>
          <w:rFonts w:ascii="Times New Roman" w:eastAsia="Times New Roman" w:hAnsi="Times New Roman" w:cs="Times New Roman"/>
          <w:sz w:val="24"/>
          <w:szCs w:val="24"/>
          <w:lang w:eastAsia="es-ES"/>
        </w:rPr>
        <w:t>, que publicó en 1975 </w:t>
      </w:r>
      <w:r w:rsidR="00090337">
        <w:rPr>
          <w:rFonts w:ascii="Times New Roman" w:eastAsia="Times New Roman" w:hAnsi="Times New Roman" w:cs="Times New Roman"/>
          <w:sz w:val="24"/>
          <w:szCs w:val="24"/>
          <w:lang w:eastAsia="es-ES"/>
        </w:rPr>
        <w:t>“</w:t>
      </w:r>
      <w:r w:rsidRPr="00090337">
        <w:rPr>
          <w:rFonts w:ascii="Times New Roman" w:eastAsia="Times New Roman" w:hAnsi="Times New Roman" w:cs="Times New Roman"/>
          <w:iCs/>
          <w:sz w:val="24"/>
          <w:szCs w:val="24"/>
          <w:bdr w:val="none" w:sz="0" w:space="0" w:color="auto" w:frame="1"/>
          <w:lang w:eastAsia="es-ES"/>
        </w:rPr>
        <w:t>Liberación animal</w:t>
      </w:r>
      <w:r w:rsidR="00090337">
        <w:rPr>
          <w:rFonts w:ascii="Times New Roman" w:eastAsia="Times New Roman" w:hAnsi="Times New Roman" w:cs="Times New Roman"/>
          <w:iCs/>
          <w:sz w:val="24"/>
          <w:szCs w:val="24"/>
          <w:bdr w:val="none" w:sz="0" w:space="0" w:color="auto" w:frame="1"/>
          <w:lang w:eastAsia="es-ES"/>
        </w:rPr>
        <w:t>”</w:t>
      </w:r>
      <w:r w:rsidRPr="0009037B">
        <w:rPr>
          <w:rFonts w:ascii="Times New Roman" w:eastAsia="Times New Roman" w:hAnsi="Times New Roman" w:cs="Times New Roman"/>
          <w:sz w:val="24"/>
          <w:szCs w:val="24"/>
          <w:lang w:eastAsia="es-ES"/>
        </w:rPr>
        <w:t>, uno de los libros que desencadenó el movimiento más reciente a favor de los supuestos derechos de los animales. Seis años después escribía </w:t>
      </w:r>
      <w:r w:rsidR="00090337">
        <w:rPr>
          <w:rFonts w:ascii="Times New Roman" w:eastAsia="Times New Roman" w:hAnsi="Times New Roman" w:cs="Times New Roman"/>
          <w:sz w:val="24"/>
          <w:szCs w:val="24"/>
          <w:lang w:eastAsia="es-ES"/>
        </w:rPr>
        <w:t>“</w:t>
      </w:r>
      <w:r w:rsidRPr="00090337">
        <w:rPr>
          <w:rFonts w:ascii="Times New Roman" w:eastAsia="Times New Roman" w:hAnsi="Times New Roman" w:cs="Times New Roman"/>
          <w:iCs/>
          <w:sz w:val="24"/>
          <w:szCs w:val="24"/>
          <w:bdr w:val="none" w:sz="0" w:space="0" w:color="auto" w:frame="1"/>
          <w:lang w:eastAsia="es-ES"/>
        </w:rPr>
        <w:t>El círculo en expansión</w:t>
      </w:r>
      <w:r w:rsidR="00090337">
        <w:rPr>
          <w:rFonts w:ascii="Times New Roman" w:eastAsia="Times New Roman" w:hAnsi="Times New Roman" w:cs="Times New Roman"/>
          <w:iCs/>
          <w:sz w:val="24"/>
          <w:szCs w:val="24"/>
          <w:bdr w:val="none" w:sz="0" w:space="0" w:color="auto" w:frame="1"/>
          <w:lang w:eastAsia="es-ES"/>
        </w:rPr>
        <w:t>”</w:t>
      </w:r>
      <w:r w:rsidRPr="0009037B">
        <w:rPr>
          <w:rFonts w:ascii="Times New Roman" w:eastAsia="Times New Roman" w:hAnsi="Times New Roman" w:cs="Times New Roman"/>
          <w:sz w:val="24"/>
          <w:szCs w:val="24"/>
          <w:lang w:eastAsia="es-ES"/>
        </w:rPr>
        <w:t>, en el que trazaba el crecimiento progresivo de la consideración moral de los otros. Pasamos primero de la familia a la tribu, al clan, luego a la nación, a la raza y finalmente a toda la humanidad. ¿Alcanza hoy a los animales? ¿A todos?</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“Singer sostiene que todos los seres son </w:t>
      </w:r>
      <w:r w:rsidRPr="0009037B">
        <w:rPr>
          <w:rFonts w:ascii="Times New Roman" w:eastAsia="Times New Roman" w:hAnsi="Times New Roman" w:cs="Times New Roman"/>
          <w:bCs/>
          <w:sz w:val="24"/>
          <w:szCs w:val="24"/>
          <w:bdr w:val="none" w:sz="0" w:space="0" w:color="auto" w:frame="1"/>
          <w:lang w:eastAsia="es-ES"/>
        </w:rPr>
        <w:t>objeto de comprensión, cuidado y compasión</w:t>
      </w:r>
      <w:r w:rsidRPr="0009037B">
        <w:rPr>
          <w:rFonts w:ascii="Times New Roman" w:eastAsia="Times New Roman" w:hAnsi="Times New Roman" w:cs="Times New Roman"/>
          <w:sz w:val="24"/>
          <w:szCs w:val="24"/>
          <w:lang w:eastAsia="es-ES"/>
        </w:rPr>
        <w:t> y que los círculos de moral se van ampliando”, apunta </w:t>
      </w:r>
      <w:r w:rsidRPr="0009037B">
        <w:rPr>
          <w:rFonts w:ascii="Times New Roman" w:eastAsia="Times New Roman" w:hAnsi="Times New Roman" w:cs="Times New Roman"/>
          <w:bCs/>
          <w:sz w:val="24"/>
          <w:szCs w:val="24"/>
          <w:bdr w:val="none" w:sz="0" w:space="0" w:color="auto" w:frame="1"/>
          <w:lang w:eastAsia="es-ES"/>
        </w:rPr>
        <w:t>Juan Ignacio Pérez</w:t>
      </w:r>
      <w:r w:rsidRPr="0009037B">
        <w:rPr>
          <w:rFonts w:ascii="Times New Roman" w:eastAsia="Times New Roman" w:hAnsi="Times New Roman" w:cs="Times New Roman"/>
          <w:sz w:val="24"/>
          <w:szCs w:val="24"/>
          <w:lang w:eastAsia="es-ES"/>
        </w:rPr>
        <w:t>, profesor de Fisiología Animal en la Facultad de Ciencia y Tecnología de la Universidad del País Vasco. “Ya ocurrió con la defensa de los grandes simios, que en cuestiones de investigación, por ejemplo, ya tienen un trato diferente al resto de animales. No se trata igual a un orangután que a una rata. El problema es ver dónde está el final del camino, dónde ponemos la frontera. </w:t>
      </w:r>
      <w:r w:rsidRPr="0009037B">
        <w:rPr>
          <w:rFonts w:ascii="Times New Roman" w:eastAsia="Times New Roman" w:hAnsi="Times New Roman" w:cs="Times New Roman"/>
          <w:bCs/>
          <w:sz w:val="24"/>
          <w:szCs w:val="24"/>
          <w:bdr w:val="none" w:sz="0" w:space="0" w:color="auto" w:frame="1"/>
          <w:lang w:eastAsia="es-ES"/>
        </w:rPr>
        <w:t xml:space="preserve">El discurso </w:t>
      </w:r>
      <w:r w:rsidRPr="0009037B">
        <w:rPr>
          <w:rFonts w:ascii="Times New Roman" w:eastAsia="Times New Roman" w:hAnsi="Times New Roman" w:cs="Times New Roman"/>
          <w:bCs/>
          <w:sz w:val="24"/>
          <w:szCs w:val="24"/>
          <w:bdr w:val="none" w:sz="0" w:space="0" w:color="auto" w:frame="1"/>
          <w:lang w:eastAsia="es-ES"/>
        </w:rPr>
        <w:lastRenderedPageBreak/>
        <w:t>animalista ha cambiado mucho en los últimos tiempos y si seguimos así, no tardaremos en llegar a reclamar los derechos de las anémonas o las plantas</w:t>
      </w:r>
      <w:r w:rsidRPr="0009037B">
        <w:rPr>
          <w:rFonts w:ascii="Times New Roman" w:eastAsia="Times New Roman" w:hAnsi="Times New Roman" w:cs="Times New Roman"/>
          <w:sz w:val="24"/>
          <w:szCs w:val="24"/>
          <w:lang w:eastAsia="es-ES"/>
        </w:rPr>
        <w:t>”.</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Más allá de la incuestionable obligación de tratar bien a los animales, ha surgido en los últimos tiempos un animalismo ideológico sobre el que han ido creciendo los simpatizantes de partidos políticos que pelean por los “derechos” de los animales, practicantes de dietas veganas, corrientes antiespecistas que luchan contra la discriminación animal y discursos cada vez más exóticos o directamente radicales.</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“Hay que preguntarse cómo hemos llegado hasta aquí en tan poco tiempo”, dice José Manuel Errasti, profesor de Psicología de la Personalidad en la Universidad de Oviedo. Desde hace años, el primer día de clase, Errasti plantea a sus alumnos un dilema moral: </w:t>
      </w:r>
      <w:r w:rsidRPr="0009037B">
        <w:rPr>
          <w:rFonts w:ascii="Times New Roman" w:eastAsia="Times New Roman" w:hAnsi="Times New Roman" w:cs="Times New Roman"/>
          <w:bCs/>
          <w:sz w:val="24"/>
          <w:szCs w:val="24"/>
          <w:bdr w:val="none" w:sz="0" w:space="0" w:color="auto" w:frame="1"/>
          <w:lang w:eastAsia="es-ES"/>
        </w:rPr>
        <w:t>¿quién prefieres que muera en una corrida de toros, el toro o el torero?</w:t>
      </w:r>
      <w:r w:rsidRPr="0009037B">
        <w:rPr>
          <w:rFonts w:ascii="Times New Roman" w:eastAsia="Times New Roman" w:hAnsi="Times New Roman" w:cs="Times New Roman"/>
          <w:sz w:val="24"/>
          <w:szCs w:val="24"/>
          <w:lang w:eastAsia="es-ES"/>
        </w:rPr>
        <w:t> “Empecé a hacer esta pregunta convencido de que encontraría algún caso llamativo de alguien que prefiriera la muerte del torero. Al principio eran unos pocos, pero la proporción ha ido aumentando y en los últimos dos o tres años, prácticamente el 90% de los alumnos ya dicen que prefieren la muerte del torero antes que la del toro”, cuenta el profesor. “No podemos ignorar que estamos ante un grave problema social”.</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El propio Errasti señala dos factores que explican la evolución del animalismo. Por un lado, lo que llama el </w:t>
      </w:r>
      <w:r w:rsidRPr="0009037B">
        <w:rPr>
          <w:rFonts w:ascii="Times New Roman" w:eastAsia="Times New Roman" w:hAnsi="Times New Roman" w:cs="Times New Roman"/>
          <w:bCs/>
          <w:sz w:val="24"/>
          <w:szCs w:val="24"/>
          <w:bdr w:val="none" w:sz="0" w:space="0" w:color="auto" w:frame="1"/>
          <w:lang w:eastAsia="es-ES"/>
        </w:rPr>
        <w:t>“mito de la naturaleza”</w:t>
      </w:r>
      <w:r w:rsidRPr="0009037B">
        <w:rPr>
          <w:rFonts w:ascii="Times New Roman" w:eastAsia="Times New Roman" w:hAnsi="Times New Roman" w:cs="Times New Roman"/>
          <w:sz w:val="24"/>
          <w:szCs w:val="24"/>
          <w:lang w:eastAsia="es-ES"/>
        </w:rPr>
        <w:t>, una reinvención idílica del medio natural construido, dice, por jóvenes de ciudad que “jamás han pasado una noche en el bosque, en la selva o en el desierto pero sí se han inventado un nuevo concepto de animal con una supuesta esencia de pureza, autenticidad y carente de maldad”. Por otro lado, una educación emocional que desde la infancia nos ha presentado a los animales como iguales a nosotros. “El Pato Donald es un ser humano, Pluto o Mufasa también. </w:t>
      </w:r>
      <w:r w:rsidRPr="0009037B">
        <w:rPr>
          <w:rFonts w:ascii="Times New Roman" w:eastAsia="Times New Roman" w:hAnsi="Times New Roman" w:cs="Times New Roman"/>
          <w:bCs/>
          <w:sz w:val="24"/>
          <w:szCs w:val="24"/>
          <w:bdr w:val="none" w:sz="0" w:space="0" w:color="auto" w:frame="1"/>
          <w:lang w:eastAsia="es-ES"/>
        </w:rPr>
        <w:t>Disney ha conseguido que la gente vea seres humanos en los animales </w:t>
      </w:r>
      <w:r w:rsidRPr="0009037B">
        <w:rPr>
          <w:rFonts w:ascii="Times New Roman" w:eastAsia="Times New Roman" w:hAnsi="Times New Roman" w:cs="Times New Roman"/>
          <w:sz w:val="24"/>
          <w:szCs w:val="24"/>
          <w:lang w:eastAsia="es-ES"/>
        </w:rPr>
        <w:t>que nos rodean porque si en las </w:t>
      </w:r>
      <w:r w:rsidR="00090337">
        <w:rPr>
          <w:rFonts w:ascii="Times New Roman" w:eastAsia="Times New Roman" w:hAnsi="Times New Roman" w:cs="Times New Roman"/>
          <w:sz w:val="24"/>
          <w:szCs w:val="24"/>
          <w:lang w:eastAsia="es-ES"/>
        </w:rPr>
        <w:t>“</w:t>
      </w:r>
      <w:r w:rsidRPr="00090337">
        <w:rPr>
          <w:rFonts w:ascii="Times New Roman" w:eastAsia="Times New Roman" w:hAnsi="Times New Roman" w:cs="Times New Roman"/>
          <w:iCs/>
          <w:sz w:val="24"/>
          <w:szCs w:val="24"/>
          <w:bdr w:val="none" w:sz="0" w:space="0" w:color="auto" w:frame="1"/>
          <w:lang w:eastAsia="es-ES"/>
        </w:rPr>
        <w:t>Patoaventuras</w:t>
      </w:r>
      <w:r w:rsidR="00090337">
        <w:rPr>
          <w:rFonts w:ascii="Times New Roman" w:eastAsia="Times New Roman" w:hAnsi="Times New Roman" w:cs="Times New Roman"/>
          <w:iCs/>
          <w:sz w:val="24"/>
          <w:szCs w:val="24"/>
          <w:bdr w:val="none" w:sz="0" w:space="0" w:color="auto" w:frame="1"/>
          <w:lang w:eastAsia="es-ES"/>
        </w:rPr>
        <w:t>”</w:t>
      </w:r>
      <w:r w:rsidRPr="00090337">
        <w:rPr>
          <w:rFonts w:ascii="Times New Roman" w:eastAsia="Times New Roman" w:hAnsi="Times New Roman" w:cs="Times New Roman"/>
          <w:sz w:val="24"/>
          <w:szCs w:val="24"/>
          <w:lang w:eastAsia="es-ES"/>
        </w:rPr>
        <w:t> </w:t>
      </w:r>
      <w:r w:rsidRPr="0009037B">
        <w:rPr>
          <w:rFonts w:ascii="Times New Roman" w:eastAsia="Times New Roman" w:hAnsi="Times New Roman" w:cs="Times New Roman"/>
          <w:sz w:val="24"/>
          <w:szCs w:val="24"/>
          <w:lang w:eastAsia="es-ES"/>
        </w:rPr>
        <w:t>salieran patos en un estanque volando unos metros y comiendo hierbajos, los niños se aburrirían como ostras”.</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 ¿Sabe que eso de “aburrirse como ostras” es una expresión especista, verdad?</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 Definitivamente el animalismo que se plantea como ideología política ha llegado al delirio, sentencia el profesor Errasti.</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PETA (Personas por el Trato Ético de los Animales), la mayor organización en el mundo en defensa de los derechos de los animales, distribuyó a finales del año pasado una guía para evitar el lenguaje especista, es decir, las expresiones que, según ellos, son crueles con los animales. Adiós a lo de ser un cabeza de chorlito o un burro, a comportarse como un cerdo o matar dos pájaros de un tiro. </w:t>
      </w:r>
      <w:r w:rsidRPr="0009037B">
        <w:rPr>
          <w:rFonts w:ascii="Times New Roman" w:eastAsia="Times New Roman" w:hAnsi="Times New Roman" w:cs="Times New Roman"/>
          <w:bCs/>
          <w:sz w:val="24"/>
          <w:szCs w:val="24"/>
          <w:bdr w:val="none" w:sz="0" w:space="0" w:color="auto" w:frame="1"/>
          <w:lang w:eastAsia="es-ES"/>
        </w:rPr>
        <w:t>“¿Por qué poner toda la carne en el asador si puedes poner todas las ganas o por qué agarrar el toro por los cuernos si puedes agarrar la flor por las espinas?”</w:t>
      </w:r>
      <w:r w:rsidRPr="0009037B">
        <w:rPr>
          <w:rFonts w:ascii="Times New Roman" w:eastAsia="Times New Roman" w:hAnsi="Times New Roman" w:cs="Times New Roman"/>
          <w:sz w:val="24"/>
          <w:szCs w:val="24"/>
          <w:lang w:eastAsia="es-ES"/>
        </w:rPr>
        <w:t>, se preguntan en PETA.</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Juan Ignacio Pérez alerta de un “pensamiento posmoderno” que lo mismo lleva a relativizar el lenguaje que la política, los movimientos sociales o la ciencia. “Es fácil hablar de los derechos de los animales pensando en un gato o un perro, que son animales próximos y simpáticos, pero qué pasa con una langosta o un cangrejo. ¿Y un mosquito o una esponja?”, se pregunta.</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w:t>
      </w:r>
      <w:r w:rsidRPr="0009037B">
        <w:rPr>
          <w:rFonts w:ascii="Times New Roman" w:eastAsia="Times New Roman" w:hAnsi="Times New Roman" w:cs="Times New Roman"/>
          <w:bCs/>
          <w:sz w:val="24"/>
          <w:szCs w:val="24"/>
          <w:bdr w:val="none" w:sz="0" w:space="0" w:color="auto" w:frame="1"/>
          <w:lang w:eastAsia="es-ES"/>
        </w:rPr>
        <w:t>En un metro de césped viven más de 10.000 insectos, así que mueren muchos más animales en un partido de fútbol que en una corrida de toros</w:t>
      </w:r>
      <w:r w:rsidRPr="0009037B">
        <w:rPr>
          <w:rFonts w:ascii="Times New Roman" w:eastAsia="Times New Roman" w:hAnsi="Times New Roman" w:cs="Times New Roman"/>
          <w:sz w:val="24"/>
          <w:szCs w:val="24"/>
          <w:lang w:eastAsia="es-ES"/>
        </w:rPr>
        <w:t xml:space="preserve">, pero, claro, mueren animales muy </w:t>
      </w:r>
      <w:r w:rsidRPr="0009037B">
        <w:rPr>
          <w:rFonts w:ascii="Times New Roman" w:eastAsia="Times New Roman" w:hAnsi="Times New Roman" w:cs="Times New Roman"/>
          <w:sz w:val="24"/>
          <w:szCs w:val="24"/>
          <w:lang w:eastAsia="es-ES"/>
        </w:rPr>
        <w:lastRenderedPageBreak/>
        <w:t>pequeños. ¿Qué hacemos?”, plantea José Manuel Errasti. “En el animalismo actual hay una respuesta emocional e inmadura aprendida de la publicidad que finge tener un argumento racional pero que realmente ofrece </w:t>
      </w:r>
      <w:r w:rsidRPr="0009037B">
        <w:rPr>
          <w:rFonts w:ascii="Times New Roman" w:eastAsia="Times New Roman" w:hAnsi="Times New Roman" w:cs="Times New Roman"/>
          <w:bCs/>
          <w:sz w:val="24"/>
          <w:szCs w:val="24"/>
          <w:bdr w:val="none" w:sz="0" w:space="0" w:color="auto" w:frame="1"/>
          <w:lang w:eastAsia="es-ES"/>
        </w:rPr>
        <w:t>una visión banal del mundo</w:t>
      </w:r>
      <w:r w:rsidRPr="0009037B">
        <w:rPr>
          <w:rFonts w:ascii="Times New Roman" w:eastAsia="Times New Roman" w:hAnsi="Times New Roman" w:cs="Times New Roman"/>
          <w:sz w:val="24"/>
          <w:szCs w:val="24"/>
          <w:lang w:eastAsia="es-ES"/>
        </w:rPr>
        <w:t>, con categorías cursis de Disney, y que sólo puede darse en el ámbito de una ciudad, en el contexto del yogur helado, los</w:t>
      </w:r>
      <w:r w:rsidRPr="0009037B">
        <w:rPr>
          <w:rFonts w:ascii="Times New Roman" w:eastAsia="Times New Roman" w:hAnsi="Times New Roman" w:cs="Times New Roman"/>
          <w:i/>
          <w:iCs/>
          <w:sz w:val="24"/>
          <w:szCs w:val="24"/>
          <w:bdr w:val="none" w:sz="0" w:space="0" w:color="auto" w:frame="1"/>
          <w:lang w:eastAsia="es-ES"/>
        </w:rPr>
        <w:t> </w:t>
      </w:r>
      <w:r w:rsidR="00090337">
        <w:rPr>
          <w:rFonts w:ascii="Times New Roman" w:eastAsia="Times New Roman" w:hAnsi="Times New Roman" w:cs="Times New Roman"/>
          <w:iCs/>
          <w:sz w:val="24"/>
          <w:szCs w:val="24"/>
          <w:bdr w:val="none" w:sz="0" w:space="0" w:color="auto" w:frame="1"/>
          <w:lang w:eastAsia="es-ES"/>
        </w:rPr>
        <w:t>“</w:t>
      </w:r>
      <w:r w:rsidRPr="00090337">
        <w:rPr>
          <w:rFonts w:ascii="Times New Roman" w:eastAsia="Times New Roman" w:hAnsi="Times New Roman" w:cs="Times New Roman"/>
          <w:iCs/>
          <w:sz w:val="24"/>
          <w:szCs w:val="24"/>
          <w:bdr w:val="none" w:sz="0" w:space="0" w:color="auto" w:frame="1"/>
          <w:lang w:eastAsia="es-ES"/>
        </w:rPr>
        <w:t>likes</w:t>
      </w:r>
      <w:r w:rsidR="00090337">
        <w:rPr>
          <w:rFonts w:ascii="Times New Roman" w:eastAsia="Times New Roman" w:hAnsi="Times New Roman" w:cs="Times New Roman"/>
          <w:iCs/>
          <w:sz w:val="24"/>
          <w:szCs w:val="24"/>
          <w:bdr w:val="none" w:sz="0" w:space="0" w:color="auto" w:frame="1"/>
          <w:lang w:eastAsia="es-ES"/>
        </w:rPr>
        <w:t>”</w:t>
      </w:r>
      <w:r w:rsidRPr="0009037B">
        <w:rPr>
          <w:rFonts w:ascii="Times New Roman" w:eastAsia="Times New Roman" w:hAnsi="Times New Roman" w:cs="Times New Roman"/>
          <w:sz w:val="24"/>
          <w:szCs w:val="24"/>
          <w:lang w:eastAsia="es-ES"/>
        </w:rPr>
        <w:t>, los peluches y la mascotita”.</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En ese escenario que dibuja Errasti se explica que ya haya en España 13 millones de mascotas, más perros que niños menores de 15 años. “El descenso de la natalidad ha ido acompañado de un aumento de la </w:t>
      </w:r>
      <w:r w:rsidR="00090337">
        <w:rPr>
          <w:rFonts w:ascii="Times New Roman" w:eastAsia="Times New Roman" w:hAnsi="Times New Roman" w:cs="Times New Roman"/>
          <w:sz w:val="24"/>
          <w:szCs w:val="24"/>
          <w:lang w:eastAsia="es-ES"/>
        </w:rPr>
        <w:t>“</w:t>
      </w:r>
      <w:r w:rsidRPr="00090337">
        <w:rPr>
          <w:rFonts w:ascii="Times New Roman" w:eastAsia="Times New Roman" w:hAnsi="Times New Roman" w:cs="Times New Roman"/>
          <w:iCs/>
          <w:sz w:val="24"/>
          <w:szCs w:val="24"/>
          <w:bdr w:val="none" w:sz="0" w:space="0" w:color="auto" w:frame="1"/>
          <w:lang w:eastAsia="es-ES"/>
        </w:rPr>
        <w:t>mascotidad</w:t>
      </w:r>
      <w:r w:rsidRPr="0009037B">
        <w:rPr>
          <w:rFonts w:ascii="Times New Roman" w:eastAsia="Times New Roman" w:hAnsi="Times New Roman" w:cs="Times New Roman"/>
          <w:sz w:val="24"/>
          <w:szCs w:val="24"/>
          <w:lang w:eastAsia="es-ES"/>
        </w:rPr>
        <w:t>”</w:t>
      </w:r>
      <w:r w:rsidR="00090337">
        <w:rPr>
          <w:rFonts w:ascii="Times New Roman" w:eastAsia="Times New Roman" w:hAnsi="Times New Roman" w:cs="Times New Roman"/>
          <w:sz w:val="24"/>
          <w:szCs w:val="24"/>
          <w:lang w:eastAsia="es-ES"/>
        </w:rPr>
        <w:t>”</w:t>
      </w:r>
      <w:r w:rsidRPr="0009037B">
        <w:rPr>
          <w:rFonts w:ascii="Times New Roman" w:eastAsia="Times New Roman" w:hAnsi="Times New Roman" w:cs="Times New Roman"/>
          <w:sz w:val="24"/>
          <w:szCs w:val="24"/>
          <w:lang w:eastAsia="es-ES"/>
        </w:rPr>
        <w:t>, dice el profesor de Psicología. “Los animales están sirviendo para tener hijos de la forma más </w:t>
      </w:r>
      <w:r w:rsidR="00090337">
        <w:rPr>
          <w:rFonts w:ascii="Times New Roman" w:eastAsia="Times New Roman" w:hAnsi="Times New Roman" w:cs="Times New Roman"/>
          <w:sz w:val="24"/>
          <w:szCs w:val="24"/>
          <w:lang w:eastAsia="es-ES"/>
        </w:rPr>
        <w:t>“</w:t>
      </w:r>
      <w:r w:rsidRPr="00090337">
        <w:rPr>
          <w:rFonts w:ascii="Times New Roman" w:eastAsia="Times New Roman" w:hAnsi="Times New Roman" w:cs="Times New Roman"/>
          <w:iCs/>
          <w:sz w:val="24"/>
          <w:szCs w:val="24"/>
          <w:bdr w:val="none" w:sz="0" w:space="0" w:color="auto" w:frame="1"/>
          <w:lang w:eastAsia="es-ES"/>
        </w:rPr>
        <w:t>light</w:t>
      </w:r>
      <w:r w:rsidR="00090337">
        <w:rPr>
          <w:rFonts w:ascii="Times New Roman" w:eastAsia="Times New Roman" w:hAnsi="Times New Roman" w:cs="Times New Roman"/>
          <w:iCs/>
          <w:sz w:val="24"/>
          <w:szCs w:val="24"/>
          <w:bdr w:val="none" w:sz="0" w:space="0" w:color="auto" w:frame="1"/>
          <w:lang w:eastAsia="es-ES"/>
        </w:rPr>
        <w:t>”</w:t>
      </w:r>
      <w:r w:rsidRPr="0009037B">
        <w:rPr>
          <w:rFonts w:ascii="Times New Roman" w:eastAsia="Times New Roman" w:hAnsi="Times New Roman" w:cs="Times New Roman"/>
          <w:sz w:val="24"/>
          <w:szCs w:val="24"/>
          <w:lang w:eastAsia="es-ES"/>
        </w:rPr>
        <w:t>, sin responsabilidades, hijos que nunca te van a criticar y con los que puedes fantasear una relación humana significativa, aunque no lo sea para nada”.</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Juan Ignacio Pérez alerta: “Estamos viendo cosas que hace 10 años eran inconcebibles, comportamientos extraterrestres”.</w:t>
      </w:r>
    </w:p>
    <w:p w:rsidR="0009037B" w:rsidRPr="00A638CC" w:rsidRDefault="0009037B" w:rsidP="0009037B">
      <w:pPr>
        <w:spacing w:after="0" w:line="240" w:lineRule="auto"/>
        <w:jc w:val="both"/>
        <w:textAlignment w:val="baseline"/>
        <w:rPr>
          <w:rFonts w:ascii="Times New Roman" w:eastAsia="Times New Roman" w:hAnsi="Times New Roman" w:cs="Times New Roman"/>
          <w:color w:val="333333"/>
          <w:sz w:val="24"/>
          <w:szCs w:val="24"/>
          <w:lang w:eastAsia="es-ES"/>
        </w:rPr>
      </w:pPr>
    </w:p>
    <w:p w:rsidR="0009037B" w:rsidRPr="000B5318"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B5318">
        <w:rPr>
          <w:rFonts w:ascii="Times New Roman" w:eastAsia="Times New Roman" w:hAnsi="Times New Roman" w:cs="Times New Roman"/>
          <w:sz w:val="24"/>
          <w:szCs w:val="24"/>
          <w:lang w:eastAsia="es-ES"/>
        </w:rPr>
        <w:t>Durante la campaña electoral de las elecciones generales, </w:t>
      </w:r>
      <w:r w:rsidRPr="000B5318">
        <w:rPr>
          <w:rFonts w:ascii="Times New Roman" w:eastAsia="Times New Roman" w:hAnsi="Times New Roman" w:cs="Times New Roman"/>
          <w:bCs/>
          <w:sz w:val="24"/>
          <w:szCs w:val="24"/>
          <w:bdr w:val="none" w:sz="0" w:space="0" w:color="auto" w:frame="1"/>
          <w:lang w:eastAsia="es-ES"/>
        </w:rPr>
        <w:t>Laura Duarte</w:t>
      </w:r>
      <w:r w:rsidRPr="000B5318">
        <w:rPr>
          <w:rFonts w:ascii="Times New Roman" w:eastAsia="Times New Roman" w:hAnsi="Times New Roman" w:cs="Times New Roman"/>
          <w:sz w:val="24"/>
          <w:szCs w:val="24"/>
          <w:lang w:eastAsia="es-ES"/>
        </w:rPr>
        <w:t>, candidata de Pacma, se grabó un vídeo alimentando cariñosamente a </w:t>
      </w:r>
      <w:hyperlink r:id="rId130" w:tgtFrame="_blank" w:history="1">
        <w:r w:rsidRPr="000B5318">
          <w:rPr>
            <w:rFonts w:ascii="Times New Roman" w:eastAsia="Times New Roman" w:hAnsi="Times New Roman" w:cs="Times New Roman"/>
            <w:sz w:val="24"/>
            <w:szCs w:val="24"/>
            <w:lang w:eastAsia="es-ES"/>
          </w:rPr>
          <w:t>un toro manso haciendo creer que era un toro de lidia</w:t>
        </w:r>
      </w:hyperlink>
      <w:r w:rsidRPr="000B5318">
        <w:rPr>
          <w:rFonts w:ascii="Times New Roman" w:eastAsia="Times New Roman" w:hAnsi="Times New Roman" w:cs="Times New Roman"/>
          <w:sz w:val="24"/>
          <w:szCs w:val="24"/>
          <w:lang w:eastAsia="es-ES"/>
        </w:rPr>
        <w:t>. Confesó después que no tenía insecticidas en casa, que había convivido en armonía con las hormigas de su terraza y que si tuviera ratas en su piso las ahuyentaría de casa sin matarlas, como si fueran vendedores de enciclopedias. En otro vídeo de campaña, </w:t>
      </w:r>
      <w:hyperlink r:id="rId131" w:tgtFrame="_blank" w:history="1">
        <w:r w:rsidRPr="000B5318">
          <w:rPr>
            <w:rFonts w:ascii="Times New Roman" w:eastAsia="Times New Roman" w:hAnsi="Times New Roman" w:cs="Times New Roman"/>
            <w:sz w:val="24"/>
            <w:szCs w:val="24"/>
            <w:lang w:eastAsia="es-ES"/>
          </w:rPr>
          <w:t>Silvia Barquero</w:t>
        </w:r>
      </w:hyperlink>
      <w:r w:rsidRPr="000B5318">
        <w:rPr>
          <w:rFonts w:ascii="Times New Roman" w:eastAsia="Times New Roman" w:hAnsi="Times New Roman" w:cs="Times New Roman"/>
          <w:sz w:val="24"/>
          <w:szCs w:val="24"/>
          <w:lang w:eastAsia="es-ES"/>
        </w:rPr>
        <w:t>, presidenta del partido y candidata al Parlamento europeo, reflexionaba sobre la experimentación científica con animales y hablaba del </w:t>
      </w:r>
      <w:r>
        <w:rPr>
          <w:rFonts w:ascii="Times New Roman" w:eastAsia="Times New Roman" w:hAnsi="Times New Roman" w:cs="Times New Roman"/>
          <w:bCs/>
          <w:sz w:val="24"/>
          <w:szCs w:val="24"/>
          <w:bdr w:val="none" w:sz="0" w:space="0" w:color="auto" w:frame="1"/>
          <w:lang w:eastAsia="es-ES"/>
        </w:rPr>
        <w:t>“</w:t>
      </w:r>
      <w:r w:rsidRPr="000B5318">
        <w:rPr>
          <w:rFonts w:ascii="Times New Roman" w:eastAsia="Times New Roman" w:hAnsi="Times New Roman" w:cs="Times New Roman"/>
          <w:bCs/>
          <w:sz w:val="24"/>
          <w:szCs w:val="24"/>
          <w:bdr w:val="none" w:sz="0" w:space="0" w:color="auto" w:frame="1"/>
          <w:lang w:eastAsia="es-ES"/>
        </w:rPr>
        <w:t>eterno d</w:t>
      </w:r>
      <w:r>
        <w:rPr>
          <w:rFonts w:ascii="Times New Roman" w:eastAsia="Times New Roman" w:hAnsi="Times New Roman" w:cs="Times New Roman"/>
          <w:bCs/>
          <w:sz w:val="24"/>
          <w:szCs w:val="24"/>
          <w:bdr w:val="none" w:sz="0" w:space="0" w:color="auto" w:frame="1"/>
          <w:lang w:eastAsia="es-ES"/>
        </w:rPr>
        <w:t>ilema entre tu madre o tu perro”</w:t>
      </w:r>
      <w:r w:rsidRPr="000B5318">
        <w:rPr>
          <w:rFonts w:ascii="Times New Roman" w:eastAsia="Times New Roman" w:hAnsi="Times New Roman" w:cs="Times New Roman"/>
          <w:sz w:val="24"/>
          <w:szCs w:val="24"/>
          <w:lang w:eastAsia="es-ES"/>
        </w:rPr>
        <w:t> como quien duda entre la tortilla de patata con cebolla o sin cebolla.</w:t>
      </w:r>
    </w:p>
    <w:p w:rsidR="0009037B" w:rsidRPr="000B5318"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B5318"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0B5318">
        <w:rPr>
          <w:rFonts w:ascii="Times New Roman" w:eastAsia="Times New Roman" w:hAnsi="Times New Roman" w:cs="Times New Roman"/>
          <w:sz w:val="24"/>
          <w:szCs w:val="24"/>
          <w:lang w:eastAsia="es-ES"/>
        </w:rPr>
        <w:t>Tratan de ridiculizar lo que es una causa mundial, tan compleja y tan revolucionaria como la nuestra, buscando la excepción, intentando encontrar algo en lo que flaqueemos para intentar demostrar q</w:t>
      </w:r>
      <w:r>
        <w:rPr>
          <w:rFonts w:ascii="Times New Roman" w:eastAsia="Times New Roman" w:hAnsi="Times New Roman" w:cs="Times New Roman"/>
          <w:sz w:val="24"/>
          <w:szCs w:val="24"/>
          <w:lang w:eastAsia="es-ES"/>
        </w:rPr>
        <w:t>ue nuestra causa no se sostiene”, se lamenta ahora Duarte. “</w:t>
      </w:r>
      <w:r w:rsidRPr="000B5318">
        <w:rPr>
          <w:rFonts w:ascii="Times New Roman" w:eastAsia="Times New Roman" w:hAnsi="Times New Roman" w:cs="Times New Roman"/>
          <w:sz w:val="24"/>
          <w:szCs w:val="24"/>
          <w:lang w:eastAsia="es-ES"/>
        </w:rPr>
        <w:t>Nosotros planteamos una situación más natural y normal de lo que parece, que es</w:t>
      </w:r>
      <w:r w:rsidRPr="000B5318">
        <w:rPr>
          <w:rFonts w:ascii="Times New Roman" w:eastAsia="Times New Roman" w:hAnsi="Times New Roman" w:cs="Times New Roman"/>
          <w:bCs/>
          <w:sz w:val="24"/>
          <w:szCs w:val="24"/>
          <w:bdr w:val="none" w:sz="0" w:space="0" w:color="auto" w:frame="1"/>
          <w:lang w:eastAsia="es-ES"/>
        </w:rPr>
        <w:t> elegir no perjudicar a los animales cuando es posible elegir</w:t>
      </w:r>
      <w:r>
        <w:rPr>
          <w:rFonts w:ascii="Times New Roman" w:eastAsia="Times New Roman" w:hAnsi="Times New Roman" w:cs="Times New Roman"/>
          <w:sz w:val="24"/>
          <w:szCs w:val="24"/>
          <w:lang w:eastAsia="es-ES"/>
        </w:rPr>
        <w:t>, que es el 99% de los casos”</w:t>
      </w:r>
      <w:r w:rsidRPr="000B5318">
        <w:rPr>
          <w:rFonts w:ascii="Times New Roman" w:eastAsia="Times New Roman" w:hAnsi="Times New Roman" w:cs="Times New Roman"/>
          <w:sz w:val="24"/>
          <w:szCs w:val="24"/>
          <w:lang w:eastAsia="es-ES"/>
        </w:rPr>
        <w:t>.</w:t>
      </w:r>
    </w:p>
    <w:p w:rsidR="0009037B" w:rsidRPr="000B5318"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B5318"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B5318">
        <w:rPr>
          <w:rFonts w:ascii="Times New Roman" w:eastAsia="Times New Roman" w:hAnsi="Times New Roman" w:cs="Times New Roman"/>
          <w:sz w:val="24"/>
          <w:szCs w:val="24"/>
          <w:lang w:eastAsia="es-ES"/>
        </w:rPr>
        <w:t xml:space="preserve">El programa electoral de Pacma </w:t>
      </w:r>
      <w:r>
        <w:rPr>
          <w:rFonts w:ascii="Times New Roman" w:eastAsia="Times New Roman" w:hAnsi="Times New Roman" w:cs="Times New Roman"/>
          <w:sz w:val="24"/>
          <w:szCs w:val="24"/>
          <w:lang w:eastAsia="es-ES"/>
        </w:rPr>
        <w:t>reclama, entre otras cosas, el “sacrificio cero”</w:t>
      </w:r>
      <w:r w:rsidRPr="000B5318">
        <w:rPr>
          <w:rFonts w:ascii="Times New Roman" w:eastAsia="Times New Roman" w:hAnsi="Times New Roman" w:cs="Times New Roman"/>
          <w:sz w:val="24"/>
          <w:szCs w:val="24"/>
          <w:lang w:eastAsia="es-ES"/>
        </w:rPr>
        <w:t xml:space="preserve"> de animales, la prohibición de su venta, el fin de la tauromaquia, la caza y la pesca deportiva, acabar con los zoológicos, acuarios y toda cautividad con fines de entretenimiento y la búsqueda de métodos alternativos a la experimentación científica con ratones.</w:t>
      </w:r>
    </w:p>
    <w:p w:rsid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B5318"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0B5318">
        <w:rPr>
          <w:rFonts w:ascii="Times New Roman" w:eastAsia="Times New Roman" w:hAnsi="Times New Roman" w:cs="Times New Roman"/>
          <w:sz w:val="24"/>
          <w:szCs w:val="24"/>
          <w:lang w:eastAsia="es-ES"/>
        </w:rPr>
        <w:t>Básicamente todos los animalistas tratamos de evitar el sufrimiento de los animales -comparte Laura Duarte- pero eso implica grandes cambios estructurales y </w:t>
      </w:r>
      <w:r w:rsidRPr="000B5318">
        <w:rPr>
          <w:rFonts w:ascii="Times New Roman" w:eastAsia="Times New Roman" w:hAnsi="Times New Roman" w:cs="Times New Roman"/>
          <w:bCs/>
          <w:sz w:val="24"/>
          <w:szCs w:val="24"/>
          <w:bdr w:val="none" w:sz="0" w:space="0" w:color="auto" w:frame="1"/>
          <w:lang w:eastAsia="es-ES"/>
        </w:rPr>
        <w:t>por eso nos ataca la industria y nos intenta ridiculizar una parte de la sociedad que todavía no lo entiende</w:t>
      </w:r>
      <w:r w:rsidRPr="000B5318">
        <w:rPr>
          <w:rFonts w:ascii="Times New Roman" w:eastAsia="Times New Roman" w:hAnsi="Times New Roman" w:cs="Times New Roman"/>
          <w:sz w:val="24"/>
          <w:szCs w:val="24"/>
          <w:lang w:eastAsia="es-ES"/>
        </w:rPr>
        <w:t>. Nuestro movimiento es equiparable al de otros colectivos discriminados históricamente por la sociedad como la</w:t>
      </w:r>
      <w:r>
        <w:rPr>
          <w:rFonts w:ascii="Times New Roman" w:eastAsia="Times New Roman" w:hAnsi="Times New Roman" w:cs="Times New Roman"/>
          <w:sz w:val="24"/>
          <w:szCs w:val="24"/>
          <w:lang w:eastAsia="es-ES"/>
        </w:rPr>
        <w:t>s mujeres o las personas negras”</w:t>
      </w:r>
      <w:r w:rsidRPr="000B5318">
        <w:rPr>
          <w:rFonts w:ascii="Times New Roman" w:eastAsia="Times New Roman" w:hAnsi="Times New Roman" w:cs="Times New Roman"/>
          <w:sz w:val="24"/>
          <w:szCs w:val="24"/>
          <w:lang w:eastAsia="es-ES"/>
        </w:rPr>
        <w:t>.</w:t>
      </w:r>
    </w:p>
    <w:p w:rsidR="0009037B" w:rsidRPr="000B5318"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B5318"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B5318">
        <w:rPr>
          <w:rFonts w:ascii="Times New Roman" w:eastAsia="Times New Roman" w:hAnsi="Times New Roman" w:cs="Times New Roman"/>
          <w:sz w:val="24"/>
          <w:szCs w:val="24"/>
          <w:lang w:eastAsia="es-ES"/>
        </w:rPr>
        <w:t>- ¿Son equiparables los derechos de los negros con los de los animales?</w:t>
      </w:r>
    </w:p>
    <w:p w:rsidR="0009037B" w:rsidRPr="000B5318"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B5318"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B5318">
        <w:rPr>
          <w:rFonts w:ascii="Times New Roman" w:eastAsia="Times New Roman" w:hAnsi="Times New Roman" w:cs="Times New Roman"/>
          <w:sz w:val="24"/>
          <w:szCs w:val="24"/>
          <w:lang w:eastAsia="es-ES"/>
        </w:rPr>
        <w:t>- Cuando las personas negras empezaron a reclamar sus derechos también se rieron de ellos.</w:t>
      </w:r>
    </w:p>
    <w:p w:rsidR="0009037B" w:rsidRPr="000B5318"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B5318">
        <w:rPr>
          <w:rFonts w:ascii="Times New Roman" w:eastAsia="Times New Roman" w:hAnsi="Times New Roman" w:cs="Times New Roman"/>
          <w:sz w:val="24"/>
          <w:szCs w:val="24"/>
          <w:lang w:eastAsia="es-ES"/>
        </w:rPr>
        <w:t>- Pero los animales todavía no han reclamado nada...</w:t>
      </w:r>
    </w:p>
    <w:p w:rsidR="0009037B" w:rsidRPr="000B5318"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lastRenderedPageBreak/>
        <w:t>- Los niños tampoco y no por eso tienen menos derechos. Los animales merecen tener derechos y ser respetados y defendidos igual que las personas. Nosotros no pedimos que los animales vayan a votar o la Universidad, pedimos que se les respete.</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Lo que parece una exageración no lo es tanto. Los filósofos canadiense </w:t>
      </w:r>
      <w:r w:rsidRPr="0009037B">
        <w:rPr>
          <w:rFonts w:ascii="Times New Roman" w:eastAsia="Times New Roman" w:hAnsi="Times New Roman" w:cs="Times New Roman"/>
          <w:bCs/>
          <w:sz w:val="24"/>
          <w:szCs w:val="24"/>
          <w:bdr w:val="none" w:sz="0" w:space="0" w:color="auto" w:frame="1"/>
          <w:lang w:eastAsia="es-ES"/>
        </w:rPr>
        <w:t>Sue Donaldson y Will Kymlicka</w:t>
      </w:r>
      <w:r w:rsidRPr="0009037B">
        <w:rPr>
          <w:rFonts w:ascii="Times New Roman" w:eastAsia="Times New Roman" w:hAnsi="Times New Roman" w:cs="Times New Roman"/>
          <w:sz w:val="24"/>
          <w:szCs w:val="24"/>
          <w:lang w:eastAsia="es-ES"/>
        </w:rPr>
        <w:t> llegaron a plantear en </w:t>
      </w:r>
      <w:r w:rsidR="00090337">
        <w:rPr>
          <w:rFonts w:ascii="Times New Roman" w:eastAsia="Times New Roman" w:hAnsi="Times New Roman" w:cs="Times New Roman"/>
          <w:sz w:val="24"/>
          <w:szCs w:val="24"/>
          <w:lang w:eastAsia="es-ES"/>
        </w:rPr>
        <w:t>“</w:t>
      </w:r>
      <w:r w:rsidRPr="00090337">
        <w:rPr>
          <w:rFonts w:ascii="Times New Roman" w:eastAsia="Times New Roman" w:hAnsi="Times New Roman" w:cs="Times New Roman"/>
          <w:iCs/>
          <w:sz w:val="24"/>
          <w:szCs w:val="24"/>
          <w:bdr w:val="none" w:sz="0" w:space="0" w:color="auto" w:frame="1"/>
          <w:lang w:eastAsia="es-ES"/>
        </w:rPr>
        <w:t>Zoópolis</w:t>
      </w:r>
      <w:r w:rsidR="00090337">
        <w:rPr>
          <w:rFonts w:ascii="Times New Roman" w:eastAsia="Times New Roman" w:hAnsi="Times New Roman" w:cs="Times New Roman"/>
          <w:iCs/>
          <w:sz w:val="24"/>
          <w:szCs w:val="24"/>
          <w:bdr w:val="none" w:sz="0" w:space="0" w:color="auto" w:frame="1"/>
          <w:lang w:eastAsia="es-ES"/>
        </w:rPr>
        <w:t>”</w:t>
      </w:r>
      <w:r w:rsidRPr="0009037B">
        <w:rPr>
          <w:rFonts w:ascii="Times New Roman" w:eastAsia="Times New Roman" w:hAnsi="Times New Roman" w:cs="Times New Roman"/>
          <w:sz w:val="24"/>
          <w:szCs w:val="24"/>
          <w:lang w:eastAsia="es-ES"/>
        </w:rPr>
        <w:t> (2011) que los animales salvajes agrupados en determinado territorio forman un estado propio con el que el resto de estados deberían negociar de igual a igual o que los animales domésticos deberían ser considerados ciudadanos a todos los efectos.</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¿Dónde está el equilibrio? “El equilibrio está en entender que los animales merecen un trato digno, que </w:t>
      </w:r>
      <w:r w:rsidRPr="0009037B">
        <w:rPr>
          <w:rFonts w:ascii="Times New Roman" w:eastAsia="Times New Roman" w:hAnsi="Times New Roman" w:cs="Times New Roman"/>
          <w:bCs/>
          <w:sz w:val="24"/>
          <w:szCs w:val="24"/>
          <w:bdr w:val="none" w:sz="0" w:space="0" w:color="auto" w:frame="1"/>
          <w:lang w:eastAsia="es-ES"/>
        </w:rPr>
        <w:t>hay que proteger a las bestias de los bestias</w:t>
      </w:r>
      <w:r w:rsidRPr="0009037B">
        <w:rPr>
          <w:rFonts w:ascii="Times New Roman" w:eastAsia="Times New Roman" w:hAnsi="Times New Roman" w:cs="Times New Roman"/>
          <w:sz w:val="24"/>
          <w:szCs w:val="24"/>
          <w:lang w:eastAsia="es-ES"/>
        </w:rPr>
        <w:t>, pero nunca pueden ser sujetos de derecho porque los derechos no caen del cielo, son construcciones jurídicas de los que se dota una comunidad de iguales”, insiste Errasti, que busca un último dilema para exponer su teoría: “Si yo abandono en una isla desierta a mil gallinas y vuelvo mil años después, ahí siguen, encontraré gallinas. Si abandono a mil humanos, cuando vuelva habrán pasado tres monarquías, cuatro guerras, dos religiones, se habrán creado tres estados, uno habrá invadido al otro... El derecho aparece en ese contexto. Creer que las gallinas tienen por el mero hecho de existir los mismos derechos que los humanos es dar un salto delirante”.</w:t>
      </w: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p>
    <w:p w:rsidR="0009037B" w:rsidRPr="0009037B" w:rsidRDefault="0009037B" w:rsidP="0009037B">
      <w:pPr>
        <w:spacing w:after="0"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¿Derechos o bienestar?</w:t>
      </w:r>
    </w:p>
    <w:p w:rsidR="0009037B" w:rsidRPr="0009037B"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sz w:val="24"/>
          <w:szCs w:val="24"/>
          <w:lang w:eastAsia="es-ES"/>
        </w:rPr>
        <w:t>Las diferencias dentro del movimiento animalista están en la consideración moral que trazaba Peter Singer en sus libros. Alberto Díez es director de la Asociación Nacional para la Defensa de los Animales (ANDA) y es lo que llaman un “bienestarista”. “Nuestra lucha no es a favor de los derechos de los animales sino contra su sufrimiento. Los derechos de los animales nunca van a ser los que el animal decida, sino los que les demos los humanos, así que nosotros somos más prácticos que morales y buscamos acuerdos con el sector ganadero, la industria cárnica o los laboratorios científicos para evitar ese sufrimiento”, explica. “Yo no me planteo el derecho a la vida de los animales porque entonces no puedo diferenciar la vida de un perro de la de una hormiga. Lo que sí puedo diferenciar es su capacidad de sufrimiento”. Para ANDA, la prioridad en España es acabar con el uso de animales para el entretenimiento. “Por propia evolución iremos soltando ese lastre”, asegura Díez. “Llevará su tiempo porque es un tema cultural, de tradición, y porque no todo es blanco o negro, pero el maltrato animal como espectáculo tiene los días contados”.</w:t>
      </w:r>
    </w:p>
    <w:p w:rsidR="0009037B" w:rsidRPr="0009037B"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09037B">
        <w:rPr>
          <w:rFonts w:ascii="Times New Roman" w:eastAsia="Times New Roman" w:hAnsi="Times New Roman" w:cs="Times New Roman"/>
          <w:b/>
          <w:sz w:val="24"/>
          <w:szCs w:val="24"/>
          <w:lang w:eastAsia="es-ES"/>
        </w:rPr>
        <w:t>Nota</w:t>
      </w:r>
      <w:r w:rsidRPr="0009037B">
        <w:rPr>
          <w:rFonts w:ascii="Times New Roman" w:eastAsia="Times New Roman" w:hAnsi="Times New Roman" w:cs="Times New Roman"/>
          <w:sz w:val="24"/>
          <w:szCs w:val="24"/>
          <w:lang w:eastAsia="es-ES"/>
        </w:rPr>
        <w:t>: ruego sepan perdonar el salto cronológico de las noticias, pero vale como “coda”.</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 xml:space="preserve">- </w:t>
      </w:r>
      <w:r w:rsidRPr="00606C2E">
        <w:rPr>
          <w:rFonts w:ascii="Times New Roman" w:eastAsia="Times New Roman" w:hAnsi="Times New Roman" w:cs="Times New Roman"/>
          <w:sz w:val="24"/>
          <w:szCs w:val="24"/>
          <w:u w:val="single"/>
          <w:lang w:eastAsia="es-ES"/>
        </w:rPr>
        <w:t>8 no tan conocidas reivindicaciones animalistas que pueden dejarte muy descolocado</w:t>
      </w:r>
      <w:r w:rsidRPr="00606C2E">
        <w:rPr>
          <w:rFonts w:ascii="Times New Roman" w:eastAsia="Times New Roman" w:hAnsi="Times New Roman" w:cs="Times New Roman"/>
          <w:sz w:val="24"/>
          <w:szCs w:val="24"/>
          <w:lang w:eastAsia="es-ES"/>
        </w:rPr>
        <w:t xml:space="preserve"> (magnet.xataka.com - </w:t>
      </w:r>
      <w:r w:rsidRPr="00606C2E">
        <w:rPr>
          <w:rFonts w:ascii="Times New Roman" w:eastAsia="Times New Roman" w:hAnsi="Times New Roman" w:cs="Times New Roman"/>
          <w:b/>
          <w:sz w:val="24"/>
          <w:szCs w:val="24"/>
          <w:lang w:eastAsia="es-ES"/>
        </w:rPr>
        <w:t>19/7/16</w:t>
      </w:r>
      <w:r w:rsidRPr="00606C2E">
        <w:rPr>
          <w:rFonts w:ascii="Times New Roman" w:eastAsia="Times New Roman" w:hAnsi="Times New Roman" w:cs="Times New Roman"/>
          <w:sz w:val="24"/>
          <w:szCs w:val="24"/>
          <w:lang w:eastAsia="es-ES"/>
        </w:rPr>
        <w:t>)</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El bienestar y la salud animal son cuestiones cada vez más relevante para una gran mayoría de personas. El ascenso de algunos partidos animalistas, como el PACMA en España, pone de manifiesto la creciente preocupación por la relación del ser humano con su entorno animal, y el modo en el que trata a las especies, domésticas o salvajes, que tiene a su alrededor. Algunas ideas, como el no abandono de mascotas o la prohibición de la tauromaquia, ya se han instalado en nuestro imaginario colectivo, al margen de su apoyo o rechazo por determinados grupos. Otras, sin embargo, se observan con mayor exotismo.</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lastRenderedPageBreak/>
        <w:t>Es el caso de algunas de las propuestas de algunos grupos animalistas que más revuelo han causado durante los últimos tiempos, tanto por lo inusual de su contenido como por lo, en apariencia, extravagante de sus reivindicaciones. Hemos recopilado algunas de ellas:</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1. Comer higos es comer insectos</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Los higos no son un simple fruto nacido a partir de un árbol. Son una especie de flores invertidas… que en su proceso de formación pueden acoger cadáveres de avispa en su interior. Sí, este descubrimiento, que podría revolverle las tripas al humano medio, es también un motivo de debate para veganos en incluso vegetarianos.</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Pero no hay consenso dentro de esta comunidad alimentaria sobre si el consumo de higos es criminal o no. A fin de cuentas, estas avispas tienen una relación simbiótica con el fruto de la higuera, y sin unos no existirían otros. Además, la mayoría de las higueras que se cultivan a día de hoy son partenogenéticas, y por efecto de la selección artificial se ha logrado que no sea tan necesaria la acción de las avispas, aunque es relativamente habitual encontrar casos de este tipo en higueras naturales.</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2. Ordeñar vacas, una forma de esclavizarlas</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Ha sido una de las ideas más comentadas de forma reciente en las redes sociales. En Igualdad Animal, una organización internacional destinada a la defensa de los derechos de los animales, ofrecen una breve explicación del fundamento teórico de la reivindicación: según ellos, las vacas son explotadas, apartadas de sus familias, relegadas a meros elementos de producción sin interacción social en aras de obtener un producto, la leche, que ni es necesario en nuestra dieta y que puede ser sustituido por otro tipo de alimentos.</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Hay quien, además, considera la explotación y el ordeñamiento de las vacas un acto machista:</w:t>
      </w:r>
    </w:p>
    <w:p w:rsidR="0009037B" w:rsidRPr="00606C2E" w:rsidRDefault="0009037B" w:rsidP="00090337">
      <w:pPr>
        <w:shd w:val="clear" w:color="auto" w:fill="FFFFFF"/>
        <w:spacing w:after="286" w:line="240" w:lineRule="auto"/>
        <w:jc w:val="both"/>
        <w:rPr>
          <w:rFonts w:ascii="Times New Roman" w:eastAsia="Times New Roman" w:hAnsi="Times New Roman" w:cs="Times New Roman"/>
          <w:i/>
          <w:iCs/>
          <w:sz w:val="24"/>
          <w:szCs w:val="24"/>
          <w:lang w:eastAsia="es-ES"/>
        </w:rPr>
      </w:pPr>
      <w:r w:rsidRPr="00606C2E">
        <w:rPr>
          <w:rFonts w:ascii="Times New Roman" w:eastAsia="Times New Roman" w:hAnsi="Times New Roman" w:cs="Times New Roman"/>
          <w:i/>
          <w:iCs/>
          <w:sz w:val="24"/>
          <w:szCs w:val="24"/>
          <w:lang w:eastAsia="es-ES"/>
        </w:rPr>
        <w:t>Tomar leche de vaca es </w:t>
      </w:r>
      <w:hyperlink r:id="rId132" w:history="1">
        <w:r w:rsidRPr="00606C2E">
          <w:rPr>
            <w:rFonts w:ascii="Times New Roman" w:eastAsia="Times New Roman" w:hAnsi="Times New Roman" w:cs="Times New Roman"/>
            <w:i/>
            <w:iCs/>
            <w:sz w:val="24"/>
            <w:szCs w:val="24"/>
            <w:lang w:eastAsia="es-ES"/>
          </w:rPr>
          <w:t>#machismo</w:t>
        </w:r>
      </w:hyperlink>
      <w:r w:rsidRPr="00606C2E">
        <w:rPr>
          <w:rFonts w:ascii="Times New Roman" w:eastAsia="Times New Roman" w:hAnsi="Times New Roman" w:cs="Times New Roman"/>
          <w:i/>
          <w:iCs/>
          <w:sz w:val="24"/>
          <w:szCs w:val="24"/>
          <w:lang w:eastAsia="es-ES"/>
        </w:rPr>
        <w:t>. Las vacas también son féminas♀ oprimida</w:t>
      </w:r>
      <w:r w:rsidR="00090337">
        <w:rPr>
          <w:rFonts w:ascii="Times New Roman" w:eastAsia="Times New Roman" w:hAnsi="Times New Roman" w:cs="Times New Roman"/>
          <w:i/>
          <w:iCs/>
          <w:sz w:val="24"/>
          <w:szCs w:val="24"/>
          <w:lang w:eastAsia="es-ES"/>
        </w:rPr>
        <w:t xml:space="preserve">s por el </w:t>
      </w:r>
      <w:r w:rsidRPr="00606C2E">
        <w:rPr>
          <w:rFonts w:ascii="Times New Roman" w:eastAsia="Times New Roman" w:hAnsi="Times New Roman" w:cs="Times New Roman"/>
          <w:i/>
          <w:iCs/>
          <w:sz w:val="24"/>
          <w:szCs w:val="24"/>
          <w:lang w:eastAsia="es-ES"/>
        </w:rPr>
        <w:t>mismo sistema, son nuestras compañeras. No seas cómplice.</w:t>
      </w:r>
    </w:p>
    <w:p w:rsidR="0009037B" w:rsidRPr="00606C2E" w:rsidRDefault="00090337" w:rsidP="0009037B">
      <w:pPr>
        <w:shd w:val="clear" w:color="auto" w:fill="FFFFFF"/>
        <w:spacing w:line="240" w:lineRule="auto"/>
        <w:rPr>
          <w:rFonts w:ascii="Times New Roman" w:eastAsia="Times New Roman" w:hAnsi="Times New Roman" w:cs="Times New Roman"/>
          <w:i/>
          <w:iCs/>
          <w:sz w:val="24"/>
          <w:szCs w:val="24"/>
          <w:lang w:eastAsia="es-ES"/>
        </w:rPr>
      </w:pPr>
      <w:r>
        <w:rPr>
          <w:rFonts w:ascii="Times New Roman" w:eastAsia="Times New Roman" w:hAnsi="Times New Roman" w:cs="Times New Roman"/>
          <w:i/>
          <w:iCs/>
          <w:sz w:val="24"/>
          <w:szCs w:val="24"/>
          <w:lang w:eastAsia="es-ES"/>
        </w:rPr>
        <w:t>-</w:t>
      </w:r>
      <w:r w:rsidR="0009037B" w:rsidRPr="00606C2E">
        <w:rPr>
          <w:rFonts w:ascii="Times New Roman" w:eastAsia="Times New Roman" w:hAnsi="Times New Roman" w:cs="Times New Roman"/>
          <w:i/>
          <w:iCs/>
          <w:sz w:val="24"/>
          <w:szCs w:val="24"/>
          <w:lang w:eastAsia="es-ES"/>
        </w:rPr>
        <w:t xml:space="preserve"> Anastasia ♀ (@AnastasiaTB1) </w:t>
      </w:r>
      <w:hyperlink r:id="rId133" w:history="1">
        <w:r w:rsidR="0009037B" w:rsidRPr="00606C2E">
          <w:rPr>
            <w:rFonts w:ascii="Times New Roman" w:eastAsia="Times New Roman" w:hAnsi="Times New Roman" w:cs="Times New Roman"/>
            <w:i/>
            <w:iCs/>
            <w:sz w:val="24"/>
            <w:szCs w:val="24"/>
            <w:lang w:eastAsia="es-ES"/>
          </w:rPr>
          <w:t>11 de marzo de 2016</w:t>
        </w:r>
      </w:hyperlink>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3. Los perros guía, en condiciones de servidumbre</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Los perros guía cumplen una relevante labor social, proporcionando apoyo y visión a un sinfín de personas invidentes. Sin embargo, algunos colectivos animalistas han planteado preguntas morales relativas tanto al adiestramiento de los caninos como a las condiciones de vida que disfrutan durante su servicio. Desde pequeños, los cachorros labradores se ven sometidos a constantes cambios en su entorno y hábitat (y apartados de familias con las que habían socializado desde pequeños).</w:t>
      </w:r>
    </w:p>
    <w:p w:rsidR="0009037B"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Su adiestramiento, además, sería duro, y no siempre tendría en cuenta las necesidades del perro, según algunas voces animalistas. De forma paralela, otras corrientes los definen en un estado similar al de las vacas: servidumbre inaceptable, al igual que los perros policía o los de rescate.</w:t>
      </w:r>
    </w:p>
    <w:p w:rsidR="00090337" w:rsidRPr="00606C2E" w:rsidRDefault="00090337"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lastRenderedPageBreak/>
        <w:t>4. Prohibir el foie gras, origen del maltrato a patos</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Es una idea con mayor aceptación política de la que pueda aparentar. En el estado de California, de hecho, su producción y venta ya se han prohibido. ¿La razón? El agresivo procedimiento mediante el cual los criadores obtienen tan preciado producto culinario de los patos, forzando su rápida ingesta de grandes cantidades de comida. PACMA lo lleva en su programa. La polémica ha afectado a Francia como a ningún otro estado, lógicamente, y ha obligado a François Hollande, presidente galo, a salir en defensa de tan icónico producto nacional.</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5. Fin de la pirotecnia, causa de trastornos animales</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Otro de los grandes campos de batalla de algunas organizaciones animalistas, aunque, por lo general, de poca repercusión mediática. La pirotecnia, según ellos, causaría severos daños psicológicos en los animales (les asustaría de forma notable, al ser el campo auditivo de un perro, por ejemplo, superior al de un ser humano) y debería ser o bien prohibida o bien limitada y controlada. No afectaría sólo a animales domésticos como perros o gatos, sino también a especies salvajes, como algunas aves, que huirían de su entorno.</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6. Garantizar derechos legales a los animales</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O a algunos de ellos, más bien. Exploramos la idea en profundidad en “El gran debate de los derechos del chimpancé”. No es en absoluto una idea mainstream dentro de la gran corriente de pensamiento animalista, pero cuenta con algunos notables apoyos. Entre otros, el de Peter Singer y Steve Wise. Este último, de hecho, ha tratado de defender desde un punto de vista legal y constitucional la obligatoriedad de extender los derechos naturales del ser humano a determinados animales como los chimpancés.</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De forma resumida, los animales no serían propietarios de sus dueños y tendrían derecho a llevar a juicio a los mismos en casos de maltrato, dado que contarían con “personalidad jurídica”. En Argentina hay antecedentes: un orangután obtuvo derechos legales no humanos en la corte.</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7. Proteger a los animales del uso publicitario</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La Fundació para el Asesoramiento y Acción en Defensa de los Animales, FAADA, con sede en Barcelona, es una de las organizaciones más activas en la defensa de los derechos animales. O más bien: en la denuncia de las condiciones de explotación a la que muchos de ellos, a su juicio, se ven sometidos. Una de sus campañas más reconocibles es la recopilación de anuncios o campañas publicitarias que se valgan de animales domésticos o salvajes para comercializar un producto cualquiera. Se puede ver el listado completo aquí.</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Muchos de ellos son recurrentes y aparecen en más de un anuncio. Aquí por ejemplo vemos a un primate reaparecer en un anuncio de coches, y aquí, a un tigre anunciar medicamentos.</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8. Abolición total de los zoológicos</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 xml:space="preserve">Algo más conocida: tanto PACMA como otras asociaciones animalistas rechazan de plano la idea de utilizar a los animales para entretenimiento humano. Los circos, por supuesto, están en la lista negra animalista, pero también los zoológicos. Estos últimos serían vistos como </w:t>
      </w:r>
      <w:r w:rsidRPr="00606C2E">
        <w:rPr>
          <w:rFonts w:ascii="Times New Roman" w:eastAsia="Times New Roman" w:hAnsi="Times New Roman" w:cs="Times New Roman"/>
          <w:sz w:val="24"/>
          <w:szCs w:val="24"/>
          <w:lang w:eastAsia="es-ES"/>
        </w:rPr>
        <w:lastRenderedPageBreak/>
        <w:t>cárceles donde animales salvajes, apartados de su hábitat natural, no podrían desarrollarse en plenitud de condiciones. Como exploramos en su momento, el debate es más complejo, y cuestiones como la conservación de determinadas especies también han de ser tenidas en cuenta a la hora de evaluar el papel de los zoos hoy en día.</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noProof/>
          <w:lang w:val="en-GB" w:eastAsia="zh-CN"/>
        </w:rPr>
        <w:drawing>
          <wp:inline distT="0" distB="0" distL="0" distR="0">
            <wp:extent cx="5734050" cy="3041650"/>
            <wp:effectExtent l="0" t="0" r="0" b="6350"/>
            <wp:docPr id="20" name="Imagen 20" descr="https://www.deanimals.com/wp-content/uploads/2020/10/Manifiesto-Feli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deanimals.com/wp-content/uploads/2020/10/Manifiesto-Felino.jpg"/>
                    <pic:cNvPicPr>
                      <a:picLocks noChangeAspect="1" noChangeArrowheads="1"/>
                    </pic:cNvPicPr>
                  </pic:nvPicPr>
                  <pic:blipFill>
                    <a:blip r:embed="rId1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040303"/>
                    </a:xfrm>
                    <a:prstGeom prst="rect">
                      <a:avLst/>
                    </a:prstGeom>
                    <a:noFill/>
                    <a:ln>
                      <a:noFill/>
                    </a:ln>
                  </pic:spPr>
                </pic:pic>
              </a:graphicData>
            </a:graphic>
          </wp:inline>
        </w:drawing>
      </w:r>
    </w:p>
    <w:p w:rsidR="00430FF2" w:rsidRDefault="0009037B" w:rsidP="00430FF2">
      <w:pPr>
        <w:spacing w:line="240" w:lineRule="auto"/>
        <w:jc w:val="both"/>
        <w:rPr>
          <w:rFonts w:ascii="Times New Roman" w:hAnsi="Times New Roman" w:cs="Times New Roman"/>
          <w:b/>
          <w:sz w:val="24"/>
          <w:szCs w:val="24"/>
        </w:rPr>
      </w:pPr>
      <w:r w:rsidRPr="0009037B">
        <w:rPr>
          <w:rFonts w:ascii="Times New Roman" w:hAnsi="Times New Roman" w:cs="Times New Roman"/>
          <w:b/>
          <w:sz w:val="24"/>
          <w:szCs w:val="24"/>
        </w:rPr>
        <w:t>Y</w:t>
      </w:r>
      <w:r>
        <w:rPr>
          <w:rFonts w:ascii="Times New Roman" w:hAnsi="Times New Roman" w:cs="Times New Roman"/>
          <w:b/>
          <w:sz w:val="24"/>
          <w:szCs w:val="24"/>
        </w:rPr>
        <w:t>a</w:t>
      </w:r>
      <w:r w:rsidRPr="0009037B">
        <w:rPr>
          <w:rFonts w:ascii="Times New Roman" w:hAnsi="Times New Roman" w:cs="Times New Roman"/>
          <w:b/>
          <w:sz w:val="24"/>
          <w:szCs w:val="24"/>
        </w:rPr>
        <w:t xml:space="preserve"> “no cabe un tonto más”…</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 xml:space="preserve">- </w:t>
      </w:r>
      <w:r w:rsidRPr="00606C2E">
        <w:rPr>
          <w:rFonts w:ascii="Times New Roman" w:eastAsia="Times New Roman" w:hAnsi="Times New Roman" w:cs="Times New Roman"/>
          <w:sz w:val="24"/>
          <w:szCs w:val="24"/>
          <w:u w:val="single"/>
          <w:lang w:eastAsia="es-ES"/>
        </w:rPr>
        <w:t>Argumentos en contra de las corridas de toros</w:t>
      </w:r>
      <w:r w:rsidRPr="00606C2E">
        <w:rPr>
          <w:rFonts w:ascii="Times New Roman" w:eastAsia="Times New Roman" w:hAnsi="Times New Roman" w:cs="Times New Roman"/>
          <w:sz w:val="24"/>
          <w:szCs w:val="24"/>
          <w:lang w:eastAsia="es-ES"/>
        </w:rPr>
        <w:t xml:space="preserve"> (EcologíaVerde - </w:t>
      </w:r>
      <w:r w:rsidRPr="00606C2E">
        <w:rPr>
          <w:rFonts w:ascii="Times New Roman" w:eastAsia="Times New Roman" w:hAnsi="Times New Roman" w:cs="Times New Roman"/>
          <w:b/>
          <w:sz w:val="24"/>
          <w:szCs w:val="24"/>
          <w:lang w:eastAsia="es-ES"/>
        </w:rPr>
        <w:t>26/6/18</w:t>
      </w:r>
      <w:r w:rsidRPr="00606C2E">
        <w:rPr>
          <w:rFonts w:ascii="Times New Roman" w:eastAsia="Times New Roman" w:hAnsi="Times New Roman" w:cs="Times New Roman"/>
          <w:sz w:val="24"/>
          <w:szCs w:val="24"/>
          <w:lang w:eastAsia="es-ES"/>
        </w:rPr>
        <w:t>)</w:t>
      </w:r>
    </w:p>
    <w:p w:rsidR="0009037B" w:rsidRPr="00606C2E"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6C2E">
        <w:rPr>
          <w:rFonts w:ascii="Times New Roman" w:eastAsia="Times New Roman" w:hAnsi="Times New Roman" w:cs="Times New Roman"/>
          <w:sz w:val="24"/>
          <w:szCs w:val="24"/>
          <w:lang w:eastAsia="es-ES"/>
        </w:rPr>
        <w:t>- ¡</w:t>
      </w:r>
      <w:r w:rsidRPr="00606C2E">
        <w:rPr>
          <w:rFonts w:ascii="Times New Roman" w:eastAsia="Times New Roman" w:hAnsi="Times New Roman" w:cs="Times New Roman"/>
          <w:sz w:val="24"/>
          <w:szCs w:val="24"/>
          <w:u w:val="single"/>
          <w:lang w:eastAsia="es-ES"/>
        </w:rPr>
        <w:t>Prohibida la caza del lobo en España</w:t>
      </w:r>
      <w:r w:rsidRPr="00606C2E">
        <w:rPr>
          <w:rFonts w:ascii="Times New Roman" w:eastAsia="Times New Roman" w:hAnsi="Times New Roman" w:cs="Times New Roman"/>
          <w:sz w:val="24"/>
          <w:szCs w:val="24"/>
          <w:lang w:eastAsia="es-ES"/>
        </w:rPr>
        <w:t xml:space="preserve">! (animanaturalis.org - </w:t>
      </w:r>
      <w:r w:rsidRPr="00606C2E">
        <w:rPr>
          <w:rFonts w:ascii="Times New Roman" w:eastAsia="Times New Roman" w:hAnsi="Times New Roman" w:cs="Times New Roman"/>
          <w:b/>
          <w:sz w:val="24"/>
          <w:szCs w:val="24"/>
          <w:lang w:eastAsia="es-ES"/>
        </w:rPr>
        <w:t>21/9/21</w:t>
      </w:r>
      <w:r w:rsidRPr="00606C2E">
        <w:rPr>
          <w:rFonts w:ascii="Times New Roman" w:eastAsia="Times New Roman" w:hAnsi="Times New Roman" w:cs="Times New Roman"/>
          <w:sz w:val="24"/>
          <w:szCs w:val="24"/>
          <w:lang w:eastAsia="es-ES"/>
        </w:rPr>
        <w:t>)</w:t>
      </w:r>
    </w:p>
    <w:p w:rsidR="0009037B" w:rsidRPr="008277EB" w:rsidRDefault="0009037B" w:rsidP="000903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277EB">
        <w:rPr>
          <w:rFonts w:ascii="Times New Roman" w:hAnsi="Times New Roman" w:cs="Times New Roman"/>
          <w:sz w:val="24"/>
          <w:szCs w:val="24"/>
          <w:u w:val="single"/>
        </w:rPr>
        <w:t>Una jueza tiene en cuenta la sensibilidad de un perro para decidir quién debe cuidarlo</w:t>
      </w:r>
      <w:r>
        <w:rPr>
          <w:rFonts w:ascii="Times New Roman" w:hAnsi="Times New Roman" w:cs="Times New Roman"/>
          <w:sz w:val="24"/>
          <w:szCs w:val="24"/>
        </w:rPr>
        <w:t xml:space="preserve"> (El Confidencial - </w:t>
      </w:r>
      <w:r w:rsidRPr="008277EB">
        <w:rPr>
          <w:rFonts w:ascii="Times New Roman" w:hAnsi="Times New Roman" w:cs="Times New Roman"/>
          <w:b/>
          <w:sz w:val="24"/>
          <w:szCs w:val="24"/>
        </w:rPr>
        <w:t>18/1/22</w:t>
      </w:r>
      <w:r>
        <w:rPr>
          <w:rFonts w:ascii="Times New Roman" w:hAnsi="Times New Roman" w:cs="Times New Roman"/>
          <w:sz w:val="24"/>
          <w:szCs w:val="24"/>
        </w:rPr>
        <w:t>)</w:t>
      </w:r>
    </w:p>
    <w:p w:rsidR="0009037B" w:rsidRDefault="0009037B" w:rsidP="000903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80EDA">
        <w:rPr>
          <w:rFonts w:ascii="Times New Roman" w:hAnsi="Times New Roman" w:cs="Times New Roman"/>
          <w:sz w:val="24"/>
          <w:szCs w:val="24"/>
          <w:u w:val="single"/>
        </w:rPr>
        <w:t>Los ricos hongkoneses alquilan jet privados para sacar a sus mascotas de la ciudad</w:t>
      </w:r>
      <w:r>
        <w:rPr>
          <w:rFonts w:ascii="Times New Roman" w:hAnsi="Times New Roman" w:cs="Times New Roman"/>
          <w:sz w:val="24"/>
          <w:szCs w:val="24"/>
        </w:rPr>
        <w:t xml:space="preserve"> (Financial Times - Expansión - </w:t>
      </w:r>
      <w:r w:rsidRPr="00480EDA">
        <w:rPr>
          <w:rFonts w:ascii="Times New Roman" w:hAnsi="Times New Roman" w:cs="Times New Roman"/>
          <w:b/>
          <w:sz w:val="24"/>
          <w:szCs w:val="24"/>
        </w:rPr>
        <w:t>20/1/22</w:t>
      </w:r>
      <w:r>
        <w:rPr>
          <w:rFonts w:ascii="Times New Roman" w:hAnsi="Times New Roman" w:cs="Times New Roman"/>
          <w:sz w:val="24"/>
          <w:szCs w:val="24"/>
        </w:rPr>
        <w:t>)</w:t>
      </w:r>
    </w:p>
    <w:p w:rsidR="0009037B" w:rsidRPr="00F457A5" w:rsidRDefault="0009037B" w:rsidP="0009037B">
      <w:pPr>
        <w:spacing w:before="100" w:beforeAutospacing="1" w:after="100" w:afterAutospacing="1" w:line="240" w:lineRule="auto"/>
        <w:jc w:val="both"/>
        <w:textAlignment w:val="baseline"/>
        <w:rPr>
          <w:rFonts w:ascii="Times New Roman" w:eastAsia="Times New Roman" w:hAnsi="Times New Roman" w:cs="Times New Roman"/>
          <w:b/>
          <w:sz w:val="24"/>
          <w:szCs w:val="24"/>
          <w:lang w:eastAsia="es-ES"/>
        </w:rPr>
      </w:pPr>
      <w:r w:rsidRPr="00F457A5">
        <w:rPr>
          <w:rFonts w:ascii="Times New Roman" w:eastAsia="Times New Roman" w:hAnsi="Times New Roman" w:cs="Times New Roman"/>
          <w:b/>
          <w:sz w:val="24"/>
          <w:szCs w:val="24"/>
          <w:lang w:eastAsia="es-ES"/>
        </w:rPr>
        <w:t>Rebelión en la granja (en la próxima vida quiero ser un caniche…por lo menos)</w:t>
      </w:r>
    </w:p>
    <w:p w:rsidR="0009037B" w:rsidRPr="00F457A5"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090337">
        <w:rPr>
          <w:rFonts w:ascii="Times New Roman" w:eastAsia="Times New Roman" w:hAnsi="Times New Roman" w:cs="Times New Roman"/>
          <w:sz w:val="24"/>
          <w:szCs w:val="24"/>
          <w:lang w:eastAsia="es-ES"/>
        </w:rPr>
        <w:t>“Todos los animales son iguales, pero algunos son más iguales que otros”</w:t>
      </w:r>
      <w:r w:rsidRPr="00F457A5">
        <w:rPr>
          <w:rFonts w:ascii="Times New Roman" w:eastAsia="Times New Roman" w:hAnsi="Times New Roman" w:cs="Times New Roman"/>
          <w:sz w:val="24"/>
          <w:szCs w:val="24"/>
          <w:lang w:eastAsia="es-ES"/>
        </w:rPr>
        <w:t>: decía George Orwell, en su libro “La granja de los animales”.</w:t>
      </w:r>
    </w:p>
    <w:p w:rsidR="0009037B" w:rsidRDefault="0009037B" w:rsidP="0009037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F457A5">
        <w:rPr>
          <w:rFonts w:ascii="Times New Roman" w:eastAsia="Times New Roman" w:hAnsi="Times New Roman" w:cs="Times New Roman"/>
          <w:sz w:val="24"/>
          <w:szCs w:val="24"/>
          <w:lang w:eastAsia="es-ES"/>
        </w:rPr>
        <w:t>Como amante de los animales, con todo respeto (y humildad) pregunto: ¿y del ser humano, quién se ocupa? ¿quién defiende los derechos del niño, del joven, del estudiante, del trabajador, del parado, de los mayores, de los discapacitados, del ciudadano en general, del sufrido contribuyente…? (podría ampliar la lista)</w:t>
      </w:r>
    </w:p>
    <w:p w:rsidR="00B1142A" w:rsidRPr="00E4524B" w:rsidRDefault="00B1142A" w:rsidP="00B1142A">
      <w:pPr>
        <w:pStyle w:val="NormalWeb"/>
        <w:shd w:val="clear" w:color="auto" w:fill="FFFFFF"/>
        <w:spacing w:after="360"/>
        <w:jc w:val="both"/>
        <w:rPr>
          <w:color w:val="FF0000"/>
        </w:rPr>
      </w:pPr>
      <w:r>
        <w:rPr>
          <w:b/>
        </w:rPr>
        <w:t>Algunos motivos para creer que estamos viviendo</w:t>
      </w:r>
      <w:r w:rsidRPr="002E7720">
        <w:rPr>
          <w:b/>
        </w:rPr>
        <w:t xml:space="preserve"> en </w:t>
      </w:r>
      <w:r>
        <w:rPr>
          <w:b/>
        </w:rPr>
        <w:t>“</w:t>
      </w:r>
      <w:r w:rsidRPr="002E7720">
        <w:rPr>
          <w:b/>
        </w:rPr>
        <w:t>la era de la estupidez</w:t>
      </w:r>
      <w:r>
        <w:rPr>
          <w:b/>
        </w:rPr>
        <w:t>”</w:t>
      </w:r>
    </w:p>
    <w:p w:rsidR="00B1142A" w:rsidRDefault="00B1142A" w:rsidP="00B1142A">
      <w:pPr>
        <w:pStyle w:val="NormalWeb"/>
        <w:shd w:val="clear" w:color="auto" w:fill="FFFFFF"/>
        <w:spacing w:before="0" w:beforeAutospacing="0" w:after="360" w:afterAutospacing="0"/>
        <w:jc w:val="both"/>
        <w:rPr>
          <w:b/>
        </w:rPr>
      </w:pPr>
      <w:r>
        <w:rPr>
          <w:b/>
        </w:rPr>
        <w:t>La imposición “paritaria” del idioma (abolición feminista del genero neutro)</w:t>
      </w:r>
    </w:p>
    <w:p w:rsidR="00B1142A" w:rsidRDefault="00B1142A" w:rsidP="00B1142A">
      <w:pPr>
        <w:pStyle w:val="NormalWeb"/>
        <w:shd w:val="clear" w:color="auto" w:fill="FFFFFF"/>
        <w:spacing w:after="360"/>
        <w:jc w:val="both"/>
      </w:pPr>
      <w:r>
        <w:t xml:space="preserve">- </w:t>
      </w:r>
      <w:r w:rsidRPr="002E7720">
        <w:rPr>
          <w:u w:val="single"/>
        </w:rPr>
        <w:t>No es sexista la lengua, sino su uso</w:t>
      </w:r>
      <w:r>
        <w:t xml:space="preserve"> (El País - </w:t>
      </w:r>
      <w:r w:rsidRPr="002E7720">
        <w:rPr>
          <w:b/>
        </w:rPr>
        <w:t>24/2/18</w:t>
      </w:r>
      <w:r>
        <w:t>)</w:t>
      </w:r>
    </w:p>
    <w:p w:rsidR="00B1142A" w:rsidRDefault="00B1142A" w:rsidP="00B1142A">
      <w:pPr>
        <w:pStyle w:val="NormalWeb"/>
        <w:shd w:val="clear" w:color="auto" w:fill="FFFFFF"/>
        <w:spacing w:after="360"/>
        <w:jc w:val="both"/>
      </w:pPr>
      <w:r>
        <w:lastRenderedPageBreak/>
        <w:t>(Por Álex Grijelmo)</w:t>
      </w:r>
    </w:p>
    <w:p w:rsidR="00B1142A" w:rsidRDefault="00B1142A" w:rsidP="00B1142A">
      <w:pPr>
        <w:pStyle w:val="NormalWeb"/>
        <w:shd w:val="clear" w:color="auto" w:fill="FFFFFF"/>
        <w:spacing w:after="360"/>
        <w:jc w:val="both"/>
      </w:pPr>
      <w:r>
        <w:t>El feminismo de hombres y mujeres que obran de buena fe ha progresado a costa del lenguaje, porque sus reivindicaciones constituyen un fin superior que no debe detenerse ante daños secundarios que ni causan víctimas ni son irreversibles.</w:t>
      </w:r>
    </w:p>
    <w:p w:rsidR="00B1142A" w:rsidRDefault="00B1142A" w:rsidP="00B1142A">
      <w:pPr>
        <w:pStyle w:val="NormalWeb"/>
        <w:shd w:val="clear" w:color="auto" w:fill="FFFFFF"/>
        <w:spacing w:after="360"/>
        <w:jc w:val="both"/>
      </w:pPr>
      <w:r>
        <w:t>Y realmente no se pueden equiparar la protesta ante el abuso del feminismo en tal o cual palabra y la lucha frente a los maltratos, las vejaciones, la discriminación, la ocultación o los salarios que sufren las mujeres.</w:t>
      </w:r>
    </w:p>
    <w:p w:rsidR="00B1142A" w:rsidRDefault="00B1142A" w:rsidP="00B1142A">
      <w:pPr>
        <w:pStyle w:val="NormalWeb"/>
        <w:shd w:val="clear" w:color="auto" w:fill="FFFFFF"/>
        <w:spacing w:after="360"/>
        <w:jc w:val="both"/>
      </w:pPr>
      <w:r>
        <w:t>Así pues, situarse en la defensa del idioma supone, en la práctica, enfrentarse a la causa feminista. Y criticarla en ese terreno sería como censurar a los bomberos por usar sus hachas para derribar la puerta cerrada y salvar así a las víctimas que se hallan desvanecidas en el interior entre las llamas. Qué importa la integridad de la puerta si se trata de rescatar a seres humanos. Qué importa la integridad del idioma si se trata de una lucha justa.</w:t>
      </w:r>
    </w:p>
    <w:p w:rsidR="00B1142A" w:rsidRDefault="00B1142A" w:rsidP="00B1142A">
      <w:pPr>
        <w:pStyle w:val="NormalWeb"/>
        <w:shd w:val="clear" w:color="auto" w:fill="FFFFFF"/>
        <w:spacing w:after="360"/>
        <w:jc w:val="both"/>
      </w:pPr>
      <w:r>
        <w:t>Por tanto, se puede comprender y compartir esa corriente del feminismo que fuerza las palabras para lograr una conciencia general que a su vez consiga cambiar la situación; del mismo modo que no se criticaría a los bomberos en la tesitura referida… salvo que el portero del inmueble les hubiera dado una llave.</w:t>
      </w:r>
    </w:p>
    <w:p w:rsidR="00B1142A" w:rsidRDefault="00B1142A" w:rsidP="00B1142A">
      <w:pPr>
        <w:pStyle w:val="NormalWeb"/>
        <w:shd w:val="clear" w:color="auto" w:fill="FFFFFF"/>
        <w:spacing w:after="360"/>
        <w:jc w:val="both"/>
      </w:pPr>
      <w:r>
        <w:t>Con una llave, los bomberos seguirían allanando un domicilio sin permiso expreso de los dueños, pero en tal caso nadie juzgaría violenta esa acción.</w:t>
      </w:r>
    </w:p>
    <w:p w:rsidR="00B1142A" w:rsidRDefault="00B1142A" w:rsidP="00B1142A">
      <w:pPr>
        <w:pStyle w:val="NormalWeb"/>
        <w:shd w:val="clear" w:color="auto" w:fill="FFFFFF"/>
        <w:spacing w:after="360"/>
        <w:jc w:val="both"/>
      </w:pPr>
      <w:r>
        <w:t>El uso habitual del hacha contra la lengua ha llevado a muchas personas bienintencionadas a considerarla como un sistema construido por el varón, y por tanto masculino; y por tanto machista y discriminatorio. Se arroja así una sombra de rechazo sobre ese patrimonio cultural, una maquinaria compleja cuando se analiza y sencilla cuando se usa; una lengua que, paradójicamente, llamamos “materna”.</w:t>
      </w:r>
    </w:p>
    <w:p w:rsidR="00B1142A" w:rsidRDefault="00B1142A" w:rsidP="00B1142A">
      <w:pPr>
        <w:pStyle w:val="NormalWeb"/>
        <w:shd w:val="clear" w:color="auto" w:fill="FFFFFF"/>
        <w:spacing w:after="360"/>
        <w:jc w:val="both"/>
      </w:pPr>
      <w:r>
        <w:t>Y eso que en España no se ha distribuido una circular del Gobierno que, como sí sucedió en Francia en noviembre pasado, condene el lenguaje inclusivo en los documentos de la Administración; ni la Academia española ha criticado, cosa que sí hizo la francesa, la flexión en femenino de los nombres de profesiones y oficios. Más bien todo lo contrario.</w:t>
      </w:r>
    </w:p>
    <w:p w:rsidR="00B1142A" w:rsidRDefault="00B1142A" w:rsidP="00B1142A">
      <w:pPr>
        <w:pStyle w:val="NormalWeb"/>
        <w:shd w:val="clear" w:color="auto" w:fill="FFFFFF"/>
        <w:spacing w:after="360"/>
        <w:jc w:val="both"/>
      </w:pPr>
      <w:r>
        <w:t>Pero quién sabe si muchos adolescentes interesados en la filología, la psicolingüística o la filosofía de la lengua no se habrán desviado de su vocación al toparse con esos denuestos. Si se desprestigia el idioma, se desprestigia todo lo que a él va asociado.</w:t>
      </w:r>
    </w:p>
    <w:p w:rsidR="00B1142A" w:rsidRDefault="00B1142A" w:rsidP="00B1142A">
      <w:pPr>
        <w:pStyle w:val="NormalWeb"/>
        <w:shd w:val="clear" w:color="auto" w:fill="FFFFFF"/>
        <w:spacing w:after="360"/>
        <w:jc w:val="both"/>
      </w:pPr>
      <w:r>
        <w:t>Acusan de machismo a la lengua española, sí, pero el mismo sistema que no ha dado duplicaciones como “corresponsal” y “corresponsala” ha acogido sin problema “guardián” y “guardiana” o “capitán” y “capitana”, o “bailarín” y “bailarina”. Quienes tienen formación en filología saben que esas decisiones lingüísticas se deben a razones históricas o etimológicas, a veces incluso aleatorias, pero no sexistas.</w:t>
      </w:r>
    </w:p>
    <w:p w:rsidR="00B1142A" w:rsidRDefault="00B1142A" w:rsidP="00B1142A">
      <w:pPr>
        <w:pStyle w:val="NormalWeb"/>
        <w:shd w:val="clear" w:color="auto" w:fill="FFFFFF"/>
        <w:spacing w:after="360"/>
        <w:jc w:val="both"/>
      </w:pPr>
      <w:r>
        <w:t>Idioma y realidad</w:t>
      </w:r>
    </w:p>
    <w:p w:rsidR="00B1142A" w:rsidRDefault="00B1142A" w:rsidP="00B1142A">
      <w:pPr>
        <w:pStyle w:val="NormalWeb"/>
        <w:shd w:val="clear" w:color="auto" w:fill="FFFFFF"/>
        <w:spacing w:after="360"/>
        <w:jc w:val="both"/>
      </w:pPr>
      <w:r>
        <w:t xml:space="preserve">La lengua no es la realidad, sino una representación de la realidad. Tenemos la palabra “padre”, que representa a un hombre, y el término “madre”, que representa a una mujer. Pero si una amiga nos dice “mis padres no están” y yo sé que sus padres son un hombre y una </w:t>
      </w:r>
      <w:r>
        <w:lastRenderedPageBreak/>
        <w:t>mujer, la palabra “padres” los representa a ambos, y no cabe invisibilidad alguna de la madre: la realidad conocida influye en el lenguaje y lo modifica.</w:t>
      </w:r>
    </w:p>
    <w:p w:rsidR="00B1142A" w:rsidRDefault="00B1142A" w:rsidP="00B1142A">
      <w:pPr>
        <w:pStyle w:val="NormalWeb"/>
        <w:shd w:val="clear" w:color="auto" w:fill="FFFFFF"/>
        <w:spacing w:after="360"/>
        <w:jc w:val="both"/>
      </w:pPr>
      <w:r>
        <w:t>Si cuento que “en el concurso de belleza de las fiestas participaron veinte jóvenes”, quien me escuche pensará en veinte mujeres a pesar de que no hay marca de género en ese mensaje. Sin embargo, si escribo “entre sólo tres policías detuvieron a los diez terroristas”, en la palabra “policías” se habrá visto a tres hombres (lo mismo que sólo habrá varones en la palabra “terroristas”), aunque tampoco se ofrezca ninguna pista gramatical al respecto. Esto sucede por la influencia de la realidad en la percepción de las palabras que la representan: abundan los concursos de belleza femenina, hay más policías varones que policías mujeres y son escasas las terroristas. Cuando la realidad cambie, esas mismas palabras representarán la realidad cambiada. Es la realidad la que cambia la lengua. La lengua en sí misma sólo puede avisar para que la realidad cambie.</w:t>
      </w:r>
    </w:p>
    <w:p w:rsidR="00B1142A" w:rsidRDefault="00B1142A" w:rsidP="00B1142A">
      <w:pPr>
        <w:pStyle w:val="NormalWeb"/>
        <w:shd w:val="clear" w:color="auto" w:fill="FFFFFF"/>
        <w:spacing w:after="360"/>
        <w:jc w:val="both"/>
      </w:pPr>
      <w:r>
        <w:t>Por ejemplo, hace años pudo producirse ocultación de la minoría femenina en una expresión como “los diputados españoles”, pero ahora ningún ciudadano ignora que en “los diputados” entran hombres y mujeres. Por la misma razón, si asistimos a una conferencia sobre Los derechos de los españoles y las españolas, sabemos que son los mismos para ambas colectividades. Pero no sucederá lo mismo si la charla se titula Los derechos de los saudíes y las saudíes, pues nuestro conocimiento de la realidad hará que pensemos en derechos diferentes. Una misma estructura sintáctica da resultados distintos. ¿Por qué? Por culpa de la realidad. Cambiémosla.</w:t>
      </w:r>
    </w:p>
    <w:p w:rsidR="00B1142A" w:rsidRDefault="00B1142A" w:rsidP="00B1142A">
      <w:pPr>
        <w:pStyle w:val="NormalWeb"/>
        <w:shd w:val="clear" w:color="auto" w:fill="FFFFFF"/>
        <w:spacing w:after="360"/>
        <w:jc w:val="both"/>
      </w:pPr>
      <w:r>
        <w:t>Las duplicaciones han servido de mucho en la comunicación feminista, han influido en la conciencia general; pero en muchos terrenos la realidad puede hacerlas ya inservibles, por superadas; o, peor aún, contraproducentes por cansinas. El peligro consiste en que esa sensación se dé antes de tiempo: es decir, que el cansancio llegue antes de cumplirse los objetivos que la duplicación pretende.</w:t>
      </w:r>
    </w:p>
    <w:p w:rsidR="00B1142A" w:rsidRDefault="00B1142A" w:rsidP="00B1142A">
      <w:pPr>
        <w:pStyle w:val="NormalWeb"/>
        <w:shd w:val="clear" w:color="auto" w:fill="FFFFFF"/>
        <w:spacing w:after="360"/>
        <w:jc w:val="both"/>
      </w:pPr>
      <w:r>
        <w:t>No obstante, sí cabría combatir algunos usos asimétricos en la lengua sin derribar el sistema con el hacha. Es decir, usando la llave.</w:t>
      </w:r>
    </w:p>
    <w:p w:rsidR="00B1142A" w:rsidRDefault="00B1142A" w:rsidP="00B1142A">
      <w:pPr>
        <w:pStyle w:val="NormalWeb"/>
        <w:shd w:val="clear" w:color="auto" w:fill="FFFFFF"/>
        <w:spacing w:after="360"/>
        <w:jc w:val="both"/>
      </w:pPr>
      <w:r>
        <w:t>Además de reducir la reiteración de duplicaciones para evitar el cansancio y el rechazo, se podría decir, por ejemplo, “la persona” en vez del genérico masculino “el hombre” o “los hombres”. Y también “la abogacía” en lugar de “los abogados”, o “la juventud” en lugar de “los jóvenes”. La filóloga feminista Mercedes Bengoechea ha elaborado una relación de casos así que vale la pena atender.</w:t>
      </w:r>
    </w:p>
    <w:p w:rsidR="00B1142A" w:rsidRDefault="00B1142A" w:rsidP="00B1142A">
      <w:pPr>
        <w:pStyle w:val="NormalWeb"/>
        <w:shd w:val="clear" w:color="auto" w:fill="FFFFFF"/>
        <w:spacing w:after="360"/>
        <w:jc w:val="both"/>
      </w:pPr>
      <w:r>
        <w:t>Género</w:t>
      </w:r>
    </w:p>
    <w:p w:rsidR="00B1142A" w:rsidRDefault="00B1142A" w:rsidP="00B1142A">
      <w:pPr>
        <w:pStyle w:val="NormalWeb"/>
        <w:shd w:val="clear" w:color="auto" w:fill="FFFFFF"/>
        <w:spacing w:after="360"/>
        <w:jc w:val="both"/>
      </w:pPr>
      <w:r>
        <w:t>También se puede dar una reacción contraproducente con la insistencia en la nueva acepción de la voz “género” alumbrada hace 23 años -tras la conferencia de Pekín- mediante una mala traducción de la voz gender, que a su vez funcionaba en inglés como eufemismo de “sexo” por influencia del puritanismo victoriano.</w:t>
      </w:r>
    </w:p>
    <w:p w:rsidR="00B1142A" w:rsidRDefault="00B1142A" w:rsidP="00B1142A">
      <w:pPr>
        <w:pStyle w:val="NormalWeb"/>
        <w:shd w:val="clear" w:color="auto" w:fill="FFFFFF"/>
        <w:spacing w:after="360"/>
        <w:jc w:val="both"/>
      </w:pPr>
      <w:r>
        <w:t>Una silla tiene género, pero no sexo. Los géneros gramaticales agrupan el masculino, el femenino, y el neutro (antaño se incluyeron también el epiceno y el común). Pero la biología sólo acoge el sexo masculino y el femenino (sin que eso excluya el sentimiento de cada cual y el cambio del uno al otro). Así, la confusión entre género y sexo es fuente de grandes malentendidos.</w:t>
      </w:r>
    </w:p>
    <w:p w:rsidR="00B1142A" w:rsidRDefault="00B1142A" w:rsidP="00B1142A">
      <w:pPr>
        <w:pStyle w:val="NormalWeb"/>
        <w:shd w:val="clear" w:color="auto" w:fill="FFFFFF"/>
        <w:spacing w:after="360"/>
        <w:jc w:val="both"/>
      </w:pPr>
      <w:r>
        <w:lastRenderedPageBreak/>
        <w:t>Además, el vocablo “género” (admitido ya por la Academia en el sentido sociológico) altera su polaridad según el contexto: en “violencia de género”, esta voz sustituye a “machista” y refleja una idea firmemente peyorativa. Sin embargo, la locución “políticas de género” puede equivaler a “políticas de igualdad”, y del tal modo ese “género” adquiere un tinte positivo, como sucede también en “conciencia de género”. Por tanto, esta palabra es en esencia positiva unas veces y negativa otras, lo cual dificulta su valor como idea omnicomprensiva del problema.</w:t>
      </w:r>
    </w:p>
    <w:p w:rsidR="00B1142A" w:rsidRDefault="00B1142A" w:rsidP="00B1142A">
      <w:pPr>
        <w:pStyle w:val="NormalWeb"/>
        <w:shd w:val="clear" w:color="auto" w:fill="FFFFFF"/>
        <w:spacing w:after="360"/>
        <w:jc w:val="both"/>
      </w:pPr>
      <w:r>
        <w:t>Por otro lado, la locución “violencia de género” se percibe como algo técnico, incluso suave; un término sociológico que se distancia de los hechos; mientras que el concepto “machista” se condena a sí mismo como algo temible y reprobable, y sería una buena llave para abrir la casa en llamas.</w:t>
      </w:r>
    </w:p>
    <w:p w:rsidR="00B1142A" w:rsidRDefault="00B1142A" w:rsidP="00B1142A">
      <w:pPr>
        <w:pStyle w:val="NormalWeb"/>
        <w:shd w:val="clear" w:color="auto" w:fill="FFFFFF"/>
        <w:spacing w:after="360"/>
        <w:jc w:val="both"/>
      </w:pPr>
      <w:r>
        <w:t>Accidente gramatical</w:t>
      </w:r>
    </w:p>
    <w:p w:rsidR="00B1142A" w:rsidRDefault="00B1142A" w:rsidP="00B1142A">
      <w:pPr>
        <w:pStyle w:val="NormalWeb"/>
        <w:shd w:val="clear" w:color="auto" w:fill="FFFFFF"/>
        <w:spacing w:after="360"/>
        <w:jc w:val="both"/>
      </w:pPr>
      <w:r>
        <w:t>El género es un accidente gramatical. La lengua española no se muestra muy coherente respecto al género. Las palabras terminadas en o suelen ser masculinas, pero tenemos “la contralto”, “la canguro”, “la modelo”, “la sobrecargo”, “la mano”… Las palabras terminadas en a suelen ser femeninas, pero decimos “el día”, “el pirata”, “el pediatra”, “el fisioterapeuta”. La e también se reparte, como en “la esfinge” y “el jefe”. Algunas palabras tienen un solo género que vale para los dos sexos (los nombres epicenos), como “la persona”, “la criatura”, “la víctima”, “la jirafa”, “la ballena” y otros muchos nombres de animales. Y usamos los femeninos “su santidad”, “su majestad” o “su excelencia” para referirnos a varones. Y, por supuesto, algunas palabras en femenino engloban a hombres y mujeres (“la judicatura”, “las más altas personalidades”…), lo mismo que al revés (“el profesorado”, “los altos cargos del partido”). Y además hemos fosilizado expresiones con una extraña concordancia masculino-femenino, como “a ojos ciegas” o “a pies juntillas”. Realmente, no se puede decir que el genio del idioma se haya dedicado mucho a que el género se corresponda estrictamente con el sexo.</w:t>
      </w:r>
    </w:p>
    <w:p w:rsidR="00B1142A" w:rsidRDefault="00B1142A" w:rsidP="00B1142A">
      <w:pPr>
        <w:pStyle w:val="NormalWeb"/>
        <w:shd w:val="clear" w:color="auto" w:fill="FFFFFF"/>
        <w:spacing w:after="360"/>
        <w:jc w:val="both"/>
      </w:pPr>
      <w:r>
        <w:t>Sin embargo, la corriente feminista ha hecho causa del asunto, y ha logrado que se abran paso alternativas a términos comunes para el masculino y el femenino, como “juez” (“el juez” y “la juez”, pero ahora “la jueza”), o “líder” (“la lideresa”); si bien eso no ha alcanzado a otros como “modelo” (“el modelo”, “la modelo”) o “atleta” (el “atleta”, “la atleta”)...</w:t>
      </w:r>
    </w:p>
    <w:p w:rsidR="00B1142A" w:rsidRDefault="00B1142A" w:rsidP="00B1142A">
      <w:pPr>
        <w:pStyle w:val="NormalWeb"/>
        <w:shd w:val="clear" w:color="auto" w:fill="FFFFFF"/>
        <w:spacing w:after="360"/>
        <w:jc w:val="both"/>
      </w:pPr>
      <w:r>
        <w:t>Al mismo tiempo, en teórica contradicción con el caso de “juez”, se desecha el desdoblamiento de “el poeta” y “la poetisa”, y no parece haber polémica con “el sumiller” y “la sumiller” o “el mártir” y “la mártir”, entre otros muchísimos ejemplos posibles.</w:t>
      </w:r>
    </w:p>
    <w:p w:rsidR="00B1142A" w:rsidRDefault="00B1142A" w:rsidP="00B1142A">
      <w:pPr>
        <w:pStyle w:val="NormalWeb"/>
        <w:shd w:val="clear" w:color="auto" w:fill="FFFFFF"/>
        <w:spacing w:after="360"/>
        <w:jc w:val="both"/>
      </w:pPr>
      <w:r>
        <w:t>Es decir, en unos casos se pretende el desdoblamiento, en otros la simplificación y en otros no hay ninguna lucha al respecto. En justa correspondencia con el desorden gramatical.</w:t>
      </w:r>
    </w:p>
    <w:p w:rsidR="00B1142A" w:rsidRDefault="00B1142A" w:rsidP="00B1142A">
      <w:pPr>
        <w:pStyle w:val="NormalWeb"/>
        <w:shd w:val="clear" w:color="auto" w:fill="FFFFFF"/>
        <w:spacing w:after="360"/>
        <w:jc w:val="both"/>
      </w:pPr>
      <w:r>
        <w:t>El mejor árbitro es una mujer</w:t>
      </w:r>
    </w:p>
    <w:p w:rsidR="00B1142A" w:rsidRDefault="00B1142A" w:rsidP="00B1142A">
      <w:pPr>
        <w:pStyle w:val="NormalWeb"/>
        <w:shd w:val="clear" w:color="auto" w:fill="FFFFFF"/>
        <w:spacing w:after="360"/>
        <w:jc w:val="both"/>
      </w:pPr>
      <w:r>
        <w:t xml:space="preserve">Por otra parte, el tan denostado genérico masculino ofrece sus compensaciones. La final de Copa de rugby masculino, disputada el pasado 30 de abril, fue arbitrada por la granadina Alhambra Nievas, que está considerada “el mejor árbitro del mundo”. Y al decir “Alhambra Nievas es el mejor árbitro del mundo”, estamos dándole un papel preponderante no sólo entre las mujeres sino también entre los hombres. El masculino genérico no la hace desaparecer, sino que agranda su importancia. Por tanto, como sostienen las profesoras y feministas Aguas </w:t>
      </w:r>
      <w:r>
        <w:lastRenderedPageBreak/>
        <w:t>Vivas Catalá y Enriqueta García Pascual, no se debe confundir la ausencia con la invisibilidad.</w:t>
      </w:r>
    </w:p>
    <w:p w:rsidR="00B1142A" w:rsidRDefault="00B1142A" w:rsidP="00B1142A">
      <w:pPr>
        <w:pStyle w:val="NormalWeb"/>
        <w:shd w:val="clear" w:color="auto" w:fill="FFFFFF"/>
        <w:spacing w:after="360"/>
        <w:jc w:val="both"/>
      </w:pPr>
      <w:r>
        <w:t>Cuestiones de uso</w:t>
      </w:r>
    </w:p>
    <w:p w:rsidR="00B1142A" w:rsidRDefault="00B1142A" w:rsidP="00B1142A">
      <w:pPr>
        <w:pStyle w:val="NormalWeb"/>
        <w:shd w:val="clear" w:color="auto" w:fill="FFFFFF"/>
        <w:spacing w:after="360"/>
        <w:jc w:val="both"/>
      </w:pPr>
      <w:r>
        <w:t>Catalá y García Pascual han escrito también: “Lo que hay que analizar no es el sexismo en el lenguaje, sino el sexismo en el uso del lenguaje”.</w:t>
      </w:r>
    </w:p>
    <w:p w:rsidR="00B1142A" w:rsidRDefault="00B1142A" w:rsidP="00B1142A">
      <w:pPr>
        <w:pStyle w:val="NormalWeb"/>
        <w:shd w:val="clear" w:color="auto" w:fill="FFFFFF"/>
        <w:spacing w:after="360"/>
        <w:jc w:val="both"/>
      </w:pPr>
      <w:r>
        <w:t>He aquí algunos casos, entre otros muchos posibles, en que sí se produce un claro sexismo al usar las palabras, a menudo de forma inconsciente.</w:t>
      </w:r>
    </w:p>
    <w:p w:rsidR="00B1142A" w:rsidRDefault="00B1142A" w:rsidP="00B1142A">
      <w:pPr>
        <w:pStyle w:val="NormalWeb"/>
        <w:shd w:val="clear" w:color="auto" w:fill="FFFFFF"/>
        <w:spacing w:after="360"/>
        <w:jc w:val="both"/>
      </w:pPr>
      <w:r>
        <w:t>El salto semántico. Expresión que acuñó Álvaro García Meseguer, autor del primer gran ensayo sobre el sexismo lingüístico en España. Por ejemplo: “Los ingleses prefieren el té al café. También prefieren las mujeres rubias a las morenas”. De ese modo, “los ingleses” reúne a hombres y mujeres; pero en la siguiente oración desaparecen éstas de aquel genérico.</w:t>
      </w:r>
    </w:p>
    <w:p w:rsidR="00B1142A" w:rsidRDefault="00B1142A" w:rsidP="00B1142A">
      <w:pPr>
        <w:pStyle w:val="NormalWeb"/>
        <w:shd w:val="clear" w:color="auto" w:fill="FFFFFF"/>
        <w:spacing w:after="360"/>
        <w:jc w:val="both"/>
      </w:pPr>
      <w:r>
        <w:t>Visión androcéntrica. Se da cuando el papel de la mujer se subordina en el lenguaje al protagonismo del hombre, incluso estando situada al mismo nivel profesional.</w:t>
      </w:r>
    </w:p>
    <w:p w:rsidR="00B1142A" w:rsidRDefault="00B1142A" w:rsidP="00B1142A">
      <w:pPr>
        <w:pStyle w:val="NormalWeb"/>
        <w:shd w:val="clear" w:color="auto" w:fill="FFFFFF"/>
        <w:spacing w:after="360"/>
        <w:jc w:val="both"/>
      </w:pPr>
      <w:r>
        <w:t>Así, hemos podido oír: “Brad Pitt llegó acompañado por Angelina Jolie”. Podría decirse al revés, “Angelina Jolie llegó acompañada por Brad Pitt”; pero sería mejor comentar que “Angelina Jolie y Brad ­Pitt llegaron juntos”. Cuando llegaban juntos, claro.</w:t>
      </w:r>
    </w:p>
    <w:p w:rsidR="00B1142A" w:rsidRDefault="00B1142A" w:rsidP="00B1142A">
      <w:pPr>
        <w:pStyle w:val="NormalWeb"/>
        <w:shd w:val="clear" w:color="auto" w:fill="FFFFFF"/>
        <w:spacing w:after="360"/>
        <w:jc w:val="both"/>
      </w:pPr>
      <w:r>
        <w:t>Del mismo modo, si una empresa recomienda a sus comerciales llevar corbata, está eliminando de un plumazo a las comerciales.</w:t>
      </w:r>
    </w:p>
    <w:p w:rsidR="00B1142A" w:rsidRDefault="00B1142A" w:rsidP="00B1142A">
      <w:pPr>
        <w:pStyle w:val="NormalWeb"/>
        <w:shd w:val="clear" w:color="auto" w:fill="FFFFFF"/>
        <w:spacing w:after="360"/>
        <w:jc w:val="both"/>
      </w:pPr>
      <w:r>
        <w:t>Partículas discriminatorias. A estas tendencias sexistas se suma otra más emboscada aún, y que opera con las conjunciones adversativas y concesivas: “Trabaja muy bien, aunque está embarazada”, o “es una mujer, pero muy competente”.</w:t>
      </w:r>
    </w:p>
    <w:p w:rsidR="00B1142A" w:rsidRDefault="00B1142A" w:rsidP="00B1142A">
      <w:pPr>
        <w:pStyle w:val="NormalWeb"/>
        <w:shd w:val="clear" w:color="auto" w:fill="FFFFFF"/>
        <w:spacing w:after="360"/>
        <w:jc w:val="both"/>
      </w:pPr>
      <w:r>
        <w:t>Asimetrías en los nombres. Ocurren cuando se cita a las mujeres por el nombre y a los hombres por el apellido. El nombre de pila acerca al personaje y refleja un tono familiar; el apellido le otorga un trato más respetuoso. Esa asimetría se dio en este titular: “Destituyen al senador que acusó a Dilma de corrupta”.</w:t>
      </w:r>
    </w:p>
    <w:p w:rsidR="00B1142A" w:rsidRDefault="00B1142A" w:rsidP="00B1142A">
      <w:pPr>
        <w:pStyle w:val="NormalWeb"/>
        <w:shd w:val="clear" w:color="auto" w:fill="FFFFFF"/>
        <w:spacing w:after="360"/>
        <w:jc w:val="both"/>
      </w:pPr>
      <w:r>
        <w:t>El uso sexista se produce asimismo al colocar un artículo femenino delante de los patronímicos de mujeres artistas: “la Pantoja” o “la Callas”, que no tienen su correspondencia en “el Bisbal” o “el Serrat”. También en el caso de políticas como “la Thatcher” o “la Cifuentes”.</w:t>
      </w:r>
    </w:p>
    <w:p w:rsidR="00B1142A" w:rsidRDefault="00B1142A" w:rsidP="00B1142A">
      <w:pPr>
        <w:pStyle w:val="NormalWeb"/>
        <w:shd w:val="clear" w:color="auto" w:fill="FFFFFF"/>
        <w:spacing w:after="360"/>
        <w:jc w:val="both"/>
      </w:pPr>
      <w:r>
        <w:t>Y al denominar las obras de pintores o escultores de fama, se dice “un picasso”, “un miró”; pero no “un khalo” (un cuadro de Fidra Khalo).</w:t>
      </w:r>
    </w:p>
    <w:p w:rsidR="00B1142A" w:rsidRDefault="00B1142A" w:rsidP="00B1142A">
      <w:pPr>
        <w:pStyle w:val="NormalWeb"/>
        <w:shd w:val="clear" w:color="auto" w:fill="FFFFFF"/>
        <w:spacing w:after="360"/>
        <w:jc w:val="both"/>
      </w:pPr>
      <w:r>
        <w:t>Se dan asimetrías igualmente en expresiones arraigadas, como “una mujer de vida alegre”; que se diferencia de “un hombre de vida alegre”, además de la ya conocida diferencia entre ser “un zorro” o “una zorra”.</w:t>
      </w:r>
    </w:p>
    <w:p w:rsidR="00B1142A" w:rsidRDefault="00B1142A" w:rsidP="00B1142A">
      <w:pPr>
        <w:pStyle w:val="NormalWeb"/>
        <w:shd w:val="clear" w:color="auto" w:fill="FFFFFF"/>
        <w:spacing w:after="360"/>
        <w:jc w:val="both"/>
      </w:pPr>
      <w:r>
        <w:t>En medio de todos estos problemas referidos al uso, está apuntando en él un fenómeno que permite albergar ciertas esperanzas: el femenino genérico. Pero no forzado, sino natural.</w:t>
      </w:r>
    </w:p>
    <w:p w:rsidR="00B1142A" w:rsidRDefault="00B1142A" w:rsidP="00B1142A">
      <w:pPr>
        <w:pStyle w:val="NormalWeb"/>
        <w:shd w:val="clear" w:color="auto" w:fill="FFFFFF"/>
        <w:spacing w:after="360"/>
        <w:jc w:val="both"/>
      </w:pPr>
      <w:r>
        <w:lastRenderedPageBreak/>
        <w:t>Anoté algunos casos durante los Juegos de Londres, todos ellos en boca de varones: un entrenador y distintos periodistas de la cadena SER: “Jugamos tranquilas, ¿eh?” (seleccionador del equipo femenino de balonmano, durante un tiempo muerto). “¡Si ganamos, estamos clasificadas!” (un periodista, sobre el equipo femenino de waterpolo). “Si estamos entre las siete primeras vamos a ser oro” (sobre la regatista española Marina Alabau en windsurf). “Somos terceras después de las rusas” (sobre el equipo de natación sincronizada). “Hemos pecado un poco de inexpertas” (tras una derrota en waterpolo femenino). Y más recientemente: “¡Hoy podemos ser campeonas de Europa de bádminton!” (Carolina Marín).</w:t>
      </w:r>
    </w:p>
    <w:p w:rsidR="00B1142A" w:rsidRPr="00C31359" w:rsidRDefault="00B1142A" w:rsidP="00B1142A">
      <w:pPr>
        <w:pStyle w:val="NormalWeb"/>
        <w:shd w:val="clear" w:color="auto" w:fill="FFFFFF"/>
        <w:spacing w:before="0" w:beforeAutospacing="0" w:after="360" w:afterAutospacing="0"/>
        <w:jc w:val="both"/>
        <w:rPr>
          <w:b/>
        </w:rPr>
      </w:pPr>
      <w:r w:rsidRPr="00C31359">
        <w:rPr>
          <w:b/>
        </w:rPr>
        <w:t>Bestiario (lo</w:t>
      </w:r>
      <w:r>
        <w:rPr>
          <w:b/>
        </w:rPr>
        <w:t>s “tuits” de Esopo II): donde lo ridículo supera a lo disparatado</w:t>
      </w:r>
    </w:p>
    <w:p w:rsidR="00B1142A" w:rsidRPr="003369A1" w:rsidRDefault="00B1142A" w:rsidP="00B1142A">
      <w:pPr>
        <w:pStyle w:val="NormalWeb"/>
        <w:shd w:val="clear" w:color="auto" w:fill="FFFFFF"/>
        <w:spacing w:before="0" w:beforeAutospacing="0" w:after="360" w:afterAutospacing="0"/>
        <w:jc w:val="both"/>
      </w:pPr>
      <w:r w:rsidRPr="003369A1">
        <w:t>En las fábulas de Esopo</w:t>
      </w:r>
      <w:r>
        <w:t xml:space="preserve"> (I), los “animales” hablaban, ahora, en esta era mediática y de las redes sociales, los “animales” no solo hablan, sino que también escriben en Twitter -Esopo (II)-, donde evacuan sus “detritus” en 140 caracteres.</w:t>
      </w:r>
    </w:p>
    <w:p w:rsidR="00B1142A" w:rsidRDefault="00B1142A" w:rsidP="00B1142A">
      <w:pPr>
        <w:pStyle w:val="NormalWeb"/>
        <w:shd w:val="clear" w:color="auto" w:fill="FFFFFF"/>
        <w:spacing w:before="0" w:beforeAutospacing="0" w:after="360" w:afterAutospacing="0"/>
        <w:jc w:val="both"/>
      </w:pPr>
      <w:r>
        <w:t>Un listado somero (preliminar, parcial, no cronológico, tal vez sesgado, pero igualmente significativo) de las idioteces que deben escuchar o leer los ciudadanos por parte de sus líderes políticos (la mayoría de los ejemplos son de dirigentes españoles, por razón de cercanía, aunque no de simpatía):</w:t>
      </w:r>
    </w:p>
    <w:p w:rsidR="00B1142A" w:rsidRDefault="00B1142A" w:rsidP="00B1142A">
      <w:pPr>
        <w:pStyle w:val="NormalWeb"/>
        <w:shd w:val="clear" w:color="auto" w:fill="FFFFFF"/>
        <w:spacing w:before="0" w:beforeAutospacing="0" w:after="360" w:afterAutospacing="0"/>
        <w:jc w:val="both"/>
      </w:pPr>
      <w:r>
        <w:t xml:space="preserve">- </w:t>
      </w:r>
      <w:r w:rsidRPr="0011332D">
        <w:t>Iñigo Errejón</w:t>
      </w:r>
      <w:r>
        <w:t xml:space="preserve"> (político comunista), creador de: “</w:t>
      </w:r>
      <w:r w:rsidRPr="0011332D">
        <w:t>los venezo</w:t>
      </w:r>
      <w:r>
        <w:t>lanos hacen tres comidas al día”, llega ahora con: “</w:t>
      </w:r>
      <w:r w:rsidRPr="0011332D">
        <w:t>lo</w:t>
      </w:r>
      <w:r>
        <w:t xml:space="preserve">s pollos de corral ponen huevos”… (¿serán unos pollos </w:t>
      </w:r>
      <w:r w:rsidR="00DD6529">
        <w:t>LGTBIQ+</w:t>
      </w:r>
      <w:r>
        <w:t>?)</w:t>
      </w:r>
    </w:p>
    <w:p w:rsidR="00B1142A" w:rsidRDefault="00B1142A" w:rsidP="00B1142A">
      <w:pPr>
        <w:pStyle w:val="NormalWeb"/>
        <w:shd w:val="clear" w:color="auto" w:fill="FFFFFF"/>
        <w:spacing w:before="0" w:beforeAutospacing="0" w:after="360" w:afterAutospacing="0"/>
        <w:jc w:val="both"/>
      </w:pPr>
      <w:r>
        <w:t xml:space="preserve">- En unos </w:t>
      </w:r>
      <w:r w:rsidRPr="0011332D">
        <w:t>vídeos explicativos sobre la vida de las gallinas que han protagonizado dos jóvenes que pertenecen al santuario Almas Ve</w:t>
      </w:r>
      <w:r>
        <w:t xml:space="preserve">ganas, </w:t>
      </w:r>
      <w:r w:rsidRPr="0011332D">
        <w:t>las mujeres aparecen estallando unos huevos co</w:t>
      </w:r>
      <w:r>
        <w:t>ntra el suelo porque ellas les “devuelven sus huevos”</w:t>
      </w:r>
      <w:r w:rsidRPr="0011332D">
        <w:t xml:space="preserve"> a las gallin</w:t>
      </w:r>
      <w:r>
        <w:t>as “porque son suyos”</w:t>
      </w:r>
      <w:r w:rsidRPr="0011332D">
        <w:t>, aseguran. La reacción de las gallina</w:t>
      </w:r>
      <w:r>
        <w:t>s es comerse sus propios huevos… (¿se podría acusar a las gallinas de canibalismo?).</w:t>
      </w:r>
    </w:p>
    <w:p w:rsidR="00B1142A" w:rsidRDefault="00B1142A" w:rsidP="00B1142A">
      <w:pPr>
        <w:pStyle w:val="NormalWeb"/>
        <w:shd w:val="clear" w:color="auto" w:fill="FFFFFF"/>
        <w:spacing w:before="0" w:beforeAutospacing="0" w:after="360" w:afterAutospacing="0"/>
        <w:jc w:val="both"/>
      </w:pPr>
      <w:r w:rsidRPr="0011332D">
        <w:t>En el vídeo explican que esos huevos no están fecundados porque ella</w:t>
      </w:r>
      <w:r>
        <w:t>s se han tomado la libertad de “</w:t>
      </w:r>
      <w:r w:rsidRPr="0011332D">
        <w:t>separar a las gallinas de los gallos porque no queríamos que las violaran</w:t>
      </w:r>
      <w:r>
        <w:t>, aunque fuera en su naturaleza”, dice una. “Porque ellas sufren”</w:t>
      </w:r>
      <w:r w:rsidRPr="0011332D">
        <w:t>, argumenta la otra.</w:t>
      </w:r>
    </w:p>
    <w:p w:rsidR="00B1142A" w:rsidRDefault="00B1142A" w:rsidP="00B1142A">
      <w:pPr>
        <w:pStyle w:val="NormalWeb"/>
        <w:shd w:val="clear" w:color="auto" w:fill="FFFFFF"/>
        <w:spacing w:before="0" w:beforeAutospacing="0" w:after="360" w:afterAutospacing="0"/>
        <w:jc w:val="both"/>
      </w:pPr>
      <w:r>
        <w:t>- E</w:t>
      </w:r>
      <w:r w:rsidRPr="0011332D">
        <w:t>l gobierno</w:t>
      </w:r>
      <w:r>
        <w:t xml:space="preserve"> socialcomunista de España, presidido por</w:t>
      </w:r>
      <w:r w:rsidRPr="0011332D">
        <w:t xml:space="preserve"> Pedro Sánchez</w:t>
      </w:r>
      <w:r>
        <w:t>,</w:t>
      </w:r>
      <w:r w:rsidRPr="0011332D">
        <w:t xml:space="preserve"> está utilizando</w:t>
      </w:r>
      <w:r>
        <w:t xml:space="preserve"> 60 millones de euros, de</w:t>
      </w:r>
      <w:r w:rsidRPr="0011332D">
        <w:t xml:space="preserve"> los </w:t>
      </w:r>
      <w:r>
        <w:t xml:space="preserve">fondos del “rescate” europeo,en </w:t>
      </w:r>
      <w:r w:rsidRPr="0011332D">
        <w:t>un contexto como el actual, con la deuda pública por encima del 120% del PIB y una economía que sigue sin dar signos de recuperación,</w:t>
      </w:r>
      <w:r>
        <w:t xml:space="preserve"> para “</w:t>
      </w:r>
      <w:r w:rsidRPr="000E6C9E">
        <w:t>evitar la electrocución de</w:t>
      </w:r>
      <w:r>
        <w:t xml:space="preserve"> pájaros en tendidos eléctricos”.</w:t>
      </w:r>
    </w:p>
    <w:p w:rsidR="00B1142A" w:rsidRDefault="00B1142A" w:rsidP="00B1142A">
      <w:pPr>
        <w:pStyle w:val="NormalWeb"/>
        <w:shd w:val="clear" w:color="auto" w:fill="FFFFFF"/>
        <w:spacing w:after="360"/>
        <w:jc w:val="both"/>
      </w:pPr>
      <w:r>
        <w:t>E</w:t>
      </w:r>
      <w:r w:rsidRPr="000E6C9E">
        <w:t>l ministerio de Inclusión, Seguridad Social y Migracionesdedicará 4,2 millones de euros de los fondos europeos a una campaña de publicidad con l</w:t>
      </w:r>
      <w:r>
        <w:t>a que pretende promover “</w:t>
      </w:r>
      <w:r w:rsidRPr="000E6C9E">
        <w:t>acciones d</w:t>
      </w:r>
      <w:r>
        <w:t>e sensibilización y divulgación”</w:t>
      </w:r>
      <w:r w:rsidRPr="000E6C9E">
        <w:t xml:space="preserve"> referidas a las políticas que desarrolla el departamento  (valorada en 4 millones de euros), </w:t>
      </w:r>
      <w:r>
        <w:t xml:space="preserve">El presupuesto planteado especifica la necesidad de que se desarrollen, como mínimo, los siguientes trabajos: - “Campañas de divulgación y concienciación del Ingreso Mínimo Vital”. - “Acciones vinculadas a los Días Internacionales dedicados a violencia de género, migrantes, infancia…” - “Campaña de información sobre los beneficios de la migración”. - “Acciones dirigidas a los beneficiarios del Ingreso Mínimo Vital para que conozcan la obligación de hacer la declaración del IRPF”. - “Retransmisiones de las ruedas de prensa e intervenciones del ministro en streaming”. - “Lanzamiento de </w:t>
      </w:r>
      <w:r>
        <w:lastRenderedPageBreak/>
        <w:t>itinerarios asociados al Ingreso Mínimo Vital”. - “Campaña de promoción del Sello Social”. - “Campaña informativa sobre las pensiones, de acuerdo con las directivas del Pacto de Toledo”…</w:t>
      </w:r>
    </w:p>
    <w:p w:rsidR="00B1142A" w:rsidRDefault="00B1142A" w:rsidP="00B1142A">
      <w:pPr>
        <w:pStyle w:val="NormalWeb"/>
        <w:shd w:val="clear" w:color="auto" w:fill="FFFFFF"/>
        <w:spacing w:before="0" w:beforeAutospacing="0" w:after="360" w:afterAutospacing="0"/>
        <w:jc w:val="both"/>
      </w:pPr>
      <w:r>
        <w:t>E</w:t>
      </w:r>
      <w:r w:rsidRPr="000E6C9E">
        <w:t>l ministerio de Traba</w:t>
      </w:r>
      <w:r>
        <w:t xml:space="preserve">jo </w:t>
      </w:r>
      <w:r w:rsidRPr="000E6C9E">
        <w:t>ligará el trabajo d</w:t>
      </w:r>
      <w:r>
        <w:t>e los Servicios de Empleo a la “transversalidad de género”</w:t>
      </w:r>
      <w:r w:rsidRPr="000E6C9E">
        <w:t xml:space="preserve"> (con un coste de 3 millones de euros).</w:t>
      </w:r>
    </w:p>
    <w:p w:rsidR="00B1142A" w:rsidRDefault="00B1142A" w:rsidP="00B1142A">
      <w:pPr>
        <w:pStyle w:val="NormalWeb"/>
        <w:shd w:val="clear" w:color="auto" w:fill="FFFFFF"/>
        <w:spacing w:after="360"/>
        <w:jc w:val="both"/>
      </w:pPr>
      <w:r>
        <w:t>- Yolanda Díaz, vicepresidenta segunda del Gobierno y ministra de Trabajo y Economía Social, ha provocado un vivo debate en las redes sociales después de proponer “trabajar sobre el concepto matria” al considerar que el de patria “tiene una carga pesada”.</w:t>
      </w:r>
    </w:p>
    <w:p w:rsidR="00B1142A" w:rsidRDefault="00B1142A" w:rsidP="00B1142A">
      <w:pPr>
        <w:pStyle w:val="NormalWeb"/>
        <w:shd w:val="clear" w:color="auto" w:fill="FFFFFF"/>
        <w:spacing w:before="0" w:beforeAutospacing="0" w:after="360" w:afterAutospacing="0"/>
        <w:jc w:val="both"/>
      </w:pPr>
      <w:r>
        <w:t>“La matria es algo que cuida, que trata por igual a todas las partes, que no discrimina a nadie porque hable una lengua determinada fundamentada en algo que me construye a mí misma que es el diálogo”, indicó este viernes durante su participación en una charla en la Semana Negra de Gijón. (“</w:t>
      </w:r>
      <w:r w:rsidRPr="006A2045">
        <w:t>Patria es patrimonio, Ministra, y no guarda relación con patriarcado. Lo que usted ansía no es una matria, sino una madras</w:t>
      </w:r>
      <w:r>
        <w:t>tria”, ha escrito Sánchez Dragó).</w:t>
      </w:r>
    </w:p>
    <w:p w:rsidR="00B1142A" w:rsidRDefault="00B1142A" w:rsidP="00B1142A">
      <w:pPr>
        <w:pStyle w:val="NormalWeb"/>
        <w:shd w:val="clear" w:color="auto" w:fill="FFFFFF"/>
        <w:spacing w:after="360"/>
        <w:jc w:val="both"/>
      </w:pPr>
      <w:r w:rsidRPr="0023156E">
        <w:t>La socialista Leire P</w:t>
      </w:r>
      <w:r>
        <w:t xml:space="preserve">ajín </w:t>
      </w:r>
      <w:r w:rsidRPr="0023156E">
        <w:t>secretaria de organización del PSOE</w:t>
      </w:r>
      <w:r>
        <w:t xml:space="preserve"> y ministra del gobierno de</w:t>
      </w:r>
      <w:r w:rsidRPr="0023156E">
        <w:t xml:space="preserve"> Rodríguez Zapatero</w:t>
      </w:r>
      <w:r>
        <w:t>, en su momento, se metió a economista: “</w:t>
      </w:r>
      <w:r w:rsidRPr="0023156E">
        <w:t>El problema es que</w:t>
      </w:r>
      <w:r>
        <w:t xml:space="preserve"> el PIB es claramente masculino”. Para profundizar más en los problemas económicos que atraviesa España señaló indignada que “si me permitís la expresión, el PIB es masculino, es claramente masculino, y por tanto el cambio estará en el momento en que las decisiones importantes estén tomadas también por las mujeres”. No dejó aclarado Pajín si presumiendo al Producto Interior Bruto atributos “masculinos”, quería reivindicar mayor presencia de las mujeres en el sistema productivo español, quizá en el sector de la agricultura, o en las cadenas de montaje. Su explicación simplemente había sido la de señalar que “las decisiones importantes estén tomadas también por las mujeres”.</w:t>
      </w:r>
    </w:p>
    <w:p w:rsidR="00B1142A" w:rsidRPr="00305B40" w:rsidRDefault="00B1142A" w:rsidP="00B1142A">
      <w:pPr>
        <w:pStyle w:val="NormalWeb"/>
        <w:shd w:val="clear" w:color="auto" w:fill="FFFFFF"/>
        <w:spacing w:after="360"/>
        <w:jc w:val="both"/>
        <w:rPr>
          <w:u w:val="single"/>
        </w:rPr>
      </w:pPr>
      <w:r w:rsidRPr="00305B40">
        <w:rPr>
          <w:u w:val="single"/>
        </w:rPr>
        <w:t>Cuando la estupidez se viste de feminismo</w:t>
      </w:r>
    </w:p>
    <w:p w:rsidR="00B1142A" w:rsidRDefault="00B1142A" w:rsidP="00B1142A">
      <w:pPr>
        <w:pStyle w:val="NormalWeb"/>
        <w:shd w:val="clear" w:color="auto" w:fill="FFFFFF"/>
        <w:spacing w:after="360"/>
        <w:jc w:val="both"/>
      </w:pPr>
      <w:r>
        <w:t>- Hay casos en los que la ignorancia o la estupidez, que no son lo mismo, se visten de feminismo, y un ejemplo lo tenemos en el empleo, por Irene Montero, de Podemos, (y ministra de Igualdad, del gobierno de España) del palabro “portavoza”.</w:t>
      </w:r>
    </w:p>
    <w:p w:rsidR="00B1142A" w:rsidRDefault="00B1142A" w:rsidP="00B1142A">
      <w:pPr>
        <w:pStyle w:val="NormalWeb"/>
        <w:shd w:val="clear" w:color="auto" w:fill="FFFFFF"/>
        <w:spacing w:after="360"/>
        <w:jc w:val="both"/>
      </w:pPr>
      <w:r>
        <w:t>Uno podría pensar que el celo feminista de algunas y algunos los lleva a veces a cometer errores léxicos, pero lo peor no es eso, sino que se defienda luego el disparate con argumentos como el de que así se da más “visibilidad” a las mujeres.</w:t>
      </w:r>
    </w:p>
    <w:p w:rsidR="00B1142A" w:rsidRDefault="00B1142A" w:rsidP="00B1142A">
      <w:pPr>
        <w:pStyle w:val="NormalWeb"/>
        <w:shd w:val="clear" w:color="auto" w:fill="FFFFFF"/>
        <w:spacing w:after="360"/>
        <w:jc w:val="both"/>
      </w:pPr>
      <w:r>
        <w:t>“Ya son demasiados los siglos en los que el lenguaje se utiliza como instrumento para perpetuar el machismo en las sociedades”, dijo la dirigente (o dirigenta) de ese partido. Y en su defensa salió por supuesto el “cabezo” de Podemos, Pablo Iglesias (ex vicepresidente del gobierno de España) tuiteando que “hacer una sociedad más justa para las mujeres implica también mejorar y cambiar el lenguaje para hacerlo inclusivo”.</w:t>
      </w:r>
    </w:p>
    <w:p w:rsidR="00B1142A" w:rsidRDefault="00B1142A" w:rsidP="00B1142A">
      <w:pPr>
        <w:pStyle w:val="NormalWeb"/>
        <w:shd w:val="clear" w:color="auto" w:fill="FFFFFF"/>
        <w:spacing w:after="360"/>
        <w:jc w:val="both"/>
      </w:pPr>
      <w:r>
        <w:t xml:space="preserve">Algunas frases </w:t>
      </w:r>
      <w:r w:rsidRPr="001703E2">
        <w:t>significativas del “off the record”</w:t>
      </w:r>
      <w:r>
        <w:t xml:space="preserve"> (en poder de la Guardia Civil)</w:t>
      </w:r>
      <w:r w:rsidRPr="001703E2">
        <w:t xml:space="preserve"> que se ha</w:t>
      </w:r>
      <w:r>
        <w:t>n</w:t>
      </w:r>
      <w:r w:rsidRPr="001703E2">
        <w:t xml:space="preserve"> filtrado de Irene Montero</w:t>
      </w:r>
      <w:r>
        <w:t>, con respecto a la manifestación del Día de la Mujer (8 de marzo), realizada a pesar que el Covid 19, ya había llegado a España, aspecto que el gobierno negó hasta pasado el encuentro feminista:</w:t>
      </w:r>
    </w:p>
    <w:p w:rsidR="00B1142A" w:rsidRDefault="00B1142A" w:rsidP="00B1142A">
      <w:pPr>
        <w:pStyle w:val="NormalWeb"/>
        <w:shd w:val="clear" w:color="auto" w:fill="FFFFFF"/>
        <w:spacing w:after="360"/>
        <w:jc w:val="both"/>
      </w:pPr>
      <w:r>
        <w:lastRenderedPageBreak/>
        <w:t>- “Muac, muac. ¡Un beso ministra! ¿Perdonaaa? Que soy ministra, como me toques te juro que te mato. Ni por el coronavirus ni hostias, que no me toques”.</w:t>
      </w:r>
    </w:p>
    <w:p w:rsidR="00B1142A" w:rsidRDefault="00B1142A" w:rsidP="00B1142A">
      <w:pPr>
        <w:pStyle w:val="NormalWeb"/>
        <w:shd w:val="clear" w:color="auto" w:fill="FFFFFF"/>
        <w:spacing w:after="360"/>
        <w:jc w:val="both"/>
      </w:pPr>
      <w:r>
        <w:t>“A mí que esas (las feministas) me toquen me da un asco que te mueres, tengan o no tengan coronalazo. Basta ya de besos. Y me cogieron al niño y pensé “me lo lesbianizan”. Esto no lo voy a decir en público pero es así: si vas a una manifestación de feministas, te vuelves lesbiana”…</w:t>
      </w:r>
    </w:p>
    <w:p w:rsidR="00B1142A" w:rsidRDefault="00B1142A" w:rsidP="00B1142A">
      <w:pPr>
        <w:pStyle w:val="NormalWeb"/>
        <w:shd w:val="clear" w:color="auto" w:fill="FFFFFF"/>
        <w:spacing w:after="360"/>
        <w:jc w:val="both"/>
      </w:pPr>
      <w:r>
        <w:t>“La bajada de cifras del 8M fue debido a que yo ya soy ministra y muchas consideran que ya han logrado sus objetivos, pero yo eso no lo voy a decir”…</w:t>
      </w:r>
    </w:p>
    <w:p w:rsidR="00B1142A" w:rsidRDefault="00B1142A" w:rsidP="00B1142A">
      <w:pPr>
        <w:pStyle w:val="NormalWeb"/>
        <w:shd w:val="clear" w:color="auto" w:fill="FFFFFF"/>
        <w:spacing w:after="360"/>
        <w:jc w:val="both"/>
      </w:pPr>
      <w:r>
        <w:t>“Sí, sí, la homosexualidad es una enfermedad. La derecha tiene razón, pero no lo voy a decir…”</w:t>
      </w:r>
    </w:p>
    <w:p w:rsidR="00B1142A" w:rsidRDefault="00B1142A" w:rsidP="00B1142A">
      <w:pPr>
        <w:pStyle w:val="NormalWeb"/>
        <w:shd w:val="clear" w:color="auto" w:fill="FFFFFF"/>
        <w:spacing w:after="360"/>
        <w:jc w:val="both"/>
      </w:pPr>
      <w:r>
        <w:t>“Las que han ido este año a la mani eran ya las locas. Y tú estás ahí y… bueno. Bueno. Pero claro, eso no lo voy a decir…</w:t>
      </w:r>
    </w:p>
    <w:p w:rsidR="00B1142A" w:rsidRDefault="00B1142A" w:rsidP="00B1142A">
      <w:pPr>
        <w:pStyle w:val="NormalWeb"/>
        <w:shd w:val="clear" w:color="auto" w:fill="FFFFFF"/>
        <w:spacing w:after="360"/>
        <w:jc w:val="both"/>
      </w:pPr>
      <w:r>
        <w:t>Uf, menos mal que esto es muy secreto y no se va a saber nunca, como lo pille la Guardia Civil…”</w:t>
      </w:r>
    </w:p>
    <w:p w:rsidR="00B1142A" w:rsidRDefault="00B1142A" w:rsidP="00B1142A">
      <w:pPr>
        <w:pStyle w:val="NormalWeb"/>
        <w:shd w:val="clear" w:color="auto" w:fill="FFFFFF"/>
        <w:spacing w:after="360"/>
        <w:jc w:val="both"/>
      </w:pPr>
      <w:r>
        <w:t>Otra política, la vicesecretaria general del PSOE, Adriana Lastra, redundó en la estupidez, dándole la razón a Montero: “Yo a mi portavoza (Margarita Robles) la llamo portavoza”. La cosa tiene además su historia porque hace algunos años, otra política del PSOE, Bibiana Aído, entonces ministra de Igualdad y hoy, según he leído, representante de “ONU Mujeres” en Ecuador, habló de “miembros y miembras” y se quedó tan pancha.</w:t>
      </w:r>
    </w:p>
    <w:p w:rsidR="00B1142A" w:rsidRDefault="00B1142A" w:rsidP="00B1142A">
      <w:pPr>
        <w:pStyle w:val="NormalWeb"/>
        <w:shd w:val="clear" w:color="auto" w:fill="FFFFFF"/>
        <w:spacing w:after="360"/>
        <w:jc w:val="both"/>
      </w:pPr>
      <w:r>
        <w:t>Sorprende que políticos de unos partidos que tanto empeño y razón ponen en defender la pluralidad de identidades sexuales parezcan ser tan cicateros con los géneros gramaticales. ¿O es que en la escuela ya no se enseña como antes que, además de “masculino”, “femenino” y “neutro”, existen otros géneros llamados “epiceno, común y ambiguo”?</w:t>
      </w:r>
    </w:p>
    <w:p w:rsidR="00B1142A" w:rsidRDefault="00B1142A" w:rsidP="00B1142A">
      <w:pPr>
        <w:pStyle w:val="NormalWeb"/>
        <w:shd w:val="clear" w:color="auto" w:fill="FFFFFF"/>
        <w:spacing w:after="360"/>
        <w:jc w:val="both"/>
      </w:pPr>
      <w:r>
        <w:t>Ya le chirría a uno a veces que se hable de “jueza” cuando no hay un “juezo” que parezca justificarlo. ¿Habremos de decir “el violinisto”, el “espío”, tratándose de hombres?</w:t>
      </w:r>
    </w:p>
    <w:p w:rsidR="00B1142A" w:rsidRDefault="00B1142A" w:rsidP="00B1142A">
      <w:pPr>
        <w:pStyle w:val="NormalWeb"/>
        <w:shd w:val="clear" w:color="auto" w:fill="FFFFFF"/>
        <w:spacing w:after="360"/>
        <w:jc w:val="both"/>
      </w:pPr>
      <w:r>
        <w:t>El problema en el caso de “portavoza”, que uno espera que no llegue nunca a consolidarse, es que quien utiliza esa palabra parece desconocer su por otro lado fácil etimología: “portar” y “voz”, palabra esta última que, para más inri, es femenina.</w:t>
      </w:r>
    </w:p>
    <w:p w:rsidR="00B1142A" w:rsidRDefault="00B1142A" w:rsidP="00B1142A">
      <w:pPr>
        <w:pStyle w:val="NormalWeb"/>
        <w:shd w:val="clear" w:color="auto" w:fill="FFFFFF"/>
        <w:spacing w:before="0" w:beforeAutospacing="0" w:after="360" w:afterAutospacing="0"/>
        <w:jc w:val="both"/>
      </w:pPr>
      <w:r>
        <w:t>- El lenguaje “inclusivo”</w:t>
      </w:r>
      <w:r w:rsidRPr="007D2794">
        <w:t xml:space="preserve"> ha jugado este sábado una mala pasada a Yolanda Díaz. La vicepresidenta segunda y ministra de Trabajo ha comenzado así su intervención en el acto de clausura del Congreso confederal</w:t>
      </w:r>
      <w:r>
        <w:t xml:space="preserve"> de Comisiones Obreras (CCOO): “</w:t>
      </w:r>
      <w:r w:rsidRPr="007D2794">
        <w:t>Queridos compañeros y compañ</w:t>
      </w:r>
      <w:r>
        <w:t>eras… Autoridades, autoridadas…”</w:t>
      </w:r>
      <w:r w:rsidRPr="007D2794">
        <w:t xml:space="preserve">. Ella misma se ha dado cuenta del error, como ha evidenciado </w:t>
      </w:r>
      <w:r>
        <w:t>en su gesto, y ha rectificado: “Autoridades”</w:t>
      </w:r>
      <w:r w:rsidRPr="007D2794">
        <w:t>.</w:t>
      </w:r>
    </w:p>
    <w:p w:rsidR="00B1142A" w:rsidRPr="007D2794" w:rsidRDefault="00B1142A" w:rsidP="00B1142A">
      <w:pPr>
        <w:pStyle w:val="NormalWeb"/>
        <w:shd w:val="clear" w:color="auto" w:fill="FFFFFF"/>
        <w:spacing w:before="0" w:beforeAutospacing="0" w:after="360" w:afterAutospacing="0"/>
        <w:jc w:val="both"/>
        <w:rPr>
          <w:u w:val="single"/>
        </w:rPr>
      </w:pPr>
      <w:r w:rsidRPr="007D2794">
        <w:rPr>
          <w:u w:val="single"/>
        </w:rPr>
        <w:t>Para que no parezca que en la “república de los tontos”</w:t>
      </w:r>
      <w:r>
        <w:rPr>
          <w:u w:val="single"/>
        </w:rPr>
        <w:t xml:space="preserve"> solo habitan los</w:t>
      </w:r>
      <w:r w:rsidRPr="007D2794">
        <w:rPr>
          <w:u w:val="single"/>
        </w:rPr>
        <w:t xml:space="preserve"> políticos españoles</w:t>
      </w:r>
    </w:p>
    <w:p w:rsidR="00B1142A" w:rsidRDefault="00B1142A" w:rsidP="00B1142A">
      <w:pPr>
        <w:pStyle w:val="NormalWeb"/>
        <w:shd w:val="clear" w:color="auto" w:fill="FFFFFF"/>
        <w:spacing w:before="0" w:beforeAutospacing="0" w:after="360" w:afterAutospacing="0"/>
        <w:jc w:val="both"/>
      </w:pPr>
      <w:r>
        <w:t xml:space="preserve">- </w:t>
      </w:r>
      <w:r w:rsidRPr="007D2794">
        <w:t>Sergiu Klainerman (Bucarest, 1950)</w:t>
      </w:r>
      <w:r>
        <w:t xml:space="preserve">, es </w:t>
      </w:r>
      <w:r w:rsidRPr="007D2794">
        <w:t xml:space="preserve">profesor en la prestigiosa Universidad de Princeton, donde además de dar clase y guiar investigaciones se dedicar a indagar en la teoría matemática de los agujeros negros. Entre sus muchos títulos figura el de miembro de la </w:t>
      </w:r>
      <w:r w:rsidRPr="007D2794">
        <w:lastRenderedPageBreak/>
        <w:t xml:space="preserve">Academia Nacional de Ciencias de Estados Unidos, país del que acabó adquiriendo la nacionalidad, y de la Academia de Ciencias de Francia. </w:t>
      </w:r>
    </w:p>
    <w:p w:rsidR="00B1142A" w:rsidRDefault="00B1142A" w:rsidP="00B1142A">
      <w:pPr>
        <w:pStyle w:val="NormalWeb"/>
        <w:shd w:val="clear" w:color="auto" w:fill="FFFFFF"/>
        <w:spacing w:after="360"/>
        <w:jc w:val="both"/>
      </w:pPr>
      <w:r>
        <w:t xml:space="preserve">Sin embargo, Klainerman no sólo se dedica a la ciencia. De un tiempo a esta parte dedica importantes esfuerzos intelectuales a la defensa de la ciencia matemática. Ésta, a su entender, está amenazada por lo que se ha venido a llamar movimiento woke, en el que, en nombre de la justicia social, hay activistas capaces de lanzar cruzadas como esa que pretende luchar contra el racismo en las matemáticas. </w:t>
      </w:r>
    </w:p>
    <w:p w:rsidR="00B1142A" w:rsidRDefault="00B1142A" w:rsidP="00B1142A">
      <w:pPr>
        <w:pStyle w:val="NormalWeb"/>
        <w:shd w:val="clear" w:color="auto" w:fill="FFFFFF"/>
        <w:spacing w:after="360"/>
        <w:jc w:val="both"/>
      </w:pPr>
      <w:r>
        <w:t xml:space="preserve">“Es un sinsentido”, dice Klainerman en esta entrevista a NIUS sobre este fenómeno que aspira incluso a eliminar el supuesto “supremacismo blanco” existente en la disciplina científica gracias a la cual el ahora profesor de Princeton encontró la libertad. “La noción misma de que hay algo etnocéntrico en las matemáticas es algo ridículo, eso no existe”, señala Klainerman. </w:t>
      </w:r>
    </w:p>
    <w:p w:rsidR="00B1142A" w:rsidRDefault="00B1142A" w:rsidP="00B1142A">
      <w:pPr>
        <w:pStyle w:val="NormalWeb"/>
        <w:shd w:val="clear" w:color="auto" w:fill="FFFFFF"/>
        <w:spacing w:after="360"/>
        <w:jc w:val="both"/>
      </w:pPr>
      <w:r>
        <w:t>La suya probablemente sea la voz más clara que se ha levantado, por ejemplo, en contra de documentos como ese libro de trabajo destinado a profesores de matemáticas de escuelas recientemente publicado en Estados Unidos que se titula Pathway to Equitable Math Instruction: Dismantling Racism in Mathematics Instruction o “Guía para la instrucción justa en matemáticas: desmantelando el racismo en las matemáticas”.</w:t>
      </w:r>
    </w:p>
    <w:p w:rsidR="00B1142A" w:rsidRDefault="00B1142A" w:rsidP="00B1142A">
      <w:pPr>
        <w:pStyle w:val="NormalWeb"/>
        <w:shd w:val="clear" w:color="auto" w:fill="FFFFFF"/>
        <w:spacing w:after="360"/>
        <w:jc w:val="both"/>
      </w:pPr>
      <w:r>
        <w:t>P: En esta entrevista vamos a hablar de su defensa de las matemáticas ante quienes quieren “desmantelar el racismo” que hay en esta disciplina. ¿Qué ha pasado en Estados Unidos para que se llegue a este extremo?</w:t>
      </w:r>
    </w:p>
    <w:p w:rsidR="00B1142A" w:rsidRDefault="00B1142A" w:rsidP="00B1142A">
      <w:pPr>
        <w:pStyle w:val="NormalWeb"/>
        <w:shd w:val="clear" w:color="auto" w:fill="FFFFFF"/>
        <w:spacing w:before="0" w:beforeAutospacing="0" w:after="360" w:afterAutospacing="0"/>
        <w:jc w:val="both"/>
      </w:pPr>
      <w:r>
        <w:t>Lo que está pasando es que hay un tipo de izquierda que es muy radical, que tiene muchas cosas en común con la antigua izquierda, la izquierda comunista o socialista, pero que también es diferente en muchos aspectos. En los que respecta a la ciencia, tiene una visión del mundo muy relativista basada en la idea de que no existe una realidad objetiva.</w:t>
      </w:r>
    </w:p>
    <w:p w:rsidR="00B1142A" w:rsidRDefault="00B1142A" w:rsidP="00B1142A">
      <w:pPr>
        <w:pStyle w:val="NormalWeb"/>
        <w:shd w:val="clear" w:color="auto" w:fill="FFFFFF"/>
        <w:spacing w:after="360"/>
        <w:jc w:val="both"/>
      </w:pPr>
      <w:r>
        <w:t>P: ¿Podría decirse que esa izquierda es anticientífica?</w:t>
      </w:r>
    </w:p>
    <w:p w:rsidR="00B1142A" w:rsidRDefault="00B1142A" w:rsidP="00B1142A">
      <w:pPr>
        <w:pStyle w:val="NormalWeb"/>
        <w:shd w:val="clear" w:color="auto" w:fill="FFFFFF"/>
        <w:spacing w:after="360"/>
        <w:jc w:val="both"/>
      </w:pPr>
      <w:r>
        <w:t xml:space="preserve">Sí. Y esto es algo que no era típico de la izquierda tradicional. La cuestión de las matemáticas nunca fue un tema de debate con la izquierda de la vieja escuela. Pero la ideología del movimiento woke es tal que amenaza la integridad de la ciencia y las matemáticas y tiende a politizar las matemáticas. A los niños se les dicen cosas como que la manera correcta de hacer matemáticas es intentar responder en función de sus propias experiencias o que las matemáticas que han sido practicadas hasta ahora fueron “matemáticas blancas”. Y que cualquier cosa que tenga que ver con encontrar la buena respuesta está mal. </w:t>
      </w:r>
    </w:p>
    <w:p w:rsidR="00B1142A" w:rsidRDefault="00B1142A" w:rsidP="00B1142A">
      <w:pPr>
        <w:pStyle w:val="NormalWeb"/>
        <w:shd w:val="clear" w:color="auto" w:fill="FFFFFF"/>
        <w:spacing w:after="360"/>
        <w:jc w:val="both"/>
      </w:pPr>
      <w:r>
        <w:t>P: Esto mismo es algo que se observa en el documento A Pathway to Equitable Math Instruction: Dismantling Racism in Mathematics Instruction, ¿Cómo explica usted que se produzcan en Estados Unidos este tipo de libros para maestros de escuela?</w:t>
      </w:r>
    </w:p>
    <w:p w:rsidR="00B1142A" w:rsidRDefault="00B1142A" w:rsidP="00B1142A">
      <w:pPr>
        <w:pStyle w:val="NormalWeb"/>
        <w:shd w:val="clear" w:color="auto" w:fill="FFFFFF"/>
        <w:spacing w:after="360"/>
        <w:jc w:val="both"/>
      </w:pPr>
      <w:r>
        <w:t xml:space="preserve">Hay una larga historia de intentos equivocados de mejorar la educación de las escuelas de Estados Unidos basados en teorías progresistas que, creadas en las Escuelas de Educación -las que se dedican a formar maestros estadounidenses-, son difundidas luego por activistas. También hay larga historia de gente muy rica donando dinero a lo que perciben que son buenas causas. Este documento del que usted habla, en particular, está fuertemente </w:t>
      </w:r>
      <w:r>
        <w:lastRenderedPageBreak/>
        <w:t>influenciado por la Teoría Crítica de la Raza, un producto de la llamada Teoría Crítica. Ésta es una nueva forma de marxismo basada en la idea de que para poder avanzar hacia la revolución el camino es destruir la cultura hegemónica del capitalismo y de Occidente.</w:t>
      </w:r>
    </w:p>
    <w:p w:rsidR="00B1142A" w:rsidRDefault="00B1142A" w:rsidP="00B1142A">
      <w:pPr>
        <w:pStyle w:val="NormalWeb"/>
        <w:shd w:val="clear" w:color="auto" w:fill="FFFFFF"/>
        <w:spacing w:after="360"/>
        <w:jc w:val="both"/>
      </w:pPr>
      <w:r>
        <w:t>Estas filosofías han crecido en Estados Unidos en varios departamentos de universidades, típicamente en los de Humanidades. A partir de esos pocos departamentos, esas ideas se fueron extendiendo y llevaron  al surgir del movimiento woke. Pero probablemente se hicieron influyentes en la educación cuando llegaron a las Escuelas de Educación, porque de esos centros salen los maestros de escuela de Estados Unidos. De alguna forma, este movimiento woke se ha hecho con el control de las Escuelas de Educación.</w:t>
      </w:r>
    </w:p>
    <w:p w:rsidR="00B1142A" w:rsidRDefault="00B1142A" w:rsidP="00B1142A">
      <w:pPr>
        <w:pStyle w:val="NormalWeb"/>
        <w:shd w:val="clear" w:color="auto" w:fill="FFFFFF"/>
        <w:spacing w:after="360"/>
        <w:jc w:val="both"/>
      </w:pPr>
      <w:r>
        <w:t>P: Y por eso, de cuando en cuando, aparecen documentos como ese que plantea “desmantelar el racismo en la instrucción de las matemáticas”, o los presentados en su momento en esa línea en el Estado de Oregón y otras partes de su país. Aunque me imagino su respuesta, permítame preguntarle: ¿Tienen las matemáticas un problema de supremacismo blanco?</w:t>
      </w:r>
    </w:p>
    <w:p w:rsidR="00B1142A" w:rsidRDefault="00B1142A" w:rsidP="00B1142A">
      <w:pPr>
        <w:pStyle w:val="NormalWeb"/>
        <w:shd w:val="clear" w:color="auto" w:fill="FFFFFF"/>
        <w:spacing w:after="360"/>
        <w:jc w:val="both"/>
      </w:pPr>
      <w:r>
        <w:t>(Risas). Claro que no. Para empezar, cabría preguntarse: ¿Tiene la esencia de las matemáticas algo que ver con una cultura en particular? La respuesta es no. Las matemáticas constituyen un edificio maravilloso en cuya construcción han contribuido muchas culturas: los babilonios, los egipcios, los griegos, los indios, los chinos, los árabes... Hablar del origen de las matemáticas implica remontarnos a varias civilizaciones. Cada avance en las civilizaciones sirvió para que continuara la siguiente.</w:t>
      </w:r>
    </w:p>
    <w:p w:rsidR="00B1142A" w:rsidRDefault="00B1142A" w:rsidP="00B1142A">
      <w:pPr>
        <w:pStyle w:val="NormalWeb"/>
        <w:shd w:val="clear" w:color="auto" w:fill="FFFFFF"/>
        <w:spacing w:after="360"/>
        <w:jc w:val="both"/>
      </w:pPr>
      <w:r>
        <w:t xml:space="preserve">Por ejemplo, los griegos continuaron en lo que hicieron los egipcios y las matemáticas de los griegos tuvieron un impacto enorme en el desarrollo de las matemáticas europeas y árabes. Lo que es cierto es que en los últimos 400 o 500 años, los descubrimientos matemáticos más importantes han tenido lugar en Europa y en Estados Unidos. Pero incluso en esos descubrimientos han participado personas de todo el mundo. La noción misma de que hay algo etnocéntrico en las matemáticas es algo ridículo. Es algo que no existe. </w:t>
      </w:r>
    </w:p>
    <w:p w:rsidR="00B1142A" w:rsidRDefault="00B1142A" w:rsidP="00B1142A">
      <w:pPr>
        <w:pStyle w:val="NormalWeb"/>
        <w:shd w:val="clear" w:color="auto" w:fill="FFFFFF"/>
        <w:spacing w:after="360"/>
        <w:jc w:val="both"/>
      </w:pPr>
      <w:r>
        <w:t>P: ¿Cómo de grande diría usted que puede ser el problema del racismo en las facultades de matemáticas?</w:t>
      </w:r>
    </w:p>
    <w:p w:rsidR="00B1142A" w:rsidRDefault="00B1142A" w:rsidP="00B1142A">
      <w:pPr>
        <w:pStyle w:val="NormalWeb"/>
        <w:shd w:val="clear" w:color="auto" w:fill="FFFFFF"/>
        <w:spacing w:after="360"/>
        <w:jc w:val="both"/>
      </w:pPr>
      <w:r>
        <w:t xml:space="preserve">Respecto al tema de dónde vienen las personas que hacen matemáticas le diré que Estados Unidos es un caso modélico increíble. En el departamento de matemáticas de Princeton, por ejemplo, sólo el 15% son gente nacida en Estados Unidos. Somos casi todos extranjeros o de origen extranjero. Aunque puede que no tengamos afroamericanos, tenemos gente de color, claro que sí. La realidad de las matemáticas es lo opuesto de lo que esta izquierda woke está diciendo. </w:t>
      </w:r>
    </w:p>
    <w:p w:rsidR="00B1142A" w:rsidRDefault="00B1142A" w:rsidP="00B1142A">
      <w:pPr>
        <w:pStyle w:val="NormalWeb"/>
        <w:shd w:val="clear" w:color="auto" w:fill="FFFFFF"/>
        <w:spacing w:after="360"/>
        <w:jc w:val="both"/>
      </w:pPr>
      <w:r>
        <w:t>La noción de que el color de la piel juega un papel en las matemáticas en Estados Unidos es, lo digo de nuevo, algo ridículo. Pasa lo mismo que en Princeton con los depart</w:t>
      </w:r>
      <w:r w:rsidR="00254497">
        <w:t>amentos de Harvard o el MIT (</w:t>
      </w:r>
      <w:r>
        <w:t>Instituto Tec</w:t>
      </w:r>
      <w:r w:rsidR="00254497">
        <w:t>nológico de Massachusetts</w:t>
      </w:r>
      <w:r>
        <w:t>). Si vas a cualquiera de los departamentos de estas universidades, uno ve allí que la gran mayoría de la gente son extranjeros. Si hubiera racismo en las matemáticas, esto no sería posible.</w:t>
      </w:r>
    </w:p>
    <w:p w:rsidR="00B1142A" w:rsidRDefault="00B1142A" w:rsidP="00B1142A">
      <w:pPr>
        <w:pStyle w:val="NormalWeb"/>
        <w:shd w:val="clear" w:color="auto" w:fill="FFFFFF"/>
        <w:spacing w:after="360"/>
        <w:jc w:val="both"/>
      </w:pPr>
      <w:r>
        <w:t xml:space="preserve">P: Pero documentos como ese del que hablábamos hacen hincapié en eliminar el racismo de la instrucción en las aulas. ¿Hay un problema del racismo a la hora de instruir las matemáticas? </w:t>
      </w:r>
    </w:p>
    <w:p w:rsidR="00B1142A" w:rsidRDefault="00B1142A" w:rsidP="00B1142A">
      <w:pPr>
        <w:pStyle w:val="NormalWeb"/>
        <w:shd w:val="clear" w:color="auto" w:fill="FFFFFF"/>
        <w:spacing w:after="360"/>
        <w:jc w:val="both"/>
      </w:pPr>
      <w:r>
        <w:lastRenderedPageBreak/>
        <w:t xml:space="preserve">Quienes elaboran esos textos son los responsables de que se esté generando un problema de racismo. Lo que están haciendo es transformar las matemáticas en un problema de racismo diciendo que las matemáticas dependen de una raza en particular. Si hay problemas, los hay porque los programas de educación en las escuelas llevan a que se estén enseñando muy mal las matemáticas. No sólo este programa en concreto del que hablamos es malo. En realidad, lo son muchas nociones progresistas sobre la educación que vienen de las Escuelas de Educación que mencionaba antes. </w:t>
      </w:r>
    </w:p>
    <w:p w:rsidR="00B1142A" w:rsidRDefault="00B1142A" w:rsidP="00B1142A">
      <w:pPr>
        <w:pStyle w:val="NormalWeb"/>
        <w:shd w:val="clear" w:color="auto" w:fill="FFFFFF"/>
        <w:spacing w:after="360"/>
        <w:jc w:val="both"/>
      </w:pPr>
      <w:r>
        <w:t xml:space="preserve">Estas escuelas están tratando casi constantemente de introducir reformas progresistas en las matemáticas. En un principio se trataba de dejar que los niños descubrieran por sí mismos las cosas. Por ejemplo, no se les enseñaba el teorema de Pitágoras. Se les invitaba a descubrirlo. Esto, de entrada, tampoco tiene sentido porque no es así que uno aprende matemáticas. Descubrir cosas es algo que es posible más tarde. Uno puede tratar de motivar el descubrimiento. Pero la noción misma de dejar que los niños descubran por sí solos, al final, es terrible, porque los niños no aprenden nada. Se limitan a perder el tiempo. </w:t>
      </w:r>
    </w:p>
    <w:p w:rsidR="00B1142A" w:rsidRDefault="00B1142A" w:rsidP="00B1142A">
      <w:pPr>
        <w:pStyle w:val="NormalWeb"/>
        <w:shd w:val="clear" w:color="auto" w:fill="FFFFFF"/>
        <w:spacing w:after="360"/>
        <w:jc w:val="both"/>
      </w:pPr>
      <w:r>
        <w:t xml:space="preserve">P: Se argumenta para hacer documentos como ese del que hablamos que los afroamericanos suelen sacar peores notas en matemáticas. </w:t>
      </w:r>
    </w:p>
    <w:p w:rsidR="00B1142A" w:rsidRDefault="00B1142A" w:rsidP="00B1142A">
      <w:pPr>
        <w:pStyle w:val="NormalWeb"/>
        <w:shd w:val="clear" w:color="auto" w:fill="FFFFFF"/>
        <w:spacing w:after="360"/>
        <w:jc w:val="both"/>
      </w:pPr>
      <w:r>
        <w:t xml:space="preserve">Latinos y afroamericanos suelen sacar peores resultados en matemáticas, sí. Pero esto no tiene nada que ver con las matemáticas per se. Esto tiene que ver con aspectos de la vida misma en Estados Unidos y del modo en que se enseñan las cosas, porque, cuando se enseña mal, los niños van a sufrir las consecuencias. La iniciativa de la que hablábamos, que tiene detrás a la Fundación Gates, es el tipo de cosas que van a destruir generaciones de niños. Y precisamente los niños que tienen problemas ahora, tendrán más problemas en el futuro. </w:t>
      </w:r>
    </w:p>
    <w:p w:rsidR="00B1142A" w:rsidRDefault="00B1142A" w:rsidP="00B1142A">
      <w:pPr>
        <w:pStyle w:val="NormalWeb"/>
        <w:shd w:val="clear" w:color="auto" w:fill="FFFFFF"/>
        <w:spacing w:after="360"/>
        <w:jc w:val="both"/>
      </w:pPr>
      <w:r>
        <w:t>P: ¿Y hasta qué punto no se está ocultando la existencia de escuelas que rinden poco por falta de recursos con iniciativas como esa de eliminar el supremacismo blanco de las matemáticas?</w:t>
      </w:r>
    </w:p>
    <w:p w:rsidR="00B1142A" w:rsidRDefault="00B1142A" w:rsidP="00B1142A">
      <w:pPr>
        <w:pStyle w:val="NormalWeb"/>
        <w:shd w:val="clear" w:color="auto" w:fill="FFFFFF"/>
        <w:spacing w:after="360"/>
        <w:jc w:val="both"/>
      </w:pPr>
      <w:r>
        <w:t xml:space="preserve">Déjeme ponerle el ejemplo de las escuelas de Nueva York, al que se ha dedicado el economista Thomas Sowell, concretamente a las escuelas autónomas. Éstas son diferentes de las escuelas públicas o las privadas. Las autónomas son escuelas públicas que no dependen de las autoridades locales de educación. Suelen surgir de una iniciativa de padres que quieren lanzar una escuela. Tienen más flexibilidad pero son escuelas con mucho menos dinero que las públicas. En Nueva York, por ejemplo, una escuela autónoma tiene un tercio del dinero que recibe una escuela pública. </w:t>
      </w:r>
    </w:p>
    <w:p w:rsidR="00B1142A" w:rsidRDefault="00B1142A" w:rsidP="00B1142A">
      <w:pPr>
        <w:pStyle w:val="NormalWeb"/>
        <w:shd w:val="clear" w:color="auto" w:fill="FFFFFF"/>
        <w:spacing w:after="360"/>
        <w:jc w:val="both"/>
      </w:pPr>
      <w:r>
        <w:t xml:space="preserve">Sin embargo, según Sowell, que ha estudiado las escuelas autónomas en las mismas áreas que las escuelas públicas -en zonas muy pobres con muchos problemas, y con niños que vienen de familias con muchas desventajas- hay una diferencia enorme entre el éxito de las escuelas autónomas y las escuelas públicas. En las escuelas autónomas los niños sacan resultados diez veces mejores. Las diferencias son enormes. Le digo esto porque se habla mucho de la financiación, especialmente porque en la izquierda se dice si la educación va mal hay falta de recursos y se necesita más dinero. Esto se oye mucho en los sindicatos, que quieren dinero para ellos y luego ni aparecen en las clases. Pero incluso teniendo dinero la educación puede ser mala.  </w:t>
      </w:r>
    </w:p>
    <w:p w:rsidR="00090337" w:rsidRDefault="00090337" w:rsidP="00B1142A">
      <w:pPr>
        <w:pStyle w:val="NormalWeb"/>
        <w:shd w:val="clear" w:color="auto" w:fill="FFFFFF"/>
        <w:spacing w:after="360"/>
        <w:jc w:val="both"/>
      </w:pPr>
    </w:p>
    <w:p w:rsidR="00090337" w:rsidRDefault="00090337" w:rsidP="00B1142A">
      <w:pPr>
        <w:pStyle w:val="NormalWeb"/>
        <w:shd w:val="clear" w:color="auto" w:fill="FFFFFF"/>
        <w:spacing w:after="360"/>
        <w:jc w:val="both"/>
      </w:pPr>
    </w:p>
    <w:p w:rsidR="00B1142A" w:rsidRDefault="00B1142A" w:rsidP="00B1142A">
      <w:pPr>
        <w:pStyle w:val="NormalWeb"/>
        <w:shd w:val="clear" w:color="auto" w:fill="FFFFFF"/>
        <w:spacing w:after="360"/>
        <w:jc w:val="both"/>
      </w:pPr>
      <w:r>
        <w:lastRenderedPageBreak/>
        <w:t xml:space="preserve">P: ¿A qué se refiere? </w:t>
      </w:r>
    </w:p>
    <w:p w:rsidR="00B1142A" w:rsidRDefault="00B1142A" w:rsidP="00B1142A">
      <w:pPr>
        <w:pStyle w:val="NormalWeb"/>
        <w:shd w:val="clear" w:color="auto" w:fill="FFFFFF"/>
        <w:spacing w:after="360"/>
        <w:jc w:val="both"/>
      </w:pPr>
      <w:r>
        <w:t>Mis hijos fueron a la escuela en Princeton, donde hay dinero. Pero por lo que yo vi en cómo se les enseñaba geometría, yo me decía que aquella forma era horrible. Los libros eran muy gordos, con contenido que no tenía nada que ver con las matemáticas. Con libros como esos yo como niño nunca me interesaría por las matemáticas. Cuando yo estudiaba en Rumanía, los libros eran mucho más delgados y se aprendía mucho más.</w:t>
      </w:r>
    </w:p>
    <w:p w:rsidR="00B1142A" w:rsidRDefault="00B1142A" w:rsidP="00B1142A">
      <w:pPr>
        <w:pStyle w:val="NormalWeb"/>
        <w:shd w:val="clear" w:color="auto" w:fill="FFFFFF"/>
        <w:spacing w:after="360"/>
        <w:jc w:val="both"/>
      </w:pPr>
      <w:r>
        <w:t xml:space="preserve">El dinero, como digo, no lo es todo. La mala educación tiene que ver con cómo se diseñan los programas educativos. Pero es que hasta mis hijos aprendieron “etnomatemáticas”, hace unos veinte años. Porque la idea de mezclar etnias y matemáticas no es para nada nueva. En los libros de matemáticas de mis hijos había muchos sinsentidos de esos. Yo veo en todo esto un inmenso mal uso de recursos. </w:t>
      </w:r>
    </w:p>
    <w:p w:rsidR="00B1142A" w:rsidRDefault="00B1142A" w:rsidP="00B1142A">
      <w:pPr>
        <w:pStyle w:val="NormalWeb"/>
        <w:shd w:val="clear" w:color="auto" w:fill="FFFFFF"/>
        <w:spacing w:after="360"/>
        <w:jc w:val="both"/>
      </w:pPr>
      <w:r>
        <w:t>P: De forma recurrente, en Estados Unidos hay debate y polémica sobre documentos como el que venimos comentando. ¿Cómo de influyentes cree usted que son estos documentos?</w:t>
      </w:r>
    </w:p>
    <w:p w:rsidR="00B1142A" w:rsidRDefault="00B1142A" w:rsidP="00B1142A">
      <w:pPr>
        <w:pStyle w:val="NormalWeb"/>
        <w:shd w:val="clear" w:color="auto" w:fill="FFFFFF"/>
        <w:spacing w:after="360"/>
        <w:jc w:val="both"/>
      </w:pPr>
      <w:r>
        <w:t xml:space="preserve">Tiendo a pensar que este fenómeno está aislado en las escuelas. Tal vez un 10% de las escuelas cuenten con estos sinsentidos. Pero el problema es que se están extendiendo muy rápido. Al menos esa es la impresión que yo tengo. </w:t>
      </w:r>
    </w:p>
    <w:p w:rsidR="00B1142A" w:rsidRDefault="00B1142A" w:rsidP="00B1142A">
      <w:pPr>
        <w:pStyle w:val="NormalWeb"/>
        <w:shd w:val="clear" w:color="auto" w:fill="FFFFFF"/>
        <w:spacing w:after="360"/>
        <w:jc w:val="both"/>
      </w:pPr>
      <w:r>
        <w:t xml:space="preserve">P: Y el mundo académico, ¿Cómo está respondiendo? </w:t>
      </w:r>
    </w:p>
    <w:p w:rsidR="00B1142A" w:rsidRDefault="00B1142A" w:rsidP="00B1142A">
      <w:pPr>
        <w:pStyle w:val="NormalWeb"/>
        <w:shd w:val="clear" w:color="auto" w:fill="FFFFFF"/>
        <w:spacing w:after="360"/>
        <w:jc w:val="both"/>
      </w:pPr>
      <w:r>
        <w:t xml:space="preserve">Ha habido una gran separación entre el mundo escolar y el mundo universitario. Los universitarios no tienen contacto con las escuelas salvo por sus hijos. Esos niños tienen padres que pueden enseñarles el modo correcto de aprender matemáticas y, al final, no les importa demasiado. En Estados Unidos, los universitarios no tienen influencia sobre la educación en las escuelas, al contrario de lo que ocurre, por ejemplo, en Francia. Pero lo que sí se observa en el mundo universitario es que los alumnos están cada vez menos formados, no tanto en Princeton, que es una universidad de alto nivel, pero en otras universidades sí. </w:t>
      </w:r>
    </w:p>
    <w:p w:rsidR="00B1142A" w:rsidRDefault="00B1142A" w:rsidP="00B1142A">
      <w:pPr>
        <w:pStyle w:val="NormalWeb"/>
        <w:shd w:val="clear" w:color="auto" w:fill="FFFFFF"/>
        <w:spacing w:after="360"/>
        <w:jc w:val="both"/>
      </w:pPr>
      <w:r>
        <w:t xml:space="preserve">P: Pero no ha habido una reacción, más allá de gestos como el suyo. Usted se viene pronunciando en artículos críticos sobre este fenómeno del antiracismo en las matemáticas.  </w:t>
      </w:r>
    </w:p>
    <w:p w:rsidR="00B1142A" w:rsidRDefault="00B1142A" w:rsidP="00B1142A">
      <w:pPr>
        <w:pStyle w:val="NormalWeb"/>
        <w:shd w:val="clear" w:color="auto" w:fill="FFFFFF"/>
        <w:spacing w:after="360"/>
        <w:jc w:val="both"/>
      </w:pPr>
      <w:r>
        <w:t>No ha habido una gran respuesta del mundo académico. Y esto, pese a que este tipo de fenómenos está afectando a instituciones universitarias. Por ejemplo, en la Sociedad Americana de Matemáticas ya se han visto manifestaciones de estas actitudes.</w:t>
      </w:r>
    </w:p>
    <w:p w:rsidR="00B1142A" w:rsidRDefault="00B1142A" w:rsidP="00B1142A">
      <w:pPr>
        <w:pStyle w:val="NormalWeb"/>
        <w:shd w:val="clear" w:color="auto" w:fill="FFFFFF"/>
        <w:spacing w:after="360"/>
        <w:jc w:val="both"/>
      </w:pPr>
      <w:r>
        <w:t xml:space="preserve">P: ¿Qué opinión le merece el nuevo Secretario de Educación de Estados Unidos, Miguel Cardona?  </w:t>
      </w:r>
    </w:p>
    <w:p w:rsidR="00B1142A" w:rsidRDefault="00B1142A" w:rsidP="00B1142A">
      <w:pPr>
        <w:pStyle w:val="NormalWeb"/>
        <w:shd w:val="clear" w:color="auto" w:fill="FFFFFF"/>
        <w:spacing w:after="360"/>
        <w:jc w:val="both"/>
      </w:pPr>
      <w:r>
        <w:t>Espero equivocarme, pero soy pesimista con las posibilidades que abre la nueva administración de Joe Biden. Una cosa buena que hizo Donald Trump fue prohibir la Teoría Crítica de la Raza en las instituciones del Gobierno federal, el pasado otoño. Porque hasta en laboratorios de investigación se estaba enseñando esa teoría. Bueno, más que enseñando, se imponía a la gente que lo aprendiera. La gente de esos laboratorios tenía que ir a cursos para aprender lo que dice esa teoría. Una de las primeras cosas que ha hecho la Administración Biden ha sido reinstaurar esos cursos.</w:t>
      </w:r>
    </w:p>
    <w:p w:rsidR="00090337" w:rsidRDefault="00090337" w:rsidP="00B1142A">
      <w:pPr>
        <w:pStyle w:val="NormalWeb"/>
        <w:shd w:val="clear" w:color="auto" w:fill="FFFFFF"/>
        <w:spacing w:after="360"/>
        <w:jc w:val="both"/>
      </w:pPr>
    </w:p>
    <w:p w:rsidR="00B1142A" w:rsidRDefault="00B1142A" w:rsidP="00B1142A">
      <w:pPr>
        <w:pStyle w:val="NormalWeb"/>
        <w:shd w:val="clear" w:color="auto" w:fill="FFFFFF"/>
        <w:spacing w:after="360"/>
        <w:jc w:val="both"/>
      </w:pPr>
      <w:r>
        <w:lastRenderedPageBreak/>
        <w:t xml:space="preserve">P: ¿Tienen los académicos medios para oponerse a este tipo de fenómenos? </w:t>
      </w:r>
    </w:p>
    <w:p w:rsidR="00B1142A" w:rsidRDefault="00B1142A" w:rsidP="00B1142A">
      <w:pPr>
        <w:pStyle w:val="NormalWeb"/>
        <w:shd w:val="clear" w:color="auto" w:fill="FFFFFF"/>
        <w:spacing w:after="360"/>
        <w:jc w:val="both"/>
      </w:pPr>
      <w:r>
        <w:t>Yo creo que el fenómeno va a acabar conteniéndose porque el país va a seguir necesitando matemáticos, ingenieros y científicos. Yo espero que haya una reacción, de algún modo. Es cierto que ya hemos visto un declive en las universidades, un declive que afectará a los científicos que trabajan en ellas, aunque a este nivel la influencia es lenta. El declive, sin embargo, será más rápido en las escuelas, en vista del modo en que se están enseñando las matemáticas. Yo creo que estas tonterías son especialmente peligrosas ahí. Aunque bueno, para ser profesor en la Universidad de Berkeley, por ejemplo, hoy día tienes que rellenar un documento sobre “Diversidad e inclusión” donde tienes que decir qué has hecho y qué quieres hacer sobre diversidad e inclusión en la universidad, incluso como matemático.</w:t>
      </w:r>
    </w:p>
    <w:p w:rsidR="00B1142A" w:rsidRDefault="00B1142A" w:rsidP="00B1142A">
      <w:pPr>
        <w:pStyle w:val="NormalWeb"/>
        <w:shd w:val="clear" w:color="auto" w:fill="FFFFFF"/>
        <w:spacing w:after="360"/>
        <w:jc w:val="both"/>
      </w:pPr>
      <w:r>
        <w:t xml:space="preserve">Al principio, esto había quien se lo tomaba a broma, pero no es una mera formalidad. Este tipo de gestos tienen un impacto, sobre todo cuando, en nombre de la diversidad y la inclusión, se producen contrataciones de personas que no están realmente cualificadas. Esto podría tener un impacto en la calidad de la ciencia que se produce en las universidades. Porque se contrata, no a los mejores, sino a gente juzgada por criterios de diversidad. </w:t>
      </w:r>
    </w:p>
    <w:p w:rsidR="00B1142A" w:rsidRDefault="00B1142A" w:rsidP="00B1142A">
      <w:pPr>
        <w:pStyle w:val="NormalWeb"/>
        <w:shd w:val="clear" w:color="auto" w:fill="FFFFFF"/>
        <w:spacing w:after="360"/>
        <w:jc w:val="both"/>
      </w:pPr>
      <w:r>
        <w:t xml:space="preserve">P: ¿Ve usted en peligro el prestigio de las universidades de Estados Unidos por esto? </w:t>
      </w:r>
    </w:p>
    <w:p w:rsidR="00B1142A" w:rsidRDefault="00B1142A" w:rsidP="00B1142A">
      <w:pPr>
        <w:pStyle w:val="NormalWeb"/>
        <w:shd w:val="clear" w:color="auto" w:fill="FFFFFF"/>
        <w:spacing w:after="360"/>
        <w:jc w:val="both"/>
      </w:pPr>
      <w:r>
        <w:t xml:space="preserve">El prestigio de las universidades de este país, especialmente en ciencias, es tan grande que precisamente por eso hay en ellas gente de todas partes del mundo. La gente quiere venir porque saben que sólo se contrata a los mejores. Si poco a poco hay una erosión del sistema, llegado un momento, habrá un colapso de lo que ese prestigio significa. Y las consecuencias podrían ser devastadoras. </w:t>
      </w:r>
    </w:p>
    <w:p w:rsidR="00B1142A" w:rsidRDefault="00B1142A" w:rsidP="00B1142A">
      <w:pPr>
        <w:pStyle w:val="NormalWeb"/>
        <w:shd w:val="clear" w:color="auto" w:fill="FFFFFF"/>
        <w:spacing w:before="0" w:beforeAutospacing="0" w:after="360" w:afterAutospacing="0"/>
        <w:jc w:val="both"/>
      </w:pPr>
      <w:r>
        <w:t>Ya ha pasado que un sistema universitario ha quedado completamente reducido a la nada. Alemania, antes de Hitler, era un referente mundial universitario. Tenía los mejores matemáticos y químicos, por ejemplo. Yo no veo en Estados Unidos nada parecido a lo que ocurrió en Alemania, pero bueno, hay motivos para estar preocupado.</w:t>
      </w:r>
    </w:p>
    <w:p w:rsidR="00B1142A" w:rsidRPr="001B5184" w:rsidRDefault="00B1142A" w:rsidP="00B1142A">
      <w:pPr>
        <w:pStyle w:val="NormalWeb"/>
        <w:shd w:val="clear" w:color="auto" w:fill="FFFFFF"/>
        <w:spacing w:after="360"/>
        <w:jc w:val="both"/>
      </w:pPr>
      <w:r>
        <w:t xml:space="preserve">- </w:t>
      </w:r>
      <w:r w:rsidRPr="001B5184">
        <w:t>Disney+ retiró del catálogo infantil algunas películas clásicas por considerar que incluyen representaciones negativas</w:t>
      </w:r>
    </w:p>
    <w:p w:rsidR="00B1142A" w:rsidRDefault="00B1142A" w:rsidP="00B1142A">
      <w:pPr>
        <w:pStyle w:val="NormalWeb"/>
        <w:shd w:val="clear" w:color="auto" w:fill="FFFFFF"/>
        <w:spacing w:after="360"/>
        <w:jc w:val="both"/>
      </w:pPr>
      <w:r>
        <w:t>La lista fue definida por un panel de expertos para atender problemas con las connotaciones racistas</w:t>
      </w:r>
    </w:p>
    <w:p w:rsidR="00B1142A" w:rsidRDefault="00B1142A" w:rsidP="00B1142A">
      <w:pPr>
        <w:pStyle w:val="NormalWeb"/>
        <w:shd w:val="clear" w:color="auto" w:fill="FFFFFF"/>
        <w:spacing w:after="360"/>
        <w:jc w:val="both"/>
      </w:pPr>
      <w:r>
        <w:t>El gigante del entretenimiento Disney ha optado por reforzar la seguridad en su plataforma de streaming Disney+ retirando del catálogo infantil las películas clásicas, como “Dumbo” o “Peter Pan” que incluyen representaciones negativas y/o maltrato de personas o culturas, aunque seguirán disponibles en las cuentas de adultos.</w:t>
      </w:r>
    </w:p>
    <w:p w:rsidR="00B1142A" w:rsidRDefault="00B1142A" w:rsidP="00B1142A">
      <w:pPr>
        <w:pStyle w:val="NormalWeb"/>
        <w:shd w:val="clear" w:color="auto" w:fill="FFFFFF"/>
        <w:spacing w:after="360"/>
        <w:jc w:val="both"/>
      </w:pPr>
      <w:r>
        <w:t>Según indicó un vocero de la compañía, esta medida refuerza la adoptada el pasado mes de octubre cuando se agregaron avisos de contenido revisados para algunos títulos de Disney +, donde se informaba de que, al ser tan antiguas, podían incluir algunas connotaciones racistas.</w:t>
      </w:r>
    </w:p>
    <w:p w:rsidR="00B1142A" w:rsidRDefault="00B1142A" w:rsidP="00B1142A">
      <w:pPr>
        <w:pStyle w:val="NormalWeb"/>
        <w:shd w:val="clear" w:color="auto" w:fill="FFFFFF"/>
        <w:spacing w:after="360"/>
        <w:jc w:val="both"/>
      </w:pPr>
      <w:r>
        <w:t>Ahora varios de sus clásicos de animación como Dumbo (1941) Peter Pan (1953), La Dama y el Vagabundo (1955), El Libro de la Selva (1967) y Los Aristogatos (1970) han pasado a ser consideradas como contenido apto sólo para mayores de 7 años y han sido bloqueadas en los perfiles infantiles (menores de 7 años) debido a su contenido inapropiado.</w:t>
      </w:r>
    </w:p>
    <w:p w:rsidR="00B1142A" w:rsidRDefault="00B1142A" w:rsidP="00B1142A">
      <w:pPr>
        <w:pStyle w:val="NormalWeb"/>
        <w:shd w:val="clear" w:color="auto" w:fill="FFFFFF"/>
        <w:spacing w:after="360"/>
        <w:jc w:val="both"/>
      </w:pPr>
      <w:r>
        <w:lastRenderedPageBreak/>
        <w:t>La compañía tomó decisión de prohibir las películas en las cuentas de los niños después de contrastar la opinión de un grupo de expertos externos, compuesto por “organizaciones líderes que abogan por las comunidades que representan y que están a la vanguardia de impulsar el cambio narrativo en los medios y el entretenimiento”.</w:t>
      </w:r>
    </w:p>
    <w:p w:rsidR="00B1142A" w:rsidRDefault="00B1142A" w:rsidP="00B1142A">
      <w:pPr>
        <w:pStyle w:val="NormalWeb"/>
        <w:shd w:val="clear" w:color="auto" w:fill="FFFFFF"/>
        <w:spacing w:after="360"/>
        <w:jc w:val="both"/>
      </w:pPr>
      <w:r>
        <w:t>Una postura que se encuadra en el compromiso de “crear historias con temas inspiradores y ambiciosos que reflejen la rica diversidad de la experiencia humana en todo el mundo”, según refleja Disney en su web.</w:t>
      </w:r>
    </w:p>
    <w:p w:rsidR="00B1142A" w:rsidRDefault="00B1142A" w:rsidP="00B1142A">
      <w:pPr>
        <w:pStyle w:val="NormalWeb"/>
        <w:shd w:val="clear" w:color="auto" w:fill="FFFFFF"/>
        <w:spacing w:after="360"/>
        <w:jc w:val="both"/>
      </w:pPr>
      <w:r>
        <w:t>El problema con las connotaciones racistas de algunos clásicos es antiguo, remontándose incluso a la propia fecha de lanzamiento de ciertas películas.</w:t>
      </w:r>
    </w:p>
    <w:p w:rsidR="00B1142A" w:rsidRDefault="00B1142A" w:rsidP="00B1142A">
      <w:pPr>
        <w:pStyle w:val="NormalWeb"/>
        <w:shd w:val="clear" w:color="auto" w:fill="FFFFFF"/>
        <w:spacing w:after="360"/>
        <w:jc w:val="both"/>
      </w:pPr>
      <w:r>
        <w:t>En “Dumbo”, por ejemplo, una escena incluye a un grupo de cuervos usando estereotipos para representar a afroamericanos y que están liderados por un personaje bautizado Jim Crow, un término despectivo utilizado antiguamente para insultar a hombres negros en Estados Unidos.</w:t>
      </w:r>
    </w:p>
    <w:p w:rsidR="00B1142A" w:rsidRDefault="00B1142A" w:rsidP="00B1142A">
      <w:pPr>
        <w:pStyle w:val="NormalWeb"/>
        <w:shd w:val="clear" w:color="auto" w:fill="FFFFFF"/>
        <w:spacing w:after="360"/>
        <w:jc w:val="both"/>
      </w:pPr>
      <w:r>
        <w:t>Un problema parecido se da en “The Jungle Book”, mientras que “Peter Pan” ha sido criticada por la forma en la que representa a los nativos americanos y “The Aristo Cats” por su estereotipo sobre los asiáticos en la imagen de Shun Gon, un gato siamés, como ocurre de manera similar en “Lady and the Tramp” con dos gatos siameses que aparecen en la película.</w:t>
      </w:r>
    </w:p>
    <w:p w:rsidR="00B1142A" w:rsidRDefault="00B1142A" w:rsidP="00B1142A">
      <w:pPr>
        <w:pStyle w:val="NormalWeb"/>
        <w:shd w:val="clear" w:color="auto" w:fill="FFFFFF"/>
        <w:spacing w:after="360"/>
        <w:jc w:val="both"/>
      </w:pPr>
      <w:r>
        <w:t>Hasta ahora, la compañía del ratón había manejado el tema emitiendo el mensaje de advertencia, que se proyectaba 10 segundos antes del comienzo de la película.</w:t>
      </w:r>
    </w:p>
    <w:p w:rsidR="00B1142A" w:rsidRDefault="00B1142A" w:rsidP="00B1142A">
      <w:pPr>
        <w:pStyle w:val="NormalWeb"/>
        <w:shd w:val="clear" w:color="auto" w:fill="FFFFFF"/>
        <w:spacing w:after="360"/>
        <w:jc w:val="both"/>
      </w:pPr>
      <w:r>
        <w:t>Ya entonces, Disney declaró que no consideraba necesario alterar el contenido de las películas porque, aunque fueran estereotipos equivocados “entonces y ahora”, el hecho de que estuvieran en su versión original permitía “aprender y generar conversaciones para crear juntos un futuro más inclusivo”.</w:t>
      </w:r>
    </w:p>
    <w:p w:rsidR="00B1142A" w:rsidRDefault="00B1142A" w:rsidP="00B1142A">
      <w:pPr>
        <w:pStyle w:val="NormalWeb"/>
        <w:shd w:val="clear" w:color="auto" w:fill="FFFFFF"/>
        <w:spacing w:after="360"/>
        <w:jc w:val="both"/>
      </w:pPr>
      <w:r>
        <w:t>La fórmula elegida ahora por Disney en su nueva plataforma de streaming es evitar que los menores de siete años puedan acceder a las cintas, ni siquiera advertidos, y sacan del catálogo las películas consideradas inapropiadas por sus contenidos racistas, dejando la opción únicamente en el visionado de mayores de esa edad.</w:t>
      </w:r>
    </w:p>
    <w:p w:rsidR="00B1142A" w:rsidRDefault="00B1142A" w:rsidP="00B1142A">
      <w:pPr>
        <w:pStyle w:val="NormalWeb"/>
        <w:shd w:val="clear" w:color="auto" w:fill="FFFFFF"/>
        <w:spacing w:after="360"/>
        <w:jc w:val="both"/>
      </w:pPr>
      <w:r>
        <w:t>- Apartado un profesor por mostrar en clase el Otelo del actor blanco Laurence Olivier en EE UU. Bright Sheng, que sufrió en China la represión de la Revolución Cultural y dos veces finalista de los Pulitzer de la música, provocó el enfado de sus alumnos por usar la película en la que el intérprete británico actúa con el rostro pintado de marrón</w:t>
      </w:r>
    </w:p>
    <w:p w:rsidR="00B1142A" w:rsidRDefault="00B1142A" w:rsidP="00B1142A">
      <w:pPr>
        <w:pStyle w:val="NormalWeb"/>
        <w:shd w:val="clear" w:color="auto" w:fill="FFFFFF"/>
        <w:spacing w:after="360"/>
        <w:jc w:val="both"/>
      </w:pPr>
      <w:r>
        <w:t>Escoger mal una película puede tener devastadoras consecuencias en Estados Unidos. El músico Bright Sheng, de 65 años, se ha visto obligado a abandonar su seminario de composición en la Universidad de Michigan después de que sus alumnos reaccionaran a su decisión de poner en clase la versión cinematográfica de la obra Otelo protagonizada en 1965 por el actor británico Laurence Olivier. En la cinta, el intérprete actúa con el rostro pintado de marrón, una desfasada práctica conocida como blackface, considerada racista en este país.</w:t>
      </w:r>
    </w:p>
    <w:p w:rsidR="00B1142A" w:rsidRDefault="00B1142A" w:rsidP="00B1142A">
      <w:pPr>
        <w:pStyle w:val="NormalWeb"/>
        <w:shd w:val="clear" w:color="auto" w:fill="FFFFFF"/>
        <w:spacing w:after="360"/>
        <w:jc w:val="both"/>
      </w:pPr>
      <w:r>
        <w:t xml:space="preserve">El compositor, director y célebre pianista pidió disculpas por reproducir en clase una versión del drama de Shakespeare que “discrimina y degrada” a los afrodescendientes y a su cultura. Para defenderse, enumeró a varios artistas de minorías étnicas que ha contratado a lo largo de </w:t>
      </w:r>
      <w:r>
        <w:lastRenderedPageBreak/>
        <w:t>su carrera. Fue peor. Los estudiantes de primer año calificaron la misiva de “incendiaria” y exigen su despido.</w:t>
      </w:r>
    </w:p>
    <w:p w:rsidR="00B1142A" w:rsidRDefault="00B1142A" w:rsidP="00B1142A">
      <w:pPr>
        <w:pStyle w:val="NormalWeb"/>
        <w:shd w:val="clear" w:color="auto" w:fill="FFFFFF"/>
        <w:spacing w:after="360"/>
        <w:jc w:val="both"/>
      </w:pPr>
      <w:r>
        <w:t>Sheng es profesor titular de la Escuela de Música, Teatro y Danza de la Universidad de Michigan desde hace un cuarto de siglo. Este otoño impartió un seminario para “analizar Otelo, de Shakespeare a Verdi”. Desde que en la primera clase proyectó la película, no ha vuelto a pisar el aula. “Los tiempos han cambiado y cometí un error al mostrarla. Fue insensible por mi parte”, apunta el profesor a este periódico. Explica que eligió la versión de 1965 por ser una de las más fieles a Shakespeare y añade que en el mundo de la ópera el cross-casting (elección de un actor sin que coincida el género o la etnia con el del papel que va a interpretar) es una costumbre que se remonta al origen del teatro.</w:t>
      </w:r>
    </w:p>
    <w:p w:rsidR="00B1142A" w:rsidRDefault="00B1142A" w:rsidP="00B1142A">
      <w:pPr>
        <w:pStyle w:val="NormalWeb"/>
        <w:shd w:val="clear" w:color="auto" w:fill="FFFFFF"/>
        <w:spacing w:after="360"/>
        <w:jc w:val="both"/>
      </w:pPr>
      <w:r>
        <w:t>“Pensé que tanto la obra como la ópera retrataban a Otelo como a un héroe que es víctima de los blancos” y que podría enseñar algo de provecho sobre “los malos comportamientos humanos universales y sobre problemas como las calumnias o las acusaciones falsas”, apunta el compositor. Muchos lo señalan como una nueva víctima de la corrección política y el revisionismo del arte. Consultado sobre si se ve como un afectado por la cultura de la cancelación, responde: “Antes de este incidente, nunca había oído hablar del término. No tengo comentarios al respecto”.</w:t>
      </w:r>
    </w:p>
    <w:p w:rsidR="00B1142A" w:rsidRDefault="00B1142A" w:rsidP="00B1142A">
      <w:pPr>
        <w:pStyle w:val="NormalWeb"/>
        <w:shd w:val="clear" w:color="auto" w:fill="FFFFFF"/>
        <w:spacing w:after="360"/>
        <w:jc w:val="both"/>
      </w:pPr>
      <w:r>
        <w:t>- Amén... y “a-woman”: la polémica oración de un demócrata a favor del lenguaje inclusivo</w:t>
      </w:r>
    </w:p>
    <w:p w:rsidR="00B1142A" w:rsidRDefault="00B1142A" w:rsidP="00B1142A">
      <w:pPr>
        <w:pStyle w:val="NormalWeb"/>
        <w:shd w:val="clear" w:color="auto" w:fill="FFFFFF"/>
        <w:spacing w:after="360"/>
        <w:jc w:val="both"/>
      </w:pPr>
      <w:r>
        <w:t>En la primera reunión del nuevo Congreso estadounidense, Emanuel Cleaver sorprendió cerrando con esta fórmula el tradicional rezo.</w:t>
      </w:r>
    </w:p>
    <w:p w:rsidR="00B1142A" w:rsidRDefault="00B1142A" w:rsidP="00B1142A">
      <w:pPr>
        <w:pStyle w:val="NormalWeb"/>
        <w:shd w:val="clear" w:color="auto" w:fill="FFFFFF"/>
        <w:spacing w:after="360"/>
        <w:jc w:val="both"/>
      </w:pPr>
      <w:r>
        <w:t>El año político en Estados Unidos ha arrancado con polémica, y no tanto por la llamada del todavía presidente Donald Trump para alterar los resultados de las elecciones del pasado mes de noviembre, sino por el lenguaje inclusivo. Sí, en inglés también es este un debate que llega hasta los más altos órganos que representan al pueblo.</w:t>
      </w:r>
    </w:p>
    <w:p w:rsidR="00B1142A" w:rsidRDefault="00B1142A" w:rsidP="00B1142A">
      <w:pPr>
        <w:pStyle w:val="NormalWeb"/>
        <w:shd w:val="clear" w:color="auto" w:fill="FFFFFF"/>
        <w:spacing w:after="360"/>
        <w:jc w:val="both"/>
      </w:pPr>
      <w:r>
        <w:t xml:space="preserve">En la primera reunión del nuevo Congreso, el número 117 en la historia de EEUU y el más diverso, con récord de presencia femenina, la demócrata Nancy Pelosi ha sido reelegida como la presidenta de la Cámara de Representantes. Sin embargo, su compañero de partido Emanuel Cleaver protagonizó el momento de la jornada al cerrar la tradicional oración inaugural con una fórmula inédita: “Amen, and a-woman”. </w:t>
      </w:r>
    </w:p>
    <w:p w:rsidR="00B1142A" w:rsidRDefault="00B1142A" w:rsidP="00B1142A">
      <w:pPr>
        <w:pStyle w:val="NormalWeb"/>
        <w:shd w:val="clear" w:color="auto" w:fill="FFFFFF"/>
        <w:spacing w:after="360"/>
        <w:jc w:val="both"/>
      </w:pPr>
      <w:r>
        <w:t>El demócrata quiso impregnar de carácter político la palabra que se utiliza para cerrar los rezos, jugando con que en inglés men significa “hombres” y woman “mujer”. Este gesto comulga con la nueva línea que los demócratas quieren marcar a favor del lenguaje inclusivo: han propuesto un cambio en la normativa para reemplazar palabras como padre, madre, hijo, hija, hermano, hermana, tío o tía con otras de género neutro.</w:t>
      </w:r>
    </w:p>
    <w:p w:rsidR="00B1142A" w:rsidRDefault="00B1142A" w:rsidP="00B1142A">
      <w:pPr>
        <w:pStyle w:val="NormalWeb"/>
        <w:shd w:val="clear" w:color="auto" w:fill="FFFFFF"/>
        <w:spacing w:after="360"/>
        <w:jc w:val="both"/>
      </w:pPr>
      <w:r>
        <w:t>“Los demócratas han elaborado un paquete de reformas audaces sin precedentes, que harán que la Cámara sea más responsable, transparente y eficaz en nuestro trabajo para satisfacer las necesidades del pueblo estadounidense”, ha anunciado Nancy Pelosi. El lenguaje inclusivo es una de las cuestiones incluidas en el documento de 45 páginas, además de otras referentes a la pandemia del coronavirus o el impulso de la economía, que será sometido a votación este lunes.</w:t>
      </w:r>
    </w:p>
    <w:p w:rsidR="00B1142A" w:rsidRDefault="00B1142A" w:rsidP="00B1142A">
      <w:pPr>
        <w:pStyle w:val="NormalWeb"/>
        <w:shd w:val="clear" w:color="auto" w:fill="FFFFFF"/>
        <w:spacing w:after="360"/>
        <w:jc w:val="both"/>
      </w:pPr>
      <w:r>
        <w:lastRenderedPageBreak/>
        <w:t>Por el momento, el “a-woman” de Emanuel Cleaver ya ha provocado feroces críticas de algunos representantes republicanos. “Amén en latín significa “así sea”. No es una palabra con género. Desafortunadamente, los hechos son irrelevantes para los progresistas. Increíble”, ha tuiteado Guy Reschenthaler, de Pensilvania.</w:t>
      </w:r>
    </w:p>
    <w:p w:rsidR="00B1142A" w:rsidRDefault="00B1142A" w:rsidP="00B1142A">
      <w:pPr>
        <w:pStyle w:val="NormalWeb"/>
        <w:shd w:val="clear" w:color="auto" w:fill="FFFFFF"/>
        <w:spacing w:after="360"/>
        <w:jc w:val="both"/>
      </w:pPr>
      <w:r>
        <w:t xml:space="preserve">Otros de sus compañeros se han manifestado en la misma línea. “Amén no tiene género. ¡Totalmente absurdo!”, ha señalado Rick Crawford, de Arkansas. Tim Burchett, de Tennessee, ha añadido: “La corrección política se nos ha ido de manos”. </w:t>
      </w:r>
    </w:p>
    <w:p w:rsidR="00B1142A" w:rsidRDefault="00B1142A" w:rsidP="00B1142A">
      <w:pPr>
        <w:pStyle w:val="NormalWeb"/>
        <w:shd w:val="clear" w:color="auto" w:fill="FFFFFF"/>
        <w:spacing w:after="360"/>
        <w:jc w:val="both"/>
      </w:pPr>
      <w:r>
        <w:t>- La corrección política entra de lleno en las universidades. La Tate Modern de Londres ha habilitado carteles informativos sobre las “duras y a veces provocativas” imágenes de algunas obras de William Blake, como la de arriba: Satán contagiando a Job las úlceras malignas (1826). Por otro lado, la Universidad de Yale ha cancelado un curso sobre Historia del Arte por tener contenidos demasiado “masculinos, blancos y occidentales”. Los vetos ideológicos y la hipersensibilidad sobre las minorías, una corriente asentada desde hace años en los campus estadounidenses, se extiende cada vez más por los centros académicos y artísticos europeos.</w:t>
      </w:r>
    </w:p>
    <w:p w:rsidR="00B1142A" w:rsidRDefault="00B1142A" w:rsidP="00B1142A">
      <w:pPr>
        <w:pStyle w:val="NormalWeb"/>
        <w:shd w:val="clear" w:color="auto" w:fill="FFFFFF"/>
        <w:spacing w:after="360"/>
        <w:jc w:val="both"/>
      </w:pPr>
      <w:r>
        <w:t>Halloween de 2015: la Universidad de Yale (Connecticut) envía un correo a los alumnos indicándoles que opten por disfraces que no hieran la sensibilidad de ninguna minoría. Invierno de 2016: Jordan B. Peterson, profesor de la Universidad de Toronto, es reprendido por las autoridades académicas por su renuncia a dirigirse a los alumnos “transgénero” con el pronombre que ellos prefieran. Marzo de 2017: un profesor de la Universidad Católica de Lovaina (Bélgica) es sancionado por entregar a sus estudiantes un ensayo contrario al aborto. Diciembre de 2019: activistas boicotean en la Universidad Pompeu Fabra de Barcelona una conferencia del profesor Pablo de Lora, crítico con el “feminismo hegemónico”.</w:t>
      </w:r>
    </w:p>
    <w:p w:rsidR="00B1142A" w:rsidRPr="00B1142A" w:rsidRDefault="007031A1" w:rsidP="00B1142A">
      <w:pPr>
        <w:pStyle w:val="NormalWeb"/>
        <w:shd w:val="clear" w:color="auto" w:fill="FFFFFF"/>
        <w:spacing w:after="360"/>
        <w:jc w:val="both"/>
        <w:rPr>
          <w:b/>
        </w:rPr>
      </w:pPr>
      <w:r>
        <w:rPr>
          <w:b/>
        </w:rPr>
        <w:t>Nota: cómo se puede comprobar</w:t>
      </w:r>
      <w:r w:rsidR="00B1142A" w:rsidRPr="00B1142A">
        <w:rPr>
          <w:b/>
        </w:rPr>
        <w:t xml:space="preserve"> a Europa </w:t>
      </w:r>
      <w:r w:rsidR="000E3F79">
        <w:rPr>
          <w:b/>
        </w:rPr>
        <w:t xml:space="preserve">todavía </w:t>
      </w:r>
      <w:r w:rsidR="00B1142A" w:rsidRPr="00B1142A">
        <w:rPr>
          <w:b/>
        </w:rPr>
        <w:t>le</w:t>
      </w:r>
      <w:r>
        <w:rPr>
          <w:b/>
        </w:rPr>
        <w:t xml:space="preserve"> quedan bastantes escalones que</w:t>
      </w:r>
      <w:r w:rsidR="00B1142A" w:rsidRPr="00B1142A">
        <w:rPr>
          <w:b/>
        </w:rPr>
        <w:t xml:space="preserve"> descender en el nivel de decadencia e ignominia de estas ideo</w:t>
      </w:r>
      <w:r>
        <w:rPr>
          <w:b/>
        </w:rPr>
        <w:t>logías posmodernas, para nivelar</w:t>
      </w:r>
      <w:r w:rsidR="00B1142A" w:rsidRPr="00B1142A">
        <w:rPr>
          <w:b/>
        </w:rPr>
        <w:t xml:space="preserve"> a los EEUU.</w:t>
      </w:r>
      <w:r w:rsidR="000E3F79">
        <w:rPr>
          <w:b/>
        </w:rPr>
        <w:t xml:space="preserve"> Así que hay que esperar que los “progres” europeos sigan cavando.</w:t>
      </w:r>
    </w:p>
    <w:p w:rsidR="000E3F79" w:rsidRDefault="000E3F79" w:rsidP="000E3F79">
      <w:pPr>
        <w:spacing w:line="240" w:lineRule="auto"/>
        <w:jc w:val="both"/>
        <w:rPr>
          <w:rFonts w:ascii="Times New Roman" w:hAnsi="Times New Roman" w:cs="Times New Roman"/>
          <w:b/>
          <w:sz w:val="24"/>
          <w:szCs w:val="24"/>
        </w:rPr>
      </w:pPr>
      <w:r w:rsidRPr="00F751EA">
        <w:rPr>
          <w:rFonts w:ascii="Times New Roman" w:hAnsi="Times New Roman" w:cs="Times New Roman"/>
          <w:b/>
          <w:sz w:val="24"/>
          <w:szCs w:val="24"/>
        </w:rPr>
        <w:t>Coda</w:t>
      </w:r>
      <w:r w:rsidRPr="00E559AF">
        <w:rPr>
          <w:rFonts w:ascii="Times New Roman" w:hAnsi="Times New Roman" w:cs="Times New Roman"/>
          <w:sz w:val="24"/>
          <w:szCs w:val="24"/>
        </w:rPr>
        <w:t xml:space="preserve">: </w:t>
      </w:r>
      <w:r w:rsidRPr="000E3F79">
        <w:rPr>
          <w:rFonts w:ascii="Times New Roman" w:hAnsi="Times New Roman" w:cs="Times New Roman"/>
          <w:b/>
          <w:sz w:val="24"/>
          <w:szCs w:val="24"/>
        </w:rPr>
        <w:t>“Sé que algo terrible va a suceder. Puede parecer que no pasa nada, esa es la mayor de las catástrofes”, dicen en el tercer sueño en The murder of crows, de Cardiff&amp;Bures. Así, parece suceder en el mundo woke, LGBTIQ+, MeToo, Black Leaves Matter… quizás ignoren que algo terrible va a suceder. Torpes, erre que erre, siguen empeñados en negar lo evidente. Al final, tanta obstinación sectaria (fanatismo), puede acabar provocando el desdén social (repudio).</w:t>
      </w:r>
    </w:p>
    <w:p w:rsidR="001C678E" w:rsidRPr="000E3F79" w:rsidRDefault="001C678E" w:rsidP="000E3F79">
      <w:pPr>
        <w:spacing w:line="240" w:lineRule="auto"/>
        <w:jc w:val="both"/>
        <w:rPr>
          <w:rFonts w:ascii="Times New Roman" w:hAnsi="Times New Roman" w:cs="Times New Roman"/>
          <w:b/>
          <w:sz w:val="24"/>
          <w:szCs w:val="24"/>
        </w:rPr>
      </w:pPr>
      <w:r w:rsidRPr="007E76EB">
        <w:rPr>
          <w:rFonts w:ascii="Times New Roman" w:eastAsia="Times New Roman" w:hAnsi="Times New Roman" w:cs="Times New Roman"/>
          <w:b/>
          <w:color w:val="FF0000"/>
          <w:sz w:val="24"/>
          <w:szCs w:val="24"/>
          <w:lang w:eastAsia="es-ES"/>
        </w:rPr>
        <w:t xml:space="preserve">7 - </w:t>
      </w:r>
      <w:r>
        <w:rPr>
          <w:rFonts w:ascii="Times New Roman" w:eastAsia="Times New Roman" w:hAnsi="Times New Roman" w:cs="Times New Roman"/>
          <w:b/>
          <w:color w:val="FF0000"/>
          <w:sz w:val="24"/>
          <w:szCs w:val="24"/>
          <w:lang w:eastAsia="es-ES"/>
        </w:rPr>
        <w:t>I</w:t>
      </w:r>
      <w:r w:rsidRPr="007E76EB">
        <w:rPr>
          <w:rFonts w:ascii="Times New Roman" w:eastAsia="Times New Roman" w:hAnsi="Times New Roman" w:cs="Times New Roman"/>
          <w:b/>
          <w:color w:val="FF0000"/>
          <w:sz w:val="24"/>
          <w:szCs w:val="24"/>
          <w:lang w:eastAsia="es-ES"/>
        </w:rPr>
        <w:t>ntento desesperado de vivir por encima de las posibilidades (déficit y deuda</w:t>
      </w:r>
      <w:r>
        <w:rPr>
          <w:rFonts w:ascii="Times New Roman" w:eastAsia="Times New Roman" w:hAnsi="Times New Roman" w:cs="Times New Roman"/>
          <w:b/>
          <w:color w:val="FF0000"/>
          <w:sz w:val="24"/>
          <w:szCs w:val="24"/>
          <w:lang w:eastAsia="es-ES"/>
        </w:rPr>
        <w:t xml:space="preserve"> pública</w:t>
      </w:r>
      <w:r w:rsidRPr="007E76EB">
        <w:rPr>
          <w:rFonts w:ascii="Times New Roman" w:eastAsia="Times New Roman" w:hAnsi="Times New Roman" w:cs="Times New Roman"/>
          <w:b/>
          <w:color w:val="FF0000"/>
          <w:sz w:val="24"/>
          <w:szCs w:val="24"/>
          <w:lang w:eastAsia="es-ES"/>
        </w:rPr>
        <w:t>)</w:t>
      </w:r>
    </w:p>
    <w:p w:rsidR="007031A1" w:rsidRDefault="001C678E"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Una política monetaria demasiado expansiva</w:t>
      </w:r>
    </w:p>
    <w:p w:rsidR="00F73809" w:rsidRPr="00090337" w:rsidRDefault="00F73809" w:rsidP="00F73809">
      <w:pPr>
        <w:pStyle w:val="NormalWeb"/>
        <w:spacing w:before="0" w:beforeAutospacing="0" w:after="0" w:afterAutospacing="0"/>
        <w:jc w:val="both"/>
        <w:rPr>
          <w:iCs/>
        </w:rPr>
      </w:pPr>
      <w:r w:rsidRPr="00090337">
        <w:rPr>
          <w:iCs/>
        </w:rPr>
        <w:t>Tras la invasión de Rusia a Ucrania y el resurgimiento de la inflación en todo el mundo, las perspectivas de una sólida recuperación mundial de la pandemia de COVID-19 se han atenuado. No solo la perspectiva macroeconómica es más variada; Los encargados de la política monetaria y fiscal en las principales economías también tendrán menos margen de maniobra.</w:t>
      </w:r>
    </w:p>
    <w:p w:rsidR="00F73809" w:rsidRPr="00090337" w:rsidRDefault="00F73809" w:rsidP="00F73809">
      <w:pPr>
        <w:pStyle w:val="NormalWeb"/>
        <w:spacing w:before="0" w:beforeAutospacing="0" w:after="0" w:afterAutospacing="0"/>
        <w:jc w:val="both"/>
        <w:rPr>
          <w:iCs/>
        </w:rPr>
      </w:pPr>
    </w:p>
    <w:p w:rsidR="00F73809" w:rsidRPr="00090337" w:rsidRDefault="00F73809" w:rsidP="00F73809">
      <w:pPr>
        <w:spacing w:line="240" w:lineRule="auto"/>
        <w:jc w:val="both"/>
        <w:rPr>
          <w:rFonts w:ascii="Times New Roman" w:hAnsi="Times New Roman" w:cs="Times New Roman"/>
          <w:sz w:val="24"/>
          <w:szCs w:val="24"/>
        </w:rPr>
      </w:pPr>
      <w:r w:rsidRPr="00090337">
        <w:rPr>
          <w:rFonts w:ascii="Times New Roman" w:hAnsi="Times New Roman" w:cs="Times New Roman"/>
          <w:sz w:val="24"/>
          <w:szCs w:val="24"/>
        </w:rPr>
        <w:t>La economía europea se encuentra en el filo de la navaja entre la recesión y el crecimiento. El filo de la navaja está afilado porque los responsables políticos europeos no tienen ningún control sobre el resultado.</w:t>
      </w:r>
    </w:p>
    <w:p w:rsidR="00C96793" w:rsidRDefault="00C96793" w:rsidP="00C96793">
      <w:pPr>
        <w:shd w:val="clear" w:color="auto" w:fill="FFFFFF"/>
        <w:spacing w:after="0" w:line="240" w:lineRule="auto"/>
        <w:jc w:val="both"/>
        <w:textAlignment w:val="baseline"/>
        <w:rPr>
          <w:rFonts w:ascii="Times New Roman" w:eastAsia="Times New Roman" w:hAnsi="Times New Roman" w:cs="Times New Roman"/>
          <w:sz w:val="24"/>
          <w:szCs w:val="24"/>
        </w:rPr>
      </w:pPr>
      <w:r w:rsidRPr="00090337">
        <w:rPr>
          <w:rFonts w:ascii="Times New Roman" w:eastAsia="Times New Roman" w:hAnsi="Times New Roman" w:cs="Times New Roman"/>
          <w:sz w:val="24"/>
          <w:szCs w:val="24"/>
        </w:rPr>
        <w:lastRenderedPageBreak/>
        <w:t>Las cons</w:t>
      </w:r>
      <w:r w:rsidR="00520710" w:rsidRPr="00090337">
        <w:rPr>
          <w:rFonts w:ascii="Times New Roman" w:eastAsia="Times New Roman" w:hAnsi="Times New Roman" w:cs="Times New Roman"/>
          <w:sz w:val="24"/>
          <w:szCs w:val="24"/>
        </w:rPr>
        <w:t xml:space="preserve">ecuencias de que una política monetaria demasiado expansiva </w:t>
      </w:r>
      <w:r w:rsidRPr="00090337">
        <w:rPr>
          <w:rFonts w:ascii="Times New Roman" w:eastAsia="Times New Roman" w:hAnsi="Times New Roman" w:cs="Times New Roman"/>
          <w:sz w:val="24"/>
          <w:szCs w:val="24"/>
        </w:rPr>
        <w:t>son profundísimas. La</w:t>
      </w:r>
      <w:r w:rsidR="00520710" w:rsidRPr="00090337">
        <w:rPr>
          <w:rFonts w:ascii="Times New Roman" w:eastAsia="Times New Roman" w:hAnsi="Times New Roman" w:cs="Times New Roman"/>
          <w:sz w:val="24"/>
          <w:szCs w:val="24"/>
        </w:rPr>
        <w:t xml:space="preserve"> más preocupante es que genera </w:t>
      </w:r>
      <w:r w:rsidRPr="00090337">
        <w:rPr>
          <w:rFonts w:ascii="Times New Roman" w:eastAsia="Times New Roman" w:hAnsi="Times New Roman" w:cs="Times New Roman"/>
          <w:sz w:val="24"/>
          <w:szCs w:val="24"/>
        </w:rPr>
        <w:t>un </w:t>
      </w:r>
      <w:r w:rsidRPr="00090337">
        <w:rPr>
          <w:rFonts w:ascii="Times New Roman" w:eastAsia="Times New Roman" w:hAnsi="Times New Roman" w:cs="Times New Roman"/>
          <w:bCs/>
          <w:sz w:val="24"/>
          <w:szCs w:val="24"/>
          <w:bdr w:val="none" w:sz="0" w:space="0" w:color="auto" w:frame="1"/>
        </w:rPr>
        <w:t>importante riesgo de inflación</w:t>
      </w:r>
      <w:r w:rsidRPr="00090337">
        <w:rPr>
          <w:rFonts w:ascii="Times New Roman" w:eastAsia="Times New Roman" w:hAnsi="Times New Roman" w:cs="Times New Roman"/>
          <w:sz w:val="24"/>
          <w:szCs w:val="24"/>
        </w:rPr>
        <w:t> </w:t>
      </w:r>
      <w:r w:rsidR="00520710" w:rsidRPr="00090337">
        <w:rPr>
          <w:rFonts w:ascii="Times New Roman" w:eastAsia="Times New Roman" w:hAnsi="Times New Roman" w:cs="Times New Roman"/>
          <w:sz w:val="24"/>
          <w:szCs w:val="24"/>
        </w:rPr>
        <w:t>una vez que las economías hayan</w:t>
      </w:r>
      <w:r w:rsidRPr="00090337">
        <w:rPr>
          <w:rFonts w:ascii="Times New Roman" w:eastAsia="Times New Roman" w:hAnsi="Times New Roman" w:cs="Times New Roman"/>
          <w:sz w:val="24"/>
          <w:szCs w:val="24"/>
        </w:rPr>
        <w:t xml:space="preserve"> vuelto a la realidad y la velocidad del dinero se haya normalizado.</w:t>
      </w:r>
    </w:p>
    <w:p w:rsidR="006019A3" w:rsidRPr="006019A3" w:rsidRDefault="006019A3" w:rsidP="006019A3">
      <w:pPr>
        <w:pStyle w:val="NormalWeb"/>
        <w:spacing w:after="360"/>
        <w:jc w:val="both"/>
      </w:pPr>
      <w:r w:rsidRPr="006019A3">
        <w:t>La política de tipos de interés cero, lejos de estimular la demanda de crédito entre los particulares, ha alimentado un mayor endeudamiento público. Las familias y las empresas continúan desendeudándose.</w:t>
      </w:r>
    </w:p>
    <w:p w:rsidR="006019A3" w:rsidRPr="006019A3" w:rsidRDefault="006019A3" w:rsidP="006019A3">
      <w:pPr>
        <w:pStyle w:val="NormalWeb"/>
        <w:spacing w:after="360"/>
        <w:jc w:val="both"/>
      </w:pPr>
      <w:r w:rsidRPr="006019A3">
        <w:t>Se puede llevar el caballo al abrevadero, decía Keynes, pero nadie lo puede obligar a beber. Y eso es lo que ha sucedido en los últimos años en la eurozona. La política de tipos de interés cero -llamada a aumentar el consumo y la inversión de los agentes privados-, lejos de incrementar el endeudamiento de hogares y empresas de forma relevante, ha tenido efectos muy limitados. Ha sido el sector público, por el contrario, quien más se ha beneficiado.</w:t>
      </w:r>
    </w:p>
    <w:p w:rsidR="00C96793" w:rsidRPr="00090337" w:rsidRDefault="006019A3" w:rsidP="006019A3">
      <w:pPr>
        <w:pStyle w:val="NormalWeb"/>
        <w:spacing w:after="360"/>
        <w:jc w:val="both"/>
      </w:pPr>
      <w:r w:rsidRPr="006019A3">
        <w:t>El gran beneficiario de una inflación descontrolada termina siendo el sector público (Gobierno), por la vía de la “licuación” de su pasivo (disminución de la deuda por efecto de la inflación) y del incremento de ingresos fiscales (aumento de la recaudación por efecto de la inflación). Por ejemplo, cuando aumentan los precios de la energía (electricidad, gas, gasolina), el estado recauda más por impuestos. Cuando no se realiza un ajuste por inflación de la renta imponible (mínimo no imponible, tramos de renta), el estado recauda más impuestos. O sea, que una inflación en ascenso, perjudica a empresas y particulares, pero beneficia a un sector público, ávido de ingresos y ahogado en deudas.</w:t>
      </w:r>
    </w:p>
    <w:p w:rsidR="00C96793" w:rsidRPr="00090337" w:rsidRDefault="006019A3" w:rsidP="00C96793">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Mientras,</w:t>
      </w:r>
      <w:r w:rsidR="00C96793" w:rsidRPr="00090337">
        <w:rPr>
          <w:rFonts w:ascii="Times New Roman" w:eastAsia="Times New Roman" w:hAnsi="Times New Roman" w:cs="Times New Roman"/>
          <w:sz w:val="24"/>
          <w:szCs w:val="24"/>
        </w:rPr>
        <w:t xml:space="preserve"> los enemigos de la economía real (que no es la dictadura del mercado) se están frotando las manos con esta crisis, como ya lo hicieron en la anterior y, si los más jóvenes no lo remedian, volverán a hacerlo de nuevo, en la próxima, mientras les dejen seguir la fiesta (para ellos), de una economía irreal, dopada, </w:t>
      </w:r>
      <w:r>
        <w:rPr>
          <w:rFonts w:ascii="Times New Roman" w:eastAsia="Times New Roman" w:hAnsi="Times New Roman" w:cs="Times New Roman"/>
          <w:sz w:val="24"/>
          <w:szCs w:val="24"/>
        </w:rPr>
        <w:t>especulativa, virtual</w:t>
      </w:r>
      <w:r w:rsidR="00C96793" w:rsidRPr="00090337">
        <w:rPr>
          <w:rFonts w:ascii="Times New Roman" w:eastAsia="Times New Roman" w:hAnsi="Times New Roman" w:cs="Times New Roman"/>
          <w:sz w:val="24"/>
          <w:szCs w:val="24"/>
        </w:rPr>
        <w:t xml:space="preserve">, mendaz, falaz y toxica. </w:t>
      </w:r>
    </w:p>
    <w:p w:rsidR="00E350C4" w:rsidRDefault="00E350C4" w:rsidP="00C96793">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E350C4" w:rsidRPr="00E350C4" w:rsidRDefault="00E350C4" w:rsidP="00C96793">
      <w:pPr>
        <w:shd w:val="clear" w:color="auto" w:fill="FFFFFF"/>
        <w:spacing w:after="0" w:line="240" w:lineRule="auto"/>
        <w:jc w:val="both"/>
        <w:textAlignment w:val="baseline"/>
        <w:rPr>
          <w:rFonts w:ascii="Times New Roman" w:eastAsia="Times New Roman" w:hAnsi="Times New Roman" w:cs="Times New Roman"/>
          <w:b/>
          <w:sz w:val="24"/>
          <w:szCs w:val="24"/>
        </w:rPr>
      </w:pPr>
      <w:r>
        <w:rPr>
          <w:rFonts w:ascii="Times New Roman" w:eastAsia="Times New Roman" w:hAnsi="Times New Roman" w:cs="Times New Roman"/>
          <w:b/>
          <w:sz w:val="24"/>
          <w:szCs w:val="24"/>
        </w:rPr>
        <w:t>U</w:t>
      </w:r>
      <w:r w:rsidRPr="00E350C4">
        <w:rPr>
          <w:rFonts w:ascii="Times New Roman" w:eastAsia="Times New Roman" w:hAnsi="Times New Roman" w:cs="Times New Roman"/>
          <w:b/>
          <w:sz w:val="24"/>
          <w:szCs w:val="24"/>
        </w:rPr>
        <w:t>n</w:t>
      </w:r>
      <w:r>
        <w:rPr>
          <w:rFonts w:ascii="Times New Roman" w:eastAsia="Times New Roman" w:hAnsi="Times New Roman" w:cs="Times New Roman"/>
          <w:b/>
          <w:sz w:val="24"/>
          <w:szCs w:val="24"/>
        </w:rPr>
        <w:t xml:space="preserve"> breve recorrido </w:t>
      </w:r>
      <w:r w:rsidRPr="00E350C4">
        <w:rPr>
          <w:rFonts w:ascii="Times New Roman" w:eastAsia="Times New Roman" w:hAnsi="Times New Roman" w:cs="Times New Roman"/>
          <w:b/>
          <w:sz w:val="24"/>
          <w:szCs w:val="24"/>
        </w:rPr>
        <w:t>por la “maldita hemeroteca”</w:t>
      </w:r>
      <w:r>
        <w:rPr>
          <w:rFonts w:ascii="Times New Roman" w:eastAsia="Times New Roman" w:hAnsi="Times New Roman" w:cs="Times New Roman"/>
          <w:b/>
          <w:sz w:val="24"/>
          <w:szCs w:val="24"/>
        </w:rPr>
        <w:t xml:space="preserve">, puede ayudar a dar o quitar razón </w:t>
      </w:r>
    </w:p>
    <w:p w:rsidR="00C96793" w:rsidRPr="00E350C4" w:rsidRDefault="00C96793" w:rsidP="00C96793">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7031A1" w:rsidRPr="009164F2" w:rsidRDefault="007031A1" w:rsidP="007031A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164F2">
        <w:rPr>
          <w:rFonts w:ascii="Times New Roman" w:hAnsi="Times New Roman" w:cs="Times New Roman"/>
          <w:sz w:val="24"/>
          <w:szCs w:val="24"/>
          <w:u w:val="single"/>
        </w:rPr>
        <w:t>Causas de la inflación: una terrible política monetaria</w:t>
      </w:r>
      <w:r>
        <w:rPr>
          <w:rFonts w:ascii="Times New Roman" w:hAnsi="Times New Roman" w:cs="Times New Roman"/>
          <w:sz w:val="24"/>
          <w:szCs w:val="24"/>
        </w:rPr>
        <w:t xml:space="preserve"> (Libertad Digital - </w:t>
      </w:r>
      <w:r w:rsidRPr="009164F2">
        <w:rPr>
          <w:rFonts w:ascii="Times New Roman" w:hAnsi="Times New Roman" w:cs="Times New Roman"/>
          <w:b/>
          <w:sz w:val="24"/>
          <w:szCs w:val="24"/>
        </w:rPr>
        <w:t>5/1/22</w:t>
      </w:r>
      <w:r>
        <w:rPr>
          <w:rFonts w:ascii="Times New Roman" w:hAnsi="Times New Roman" w:cs="Times New Roman"/>
          <w:sz w:val="24"/>
          <w:szCs w:val="24"/>
        </w:rPr>
        <w:t>)</w:t>
      </w:r>
    </w:p>
    <w:p w:rsidR="007031A1" w:rsidRPr="009164F2" w:rsidRDefault="007031A1" w:rsidP="007031A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164F2">
        <w:rPr>
          <w:rFonts w:ascii="Times New Roman" w:hAnsi="Times New Roman" w:cs="Times New Roman"/>
          <w:sz w:val="24"/>
          <w:szCs w:val="24"/>
        </w:rPr>
        <w:t>José María Rotellar</w:t>
      </w:r>
      <w:r>
        <w:rPr>
          <w:rFonts w:ascii="Times New Roman" w:hAnsi="Times New Roman" w:cs="Times New Roman"/>
          <w:sz w:val="24"/>
          <w:szCs w:val="24"/>
        </w:rPr>
        <w:t>)</w:t>
      </w:r>
    </w:p>
    <w:p w:rsidR="007031A1" w:rsidRPr="009164F2" w:rsidRDefault="007031A1" w:rsidP="007031A1">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Llevábamos varios años sin una inflación elevada pese a haber contado con ejercicios de importante crecimiento económico y una política monetaria extremadamente laxa, heterodoxa incluso, podríamos decir, con el precio oficial del dinero en el 0% y los interbancarios, las facilidades marginales de depósito y los tipos de financiación de gran parte del endeu</w:t>
      </w:r>
      <w:r>
        <w:rPr>
          <w:rFonts w:ascii="Times New Roman" w:hAnsi="Times New Roman" w:cs="Times New Roman"/>
          <w:sz w:val="24"/>
          <w:szCs w:val="24"/>
        </w:rPr>
        <w:t>damiento soberano, en negativo.</w:t>
      </w:r>
    </w:p>
    <w:p w:rsidR="007031A1" w:rsidRPr="009164F2" w:rsidRDefault="007031A1" w:rsidP="007031A1">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Todo ello, respondía a una situación anómala, que se correspondía con una política monetaria terriblemente expansiva iniciada en uno de los momentos más graves de la anterior crisis. La gran mayoría de bancos centrales asumieron esa expansión monetaria. Recordemos, aquí, en la euroz</w:t>
      </w:r>
      <w:r>
        <w:rPr>
          <w:rFonts w:ascii="Times New Roman" w:hAnsi="Times New Roman" w:cs="Times New Roman"/>
          <w:sz w:val="24"/>
          <w:szCs w:val="24"/>
        </w:rPr>
        <w:t>ona, la famosa frase de Draghi “whatever it takes”</w:t>
      </w:r>
      <w:r w:rsidRPr="009164F2">
        <w:rPr>
          <w:rFonts w:ascii="Times New Roman" w:hAnsi="Times New Roman" w:cs="Times New Roman"/>
          <w:sz w:val="24"/>
          <w:szCs w:val="24"/>
        </w:rPr>
        <w:t>, con la que aseguraba una inundación de liquidez temporal, pero con la advertencia de que por sí sola no podría hacer nada si los gobiernos no realizaban reformas estructurales profundas, cosa que no sucedió</w:t>
      </w:r>
      <w:r>
        <w:rPr>
          <w:rFonts w:ascii="Times New Roman" w:hAnsi="Times New Roman" w:cs="Times New Roman"/>
          <w:sz w:val="24"/>
          <w:szCs w:val="24"/>
        </w:rPr>
        <w:t xml:space="preserve"> en una gran mayoría de países.</w:t>
      </w:r>
    </w:p>
    <w:p w:rsidR="007031A1" w:rsidRPr="006E3D17" w:rsidRDefault="007031A1" w:rsidP="007031A1">
      <w:pPr>
        <w:spacing w:line="240" w:lineRule="auto"/>
        <w:jc w:val="both"/>
        <w:rPr>
          <w:rFonts w:ascii="Times New Roman" w:hAnsi="Times New Roman" w:cs="Times New Roman"/>
          <w:sz w:val="24"/>
          <w:szCs w:val="24"/>
          <w:u w:val="single"/>
        </w:rPr>
      </w:pPr>
      <w:r w:rsidRPr="009164F2">
        <w:rPr>
          <w:rFonts w:ascii="Times New Roman" w:hAnsi="Times New Roman" w:cs="Times New Roman"/>
          <w:sz w:val="24"/>
          <w:szCs w:val="24"/>
        </w:rPr>
        <w:t xml:space="preserve">Pues bien, </w:t>
      </w:r>
      <w:r w:rsidRPr="006E3D17">
        <w:rPr>
          <w:rFonts w:ascii="Times New Roman" w:hAnsi="Times New Roman" w:cs="Times New Roman"/>
          <w:sz w:val="24"/>
          <w:szCs w:val="24"/>
          <w:u w:val="single"/>
        </w:rPr>
        <w:t xml:space="preserve">todavía hoy seguimos con dicha política monetaria expansiva. Hubo un conato de vuelta a la ortodoxia, pero la pandemia llegó y el mercado se inundó de más liquidez. Ahora, el BCE ha vuelto a aplazar las subidas de tipos en 2022, aunque la FED parece más decidida </w:t>
      </w:r>
      <w:r w:rsidRPr="006E3D17">
        <w:rPr>
          <w:rFonts w:ascii="Times New Roman" w:hAnsi="Times New Roman" w:cs="Times New Roman"/>
          <w:sz w:val="24"/>
          <w:szCs w:val="24"/>
          <w:u w:val="single"/>
        </w:rPr>
        <w:lastRenderedPageBreak/>
        <w:t>a empezar con la retirada de liquidez, al anunciar tres subidas de tipos en este ejercicio que acaba de comenzar, al tiempo que el Banco de Inglaterra ya ha subido tipos en veinticinco puntos básicos.</w:t>
      </w:r>
    </w:p>
    <w:p w:rsidR="007031A1" w:rsidRPr="006E3D17" w:rsidRDefault="007031A1" w:rsidP="007031A1">
      <w:pPr>
        <w:spacing w:line="240" w:lineRule="auto"/>
        <w:jc w:val="both"/>
        <w:rPr>
          <w:rFonts w:ascii="Times New Roman" w:hAnsi="Times New Roman" w:cs="Times New Roman"/>
          <w:color w:val="FF0000"/>
          <w:sz w:val="24"/>
          <w:szCs w:val="24"/>
          <w:u w:val="single"/>
        </w:rPr>
      </w:pPr>
      <w:r w:rsidRPr="006E3D17">
        <w:rPr>
          <w:rFonts w:ascii="Times New Roman" w:hAnsi="Times New Roman" w:cs="Times New Roman"/>
          <w:color w:val="FF0000"/>
          <w:sz w:val="24"/>
          <w:szCs w:val="24"/>
          <w:u w:val="single"/>
        </w:rPr>
        <w:t>En este punto, hay que recordar que el objetivo único del BCE es mantener la estabilidad de precios y sólo subsidiariamente se encuentra el contribuir al crecimiento económico. Si la Fed, que sí que tiene entre sus objetivos velar por el crecimiento económico, y el Banco de Inglaterra, que tiene dicho objetivo de manera secundaria, han dado pasos más firmes en el retorno a una política monetaria menos laxa, resulta sorprendente que el BCE, que, insistimos, tiene como único objetivo controlar la inflación, no lo haga. No se trata de pasar de una laxitud extrema a una política monetaria tremendamente contractiva, porque la economía colapsaría, pero sí que sería deseable ver al BCE orientado hacia su objetivo de control de precios de manera más decidida.</w:t>
      </w:r>
    </w:p>
    <w:p w:rsidR="007031A1" w:rsidRPr="00AB66F3" w:rsidRDefault="007031A1" w:rsidP="007031A1">
      <w:pPr>
        <w:spacing w:line="240" w:lineRule="auto"/>
        <w:jc w:val="both"/>
        <w:rPr>
          <w:rFonts w:ascii="Times New Roman" w:hAnsi="Times New Roman" w:cs="Times New Roman"/>
          <w:color w:val="FF0000"/>
          <w:sz w:val="24"/>
          <w:szCs w:val="24"/>
          <w:u w:val="single"/>
        </w:rPr>
      </w:pPr>
      <w:r w:rsidRPr="00AB66F3">
        <w:rPr>
          <w:rFonts w:ascii="Times New Roman" w:hAnsi="Times New Roman" w:cs="Times New Roman"/>
          <w:color w:val="FF0000"/>
          <w:sz w:val="24"/>
          <w:szCs w:val="24"/>
          <w:u w:val="single"/>
        </w:rPr>
        <w:t>Toda esa política monetaria extremadamente expansiva, ha generado una financiación que anestesia a la economía, haciéndola vivir muy por encima de sus posibilidades, con la banca, por un lado, con respiración asistida en cuanto a la abundante financiación y, por otro, con sus márgenes constreñidos por los nulos tipos, que le impiden contar con un buen margen de financiación -que, no lo olvidemos, es la base de su negocio., que unido a la sobrerregulación que se le impone ahora está acabando con dicho sector, al menos, tal y como lo hemos conocido.</w:t>
      </w:r>
    </w:p>
    <w:p w:rsidR="007031A1" w:rsidRPr="00AB66F3" w:rsidRDefault="007031A1" w:rsidP="007031A1">
      <w:pPr>
        <w:spacing w:line="240" w:lineRule="auto"/>
        <w:jc w:val="both"/>
        <w:rPr>
          <w:rFonts w:ascii="Times New Roman" w:hAnsi="Times New Roman" w:cs="Times New Roman"/>
          <w:color w:val="FF0000"/>
          <w:sz w:val="24"/>
          <w:szCs w:val="24"/>
          <w:u w:val="single"/>
        </w:rPr>
      </w:pPr>
      <w:r w:rsidRPr="00AB66F3">
        <w:rPr>
          <w:rFonts w:ascii="Times New Roman" w:hAnsi="Times New Roman" w:cs="Times New Roman"/>
          <w:color w:val="FF0000"/>
          <w:sz w:val="24"/>
          <w:szCs w:val="24"/>
          <w:u w:val="single"/>
        </w:rPr>
        <w:t>La baja inflación se ha acabado, cosa que, antes o después, con esta política monetaria, tenía que terminar sucediendo, por mucho que el comercio electrónico haya disminuido costes. Esa liquidez casi ilimitada está financiando los distintos cuellos de botella que se están produciendo. Ahora que estamos teniendo un problema de abastecimiento, con la disminución de la oferta, que nos lleva a subida de precios, que el coste energético se dispara por la disparatada política energética en la que se ha metido el mundo, retirando fuentes de energía y no apostando por la nuclear sin un sistema alternativo, y con el aumento de costes de transporte, esa liquidez ilimitada está financiando dichos cuellos de botella, que hace que los precios no bajen, por no permitir que los mercados se vacíen y disminuya el precio en unos de ellos al subir en otros, pues el dinero es finito. Como se imprime dinero abundante que lo financia, no se produce dicho ajuste, sino que la demanda sigue presionando al alza y los precios crecen.</w:t>
      </w:r>
    </w:p>
    <w:p w:rsidR="007031A1" w:rsidRPr="009164F2" w:rsidRDefault="007031A1" w:rsidP="007031A1">
      <w:pPr>
        <w:spacing w:line="240" w:lineRule="auto"/>
        <w:jc w:val="both"/>
        <w:rPr>
          <w:rFonts w:ascii="Times New Roman" w:hAnsi="Times New Roman" w:cs="Times New Roman"/>
          <w:sz w:val="24"/>
          <w:szCs w:val="24"/>
        </w:rPr>
      </w:pPr>
      <w:r w:rsidRPr="00AB66F3">
        <w:rPr>
          <w:rFonts w:ascii="Times New Roman" w:hAnsi="Times New Roman" w:cs="Times New Roman"/>
          <w:sz w:val="24"/>
          <w:szCs w:val="24"/>
          <w:u w:val="single"/>
        </w:rPr>
        <w:t>Ahora, se señala que mientras el indicador adelantado de la inflación se sitúa en el 6,7% interanual, los salarios apenas suben y que los trabajadores perderán, así, poder adquisitivo.</w:t>
      </w:r>
      <w:r w:rsidRPr="009164F2">
        <w:rPr>
          <w:rFonts w:ascii="Times New Roman" w:hAnsi="Times New Roman" w:cs="Times New Roman"/>
          <w:sz w:val="24"/>
          <w:szCs w:val="24"/>
        </w:rPr>
        <w:t xml:space="preserve"> Sería un grave error que se produjese un movimiento de intensas subidas salariales generalizadas, pues mantendrían artificialmente la demanda, subirían más los precios que las subidas salariales, perderían, por tanto, más poder adquisitivo que ahora los trabajadores, y entraríamos en una espiral precios-salarios que terminaría por llevarnos a una estanflación. En este sentido, es especialmente peligrosa la contrarreforma laboral del Gobierno, pues recupera la prevalencia de los convenios sectoriales frente a los de empresa en lo relativo a materia salarial, con lo que puede arruinar a muchas pymes.</w:t>
      </w:r>
    </w:p>
    <w:p w:rsidR="007031A1" w:rsidRPr="00AB66F3" w:rsidRDefault="007031A1" w:rsidP="007031A1">
      <w:pPr>
        <w:spacing w:line="240" w:lineRule="auto"/>
        <w:jc w:val="both"/>
        <w:rPr>
          <w:rFonts w:ascii="Times New Roman" w:hAnsi="Times New Roman" w:cs="Times New Roman"/>
          <w:sz w:val="24"/>
          <w:szCs w:val="24"/>
          <w:u w:val="single"/>
        </w:rPr>
      </w:pPr>
      <w:r w:rsidRPr="00AB66F3">
        <w:rPr>
          <w:rFonts w:ascii="Times New Roman" w:hAnsi="Times New Roman" w:cs="Times New Roman"/>
          <w:color w:val="FF0000"/>
          <w:sz w:val="24"/>
          <w:szCs w:val="24"/>
          <w:u w:val="single"/>
        </w:rPr>
        <w:t>La solución no es subir salarios, sino aplicar una política monetaria que permita volver a la ortodoxia y acabar con la financiación de esos cuellos de botella que están generando el crecimiento de los precios, empobreciendo a los ciudadanos y lastrando a la economía</w:t>
      </w:r>
      <w:r w:rsidRPr="009164F2">
        <w:rPr>
          <w:rFonts w:ascii="Times New Roman" w:hAnsi="Times New Roman" w:cs="Times New Roman"/>
          <w:sz w:val="24"/>
          <w:szCs w:val="24"/>
        </w:rPr>
        <w:t xml:space="preserve">. Una cosa es que, de manera extraordinaria se haya intensificado la liquidez en el mercado -ya inundado en exceso desde 2012- y otra que no haya que ir pensando en retirarlo de manera completa en algún momento, obviamente, con prudencia, porque retirar tanta liquidez no es </w:t>
      </w:r>
      <w:r w:rsidRPr="009164F2">
        <w:rPr>
          <w:rFonts w:ascii="Times New Roman" w:hAnsi="Times New Roman" w:cs="Times New Roman"/>
          <w:sz w:val="24"/>
          <w:szCs w:val="24"/>
        </w:rPr>
        <w:lastRenderedPageBreak/>
        <w:t xml:space="preserve">una cosa sencilla y hay que medir bien cómo hacerlo para no provocar un colapso económico -es el problema que tiene inundar el mercado de liquidez-, pero </w:t>
      </w:r>
      <w:r w:rsidRPr="00AB66F3">
        <w:rPr>
          <w:rFonts w:ascii="Times New Roman" w:hAnsi="Times New Roman" w:cs="Times New Roman"/>
          <w:sz w:val="24"/>
          <w:szCs w:val="24"/>
          <w:u w:val="single"/>
        </w:rPr>
        <w:t>a la ortodoxia hay que volver en algún momento, porque si se siguen financiando los cuellos de botella, entonces no se producirá el ajuste de precios entre los distintos mercados y la inflación, al impulsarse artificialmente, permanecerá.</w:t>
      </w:r>
    </w:p>
    <w:p w:rsidR="007031A1" w:rsidRDefault="007031A1" w:rsidP="007031A1">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En definitiva, el BCE no puede olvidar su único objetivo, su mandato, que no es otro que la estabilidad de precios. La inflación, en los primeros momentos, se dijo que iba a ser pasajera; después, el BCE reconoció que será transitoria, pero que ese período temporal durará más. Ahora, corremos el riesgo de que dure mucho más tiempo todavía, expandiéndose por toda la actividad productiva. El BCE, desde la prudencia, debe no olvidar su mandato y luchar claramente contra la inflación, en lugar de alimentarla con una inundación de liquidez como la que vivimos desde hace diez años.</w:t>
      </w:r>
    </w:p>
    <w:p w:rsidR="00306926" w:rsidRPr="00365B31" w:rsidRDefault="00306926" w:rsidP="0030692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65B31">
        <w:rPr>
          <w:rFonts w:ascii="Times New Roman" w:hAnsi="Times New Roman" w:cs="Times New Roman"/>
          <w:sz w:val="24"/>
          <w:szCs w:val="24"/>
          <w:u w:val="single"/>
        </w:rPr>
        <w:t>La inflación ya es un temporal</w:t>
      </w:r>
      <w:r>
        <w:rPr>
          <w:rFonts w:ascii="Times New Roman" w:hAnsi="Times New Roman" w:cs="Times New Roman"/>
          <w:sz w:val="24"/>
          <w:szCs w:val="24"/>
        </w:rPr>
        <w:t xml:space="preserve"> (Cinco Días - </w:t>
      </w:r>
      <w:r w:rsidRPr="00365B31">
        <w:rPr>
          <w:rFonts w:ascii="Times New Roman" w:hAnsi="Times New Roman" w:cs="Times New Roman"/>
          <w:b/>
          <w:sz w:val="24"/>
          <w:szCs w:val="24"/>
        </w:rPr>
        <w:t>9/5/22</w:t>
      </w:r>
      <w:r>
        <w:rPr>
          <w:rFonts w:ascii="Times New Roman" w:hAnsi="Times New Roman" w:cs="Times New Roman"/>
          <w:sz w:val="24"/>
          <w:szCs w:val="24"/>
        </w:rPr>
        <w:t>)</w:t>
      </w:r>
    </w:p>
    <w:p w:rsidR="00306926" w:rsidRPr="00365B31" w:rsidRDefault="00306926" w:rsidP="0030692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65B31">
        <w:rPr>
          <w:rFonts w:ascii="Times New Roman" w:hAnsi="Times New Roman" w:cs="Times New Roman"/>
          <w:sz w:val="24"/>
          <w:szCs w:val="24"/>
        </w:rPr>
        <w:t>Carlos Balado García</w:t>
      </w:r>
      <w:r>
        <w:rPr>
          <w:rFonts w:ascii="Times New Roman" w:hAnsi="Times New Roman" w:cs="Times New Roman"/>
          <w:sz w:val="24"/>
          <w:szCs w:val="24"/>
        </w:rPr>
        <w:t>)</w:t>
      </w:r>
    </w:p>
    <w:p w:rsidR="00306926" w:rsidRPr="00365B31" w:rsidRDefault="00306926" w:rsidP="00306926">
      <w:pPr>
        <w:spacing w:line="240" w:lineRule="auto"/>
        <w:jc w:val="both"/>
        <w:rPr>
          <w:rFonts w:ascii="Times New Roman" w:hAnsi="Times New Roman" w:cs="Times New Roman"/>
          <w:sz w:val="24"/>
          <w:szCs w:val="24"/>
        </w:rPr>
      </w:pPr>
      <w:r w:rsidRPr="009B5F7B">
        <w:rPr>
          <w:rFonts w:ascii="Times New Roman" w:hAnsi="Times New Roman" w:cs="Times New Roman"/>
          <w:sz w:val="24"/>
          <w:szCs w:val="24"/>
          <w:u w:val="single"/>
        </w:rPr>
        <w:t>La inflación se vive de forma diferente en la escala social: unos la perciben como una fuente constante de ansiedad y otros como un motivo de preocupación, pero de escasa gravedad</w:t>
      </w:r>
      <w:r w:rsidRPr="00365B31">
        <w:rPr>
          <w:rFonts w:ascii="Times New Roman" w:hAnsi="Times New Roman" w:cs="Times New Roman"/>
          <w:sz w:val="24"/>
          <w:szCs w:val="24"/>
        </w:rPr>
        <w:t>. En el primer grupo se encuentran las personas que en la tienda de comestibles suman el precio de los artículos a medida que llenan su cesta para así evitarse la sorpresa de no tener suficiente dinero para pagar; y también quienes llenan el depósito de combustible siempre con una cantidad fija de dinero independientemente de los litros que suponga. En el segundo grupo están aquellos que llenan el carrito de la compra sin preocuparse de cuánto suma lo elegido o quienes llenan sus depósitos sea cual sea su precio. Los hogares con menores ingresos, en las economías emergentes y en desarrollo, gastan aproximadamente el 50% de sus ingresos en alimentos. En los que tienen mayores ingresos</w:t>
      </w:r>
      <w:r>
        <w:rPr>
          <w:rFonts w:ascii="Times New Roman" w:hAnsi="Times New Roman" w:cs="Times New Roman"/>
          <w:sz w:val="24"/>
          <w:szCs w:val="24"/>
        </w:rPr>
        <w:t xml:space="preserve"> esta cantidad es solo del 20%.</w:t>
      </w:r>
    </w:p>
    <w:p w:rsidR="00306926" w:rsidRPr="009B5F7B" w:rsidRDefault="00306926" w:rsidP="00306926">
      <w:pPr>
        <w:spacing w:line="240" w:lineRule="auto"/>
        <w:jc w:val="both"/>
        <w:rPr>
          <w:rFonts w:ascii="Times New Roman" w:hAnsi="Times New Roman" w:cs="Times New Roman"/>
          <w:sz w:val="24"/>
          <w:szCs w:val="24"/>
          <w:u w:val="single"/>
        </w:rPr>
      </w:pPr>
      <w:r w:rsidRPr="009B5F7B">
        <w:rPr>
          <w:rFonts w:ascii="Times New Roman" w:hAnsi="Times New Roman" w:cs="Times New Roman"/>
          <w:sz w:val="24"/>
          <w:szCs w:val="24"/>
          <w:u w:val="single"/>
        </w:rPr>
        <w:t>Los presidentes de los gobiernos saben que la inflación, ya sea temporal o estructural, es perjudicial para la política, como ha recordado a raíz de una encuesta la Brookings Institution de Estados Unidos sobre Jimmy Carter, que dejó el gobierno con una inflación de 13,5% anual. En dicha encuesta, el 54% de los estadounidenses consideraba el ritmo de aumento de los precios como la mejor medida para saber cómo está la economía; y solo el 19% consideraba la tasa de desempleo como la medida de referencia.</w:t>
      </w:r>
    </w:p>
    <w:p w:rsidR="00306926" w:rsidRPr="009B5F7B" w:rsidRDefault="00306926" w:rsidP="00306926">
      <w:pPr>
        <w:spacing w:line="240" w:lineRule="auto"/>
        <w:jc w:val="both"/>
        <w:rPr>
          <w:rFonts w:ascii="Times New Roman" w:hAnsi="Times New Roman" w:cs="Times New Roman"/>
          <w:color w:val="FF0000"/>
          <w:sz w:val="24"/>
          <w:szCs w:val="24"/>
          <w:u w:val="single"/>
        </w:rPr>
      </w:pPr>
      <w:r w:rsidRPr="009B5F7B">
        <w:rPr>
          <w:rFonts w:ascii="Times New Roman" w:hAnsi="Times New Roman" w:cs="Times New Roman"/>
          <w:color w:val="FF0000"/>
          <w:sz w:val="24"/>
          <w:szCs w:val="24"/>
          <w:u w:val="single"/>
        </w:rPr>
        <w:t>Aunque el aumento de la inflación es anterior a la invasión de Ucrania y tenía un componente coyuntural de consecuencias peligrosas para la economía mundial, el escenario tras la invasión arroja señales de permanencia. La clave reside en Alemania y en la determinación de Europa de mantener el pulso a Putin quien, salvo un golpe de Estado desde sus allegados, puede alargar la guerra hasta que Rusia colapse, y ni lo uno ni lo otro será inmediato.</w:t>
      </w:r>
    </w:p>
    <w:p w:rsidR="00306926" w:rsidRPr="009B5F7B" w:rsidRDefault="00306926" w:rsidP="00306926">
      <w:pPr>
        <w:spacing w:line="240" w:lineRule="auto"/>
        <w:jc w:val="both"/>
        <w:rPr>
          <w:rFonts w:ascii="Times New Roman" w:hAnsi="Times New Roman" w:cs="Times New Roman"/>
          <w:color w:val="FF0000"/>
          <w:sz w:val="24"/>
          <w:szCs w:val="24"/>
          <w:u w:val="single"/>
        </w:rPr>
      </w:pPr>
      <w:r w:rsidRPr="009B5F7B">
        <w:rPr>
          <w:rFonts w:ascii="Times New Roman" w:hAnsi="Times New Roman" w:cs="Times New Roman"/>
          <w:color w:val="FF0000"/>
          <w:sz w:val="24"/>
          <w:szCs w:val="24"/>
          <w:u w:val="single"/>
        </w:rPr>
        <w:t>Rusia recibe a diario en torno a los 1.000 millones de dólares, 700 millones por petróleo y 400 millones por gas, una situación igual a la anterior a la invasión, pero con precios en niveles muy altos. Por tanto, tiene ingresos asegurados.</w:t>
      </w:r>
    </w:p>
    <w:p w:rsidR="00306926" w:rsidRPr="00365B31" w:rsidRDefault="00306926" w:rsidP="00306926">
      <w:pPr>
        <w:spacing w:line="240" w:lineRule="auto"/>
        <w:jc w:val="both"/>
        <w:rPr>
          <w:rFonts w:ascii="Times New Roman" w:hAnsi="Times New Roman" w:cs="Times New Roman"/>
          <w:sz w:val="24"/>
          <w:szCs w:val="24"/>
        </w:rPr>
      </w:pPr>
      <w:r w:rsidRPr="00365B31">
        <w:rPr>
          <w:rFonts w:ascii="Times New Roman" w:hAnsi="Times New Roman" w:cs="Times New Roman"/>
          <w:sz w:val="24"/>
          <w:szCs w:val="24"/>
        </w:rPr>
        <w:t xml:space="preserve">Por su parte, el crecimiento de Alemania se ralentizará drásticamente en 2022 como consecuencia de la guerra, hasta el 2,7%, pero se podría quedar en el 1,9% si las autoridades alemanas deciden suspender las importaciones de gas ruso, lo que haría entrar al país en recesión en 2023. Según afirman los cinco institutos económicos alemanes, DIW de Berlín, Ifo de Múnich, IfW de Kiel, IWH de Halle y RWI de Essen en sus previsiones de primavera, la inflación en el país será del 6,1%, la mayor en 40 años, pero con la suspensión de las </w:t>
      </w:r>
      <w:r w:rsidRPr="00365B31">
        <w:rPr>
          <w:rFonts w:ascii="Times New Roman" w:hAnsi="Times New Roman" w:cs="Times New Roman"/>
          <w:sz w:val="24"/>
          <w:szCs w:val="24"/>
        </w:rPr>
        <w:lastRenderedPageBreak/>
        <w:t>entregas de gas ruso podría dispararse hasta el 7,3%, un valor jamás alca</w:t>
      </w:r>
      <w:r>
        <w:rPr>
          <w:rFonts w:ascii="Times New Roman" w:hAnsi="Times New Roman" w:cs="Times New Roman"/>
          <w:sz w:val="24"/>
          <w:szCs w:val="24"/>
        </w:rPr>
        <w:t>nzado por la República Federal.</w:t>
      </w:r>
    </w:p>
    <w:p w:rsidR="00306926" w:rsidRPr="00365B31" w:rsidRDefault="00306926" w:rsidP="00306926">
      <w:pPr>
        <w:spacing w:line="240" w:lineRule="auto"/>
        <w:jc w:val="both"/>
        <w:rPr>
          <w:rFonts w:ascii="Times New Roman" w:hAnsi="Times New Roman" w:cs="Times New Roman"/>
          <w:sz w:val="24"/>
          <w:szCs w:val="24"/>
        </w:rPr>
      </w:pPr>
      <w:r w:rsidRPr="00365B31">
        <w:rPr>
          <w:rFonts w:ascii="Times New Roman" w:hAnsi="Times New Roman" w:cs="Times New Roman"/>
          <w:sz w:val="24"/>
          <w:szCs w:val="24"/>
        </w:rPr>
        <w:t xml:space="preserve">La Academia Nacional de Ciencias Alemana afirma que un embargo implicaría costes, aunque el país tendría capacidad para asumirlos: a corto plazo el PIB alemán caería entre un 0,5% y un 3% (hay que recordar que en 2020 cayó un 4,5% a causa de la pandemia) y supondría un impacto de entre 80 y 120 euros anuales por cada ciudadano siempre que el gas ruso se pueda sustituir por el de otras procedencias; en caso contrario esa cantidad se </w:t>
      </w:r>
      <w:r>
        <w:rPr>
          <w:rFonts w:ascii="Times New Roman" w:hAnsi="Times New Roman" w:cs="Times New Roman"/>
          <w:sz w:val="24"/>
          <w:szCs w:val="24"/>
        </w:rPr>
        <w:t>elevaría hasta los 1.000 euros.</w:t>
      </w:r>
    </w:p>
    <w:p w:rsidR="00306926" w:rsidRPr="00365B31" w:rsidRDefault="00306926" w:rsidP="00306926">
      <w:pPr>
        <w:spacing w:line="240" w:lineRule="auto"/>
        <w:jc w:val="both"/>
        <w:rPr>
          <w:rFonts w:ascii="Times New Roman" w:hAnsi="Times New Roman" w:cs="Times New Roman"/>
          <w:sz w:val="24"/>
          <w:szCs w:val="24"/>
        </w:rPr>
      </w:pPr>
      <w:r w:rsidRPr="00365B31">
        <w:rPr>
          <w:rFonts w:ascii="Times New Roman" w:hAnsi="Times New Roman" w:cs="Times New Roman"/>
          <w:sz w:val="24"/>
          <w:szCs w:val="24"/>
        </w:rPr>
        <w:t>Existen además dificultades desde una perspectiva técnica, ya que la Red Europea de Operadores de Sistemas de Transporte de Gas (Entsog) no tiene en cuenta en su modelo anual de seguridad de suministro qué pasaría en caso de una parada completa en la compra de gas ruso. Por tanto, sería necesario revisar regulaciones, procedimientos y operaciones habituales, es decir tomar decisiones difíciles con información incompleta. Como decía Bill Clinton: “Cuando hay un problema, la gente no necesariamente espera que lo resuelvas de la noche a la mañana, pero tien</w:t>
      </w:r>
      <w:r>
        <w:rPr>
          <w:rFonts w:ascii="Times New Roman" w:hAnsi="Times New Roman" w:cs="Times New Roman"/>
          <w:sz w:val="24"/>
          <w:szCs w:val="24"/>
        </w:rPr>
        <w:t>en que atraparte intentándolo”.</w:t>
      </w:r>
    </w:p>
    <w:p w:rsidR="00306926" w:rsidRPr="009146D2" w:rsidRDefault="00306926" w:rsidP="00306926">
      <w:pPr>
        <w:spacing w:line="240" w:lineRule="auto"/>
        <w:jc w:val="both"/>
        <w:rPr>
          <w:rFonts w:ascii="Times New Roman" w:hAnsi="Times New Roman" w:cs="Times New Roman"/>
          <w:sz w:val="24"/>
          <w:szCs w:val="24"/>
          <w:u w:val="single"/>
        </w:rPr>
      </w:pPr>
      <w:r w:rsidRPr="009146D2">
        <w:rPr>
          <w:rFonts w:ascii="Times New Roman" w:hAnsi="Times New Roman" w:cs="Times New Roman"/>
          <w:sz w:val="24"/>
          <w:szCs w:val="24"/>
          <w:u w:val="single"/>
        </w:rPr>
        <w:t>Esta es una guerra que tendrá consecuencias estratégicas, políticas y humanitarias de gran alcance y los mensajes políticos, como los que se refieren a la inflación, han de tener menos dosis de gratificación instantánea, como ocurre con los difundidos en las redes sociales, en las que los mensajes son elaborados para captar la breve atención de los electores, y más estructurados al modo de Churchill, instando a la perseverancia y sin prometer una victoria rápida.</w:t>
      </w:r>
    </w:p>
    <w:p w:rsidR="00306926" w:rsidRPr="009146D2" w:rsidRDefault="00306926" w:rsidP="00306926">
      <w:pPr>
        <w:spacing w:line="240" w:lineRule="auto"/>
        <w:jc w:val="both"/>
        <w:rPr>
          <w:rFonts w:ascii="Times New Roman" w:hAnsi="Times New Roman" w:cs="Times New Roman"/>
          <w:sz w:val="24"/>
          <w:szCs w:val="24"/>
          <w:u w:val="single"/>
        </w:rPr>
      </w:pPr>
      <w:r w:rsidRPr="009146D2">
        <w:rPr>
          <w:rFonts w:ascii="Times New Roman" w:hAnsi="Times New Roman" w:cs="Times New Roman"/>
          <w:sz w:val="24"/>
          <w:szCs w:val="24"/>
          <w:u w:val="single"/>
        </w:rPr>
        <w:t>Decía el filósofo austriaco Karl Popper que “solo es posible derivar profecías a largo plazo de predicciones científicas condicionales si se aplican a sistemas que pueden ser descritos como aislados, estacionarios y recurrentes. Estos sistemas son muy raros en la naturaleza, y la sociedad moderna, sin duda, no es uno de ellos”. A pesar de la recomendación y con mucho atrevimiento, se puede decir que es un hecho conocido que la situación económica va a empeorar, bien porque Alemania corte la importación del suministro de gas y vea su crecimiento amenazado y por extensión también el de la UE, o porque mantenga la importación, Rusia vea asegurados sus ingresos diarios, se alargue esta situación de altos costes y se dispare la inflación más aún y sin armas eficaces para reducirla.</w:t>
      </w:r>
    </w:p>
    <w:p w:rsidR="00306926" w:rsidRDefault="00306926" w:rsidP="0030692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65B31">
        <w:rPr>
          <w:rFonts w:ascii="Times New Roman" w:hAnsi="Times New Roman" w:cs="Times New Roman"/>
          <w:sz w:val="24"/>
          <w:szCs w:val="24"/>
        </w:rPr>
        <w:t>Carlos Balado es Profesor de OBS Business School y director de Eurocofín</w:t>
      </w:r>
      <w:r>
        <w:rPr>
          <w:rFonts w:ascii="Times New Roman" w:hAnsi="Times New Roman" w:cs="Times New Roman"/>
          <w:sz w:val="24"/>
          <w:szCs w:val="24"/>
        </w:rPr>
        <w:t>)</w:t>
      </w:r>
    </w:p>
    <w:p w:rsidR="002A31C5" w:rsidRPr="002A31C5" w:rsidRDefault="002A31C5" w:rsidP="00306926">
      <w:pPr>
        <w:spacing w:line="240" w:lineRule="auto"/>
        <w:jc w:val="both"/>
        <w:rPr>
          <w:rFonts w:ascii="Times New Roman" w:hAnsi="Times New Roman" w:cs="Times New Roman"/>
          <w:b/>
          <w:sz w:val="24"/>
          <w:szCs w:val="24"/>
        </w:rPr>
      </w:pPr>
      <w:r w:rsidRPr="002A31C5">
        <w:rPr>
          <w:rFonts w:ascii="Times New Roman" w:hAnsi="Times New Roman" w:cs="Times New Roman"/>
          <w:b/>
          <w:sz w:val="24"/>
          <w:szCs w:val="24"/>
        </w:rPr>
        <w:t>La “montaña” de dinero</w:t>
      </w:r>
      <w:r>
        <w:rPr>
          <w:rFonts w:ascii="Times New Roman" w:hAnsi="Times New Roman" w:cs="Times New Roman"/>
          <w:b/>
          <w:sz w:val="24"/>
          <w:szCs w:val="24"/>
        </w:rPr>
        <w:t>,</w:t>
      </w:r>
      <w:r w:rsidRPr="002A31C5">
        <w:rPr>
          <w:rFonts w:ascii="Times New Roman" w:hAnsi="Times New Roman" w:cs="Times New Roman"/>
          <w:b/>
          <w:sz w:val="24"/>
          <w:szCs w:val="24"/>
        </w:rPr>
        <w:t xml:space="preserve"> según los datos disponibles a mayo de 2022</w:t>
      </w:r>
    </w:p>
    <w:p w:rsidR="00306926" w:rsidRPr="00C600FE" w:rsidRDefault="00306926" w:rsidP="00306926">
      <w:pPr>
        <w:spacing w:line="240" w:lineRule="auto"/>
        <w:jc w:val="both"/>
        <w:rPr>
          <w:rFonts w:ascii="Times New Roman" w:hAnsi="Times New Roman" w:cs="Times New Roman"/>
          <w:sz w:val="24"/>
          <w:szCs w:val="24"/>
        </w:rPr>
      </w:pPr>
      <w:r>
        <w:rPr>
          <w:noProof/>
          <w:lang w:val="en-GB" w:eastAsia="zh-CN"/>
        </w:rPr>
        <w:drawing>
          <wp:inline distT="0" distB="0" distL="0" distR="0">
            <wp:extent cx="5731510" cy="2257513"/>
            <wp:effectExtent l="0" t="0" r="2540" b="9525"/>
            <wp:docPr id="25" name="Imagen 25" descr="Bancos centr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cos centrales"/>
                    <pic:cNvPicPr>
                      <a:picLocks noChangeAspect="1" noChangeArrowheads="1"/>
                    </pic:cNvPicPr>
                  </pic:nvPicPr>
                  <pic:blipFill>
                    <a:blip r:embed="rId1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257513"/>
                    </a:xfrm>
                    <a:prstGeom prst="rect">
                      <a:avLst/>
                    </a:prstGeom>
                    <a:noFill/>
                    <a:ln>
                      <a:noFill/>
                    </a:ln>
                  </pic:spPr>
                </pic:pic>
              </a:graphicData>
            </a:graphic>
          </wp:inline>
        </w:drawing>
      </w:r>
    </w:p>
    <w:p w:rsidR="00306926" w:rsidRPr="00C600FE" w:rsidRDefault="00306926" w:rsidP="00306926">
      <w:pPr>
        <w:spacing w:line="240" w:lineRule="auto"/>
        <w:jc w:val="both"/>
        <w:rPr>
          <w:rFonts w:ascii="Times New Roman" w:hAnsi="Times New Roman" w:cs="Times New Roman"/>
          <w:sz w:val="24"/>
          <w:szCs w:val="24"/>
        </w:rPr>
      </w:pPr>
      <w:r w:rsidRPr="00C600FE">
        <w:rPr>
          <w:rFonts w:ascii="Times New Roman" w:hAnsi="Times New Roman" w:cs="Times New Roman"/>
          <w:sz w:val="24"/>
          <w:szCs w:val="24"/>
        </w:rPr>
        <w:lastRenderedPageBreak/>
        <w:t>¿Banqueros o magos?</w:t>
      </w:r>
    </w:p>
    <w:p w:rsidR="00306926" w:rsidRPr="002A31C5" w:rsidRDefault="00306926" w:rsidP="00306926">
      <w:pPr>
        <w:spacing w:line="240" w:lineRule="auto"/>
        <w:jc w:val="both"/>
        <w:rPr>
          <w:rFonts w:ascii="Times New Roman" w:hAnsi="Times New Roman" w:cs="Times New Roman"/>
          <w:sz w:val="24"/>
          <w:szCs w:val="24"/>
        </w:rPr>
      </w:pPr>
      <w:r w:rsidRPr="002A31C5">
        <w:rPr>
          <w:rFonts w:ascii="Times New Roman" w:hAnsi="Times New Roman" w:cs="Times New Roman"/>
          <w:sz w:val="24"/>
          <w:szCs w:val="24"/>
        </w:rPr>
        <w:t>Año 2020. Una pandemia como no se recuerda ha paralizado la vida tal y como la conocíamos. En medio de la tragedia que viven millones de personas en todo el mundo, la economía queda congelada a medida que se aplican unos hasta ese momento impensables confinamientos. Los bancos centrales dan un paso al frente y se comprometen a sostener la economía. El PIB se desploma, pero aumenta enormemente la cantidad de dinero.</w:t>
      </w:r>
    </w:p>
    <w:p w:rsidR="00306926" w:rsidRPr="002A31C5" w:rsidRDefault="00306926" w:rsidP="00306926">
      <w:pPr>
        <w:spacing w:line="240" w:lineRule="auto"/>
        <w:jc w:val="both"/>
        <w:rPr>
          <w:rFonts w:ascii="Times New Roman" w:hAnsi="Times New Roman" w:cs="Times New Roman"/>
          <w:sz w:val="24"/>
          <w:szCs w:val="24"/>
        </w:rPr>
      </w:pPr>
      <w:r w:rsidRPr="002A31C5">
        <w:rPr>
          <w:rFonts w:ascii="Times New Roman" w:hAnsi="Times New Roman" w:cs="Times New Roman"/>
          <w:sz w:val="24"/>
          <w:szCs w:val="24"/>
        </w:rPr>
        <w:t>Los porcentajes y las cifras varían, pero la historia se repite en casi todo el mundo. En el caso del Eurosistema, el balance de los bancos centrales europeos creció en 2,32 billones de euros, repuntando un 50% en 2020 hasta un total de 6,97 billones. En el de la Reserva Federal, el incremento del balance fue de 3,16 billones de dólares. Un alza del 76% en un año, hasta fijar el balance en los 7,33 billones de dólares.</w:t>
      </w:r>
    </w:p>
    <w:p w:rsidR="00306926" w:rsidRPr="002A31C5" w:rsidRDefault="00306926" w:rsidP="00306926">
      <w:pPr>
        <w:spacing w:line="240" w:lineRule="auto"/>
        <w:jc w:val="both"/>
        <w:rPr>
          <w:rFonts w:ascii="Times New Roman" w:hAnsi="Times New Roman" w:cs="Times New Roman"/>
          <w:sz w:val="24"/>
          <w:szCs w:val="24"/>
        </w:rPr>
      </w:pPr>
      <w:r w:rsidRPr="002A31C5">
        <w:rPr>
          <w:rFonts w:ascii="Times New Roman" w:hAnsi="Times New Roman" w:cs="Times New Roman"/>
          <w:sz w:val="24"/>
          <w:szCs w:val="24"/>
        </w:rPr>
        <w:t>El histórico engorde del balance de los bancos centrales propició que 2020 fuera el año en el que más dinero se creó en cinco décadas. Según datos del FMI, la suma de las deudas de los hogares, de las empresas no financieras y de los Gobiernos a nivel mundial alcanzó los 28 billones de dólares, hasta dejar el total en 226 billones, o lo que era lo mismo, el 256% del PIB mundial. Pero hasta en esto hay clases. En concreto, según el FMI, el 90% del aumento de deuda de 2020 se produjo en las economías avanzadas y China. Aquellos que pudieron recurrir a sus bancos centrales.</w:t>
      </w:r>
    </w:p>
    <w:p w:rsidR="00306926" w:rsidRPr="002A31C5" w:rsidRDefault="00306926" w:rsidP="00306926">
      <w:pPr>
        <w:spacing w:line="240" w:lineRule="auto"/>
        <w:jc w:val="both"/>
        <w:rPr>
          <w:rFonts w:ascii="Times New Roman" w:hAnsi="Times New Roman" w:cs="Times New Roman"/>
          <w:sz w:val="24"/>
          <w:szCs w:val="24"/>
        </w:rPr>
      </w:pPr>
      <w:r w:rsidRPr="002A31C5">
        <w:rPr>
          <w:rFonts w:ascii="Times New Roman" w:hAnsi="Times New Roman" w:cs="Times New Roman"/>
          <w:sz w:val="24"/>
          <w:szCs w:val="24"/>
        </w:rPr>
        <w:t xml:space="preserve">Fuentes con conocimiento en cuestiones monetariasrecuerdan el alto precio que puede tener inyectar dinero en demasía. </w:t>
      </w:r>
      <w:r w:rsidR="002A31C5" w:rsidRPr="002A31C5">
        <w:rPr>
          <w:rFonts w:ascii="Times New Roman" w:hAnsi="Times New Roman" w:cs="Times New Roman"/>
          <w:sz w:val="24"/>
          <w:szCs w:val="24"/>
        </w:rPr>
        <w:t xml:space="preserve">No se puede crear producción por decreto. El backup del dinero es la producción real de la economía </w:t>
      </w:r>
      <w:r w:rsidRPr="002A31C5">
        <w:rPr>
          <w:rFonts w:ascii="Times New Roman" w:hAnsi="Times New Roman" w:cs="Times New Roman"/>
          <w:sz w:val="24"/>
          <w:szCs w:val="24"/>
        </w:rPr>
        <w:t>Estrictamente hablando el valor de una moneda está respaldada por algo real, no somos magos. No basta con imprimir dinero para ser más ricos.</w:t>
      </w:r>
    </w:p>
    <w:p w:rsidR="00306926" w:rsidRPr="005E4890" w:rsidRDefault="00306926" w:rsidP="00306926">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u w:val="single"/>
        </w:rPr>
        <w:t>Bruselas suspende las reglas de déficit y deuda también en 2023 por la guerra en Ucrania</w:t>
      </w:r>
    </w:p>
    <w:p w:rsidR="002A31C5" w:rsidRDefault="002A31C5" w:rsidP="002A31C5">
      <w:pPr>
        <w:spacing w:line="240" w:lineRule="auto"/>
        <w:jc w:val="both"/>
        <w:rPr>
          <w:rFonts w:ascii="Times New Roman" w:hAnsi="Times New Roman" w:cs="Times New Roman"/>
          <w:sz w:val="24"/>
          <w:szCs w:val="24"/>
        </w:rPr>
      </w:pPr>
      <w:r w:rsidRPr="002A31C5">
        <w:rPr>
          <w:rFonts w:ascii="Times New Roman" w:hAnsi="Times New Roman" w:cs="Times New Roman"/>
          <w:sz w:val="24"/>
          <w:szCs w:val="24"/>
        </w:rPr>
        <w:t>“</w:t>
      </w:r>
      <w:r w:rsidR="00306926" w:rsidRPr="002A31C5">
        <w:rPr>
          <w:rFonts w:ascii="Times New Roman" w:hAnsi="Times New Roman" w:cs="Times New Roman"/>
          <w:sz w:val="24"/>
          <w:szCs w:val="24"/>
        </w:rPr>
        <w:t>El Pacto de Estabilidad, que obliga a los países de la eurozona a rebajar el déficit y la deuda pública, seguirá suspendido también en 2023 por cuarto año consecutivo. La Comisión Europea ha decidido por “consenso” mantener activada la denominada “cláusula de escape” debido al impacto económico de la guerra en Ucrania, según confirman a este periódico fuentes comunitarias</w:t>
      </w:r>
      <w:r w:rsidRPr="002A31C5">
        <w:rPr>
          <w:rFonts w:ascii="Times New Roman" w:hAnsi="Times New Roman" w:cs="Times New Roman"/>
          <w:sz w:val="24"/>
          <w:szCs w:val="24"/>
        </w:rPr>
        <w:t>”..</w:t>
      </w:r>
      <w:r w:rsidR="00306926" w:rsidRPr="002A31C5">
        <w:rPr>
          <w:rFonts w:ascii="Times New Roman" w:hAnsi="Times New Roman" w:cs="Times New Roman"/>
          <w:sz w:val="24"/>
          <w:szCs w:val="24"/>
        </w:rPr>
        <w:t>.</w:t>
      </w:r>
      <w:r>
        <w:rPr>
          <w:rFonts w:ascii="Times New Roman" w:hAnsi="Times New Roman" w:cs="Times New Roman"/>
          <w:sz w:val="24"/>
          <w:szCs w:val="24"/>
        </w:rPr>
        <w:t xml:space="preserve">(El Español - </w:t>
      </w:r>
      <w:r w:rsidRPr="005E4890">
        <w:rPr>
          <w:rFonts w:ascii="Times New Roman" w:hAnsi="Times New Roman" w:cs="Times New Roman"/>
          <w:b/>
          <w:sz w:val="24"/>
          <w:szCs w:val="24"/>
        </w:rPr>
        <w:t>19/5/22</w:t>
      </w:r>
      <w:r>
        <w:rPr>
          <w:rFonts w:ascii="Times New Roman" w:hAnsi="Times New Roman" w:cs="Times New Roman"/>
          <w:sz w:val="24"/>
          <w:szCs w:val="24"/>
        </w:rPr>
        <w:t>)</w:t>
      </w:r>
    </w:p>
    <w:p w:rsidR="002A31C5" w:rsidRPr="002A31C5" w:rsidRDefault="002A31C5" w:rsidP="002A31C5">
      <w:pPr>
        <w:spacing w:line="240" w:lineRule="auto"/>
        <w:jc w:val="both"/>
        <w:rPr>
          <w:rFonts w:ascii="Times New Roman" w:hAnsi="Times New Roman" w:cs="Times New Roman"/>
          <w:sz w:val="24"/>
          <w:szCs w:val="24"/>
        </w:rPr>
      </w:pPr>
      <w:r w:rsidRPr="002A31C5">
        <w:rPr>
          <w:rFonts w:ascii="Times New Roman" w:hAnsi="Times New Roman" w:cs="Times New Roman"/>
          <w:sz w:val="24"/>
          <w:szCs w:val="24"/>
        </w:rPr>
        <w:t>El objetivo es dejar margen de maniobra a los Gobiernos nacionales para que puedan recurrir al gasto público con el fin de salir al rescate de los hogares y las empresas más golpeadas por el conflicto. La prórroga de la “cláusula de escape” -que se activó por primera vez en la historia en marzo de 2020 en respuesta a la pandemia- había sido reclamada por el Gobierno de Pedro Sánchez. Pero también cuenta con el apoyo de los “frugales” como Holanda.</w:t>
      </w:r>
    </w:p>
    <w:p w:rsidR="002A31C5" w:rsidRPr="002A31C5" w:rsidRDefault="002A31C5" w:rsidP="002A31C5">
      <w:pPr>
        <w:spacing w:line="240" w:lineRule="auto"/>
        <w:jc w:val="both"/>
        <w:rPr>
          <w:rFonts w:ascii="Times New Roman" w:hAnsi="Times New Roman" w:cs="Times New Roman"/>
          <w:sz w:val="24"/>
          <w:szCs w:val="24"/>
        </w:rPr>
      </w:pPr>
      <w:r w:rsidRPr="002A31C5">
        <w:rPr>
          <w:rFonts w:ascii="Times New Roman" w:hAnsi="Times New Roman" w:cs="Times New Roman"/>
          <w:sz w:val="24"/>
          <w:szCs w:val="24"/>
        </w:rPr>
        <w:t>La decisión de mantener en suspenso las reglas de déficit y deuda se adoptó en la reunión del colegio de comisarios de este miércoles y se formalizará el próximo lunes 23 de mayo. Ese día, Bruselas tiene previsto presentar además sus recomendaciones de política económica para España y el resto de Estados miembros en 2022-2023.</w:t>
      </w:r>
    </w:p>
    <w:p w:rsidR="002A31C5" w:rsidRPr="002A31C5" w:rsidRDefault="002A31C5" w:rsidP="002A31C5">
      <w:pPr>
        <w:spacing w:line="240" w:lineRule="auto"/>
        <w:jc w:val="both"/>
        <w:rPr>
          <w:rFonts w:ascii="Times New Roman" w:hAnsi="Times New Roman" w:cs="Times New Roman"/>
          <w:sz w:val="24"/>
          <w:szCs w:val="24"/>
        </w:rPr>
      </w:pPr>
      <w:r w:rsidRPr="002A31C5">
        <w:rPr>
          <w:rFonts w:ascii="Times New Roman" w:hAnsi="Times New Roman" w:cs="Times New Roman"/>
          <w:sz w:val="24"/>
          <w:szCs w:val="24"/>
        </w:rPr>
        <w:t>Aunque se mantenga la “cláusula de escape”, el Ejecutivo comunitario reclamará a los países con alta deuda (como España, Italia o Grecia), que el aumento del gasto corriente sea inferior a su tasa de crecimiento potencial, según ha adelantado el periódico Financial Times.</w:t>
      </w:r>
    </w:p>
    <w:p w:rsidR="002A31C5" w:rsidRPr="002A31C5" w:rsidRDefault="002A31C5" w:rsidP="002A31C5">
      <w:pPr>
        <w:spacing w:line="240" w:lineRule="auto"/>
        <w:jc w:val="both"/>
        <w:rPr>
          <w:rFonts w:ascii="Times New Roman" w:hAnsi="Times New Roman" w:cs="Times New Roman"/>
          <w:sz w:val="24"/>
          <w:szCs w:val="24"/>
        </w:rPr>
      </w:pPr>
    </w:p>
    <w:p w:rsidR="00306926" w:rsidRDefault="00306926" w:rsidP="00306926">
      <w:pPr>
        <w:spacing w:line="240" w:lineRule="auto"/>
        <w:jc w:val="both"/>
        <w:rPr>
          <w:rFonts w:ascii="Times New Roman" w:hAnsi="Times New Roman" w:cs="Times New Roman"/>
          <w:color w:val="FF0000"/>
          <w:sz w:val="24"/>
          <w:szCs w:val="24"/>
          <w:u w:val="single"/>
        </w:rPr>
      </w:pPr>
    </w:p>
    <w:p w:rsidR="00306926" w:rsidRPr="001E4F52" w:rsidRDefault="00306926" w:rsidP="00306926">
      <w:pPr>
        <w:spacing w:line="240" w:lineRule="auto"/>
        <w:jc w:val="both"/>
        <w:rPr>
          <w:rFonts w:ascii="Times New Roman" w:hAnsi="Times New Roman" w:cs="Times New Roman"/>
          <w:color w:val="FF0000"/>
          <w:sz w:val="24"/>
          <w:szCs w:val="24"/>
          <w:u w:val="single"/>
        </w:rPr>
      </w:pPr>
      <w:r>
        <w:rPr>
          <w:noProof/>
          <w:lang w:val="en-GB" w:eastAsia="zh-CN"/>
        </w:rPr>
        <w:lastRenderedPageBreak/>
        <w:drawing>
          <wp:inline distT="0" distB="0" distL="0" distR="0">
            <wp:extent cx="5731510" cy="3892550"/>
            <wp:effectExtent l="0" t="0" r="2540" b="0"/>
            <wp:docPr id="26" name="Imagen 26" descr="Previsión de déficit público en los países de la UE en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revisión de déficit público en los países de la UE en 2022"/>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892550"/>
                    </a:xfrm>
                    <a:prstGeom prst="rect">
                      <a:avLst/>
                    </a:prstGeom>
                    <a:noFill/>
                    <a:ln>
                      <a:noFill/>
                    </a:ln>
                  </pic:spPr>
                </pic:pic>
              </a:graphicData>
            </a:graphic>
          </wp:inline>
        </w:drawing>
      </w:r>
    </w:p>
    <w:p w:rsidR="00306926" w:rsidRPr="001E4F52" w:rsidRDefault="00306926" w:rsidP="00306926">
      <w:pPr>
        <w:spacing w:line="240" w:lineRule="auto"/>
        <w:jc w:val="both"/>
        <w:rPr>
          <w:rFonts w:ascii="Times New Roman" w:hAnsi="Times New Roman" w:cs="Times New Roman"/>
          <w:color w:val="FF0000"/>
          <w:sz w:val="24"/>
          <w:szCs w:val="24"/>
          <w:u w:val="single"/>
        </w:rPr>
      </w:pPr>
      <w:r>
        <w:rPr>
          <w:noProof/>
          <w:lang w:val="en-GB" w:eastAsia="zh-CN"/>
        </w:rPr>
        <w:drawing>
          <wp:inline distT="0" distB="0" distL="0" distR="0">
            <wp:extent cx="5731510" cy="4125595"/>
            <wp:effectExtent l="0" t="0" r="2540" b="8255"/>
            <wp:docPr id="27" name="Imagen 27" descr="Previsión de deuda pública en los países de la UE en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revisión de deuda pública en los países de la UE en 2022"/>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125595"/>
                    </a:xfrm>
                    <a:prstGeom prst="rect">
                      <a:avLst/>
                    </a:prstGeom>
                    <a:noFill/>
                    <a:ln>
                      <a:noFill/>
                    </a:ln>
                  </pic:spPr>
                </pic:pic>
              </a:graphicData>
            </a:graphic>
          </wp:inline>
        </w:drawing>
      </w:r>
    </w:p>
    <w:p w:rsidR="00306926" w:rsidRPr="005E4890" w:rsidRDefault="00306926" w:rsidP="00306926">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t xml:space="preserve">A principios de año, Bruselas todavía daba por hecho que el Pacto de Estabilidad volvería a reactivarse en 2023 tras la situación de emergencia económica por la Covid-19. El </w:t>
      </w:r>
      <w:r w:rsidRPr="005E4890">
        <w:rPr>
          <w:rFonts w:ascii="Times New Roman" w:hAnsi="Times New Roman" w:cs="Times New Roman"/>
          <w:sz w:val="24"/>
          <w:szCs w:val="24"/>
        </w:rPr>
        <w:lastRenderedPageBreak/>
        <w:t xml:space="preserve">crecimiento recuperaba velocidad de crucero y la eurozona ya había alcanzado el nivel de PIB previo a la pandemia. Pero la guerra </w:t>
      </w:r>
      <w:r>
        <w:rPr>
          <w:rFonts w:ascii="Times New Roman" w:hAnsi="Times New Roman" w:cs="Times New Roman"/>
          <w:sz w:val="24"/>
          <w:szCs w:val="24"/>
        </w:rPr>
        <w:t>en Ucrania lo ha cambiado todo.</w:t>
      </w:r>
    </w:p>
    <w:p w:rsidR="004D3975" w:rsidRDefault="00306926" w:rsidP="00306926">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t xml:space="preserve">El pasado lunes, el comisario de Asuntos Económicos, Paolo Gentiloni, anunció un fuerte recorte de las previsiones económicas. La eurozona avanzará un 2,7% este año y un 2,3% en 2023, en lugar del 4% y el 2,7% que Bruselas había calculado en febrero. En paralelo, la inflación se dispara al 6,1% en el promedio del año. </w:t>
      </w:r>
    </w:p>
    <w:p w:rsidR="00306926" w:rsidRDefault="00306926" w:rsidP="00306926">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t>Las previsiones de Bruselas no contemplan un corte total de suministro de gas desde Rusia. En esta hipótesis extrema, la UE apenas avanzaría un 0,2%, mientras que la inflación se dispararía a cerca del 10%. Es decir, un escenario de estanflación que asusta a los dirigentes comunitarios. De ahí que la decisión de mantener en suspenso el Pacto de Estabilidad genere un amplio consenso en Bruselas.</w:t>
      </w:r>
    </w:p>
    <w:p w:rsidR="004D3975" w:rsidRPr="004D3975" w:rsidRDefault="004D3975" w:rsidP="004D3975">
      <w:pPr>
        <w:spacing w:line="240" w:lineRule="auto"/>
        <w:jc w:val="both"/>
        <w:rPr>
          <w:rFonts w:ascii="Times New Roman" w:hAnsi="Times New Roman" w:cs="Times New Roman"/>
          <w:sz w:val="24"/>
          <w:szCs w:val="24"/>
          <w:u w:val="single"/>
        </w:rPr>
      </w:pPr>
      <w:r w:rsidRPr="004D3975">
        <w:rPr>
          <w:rFonts w:ascii="Times New Roman" w:hAnsi="Times New Roman" w:cs="Times New Roman"/>
          <w:sz w:val="24"/>
          <w:szCs w:val="24"/>
          <w:u w:val="single"/>
        </w:rPr>
        <w:t>Deutsche Bank y el shock de inflación</w:t>
      </w:r>
      <w:r>
        <w:rPr>
          <w:rFonts w:ascii="Times New Roman" w:hAnsi="Times New Roman" w:cs="Times New Roman"/>
          <w:sz w:val="24"/>
          <w:szCs w:val="24"/>
          <w:u w:val="single"/>
        </w:rPr>
        <w:t xml:space="preserve"> (“Memorias de África”)</w:t>
      </w:r>
    </w:p>
    <w:p w:rsidR="00306926" w:rsidRPr="004D3975" w:rsidRDefault="004D3975" w:rsidP="0030692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06926" w:rsidRPr="004D3975">
        <w:rPr>
          <w:rFonts w:ascii="Times New Roman" w:hAnsi="Times New Roman" w:cs="Times New Roman"/>
          <w:sz w:val="24"/>
          <w:szCs w:val="24"/>
        </w:rPr>
        <w:t>Christian Nolting, director de inversiones del área privada de Deutsche Bank, comentó hace unas semanas en un informe temático que la inflación era como un rinoceronte desatado dentro de una sala. Este economista cree ahora que la inflación seguirá siendo bastante elevada en la zona euro y en EEUU, donde ve hasta 10 subidas de tipos en un año para contener a este “rinoceronte”</w:t>
      </w:r>
      <w:r>
        <w:rPr>
          <w:rFonts w:ascii="Times New Roman" w:hAnsi="Times New Roman" w:cs="Times New Roman"/>
          <w:sz w:val="24"/>
          <w:szCs w:val="24"/>
        </w:rPr>
        <w:t>”...</w:t>
      </w:r>
      <w:r w:rsidR="00306926" w:rsidRPr="004D3975">
        <w:rPr>
          <w:rFonts w:ascii="Times New Roman" w:hAnsi="Times New Roman" w:cs="Times New Roman"/>
          <w:sz w:val="24"/>
          <w:szCs w:val="24"/>
        </w:rPr>
        <w:t>.</w:t>
      </w:r>
      <w:r>
        <w:rPr>
          <w:rFonts w:ascii="Times New Roman" w:hAnsi="Times New Roman" w:cs="Times New Roman"/>
          <w:sz w:val="24"/>
          <w:szCs w:val="24"/>
        </w:rPr>
        <w:t xml:space="preserve">(El Economista - </w:t>
      </w:r>
      <w:r w:rsidRPr="00B62111">
        <w:rPr>
          <w:rFonts w:ascii="Times New Roman" w:hAnsi="Times New Roman" w:cs="Times New Roman"/>
          <w:b/>
          <w:sz w:val="24"/>
          <w:szCs w:val="24"/>
        </w:rPr>
        <w:t>20/5/22</w:t>
      </w:r>
      <w:r>
        <w:rPr>
          <w:rFonts w:ascii="Times New Roman" w:hAnsi="Times New Roman" w:cs="Times New Roman"/>
          <w:sz w:val="24"/>
          <w:szCs w:val="24"/>
        </w:rPr>
        <w:t>)</w:t>
      </w:r>
    </w:p>
    <w:p w:rsidR="00306926" w:rsidRPr="00B62111" w:rsidRDefault="00306926" w:rsidP="00306926">
      <w:pPr>
        <w:spacing w:line="240" w:lineRule="auto"/>
        <w:jc w:val="both"/>
        <w:rPr>
          <w:rFonts w:ascii="Times New Roman" w:hAnsi="Times New Roman" w:cs="Times New Roman"/>
          <w:sz w:val="24"/>
          <w:szCs w:val="24"/>
        </w:rPr>
      </w:pPr>
      <w:r w:rsidRPr="00B62111">
        <w:rPr>
          <w:rFonts w:ascii="Times New Roman" w:hAnsi="Times New Roman" w:cs="Times New Roman"/>
          <w:sz w:val="24"/>
          <w:szCs w:val="24"/>
        </w:rPr>
        <w:t>Nolting, según publica Europa Press, prevé que la inflación se modere algo, puesto que las tasas de variación que ha mostrado en los últimos meses no son sostenibles salvo que la energía volviese a dar otro arreón o que se produjese una espiral precios/salarios. Pese a todo, las expectativas aún son elevadas: anticipa que el IPC de Estados Unidos se sitúe en el 4,7% a finales de 2022 y en el 8% en la Eurozona. Esta inflación tan poderosa está poniendo contra las cuerdas al consumo. Lo que está ocurriendo en España puede ser una premonición para el resto de Europa.</w:t>
      </w:r>
    </w:p>
    <w:p w:rsidR="00306926" w:rsidRPr="004D3975" w:rsidRDefault="00306926" w:rsidP="00306926">
      <w:pPr>
        <w:spacing w:line="240" w:lineRule="auto"/>
        <w:jc w:val="both"/>
        <w:rPr>
          <w:rFonts w:ascii="Times New Roman" w:hAnsi="Times New Roman" w:cs="Times New Roman"/>
          <w:sz w:val="24"/>
          <w:szCs w:val="24"/>
        </w:rPr>
      </w:pPr>
      <w:r w:rsidRPr="004D3975">
        <w:rPr>
          <w:rFonts w:ascii="Times New Roman" w:hAnsi="Times New Roman" w:cs="Times New Roman"/>
          <w:sz w:val="24"/>
          <w:szCs w:val="24"/>
        </w:rPr>
        <w:t>Deutsche Bank anticipa 10 subidas de tipos (hay apuestas aún más elevadas) por parte de la Reserva Federal estadounidense (Fed) de cara al cierre del segundo trimestre de 2023 y que el Banco Central Europeo (BCE) ponga fin a sus compras netas de activos antes de subir el tipo de facilidad de depósito tres veces y el tipo de facilidad de préstamo dos veces en 2022.</w:t>
      </w:r>
    </w:p>
    <w:p w:rsidR="00306926" w:rsidRPr="004D3975" w:rsidRDefault="00306926" w:rsidP="00306926">
      <w:pPr>
        <w:spacing w:line="240" w:lineRule="auto"/>
        <w:jc w:val="both"/>
        <w:rPr>
          <w:rFonts w:ascii="Times New Roman" w:hAnsi="Times New Roman" w:cs="Times New Roman"/>
          <w:sz w:val="24"/>
          <w:szCs w:val="24"/>
        </w:rPr>
      </w:pPr>
      <w:r w:rsidRPr="004D3975">
        <w:rPr>
          <w:rFonts w:ascii="Times New Roman" w:hAnsi="Times New Roman" w:cs="Times New Roman"/>
          <w:sz w:val="24"/>
          <w:szCs w:val="24"/>
        </w:rPr>
        <w:t>El crecimiento, por su parte, seguirá por encima del potencial en Estados Unidos, con un avance esperado para este año del 2,9%, mientras que la perspectiva de crecimiento para la Eurozona es del 2,8%, un porcentaje que “sería mucho mayor si no fuera por las limitaciones de la oferta a la luz de la situación de Ucrania”.</w:t>
      </w:r>
    </w:p>
    <w:p w:rsidR="00306926" w:rsidRPr="004D3975" w:rsidRDefault="00306926" w:rsidP="00306926">
      <w:pPr>
        <w:spacing w:line="240" w:lineRule="auto"/>
        <w:jc w:val="both"/>
        <w:rPr>
          <w:rFonts w:ascii="Times New Roman" w:hAnsi="Times New Roman" w:cs="Times New Roman"/>
          <w:sz w:val="24"/>
          <w:szCs w:val="24"/>
        </w:rPr>
      </w:pPr>
      <w:r w:rsidRPr="004D3975">
        <w:rPr>
          <w:rFonts w:ascii="Times New Roman" w:hAnsi="Times New Roman" w:cs="Times New Roman"/>
          <w:sz w:val="24"/>
          <w:szCs w:val="24"/>
        </w:rPr>
        <w:t>En estas previsiones se puede ver cómo la inflación multiplicará casi por tres la tasa de crecimiento económico. “Los bancos centrales se enfrentan hoy a un dilema, dado que es improbable que las presiones inflacionistas se reduzcan en breve y las economías necesitan abundante liquidez debido al deterioro de las condiciones financieras y a los mayores riesgos para el crecimiento”, explicaba este experto en su informe temático.</w:t>
      </w:r>
    </w:p>
    <w:p w:rsidR="00306926" w:rsidRPr="004D3975" w:rsidRDefault="00306926" w:rsidP="00306926">
      <w:pPr>
        <w:spacing w:line="240" w:lineRule="auto"/>
        <w:jc w:val="both"/>
        <w:rPr>
          <w:rFonts w:ascii="Times New Roman" w:hAnsi="Times New Roman" w:cs="Times New Roman"/>
          <w:sz w:val="24"/>
          <w:szCs w:val="24"/>
        </w:rPr>
      </w:pPr>
      <w:r w:rsidRPr="004D3975">
        <w:rPr>
          <w:rFonts w:ascii="Times New Roman" w:hAnsi="Times New Roman" w:cs="Times New Roman"/>
          <w:sz w:val="24"/>
          <w:szCs w:val="24"/>
        </w:rPr>
        <w:t>El experto del banco alemán explicaba que “la recuperación económica ha hecho aumentar la demanda de bienes y servicios. Al mismo tiempo, el mundo post pandemia ha generado algunas restricciones de la oferta, algo que los bancos centrales difícilmente pueden controlar. Las sanciones y el cese por parte de las empresas de sus actividades en Rusia están agravando los problemas de las cadenas de suministro. Asimismo, la escasez de platino, paladio o incluso neón está afectando la fabricación de productos intermedios”, señalaba Nolting.</w:t>
      </w:r>
    </w:p>
    <w:p w:rsidR="00306926" w:rsidRPr="004D3975" w:rsidRDefault="00306926" w:rsidP="00306926">
      <w:pPr>
        <w:spacing w:line="240" w:lineRule="auto"/>
        <w:jc w:val="both"/>
        <w:rPr>
          <w:rFonts w:ascii="Times New Roman" w:hAnsi="Times New Roman" w:cs="Times New Roman"/>
          <w:sz w:val="24"/>
          <w:szCs w:val="24"/>
        </w:rPr>
      </w:pPr>
      <w:r w:rsidRPr="004D3975">
        <w:rPr>
          <w:rFonts w:ascii="Times New Roman" w:hAnsi="Times New Roman" w:cs="Times New Roman"/>
          <w:sz w:val="24"/>
          <w:szCs w:val="24"/>
        </w:rPr>
        <w:lastRenderedPageBreak/>
        <w:t>“La inflación está asimismo repuntando en el sector de servicios, donde se observa un fuerte efecto de la crisis del covid: la escasez de mano de obra. La tasa de participación de la fuerza de trabajo en EEUU no se ha recuperado hasta los niveles de antes de la crisis; en Europa, el desempleo ha caído por debajo del nivel anterior a la pandemia y un 25% de las empresas indican que la escasez de mano de obra está limitando su producción”, sostiene el informe del banco alemán.</w:t>
      </w:r>
    </w:p>
    <w:p w:rsidR="00CF408C" w:rsidRPr="00C13C23" w:rsidRDefault="00CF408C" w:rsidP="00CF408C">
      <w:pPr>
        <w:shd w:val="clear" w:color="auto" w:fill="FDFDFD"/>
        <w:spacing w:after="0" w:line="240" w:lineRule="auto"/>
        <w:jc w:val="both"/>
        <w:rPr>
          <w:rFonts w:ascii="Times New Roman" w:eastAsia="Times New Roman" w:hAnsi="Times New Roman" w:cs="Times New Roman"/>
          <w:sz w:val="24"/>
          <w:szCs w:val="24"/>
          <w:lang w:eastAsia="es-ES"/>
        </w:rPr>
      </w:pPr>
      <w:r w:rsidRPr="00C13C23">
        <w:rPr>
          <w:rFonts w:ascii="Times New Roman" w:eastAsia="Times New Roman" w:hAnsi="Times New Roman" w:cs="Times New Roman"/>
          <w:sz w:val="24"/>
          <w:szCs w:val="24"/>
          <w:u w:val="single"/>
          <w:lang w:eastAsia="es-ES"/>
        </w:rPr>
        <w:t>Los grandes países del euro, abocados a la estanflación en este trimestre</w:t>
      </w:r>
    </w:p>
    <w:p w:rsidR="00CF408C" w:rsidRDefault="00CF408C" w:rsidP="00CF408C">
      <w:pPr>
        <w:shd w:val="clear" w:color="auto" w:fill="FDFDFD"/>
        <w:spacing w:after="0" w:line="240" w:lineRule="auto"/>
        <w:jc w:val="both"/>
        <w:rPr>
          <w:rFonts w:ascii="Times New Roman" w:eastAsia="Times New Roman" w:hAnsi="Times New Roman" w:cs="Times New Roman"/>
          <w:sz w:val="24"/>
          <w:szCs w:val="24"/>
          <w:lang w:eastAsia="es-ES"/>
        </w:rPr>
      </w:pPr>
    </w:p>
    <w:p w:rsidR="003245F4" w:rsidRPr="00C13C23" w:rsidRDefault="003245F4" w:rsidP="003245F4">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F408C" w:rsidRPr="003245F4">
        <w:rPr>
          <w:rFonts w:ascii="Times New Roman" w:eastAsia="Times New Roman" w:hAnsi="Times New Roman" w:cs="Times New Roman"/>
          <w:sz w:val="24"/>
          <w:szCs w:val="24"/>
          <w:lang w:eastAsia="es-ES"/>
        </w:rPr>
        <w:t>La preocupación ante la amenaza de que Europa se vea sumida en la estanflación atenaza a los analistas desde el año pasado. Pero lo cierto es que el riesgo nunca ha sido tan cierto como ahora, especialmente para los cuatro grandes de la Unión Monetaria (Alemania, Italia, Francia y también España). Hasta el punto de que lo</w:t>
      </w:r>
      <w:r w:rsidR="006019A3">
        <w:rPr>
          <w:rFonts w:ascii="Times New Roman" w:eastAsia="Times New Roman" w:hAnsi="Times New Roman" w:cs="Times New Roman"/>
          <w:sz w:val="24"/>
          <w:szCs w:val="24"/>
          <w:lang w:eastAsia="es-ES"/>
        </w:rPr>
        <w:t xml:space="preserve">s expertos consultados por El </w:t>
      </w:r>
      <w:r w:rsidR="00CF408C" w:rsidRPr="003245F4">
        <w:rPr>
          <w:rFonts w:ascii="Times New Roman" w:eastAsia="Times New Roman" w:hAnsi="Times New Roman" w:cs="Times New Roman"/>
          <w:sz w:val="24"/>
          <w:szCs w:val="24"/>
          <w:lang w:eastAsia="es-ES"/>
        </w:rPr>
        <w:t>Economista avisan de que la mayor anomalía económica que un país puede afrontar (avances ínfimos del PIB, o incluso decrecimientos, acompañados por tasas de IPC de récord), tras comenzar a manifestarse entre enero y marzo pasados en la mayoría de esos países, presenta visos de que será en este trimestre cuando se afiance, espoleada por la guerra en Ucrania y las semanas de restricciones que atravesó China</w:t>
      </w:r>
      <w:r>
        <w:rPr>
          <w:rFonts w:ascii="Times New Roman" w:eastAsia="Times New Roman" w:hAnsi="Times New Roman" w:cs="Times New Roman"/>
          <w:sz w:val="24"/>
          <w:szCs w:val="24"/>
          <w:lang w:eastAsia="es-ES"/>
        </w:rPr>
        <w:t>”..</w:t>
      </w:r>
      <w:r w:rsidR="00CF408C" w:rsidRPr="00C13C23">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(El Economista - </w:t>
      </w:r>
      <w:r w:rsidRPr="00C13C23">
        <w:rPr>
          <w:rFonts w:ascii="Times New Roman" w:eastAsia="Times New Roman" w:hAnsi="Times New Roman" w:cs="Times New Roman"/>
          <w:b/>
          <w:sz w:val="24"/>
          <w:szCs w:val="24"/>
          <w:lang w:eastAsia="es-ES"/>
        </w:rPr>
        <w:t>2/6/22</w:t>
      </w:r>
      <w:r>
        <w:rPr>
          <w:rFonts w:ascii="Times New Roman" w:eastAsia="Times New Roman" w:hAnsi="Times New Roman" w:cs="Times New Roman"/>
          <w:sz w:val="24"/>
          <w:szCs w:val="24"/>
          <w:lang w:eastAsia="es-ES"/>
        </w:rPr>
        <w:t>)</w:t>
      </w:r>
    </w:p>
    <w:p w:rsidR="00CF408C" w:rsidRDefault="00CF408C" w:rsidP="00CF408C">
      <w:pPr>
        <w:shd w:val="clear" w:color="auto" w:fill="FDFDFD"/>
        <w:spacing w:after="0" w:line="240" w:lineRule="auto"/>
        <w:jc w:val="both"/>
        <w:rPr>
          <w:rFonts w:ascii="Times New Roman" w:eastAsia="Times New Roman" w:hAnsi="Times New Roman" w:cs="Times New Roman"/>
          <w:sz w:val="24"/>
          <w:szCs w:val="24"/>
          <w:lang w:eastAsia="es-ES"/>
        </w:rPr>
      </w:pPr>
    </w:p>
    <w:p w:rsidR="00CF408C" w:rsidRPr="00C13C23" w:rsidRDefault="00CF408C" w:rsidP="00CF408C">
      <w:pPr>
        <w:shd w:val="clear" w:color="auto" w:fill="FDFDFD"/>
        <w:spacing w:after="0" w:line="240" w:lineRule="auto"/>
        <w:jc w:val="both"/>
        <w:rPr>
          <w:rFonts w:ascii="Times New Roman" w:eastAsia="Times New Roman" w:hAnsi="Times New Roman" w:cs="Times New Roman"/>
          <w:sz w:val="24"/>
          <w:szCs w:val="24"/>
          <w:lang w:eastAsia="es-ES"/>
        </w:rPr>
      </w:pPr>
      <w:r w:rsidRPr="00C13C23">
        <w:rPr>
          <w:rFonts w:ascii="Times New Roman" w:eastAsia="Times New Roman" w:hAnsi="Times New Roman" w:cs="Times New Roman"/>
          <w:sz w:val="24"/>
          <w:szCs w:val="24"/>
          <w:lang w:eastAsia="es-ES"/>
        </w:rPr>
        <w:t>Con todos los últimos datos de coyuntura europea sobre la mesa, la subdirectora del Instituto Bruegel de Bruselas, Maria Demertzis, asegura a tr</w:t>
      </w:r>
      <w:r>
        <w:rPr>
          <w:rFonts w:ascii="Times New Roman" w:eastAsia="Times New Roman" w:hAnsi="Times New Roman" w:cs="Times New Roman"/>
          <w:sz w:val="24"/>
          <w:szCs w:val="24"/>
          <w:lang w:eastAsia="es-ES"/>
        </w:rPr>
        <w:t>avés de correo electrónico que “</w:t>
      </w:r>
      <w:r w:rsidRPr="00C13C23">
        <w:rPr>
          <w:rFonts w:ascii="Times New Roman" w:eastAsia="Times New Roman" w:hAnsi="Times New Roman" w:cs="Times New Roman"/>
          <w:sz w:val="24"/>
          <w:szCs w:val="24"/>
          <w:lang w:eastAsia="es-ES"/>
        </w:rPr>
        <w:t>ya se puede decir que tienen parte de razón quienes hablan de estanflación en la eur</w:t>
      </w:r>
      <w:r>
        <w:rPr>
          <w:rFonts w:ascii="Times New Roman" w:eastAsia="Times New Roman" w:hAnsi="Times New Roman" w:cs="Times New Roman"/>
          <w:sz w:val="24"/>
          <w:szCs w:val="24"/>
          <w:lang w:eastAsia="es-ES"/>
        </w:rPr>
        <w:t>ozona o en el conjunto de la UE”</w:t>
      </w:r>
      <w:r w:rsidRPr="00C13C23">
        <w:rPr>
          <w:rFonts w:ascii="Times New Roman" w:eastAsia="Times New Roman" w:hAnsi="Times New Roman" w:cs="Times New Roman"/>
          <w:sz w:val="24"/>
          <w:szCs w:val="24"/>
          <w:lang w:eastAsia="es-ES"/>
        </w:rPr>
        <w:t xml:space="preserve"> en el corto plazo. No en vano la Unión se enfrenta a tasas débiles de crecimiento y a prec</w:t>
      </w:r>
      <w:r>
        <w:rPr>
          <w:rFonts w:ascii="Times New Roman" w:eastAsia="Times New Roman" w:hAnsi="Times New Roman" w:cs="Times New Roman"/>
          <w:sz w:val="24"/>
          <w:szCs w:val="24"/>
          <w:lang w:eastAsia="es-ES"/>
        </w:rPr>
        <w:t>ios altos persistentes “durante cierto tiempo”</w:t>
      </w:r>
      <w:r w:rsidRPr="00C13C23">
        <w:rPr>
          <w:rFonts w:ascii="Times New Roman" w:eastAsia="Times New Roman" w:hAnsi="Times New Roman" w:cs="Times New Roman"/>
          <w:sz w:val="24"/>
          <w:szCs w:val="24"/>
          <w:lang w:eastAsia="es-ES"/>
        </w:rPr>
        <w:t>.</w:t>
      </w:r>
    </w:p>
    <w:p w:rsidR="00CF408C" w:rsidRPr="00C13C23" w:rsidRDefault="00CF408C" w:rsidP="00CF408C">
      <w:pPr>
        <w:shd w:val="clear" w:color="auto" w:fill="FDFDFD"/>
        <w:spacing w:after="0" w:line="240" w:lineRule="auto"/>
        <w:jc w:val="both"/>
        <w:rPr>
          <w:rFonts w:ascii="Times New Roman" w:eastAsia="Times New Roman" w:hAnsi="Times New Roman" w:cs="Times New Roman"/>
          <w:sz w:val="24"/>
          <w:szCs w:val="24"/>
          <w:lang w:eastAsia="es-ES"/>
        </w:rPr>
      </w:pPr>
    </w:p>
    <w:p w:rsidR="00CF408C" w:rsidRPr="00C13C23" w:rsidRDefault="00CF408C" w:rsidP="00CF408C">
      <w:pPr>
        <w:shd w:val="clear" w:color="auto" w:fill="FDFDFD"/>
        <w:spacing w:after="0" w:line="240" w:lineRule="auto"/>
        <w:jc w:val="both"/>
        <w:rPr>
          <w:rFonts w:ascii="Times New Roman" w:eastAsia="Times New Roman" w:hAnsi="Times New Roman" w:cs="Times New Roman"/>
          <w:sz w:val="24"/>
          <w:szCs w:val="24"/>
          <w:lang w:eastAsia="es-ES"/>
        </w:rPr>
      </w:pPr>
      <w:r w:rsidRPr="00C13C23">
        <w:rPr>
          <w:rFonts w:ascii="Times New Roman" w:eastAsia="Times New Roman" w:hAnsi="Times New Roman" w:cs="Times New Roman"/>
          <w:sz w:val="24"/>
          <w:szCs w:val="24"/>
          <w:lang w:eastAsia="es-ES"/>
        </w:rPr>
        <w:t>Al menos, Demertzis confía en que el fenómeno no se manifieste de</w:t>
      </w:r>
      <w:r>
        <w:rPr>
          <w:rFonts w:ascii="Times New Roman" w:eastAsia="Times New Roman" w:hAnsi="Times New Roman" w:cs="Times New Roman"/>
          <w:sz w:val="24"/>
          <w:szCs w:val="24"/>
          <w:lang w:eastAsia="es-ES"/>
        </w:rPr>
        <w:t xml:space="preserve"> modo tan radical como ocurrió “</w:t>
      </w:r>
      <w:r w:rsidRPr="00C13C23">
        <w:rPr>
          <w:rFonts w:ascii="Times New Roman" w:eastAsia="Times New Roman" w:hAnsi="Times New Roman" w:cs="Times New Roman"/>
          <w:sz w:val="24"/>
          <w:szCs w:val="24"/>
          <w:lang w:eastAsia="es-ES"/>
        </w:rPr>
        <w:t xml:space="preserve">a principios de los 80, cuando países como España o Italia vieron cotas de IPC de hasta el 20% en momentos de </w:t>
      </w:r>
      <w:r>
        <w:rPr>
          <w:rFonts w:ascii="Times New Roman" w:eastAsia="Times New Roman" w:hAnsi="Times New Roman" w:cs="Times New Roman"/>
          <w:sz w:val="24"/>
          <w:szCs w:val="24"/>
          <w:lang w:eastAsia="es-ES"/>
        </w:rPr>
        <w:t>contracción de la economía”</w:t>
      </w:r>
      <w:r w:rsidRPr="00C13C23">
        <w:rPr>
          <w:rFonts w:ascii="Times New Roman" w:eastAsia="Times New Roman" w:hAnsi="Times New Roman" w:cs="Times New Roman"/>
          <w:sz w:val="24"/>
          <w:szCs w:val="24"/>
          <w:lang w:eastAsia="es-ES"/>
        </w:rPr>
        <w:t>.</w:t>
      </w:r>
    </w:p>
    <w:p w:rsidR="00CF408C" w:rsidRPr="00C13C23" w:rsidRDefault="00CF408C" w:rsidP="00CF408C">
      <w:pPr>
        <w:shd w:val="clear" w:color="auto" w:fill="FDFDFD"/>
        <w:spacing w:after="0" w:line="240" w:lineRule="auto"/>
        <w:jc w:val="both"/>
        <w:rPr>
          <w:rFonts w:ascii="Times New Roman" w:eastAsia="Times New Roman" w:hAnsi="Times New Roman" w:cs="Times New Roman"/>
          <w:sz w:val="24"/>
          <w:szCs w:val="24"/>
          <w:lang w:eastAsia="es-ES"/>
        </w:rPr>
      </w:pPr>
    </w:p>
    <w:p w:rsidR="00CF408C" w:rsidRDefault="00CF408C" w:rsidP="00CF408C">
      <w:pPr>
        <w:shd w:val="clear" w:color="auto" w:fill="FDFDFD"/>
        <w:spacing w:after="0" w:line="240" w:lineRule="auto"/>
        <w:jc w:val="both"/>
        <w:rPr>
          <w:rFonts w:ascii="Times New Roman" w:eastAsia="Times New Roman" w:hAnsi="Times New Roman" w:cs="Times New Roman"/>
          <w:sz w:val="24"/>
          <w:szCs w:val="24"/>
          <w:lang w:eastAsia="es-ES"/>
        </w:rPr>
      </w:pPr>
      <w:r w:rsidRPr="00C13C23">
        <w:rPr>
          <w:rFonts w:ascii="Times New Roman" w:eastAsia="Times New Roman" w:hAnsi="Times New Roman" w:cs="Times New Roman"/>
          <w:sz w:val="24"/>
          <w:szCs w:val="24"/>
          <w:lang w:eastAsia="es-ES"/>
        </w:rPr>
        <w:t xml:space="preserve">Pero el socio de Nextep Finance Víctor Alvargonzález hace hincapié en que no es necesario que se produzcan menguas del PIB para que se pueda hablar </w:t>
      </w:r>
      <w:r>
        <w:rPr>
          <w:rFonts w:ascii="Times New Roman" w:eastAsia="Times New Roman" w:hAnsi="Times New Roman" w:cs="Times New Roman"/>
          <w:sz w:val="24"/>
          <w:szCs w:val="24"/>
          <w:lang w:eastAsia="es-ES"/>
        </w:rPr>
        <w:t>con propiedad de estanflación. “</w:t>
      </w:r>
      <w:r w:rsidRPr="00C13C23">
        <w:rPr>
          <w:rFonts w:ascii="Times New Roman" w:eastAsia="Times New Roman" w:hAnsi="Times New Roman" w:cs="Times New Roman"/>
          <w:sz w:val="24"/>
          <w:szCs w:val="24"/>
          <w:lang w:eastAsia="es-ES"/>
        </w:rPr>
        <w:t>Si la inflación sigue alta y volvemos a toparnos con crecimientos intertrimestrales nulos o situados en el rango del cero coma entre abril y junio, también est</w:t>
      </w:r>
      <w:r>
        <w:rPr>
          <w:rFonts w:ascii="Times New Roman" w:eastAsia="Times New Roman" w:hAnsi="Times New Roman" w:cs="Times New Roman"/>
          <w:sz w:val="24"/>
          <w:szCs w:val="24"/>
          <w:lang w:eastAsia="es-ES"/>
        </w:rPr>
        <w:t>aremos en tan difícil situación”</w:t>
      </w:r>
      <w:r w:rsidRPr="00C13C23">
        <w:rPr>
          <w:rFonts w:ascii="Times New Roman" w:eastAsia="Times New Roman" w:hAnsi="Times New Roman" w:cs="Times New Roman"/>
          <w:sz w:val="24"/>
          <w:szCs w:val="24"/>
          <w:lang w:eastAsia="es-ES"/>
        </w:rPr>
        <w:t>.</w:t>
      </w:r>
    </w:p>
    <w:p w:rsidR="003245F4" w:rsidRDefault="003245F4" w:rsidP="00CF408C">
      <w:pPr>
        <w:shd w:val="clear" w:color="auto" w:fill="FDFDFD"/>
        <w:spacing w:after="0" w:line="240" w:lineRule="auto"/>
        <w:jc w:val="both"/>
        <w:rPr>
          <w:rFonts w:ascii="Times New Roman" w:eastAsia="Times New Roman" w:hAnsi="Times New Roman" w:cs="Times New Roman"/>
          <w:sz w:val="24"/>
          <w:szCs w:val="24"/>
          <w:lang w:eastAsia="es-ES"/>
        </w:rPr>
      </w:pPr>
    </w:p>
    <w:p w:rsidR="003245F4" w:rsidRPr="00C13C23" w:rsidRDefault="003245F4" w:rsidP="003245F4">
      <w:pPr>
        <w:shd w:val="clear" w:color="auto" w:fill="FDFDFD"/>
        <w:spacing w:after="0" w:line="240" w:lineRule="auto"/>
        <w:jc w:val="both"/>
        <w:rPr>
          <w:rFonts w:ascii="Times New Roman" w:eastAsia="Times New Roman" w:hAnsi="Times New Roman" w:cs="Times New Roman"/>
          <w:sz w:val="24"/>
          <w:szCs w:val="24"/>
          <w:lang w:eastAsia="es-ES"/>
        </w:rPr>
      </w:pPr>
      <w:r w:rsidRPr="00C13C23">
        <w:rPr>
          <w:rFonts w:ascii="Times New Roman" w:eastAsia="Times New Roman" w:hAnsi="Times New Roman" w:cs="Times New Roman"/>
          <w:sz w:val="24"/>
          <w:szCs w:val="24"/>
          <w:lang w:eastAsia="es-ES"/>
        </w:rPr>
        <w:t>Esos avances económicos ínfimos ya se han dado en Alemania e Italia donde el hecho de haber evitado la recesión sabe a muy poco considerando que avanzaron unos magros 0,2% y 0,1% intertrimestrales entre enero y marzo, mientras sus tasas de IPC llegan al 7,8% en el caso alemán y al 6,3% en el transalpino. Peor todavía es el caso francés ya que su economía fue incapaz de evitar el traspié a inicios de 2022 y descendió dos décimas respecto a los últimos meses de 2021.</w:t>
      </w:r>
    </w:p>
    <w:p w:rsidR="003245F4" w:rsidRPr="00C13C23" w:rsidRDefault="003245F4" w:rsidP="003245F4">
      <w:pPr>
        <w:shd w:val="clear" w:color="auto" w:fill="FDFDFD"/>
        <w:spacing w:after="0" w:line="240" w:lineRule="auto"/>
        <w:jc w:val="both"/>
        <w:rPr>
          <w:rFonts w:ascii="Times New Roman" w:eastAsia="Times New Roman" w:hAnsi="Times New Roman" w:cs="Times New Roman"/>
          <w:sz w:val="24"/>
          <w:szCs w:val="24"/>
          <w:lang w:eastAsia="es-ES"/>
        </w:rPr>
      </w:pPr>
    </w:p>
    <w:p w:rsidR="003245F4" w:rsidRPr="00C13C23" w:rsidRDefault="003245F4" w:rsidP="003245F4">
      <w:pPr>
        <w:shd w:val="clear" w:color="auto" w:fill="FDFDFD"/>
        <w:spacing w:after="0" w:line="240" w:lineRule="auto"/>
        <w:jc w:val="both"/>
        <w:rPr>
          <w:rFonts w:ascii="Times New Roman" w:eastAsia="Times New Roman" w:hAnsi="Times New Roman" w:cs="Times New Roman"/>
          <w:sz w:val="24"/>
          <w:szCs w:val="24"/>
          <w:lang w:eastAsia="es-ES"/>
        </w:rPr>
      </w:pPr>
      <w:r w:rsidRPr="00C13C23">
        <w:rPr>
          <w:rFonts w:ascii="Times New Roman" w:eastAsia="Times New Roman" w:hAnsi="Times New Roman" w:cs="Times New Roman"/>
          <w:sz w:val="24"/>
          <w:szCs w:val="24"/>
          <w:lang w:eastAsia="es-ES"/>
        </w:rPr>
        <w:t>Es más, la locomotora europea está en este trimestre en la cuerda floja como nunca antes, tal y como destaca el analista de ING Crsten Brzesky, ya que es ese periodo aquél en el que ha sufrido las restricciones autoimpuestas por un cliente clave para sus export</w:t>
      </w:r>
      <w:r>
        <w:rPr>
          <w:rFonts w:ascii="Times New Roman" w:eastAsia="Times New Roman" w:hAnsi="Times New Roman" w:cs="Times New Roman"/>
          <w:sz w:val="24"/>
          <w:szCs w:val="24"/>
          <w:lang w:eastAsia="es-ES"/>
        </w:rPr>
        <w:t>aciones: China. Es así posible “una caída, aunque sea leve”</w:t>
      </w:r>
      <w:r w:rsidRPr="00C13C23">
        <w:rPr>
          <w:rFonts w:ascii="Times New Roman" w:eastAsia="Times New Roman" w:hAnsi="Times New Roman" w:cs="Times New Roman"/>
          <w:sz w:val="24"/>
          <w:szCs w:val="24"/>
          <w:lang w:eastAsia="es-ES"/>
        </w:rPr>
        <w:t>. Un escenario de este tipo es plenamente factible considerando que la economía alemana ya se contrajo en el cierre de 2021.</w:t>
      </w:r>
    </w:p>
    <w:p w:rsidR="003245F4" w:rsidRPr="00C13C23" w:rsidRDefault="003245F4" w:rsidP="003245F4">
      <w:pPr>
        <w:shd w:val="clear" w:color="auto" w:fill="FDFDFD"/>
        <w:spacing w:after="0" w:line="240" w:lineRule="auto"/>
        <w:jc w:val="both"/>
        <w:rPr>
          <w:rFonts w:ascii="Times New Roman" w:eastAsia="Times New Roman" w:hAnsi="Times New Roman" w:cs="Times New Roman"/>
          <w:sz w:val="24"/>
          <w:szCs w:val="24"/>
          <w:lang w:eastAsia="es-ES"/>
        </w:rPr>
      </w:pPr>
    </w:p>
    <w:p w:rsidR="003245F4" w:rsidRPr="00C13C23" w:rsidRDefault="003245F4" w:rsidP="003245F4">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C13C23">
        <w:rPr>
          <w:rFonts w:ascii="Times New Roman" w:eastAsia="Times New Roman" w:hAnsi="Times New Roman" w:cs="Times New Roman"/>
          <w:sz w:val="24"/>
          <w:szCs w:val="24"/>
          <w:lang w:eastAsia="es-ES"/>
        </w:rPr>
        <w:t xml:space="preserve">Ahora el peligro se plantea con más intensidad, si se tienen en cuenta los cortes de suministro de crudo y gas rusos que se ciernen </w:t>
      </w:r>
      <w:r>
        <w:rPr>
          <w:rFonts w:ascii="Times New Roman" w:eastAsia="Times New Roman" w:hAnsi="Times New Roman" w:cs="Times New Roman"/>
          <w:sz w:val="24"/>
          <w:szCs w:val="24"/>
          <w:lang w:eastAsia="es-ES"/>
        </w:rPr>
        <w:t>sobre Europa Central y del Este”</w:t>
      </w:r>
      <w:r w:rsidRPr="00C13C23">
        <w:rPr>
          <w:rFonts w:ascii="Times New Roman" w:eastAsia="Times New Roman" w:hAnsi="Times New Roman" w:cs="Times New Roman"/>
          <w:sz w:val="24"/>
          <w:szCs w:val="24"/>
          <w:lang w:eastAsia="es-ES"/>
        </w:rPr>
        <w:t xml:space="preserve">, advierte el </w:t>
      </w:r>
      <w:r w:rsidR="006019A3">
        <w:rPr>
          <w:rFonts w:ascii="Times New Roman" w:eastAsia="Times New Roman" w:hAnsi="Times New Roman" w:cs="Times New Roman"/>
          <w:sz w:val="24"/>
          <w:szCs w:val="24"/>
          <w:lang w:eastAsia="es-ES"/>
        </w:rPr>
        <w:lastRenderedPageBreak/>
        <w:t xml:space="preserve">consejero editorial de El </w:t>
      </w:r>
      <w:r w:rsidRPr="00C13C23">
        <w:rPr>
          <w:rFonts w:ascii="Times New Roman" w:eastAsia="Times New Roman" w:hAnsi="Times New Roman" w:cs="Times New Roman"/>
          <w:sz w:val="24"/>
          <w:szCs w:val="24"/>
          <w:lang w:eastAsia="es-ES"/>
        </w:rPr>
        <w:t xml:space="preserve">Economista, Francisco de la Torre. A su juicio, aunque la estanflación no se confirmara en el segundo trimestre, eso no implica </w:t>
      </w:r>
      <w:r>
        <w:rPr>
          <w:rFonts w:ascii="Times New Roman" w:eastAsia="Times New Roman" w:hAnsi="Times New Roman" w:cs="Times New Roman"/>
          <w:sz w:val="24"/>
          <w:szCs w:val="24"/>
          <w:lang w:eastAsia="es-ES"/>
        </w:rPr>
        <w:t>que la partida se haya ganado. “</w:t>
      </w:r>
      <w:r w:rsidRPr="00C13C23">
        <w:rPr>
          <w:rFonts w:ascii="Times New Roman" w:eastAsia="Times New Roman" w:hAnsi="Times New Roman" w:cs="Times New Roman"/>
          <w:sz w:val="24"/>
          <w:szCs w:val="24"/>
          <w:lang w:eastAsia="es-ES"/>
        </w:rPr>
        <w:t>Perfectamente podría ma</w:t>
      </w:r>
      <w:r>
        <w:rPr>
          <w:rFonts w:ascii="Times New Roman" w:eastAsia="Times New Roman" w:hAnsi="Times New Roman" w:cs="Times New Roman"/>
          <w:sz w:val="24"/>
          <w:szCs w:val="24"/>
          <w:lang w:eastAsia="es-ES"/>
        </w:rPr>
        <w:t>nifestarse en el otoño-invierno”</w:t>
      </w:r>
      <w:r w:rsidRPr="00C13C23">
        <w:rPr>
          <w:rFonts w:ascii="Times New Roman" w:eastAsia="Times New Roman" w:hAnsi="Times New Roman" w:cs="Times New Roman"/>
          <w:sz w:val="24"/>
          <w:szCs w:val="24"/>
          <w:lang w:eastAsia="es-ES"/>
        </w:rPr>
        <w:t>, estima De la Torre.</w:t>
      </w:r>
    </w:p>
    <w:p w:rsidR="00CF408C" w:rsidRDefault="00CF408C" w:rsidP="00CF408C">
      <w:pPr>
        <w:shd w:val="clear" w:color="auto" w:fill="FDFDFD"/>
        <w:spacing w:after="0" w:line="240" w:lineRule="auto"/>
        <w:jc w:val="both"/>
        <w:rPr>
          <w:rFonts w:ascii="Times New Roman" w:eastAsia="Times New Roman" w:hAnsi="Times New Roman" w:cs="Times New Roman"/>
          <w:sz w:val="24"/>
          <w:szCs w:val="24"/>
          <w:lang w:eastAsia="es-ES"/>
        </w:rPr>
      </w:pPr>
    </w:p>
    <w:p w:rsidR="00CF408C" w:rsidRPr="00C13C23" w:rsidRDefault="00CF408C" w:rsidP="00CF408C">
      <w:pPr>
        <w:shd w:val="clear" w:color="auto" w:fill="FDFDFD"/>
        <w:spacing w:after="0" w:line="240" w:lineRule="auto"/>
        <w:jc w:val="both"/>
        <w:rPr>
          <w:rFonts w:ascii="Times New Roman" w:eastAsia="Times New Roman" w:hAnsi="Times New Roman" w:cs="Times New Roman"/>
          <w:sz w:val="24"/>
          <w:szCs w:val="24"/>
          <w:lang w:eastAsia="es-ES"/>
        </w:rPr>
      </w:pPr>
      <w:r w:rsidRPr="00C13C23">
        <w:rPr>
          <w:rFonts w:ascii="Times New Roman" w:eastAsia="Times New Roman" w:hAnsi="Times New Roman" w:cs="Times New Roman"/>
          <w:noProof/>
          <w:sz w:val="24"/>
          <w:szCs w:val="24"/>
          <w:lang w:val="en-GB" w:eastAsia="zh-CN"/>
        </w:rPr>
        <w:drawing>
          <wp:inline distT="0" distB="0" distL="0" distR="0">
            <wp:extent cx="5620535" cy="6258799"/>
            <wp:effectExtent l="0" t="0" r="0" b="889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620535" cy="6258799"/>
                    </a:xfrm>
                    <a:prstGeom prst="rect">
                      <a:avLst/>
                    </a:prstGeom>
                  </pic:spPr>
                </pic:pic>
              </a:graphicData>
            </a:graphic>
          </wp:inline>
        </w:drawing>
      </w:r>
    </w:p>
    <w:p w:rsidR="00CF408C" w:rsidRPr="00C13C23" w:rsidRDefault="00CF408C" w:rsidP="00CF408C">
      <w:pPr>
        <w:shd w:val="clear" w:color="auto" w:fill="FDFDFD"/>
        <w:spacing w:after="0" w:line="240" w:lineRule="auto"/>
        <w:jc w:val="both"/>
        <w:rPr>
          <w:rFonts w:ascii="Times New Roman" w:eastAsia="Times New Roman" w:hAnsi="Times New Roman" w:cs="Times New Roman"/>
          <w:sz w:val="24"/>
          <w:szCs w:val="24"/>
          <w:lang w:eastAsia="es-ES"/>
        </w:rPr>
      </w:pPr>
    </w:p>
    <w:p w:rsidR="00CF408C" w:rsidRPr="00485BFD" w:rsidRDefault="00CF408C" w:rsidP="00CF408C">
      <w:pPr>
        <w:spacing w:line="240" w:lineRule="auto"/>
        <w:jc w:val="both"/>
        <w:rPr>
          <w:rFonts w:ascii="Times New Roman" w:hAnsi="Times New Roman" w:cs="Times New Roman"/>
          <w:sz w:val="24"/>
          <w:szCs w:val="24"/>
        </w:rPr>
      </w:pPr>
      <w:r w:rsidRPr="00485BFD">
        <w:rPr>
          <w:rFonts w:ascii="Times New Roman" w:hAnsi="Times New Roman" w:cs="Times New Roman"/>
          <w:sz w:val="24"/>
          <w:szCs w:val="24"/>
        </w:rPr>
        <w:t>- ¿</w:t>
      </w:r>
      <w:r w:rsidRPr="00485BFD">
        <w:rPr>
          <w:rFonts w:ascii="Times New Roman" w:hAnsi="Times New Roman" w:cs="Times New Roman"/>
          <w:sz w:val="24"/>
          <w:szCs w:val="24"/>
          <w:u w:val="single"/>
        </w:rPr>
        <w:t>Peligro de recesión? En Europa, sí</w:t>
      </w:r>
      <w:r w:rsidRPr="00485BFD">
        <w:rPr>
          <w:rFonts w:ascii="Times New Roman" w:hAnsi="Times New Roman" w:cs="Times New Roman"/>
          <w:sz w:val="24"/>
          <w:szCs w:val="24"/>
        </w:rPr>
        <w:t xml:space="preserve"> (El Economista - </w:t>
      </w:r>
      <w:r w:rsidRPr="00485BFD">
        <w:rPr>
          <w:rFonts w:ascii="Times New Roman" w:hAnsi="Times New Roman" w:cs="Times New Roman"/>
          <w:b/>
          <w:sz w:val="24"/>
          <w:szCs w:val="24"/>
        </w:rPr>
        <w:t>4/6/22</w:t>
      </w:r>
      <w:r w:rsidRPr="00485BFD">
        <w:rPr>
          <w:rFonts w:ascii="Times New Roman" w:hAnsi="Times New Roman" w:cs="Times New Roman"/>
          <w:sz w:val="24"/>
          <w:szCs w:val="24"/>
        </w:rPr>
        <w:t>)</w:t>
      </w:r>
    </w:p>
    <w:p w:rsidR="00CF408C" w:rsidRPr="00485BFD" w:rsidRDefault="00CF408C" w:rsidP="00CF408C">
      <w:pPr>
        <w:spacing w:line="240" w:lineRule="auto"/>
        <w:jc w:val="both"/>
        <w:rPr>
          <w:rFonts w:ascii="Times New Roman" w:hAnsi="Times New Roman" w:cs="Times New Roman"/>
          <w:sz w:val="24"/>
          <w:szCs w:val="24"/>
        </w:rPr>
      </w:pPr>
      <w:r w:rsidRPr="00485BFD">
        <w:rPr>
          <w:rFonts w:ascii="Times New Roman" w:hAnsi="Times New Roman" w:cs="Times New Roman"/>
          <w:sz w:val="24"/>
          <w:szCs w:val="24"/>
        </w:rPr>
        <w:t>(Por Michael Spence)</w:t>
      </w:r>
    </w:p>
    <w:p w:rsidR="00CF408C" w:rsidRPr="00485BFD" w:rsidRDefault="00CF408C" w:rsidP="00CF408C">
      <w:pPr>
        <w:spacing w:line="240" w:lineRule="auto"/>
        <w:jc w:val="both"/>
        <w:rPr>
          <w:rFonts w:ascii="Times New Roman" w:hAnsi="Times New Roman" w:cs="Times New Roman"/>
          <w:sz w:val="24"/>
          <w:szCs w:val="24"/>
          <w:u w:val="single"/>
        </w:rPr>
      </w:pPr>
      <w:r w:rsidRPr="00485BFD">
        <w:rPr>
          <w:rFonts w:ascii="Times New Roman" w:hAnsi="Times New Roman" w:cs="Times New Roman"/>
          <w:sz w:val="24"/>
          <w:szCs w:val="24"/>
          <w:u w:val="single"/>
        </w:rPr>
        <w:t>Últimamente, un conjunto de preguntas insiste en definir las conversaciones sobre la economía y los mercados globales. Aunque es difícil captar la gran cantidad de cuestiones en juego en una única imagen clara, vale la pena hacer foco en las cuestiones más importantes para definirlas mejor.</w:t>
      </w:r>
    </w:p>
    <w:p w:rsidR="00CF408C" w:rsidRPr="00485BFD" w:rsidRDefault="00CF408C" w:rsidP="00CF408C">
      <w:pPr>
        <w:spacing w:line="240" w:lineRule="auto"/>
        <w:jc w:val="both"/>
        <w:rPr>
          <w:rFonts w:ascii="Times New Roman" w:hAnsi="Times New Roman" w:cs="Times New Roman"/>
          <w:color w:val="FF0000"/>
          <w:sz w:val="24"/>
          <w:szCs w:val="24"/>
          <w:u w:val="single"/>
        </w:rPr>
      </w:pPr>
      <w:r w:rsidRPr="00485BFD">
        <w:rPr>
          <w:rFonts w:ascii="Times New Roman" w:hAnsi="Times New Roman" w:cs="Times New Roman"/>
          <w:color w:val="FF0000"/>
          <w:sz w:val="24"/>
          <w:szCs w:val="24"/>
          <w:u w:val="single"/>
        </w:rPr>
        <w:lastRenderedPageBreak/>
        <w:t>La primera pregunta es simple: ¿se avecina una recesión?</w:t>
      </w:r>
      <w:r w:rsidRPr="00485BFD">
        <w:rPr>
          <w:rFonts w:ascii="Times New Roman" w:hAnsi="Times New Roman" w:cs="Times New Roman"/>
          <w:sz w:val="24"/>
          <w:szCs w:val="24"/>
        </w:rPr>
        <w:t xml:space="preserve">Con la revisión a la baja y la probabilidad de una reducción aún mayor de los pronósticos más autorizados sobre el crecimiento, como los del Fondo Monetario Internacional, </w:t>
      </w:r>
      <w:r w:rsidRPr="00485BFD">
        <w:rPr>
          <w:rFonts w:ascii="Times New Roman" w:hAnsi="Times New Roman" w:cs="Times New Roman"/>
          <w:color w:val="FF0000"/>
          <w:sz w:val="24"/>
          <w:szCs w:val="24"/>
          <w:u w:val="single"/>
        </w:rPr>
        <w:t>hay buenos motivos para preocuparse</w:t>
      </w:r>
      <w:r w:rsidRPr="00485BFD">
        <w:rPr>
          <w:rFonts w:ascii="Times New Roman" w:hAnsi="Times New Roman" w:cs="Times New Roman"/>
          <w:color w:val="FF0000"/>
          <w:sz w:val="24"/>
          <w:szCs w:val="24"/>
        </w:rPr>
        <w:t>.</w:t>
      </w:r>
      <w:r w:rsidRPr="00485BFD">
        <w:rPr>
          <w:rFonts w:ascii="Times New Roman" w:hAnsi="Times New Roman" w:cs="Times New Roman"/>
          <w:color w:val="FF0000"/>
          <w:sz w:val="24"/>
          <w:szCs w:val="24"/>
          <w:u w:val="single"/>
        </w:rPr>
        <w:t>Pero una recesión mundial -definida como dos trimestres consecutivos de crecimiento negativo del PBI- sigue siendo poco probable (aunque un gran impacto, como la expansión dramática del conflicto o trastornos repentinos y significativos en un mercado clave como el energético podrían cambiar esta perspectiva).</w:t>
      </w:r>
    </w:p>
    <w:p w:rsidR="00CF408C" w:rsidRPr="00485BFD" w:rsidRDefault="00CF408C" w:rsidP="00CF408C">
      <w:pPr>
        <w:spacing w:line="240" w:lineRule="auto"/>
        <w:jc w:val="both"/>
        <w:rPr>
          <w:rFonts w:ascii="Times New Roman" w:hAnsi="Times New Roman" w:cs="Times New Roman"/>
          <w:color w:val="FF0000"/>
          <w:sz w:val="24"/>
          <w:szCs w:val="24"/>
          <w:u w:val="single"/>
        </w:rPr>
      </w:pPr>
      <w:r w:rsidRPr="00485BFD">
        <w:rPr>
          <w:rFonts w:ascii="Times New Roman" w:hAnsi="Times New Roman" w:cs="Times New Roman"/>
          <w:color w:val="FF0000"/>
          <w:sz w:val="24"/>
          <w:szCs w:val="24"/>
          <w:u w:val="single"/>
        </w:rPr>
        <w:t>Algunas economías, sin embargo, ciertamente se contraerán</w:t>
      </w:r>
      <w:r w:rsidRPr="00485BFD">
        <w:rPr>
          <w:rFonts w:ascii="Times New Roman" w:hAnsi="Times New Roman" w:cs="Times New Roman"/>
          <w:sz w:val="24"/>
          <w:szCs w:val="24"/>
        </w:rPr>
        <w:t xml:space="preserve">. </w:t>
      </w:r>
      <w:r w:rsidRPr="00485BFD">
        <w:rPr>
          <w:rFonts w:ascii="Times New Roman" w:hAnsi="Times New Roman" w:cs="Times New Roman"/>
          <w:color w:val="FF0000"/>
          <w:sz w:val="24"/>
          <w:szCs w:val="24"/>
          <w:u w:val="single"/>
        </w:rPr>
        <w:t>El PBI ruso seguramente se reduzca</w:t>
      </w:r>
      <w:r w:rsidRPr="00485BFD">
        <w:rPr>
          <w:rFonts w:ascii="Times New Roman" w:hAnsi="Times New Roman" w:cs="Times New Roman"/>
          <w:sz w:val="24"/>
          <w:szCs w:val="24"/>
        </w:rPr>
        <w:t xml:space="preserve"> (incluso con la subida de los precios del petróleo y el gas) debido a las severas y muy probablemente prolongadas sanciones de Occidente. También </w:t>
      </w:r>
      <w:r w:rsidRPr="00485BFD">
        <w:rPr>
          <w:rFonts w:ascii="Times New Roman" w:hAnsi="Times New Roman" w:cs="Times New Roman"/>
          <w:color w:val="FF0000"/>
          <w:sz w:val="24"/>
          <w:szCs w:val="24"/>
          <w:u w:val="single"/>
        </w:rPr>
        <w:t>es previsible que Europa experimente una recesión debido a los elevados precios de la energía, su fuerte dependencia de los combustibles fósiles importados y el (costoso) mandato de liberarse de los productos rusos. Y mucho</w:t>
      </w:r>
      <w:r>
        <w:rPr>
          <w:rFonts w:ascii="Times New Roman" w:hAnsi="Times New Roman" w:cs="Times New Roman"/>
          <w:color w:val="FF0000"/>
          <w:sz w:val="24"/>
          <w:szCs w:val="24"/>
          <w:u w:val="single"/>
        </w:rPr>
        <w:t>s países con menores ingresos -</w:t>
      </w:r>
      <w:r w:rsidRPr="00485BFD">
        <w:rPr>
          <w:rFonts w:ascii="Times New Roman" w:hAnsi="Times New Roman" w:cs="Times New Roman"/>
          <w:color w:val="FF0000"/>
          <w:sz w:val="24"/>
          <w:szCs w:val="24"/>
          <w:u w:val="single"/>
        </w:rPr>
        <w:t>para quienes el vertiginoso aumento de los precios de los alimentos y de la energía agr</w:t>
      </w:r>
      <w:r>
        <w:rPr>
          <w:rFonts w:ascii="Times New Roman" w:hAnsi="Times New Roman" w:cs="Times New Roman"/>
          <w:color w:val="FF0000"/>
          <w:sz w:val="24"/>
          <w:szCs w:val="24"/>
          <w:u w:val="single"/>
        </w:rPr>
        <w:t>avan los efectos de la pandemia-</w:t>
      </w:r>
      <w:r w:rsidRPr="00485BFD">
        <w:rPr>
          <w:rFonts w:ascii="Times New Roman" w:hAnsi="Times New Roman" w:cs="Times New Roman"/>
          <w:color w:val="FF0000"/>
          <w:sz w:val="24"/>
          <w:szCs w:val="24"/>
          <w:u w:val="single"/>
        </w:rPr>
        <w:t xml:space="preserve"> enfrentan tiempos más duros.</w:t>
      </w:r>
    </w:p>
    <w:p w:rsidR="00CF408C" w:rsidRPr="00485BFD" w:rsidRDefault="00CF408C" w:rsidP="00CF408C">
      <w:pPr>
        <w:spacing w:line="240" w:lineRule="auto"/>
        <w:jc w:val="both"/>
        <w:rPr>
          <w:rFonts w:ascii="Times New Roman" w:hAnsi="Times New Roman" w:cs="Times New Roman"/>
          <w:color w:val="FF0000"/>
          <w:sz w:val="24"/>
          <w:szCs w:val="24"/>
          <w:u w:val="single"/>
        </w:rPr>
      </w:pPr>
      <w:r w:rsidRPr="00485BFD">
        <w:rPr>
          <w:rFonts w:ascii="Times New Roman" w:hAnsi="Times New Roman" w:cs="Times New Roman"/>
          <w:color w:val="FF0000"/>
          <w:sz w:val="24"/>
          <w:szCs w:val="24"/>
          <w:u w:val="single"/>
        </w:rPr>
        <w:t>Aunque parece cada vez más probable que Estados Unidos transite una importante desaceleración económica, el escenario más probable no es el de una recesión. De manera similar, China -que suele ser un poderoso motor del crecimiento mundial- se encamina a un crecimiento de un dígito durante al menos un año debido a los efectos combinados de los confinamientos por la COVID-19, las bajas tasas de vacunación entre los ancianos, cierta pérdida de confianza de los inversores en los sectores tecnológicos de alto crecimiento, y obstáculos en el sector inmobiliario debido al alto endeudamiento y la caída de los precios.</w:t>
      </w:r>
    </w:p>
    <w:p w:rsidR="00CF408C" w:rsidRPr="00485BFD" w:rsidRDefault="00CF408C" w:rsidP="00CF408C">
      <w:pPr>
        <w:spacing w:line="240" w:lineRule="auto"/>
        <w:jc w:val="both"/>
        <w:rPr>
          <w:rFonts w:ascii="Times New Roman" w:hAnsi="Times New Roman" w:cs="Times New Roman"/>
          <w:sz w:val="24"/>
          <w:szCs w:val="24"/>
          <w:u w:val="single"/>
        </w:rPr>
      </w:pPr>
      <w:r w:rsidRPr="00485BFD">
        <w:rPr>
          <w:rFonts w:ascii="Times New Roman" w:hAnsi="Times New Roman" w:cs="Times New Roman"/>
          <w:color w:val="FF0000"/>
          <w:sz w:val="24"/>
          <w:szCs w:val="24"/>
          <w:u w:val="single"/>
        </w:rPr>
        <w:t>La segunda pregunta clave está relacionada con la trayectoria de la inflación</w:t>
      </w:r>
      <w:r w:rsidRPr="00485BFD">
        <w:rPr>
          <w:rFonts w:ascii="Times New Roman" w:hAnsi="Times New Roman" w:cs="Times New Roman"/>
          <w:sz w:val="24"/>
          <w:szCs w:val="24"/>
        </w:rPr>
        <w:t xml:space="preserve">. </w:t>
      </w:r>
      <w:r w:rsidRPr="00485BFD">
        <w:rPr>
          <w:rFonts w:ascii="Times New Roman" w:hAnsi="Times New Roman" w:cs="Times New Roman"/>
          <w:sz w:val="24"/>
          <w:szCs w:val="24"/>
          <w:u w:val="single"/>
        </w:rPr>
        <w:t>La causa inmediata de los recientes aumentos de precios son los bloqueos y desequilibrios entre la oferta y la demanda en la cadena de aprovisionamiento</w:t>
      </w:r>
      <w:r w:rsidRPr="00485BFD">
        <w:rPr>
          <w:rFonts w:ascii="Times New Roman" w:hAnsi="Times New Roman" w:cs="Times New Roman"/>
          <w:sz w:val="24"/>
          <w:szCs w:val="24"/>
        </w:rPr>
        <w:t xml:space="preserve">. La guerra en Ucrania intensificó la presión al alza sobre los precios de la energía, los productos básicos y los alimentos. </w:t>
      </w:r>
      <w:r w:rsidRPr="00485BFD">
        <w:rPr>
          <w:rFonts w:ascii="Times New Roman" w:hAnsi="Times New Roman" w:cs="Times New Roman"/>
          <w:sz w:val="24"/>
          <w:szCs w:val="24"/>
          <w:u w:val="single"/>
        </w:rPr>
        <w:t>En parte esto será transitorio (aunque se prolongará más de lo esperado inicialmente).</w:t>
      </w:r>
    </w:p>
    <w:p w:rsidR="00CF408C" w:rsidRPr="00485BFD" w:rsidRDefault="00CF408C" w:rsidP="00CF408C">
      <w:pPr>
        <w:spacing w:line="240" w:lineRule="auto"/>
        <w:jc w:val="both"/>
        <w:rPr>
          <w:rFonts w:ascii="Times New Roman" w:hAnsi="Times New Roman" w:cs="Times New Roman"/>
          <w:sz w:val="24"/>
          <w:szCs w:val="24"/>
          <w:u w:val="single"/>
        </w:rPr>
      </w:pPr>
      <w:r w:rsidRPr="00485BFD">
        <w:rPr>
          <w:rFonts w:ascii="Times New Roman" w:hAnsi="Times New Roman" w:cs="Times New Roman"/>
          <w:sz w:val="24"/>
          <w:szCs w:val="24"/>
          <w:u w:val="single"/>
        </w:rPr>
        <w:t>Pero la inflación también recibe el impulso de tendencias seculares que no desaparecerán pronto</w:t>
      </w:r>
      <w:r w:rsidRPr="00485BFD">
        <w:rPr>
          <w:rFonts w:ascii="Times New Roman" w:hAnsi="Times New Roman" w:cs="Times New Roman"/>
          <w:sz w:val="24"/>
          <w:szCs w:val="24"/>
        </w:rPr>
        <w:t>. Cerca del 75 % de la población que forma parte de la economía mundial está envejeciendo, la participación de la población económicamente activa cae y el crecimiento de la productividad muestra una tendencia a la baja. Además, la capacidad productiva ociosa en las e</w:t>
      </w:r>
      <w:r>
        <w:rPr>
          <w:rFonts w:ascii="Times New Roman" w:hAnsi="Times New Roman" w:cs="Times New Roman"/>
          <w:sz w:val="24"/>
          <w:szCs w:val="24"/>
        </w:rPr>
        <w:t>conomías en vías de desarrollo -</w:t>
      </w:r>
      <w:r w:rsidRPr="00485BFD">
        <w:rPr>
          <w:rFonts w:ascii="Times New Roman" w:hAnsi="Times New Roman" w:cs="Times New Roman"/>
          <w:sz w:val="24"/>
          <w:szCs w:val="24"/>
        </w:rPr>
        <w:t>que en el pasado constituyó una fuente clave de presión deflaci</w:t>
      </w:r>
      <w:r>
        <w:rPr>
          <w:rFonts w:ascii="Times New Roman" w:hAnsi="Times New Roman" w:cs="Times New Roman"/>
          <w:sz w:val="24"/>
          <w:szCs w:val="24"/>
        </w:rPr>
        <w:t>onaria-</w:t>
      </w:r>
      <w:r w:rsidRPr="00485BFD">
        <w:rPr>
          <w:rFonts w:ascii="Times New Roman" w:hAnsi="Times New Roman" w:cs="Times New Roman"/>
          <w:sz w:val="24"/>
          <w:szCs w:val="24"/>
        </w:rPr>
        <w:t xml:space="preserve"> es menor de lo que solía ser (y la que hay sigue sin ser aprovechada). Sumemos a eso una diversificación impulsada por las políticas de los v</w:t>
      </w:r>
      <w:r>
        <w:rPr>
          <w:rFonts w:ascii="Times New Roman" w:hAnsi="Times New Roman" w:cs="Times New Roman"/>
          <w:sz w:val="24"/>
          <w:szCs w:val="24"/>
        </w:rPr>
        <w:t>ínculos entre oferta y demanda -</w:t>
      </w:r>
      <w:r w:rsidRPr="00485BFD">
        <w:rPr>
          <w:rFonts w:ascii="Times New Roman" w:hAnsi="Times New Roman" w:cs="Times New Roman"/>
          <w:sz w:val="24"/>
          <w:szCs w:val="24"/>
        </w:rPr>
        <w:t>una respuesta a la miríada de shocks, desde la pandemia y el cambio climático hasta las tens</w:t>
      </w:r>
      <w:r>
        <w:rPr>
          <w:rFonts w:ascii="Times New Roman" w:hAnsi="Times New Roman" w:cs="Times New Roman"/>
          <w:sz w:val="24"/>
          <w:szCs w:val="24"/>
        </w:rPr>
        <w:t>iones y conflictos geopolíticos-</w:t>
      </w:r>
      <w:r w:rsidRPr="00485BFD">
        <w:rPr>
          <w:rFonts w:ascii="Times New Roman" w:hAnsi="Times New Roman" w:cs="Times New Roman"/>
          <w:sz w:val="24"/>
          <w:szCs w:val="24"/>
        </w:rPr>
        <w:t xml:space="preserve"> y </w:t>
      </w:r>
      <w:r w:rsidRPr="00485BFD">
        <w:rPr>
          <w:rFonts w:ascii="Times New Roman" w:hAnsi="Times New Roman" w:cs="Times New Roman"/>
          <w:sz w:val="24"/>
          <w:szCs w:val="24"/>
          <w:u w:val="single"/>
        </w:rPr>
        <w:t>tendremos la probabilidad de un período prolongado de crecimiento limitado del lado de la oferta, con presiones inflacionarias.</w:t>
      </w:r>
    </w:p>
    <w:p w:rsidR="00CF408C" w:rsidRPr="00485BFD" w:rsidRDefault="00CF408C" w:rsidP="00CF408C">
      <w:pPr>
        <w:spacing w:line="240" w:lineRule="auto"/>
        <w:jc w:val="both"/>
        <w:rPr>
          <w:rFonts w:ascii="Times New Roman" w:hAnsi="Times New Roman" w:cs="Times New Roman"/>
          <w:sz w:val="24"/>
          <w:szCs w:val="24"/>
          <w:u w:val="single"/>
        </w:rPr>
      </w:pPr>
      <w:r w:rsidRPr="00485BFD">
        <w:rPr>
          <w:rFonts w:ascii="Times New Roman" w:hAnsi="Times New Roman" w:cs="Times New Roman"/>
          <w:color w:val="FF0000"/>
          <w:sz w:val="24"/>
          <w:szCs w:val="24"/>
          <w:u w:val="single"/>
        </w:rPr>
        <w:t>La tercera pregunta recurrente es: ¿Cómo seguirán el sector tecnológico y la transformación digital que este impulsa?</w:t>
      </w:r>
      <w:r w:rsidRPr="00485BFD">
        <w:rPr>
          <w:rFonts w:ascii="Times New Roman" w:hAnsi="Times New Roman" w:cs="Times New Roman"/>
          <w:sz w:val="24"/>
          <w:szCs w:val="24"/>
        </w:rPr>
        <w:t xml:space="preserve">Los confinamientos y otras medidas de salud pública aceleraron la adopción de las tecnologías digitales durante la pandemia; pero, a diferencia de lo que esperaba el mercado, </w:t>
      </w:r>
      <w:r w:rsidRPr="00485BFD">
        <w:rPr>
          <w:rFonts w:ascii="Times New Roman" w:hAnsi="Times New Roman" w:cs="Times New Roman"/>
          <w:sz w:val="24"/>
          <w:szCs w:val="24"/>
          <w:u w:val="single"/>
        </w:rPr>
        <w:t>es probable que esta tendencia pierda fuerza cuando se eliminen las restricciones relacionadas.</w:t>
      </w:r>
    </w:p>
    <w:p w:rsidR="00CF408C" w:rsidRPr="00485BFD" w:rsidRDefault="00CF408C" w:rsidP="00CF408C">
      <w:pPr>
        <w:spacing w:line="240" w:lineRule="auto"/>
        <w:jc w:val="both"/>
        <w:rPr>
          <w:rFonts w:ascii="Times New Roman" w:hAnsi="Times New Roman" w:cs="Times New Roman"/>
          <w:sz w:val="24"/>
          <w:szCs w:val="24"/>
          <w:u w:val="single"/>
        </w:rPr>
      </w:pPr>
      <w:r w:rsidRPr="00485BFD">
        <w:rPr>
          <w:rFonts w:ascii="Times New Roman" w:hAnsi="Times New Roman" w:cs="Times New Roman"/>
          <w:color w:val="FF0000"/>
          <w:sz w:val="24"/>
          <w:szCs w:val="24"/>
          <w:u w:val="single"/>
        </w:rPr>
        <w:t>En medio de proyecciones de crecimiento excesivamente optimistas, los mercados de renta variable generaron valoraciones que ni en su mejor momento hubieran sido realistas</w:t>
      </w:r>
      <w:r w:rsidRPr="00485BFD">
        <w:rPr>
          <w:rFonts w:ascii="Times New Roman" w:hAnsi="Times New Roman" w:cs="Times New Roman"/>
          <w:sz w:val="24"/>
          <w:szCs w:val="24"/>
        </w:rPr>
        <w:t xml:space="preserve">. En una época en que la inflación se dispara, la política monetaria es más restrictiva y las proyecciones de crecimiento decaen, los mercados comenzaron a ajustar. </w:t>
      </w:r>
      <w:r w:rsidRPr="00485BFD">
        <w:rPr>
          <w:rFonts w:ascii="Times New Roman" w:hAnsi="Times New Roman" w:cs="Times New Roman"/>
          <w:sz w:val="24"/>
          <w:szCs w:val="24"/>
          <w:u w:val="single"/>
        </w:rPr>
        <w:t xml:space="preserve">No sorprende </w:t>
      </w:r>
      <w:r w:rsidRPr="00485BFD">
        <w:rPr>
          <w:rFonts w:ascii="Times New Roman" w:hAnsi="Times New Roman" w:cs="Times New Roman"/>
          <w:sz w:val="24"/>
          <w:szCs w:val="24"/>
          <w:u w:val="single"/>
        </w:rPr>
        <w:lastRenderedPageBreak/>
        <w:t>entonces que las acciones de crecimiento cuyo valor deriva de los flujos de efectivo futuros y tienden a estar concen</w:t>
      </w:r>
      <w:r>
        <w:rPr>
          <w:rFonts w:ascii="Times New Roman" w:hAnsi="Times New Roman" w:cs="Times New Roman"/>
          <w:sz w:val="24"/>
          <w:szCs w:val="24"/>
          <w:u w:val="single"/>
        </w:rPr>
        <w:t>tradas en el sector tecnológico</w:t>
      </w:r>
      <w:r w:rsidRPr="00485BFD">
        <w:rPr>
          <w:rFonts w:ascii="Times New Roman" w:hAnsi="Times New Roman" w:cs="Times New Roman"/>
          <w:sz w:val="24"/>
          <w:szCs w:val="24"/>
          <w:u w:val="single"/>
        </w:rPr>
        <w:t xml:space="preserve"> hayan caído con especial fuerza.</w:t>
      </w:r>
    </w:p>
    <w:p w:rsidR="00CF408C" w:rsidRPr="00485BFD" w:rsidRDefault="00CF408C" w:rsidP="00CF408C">
      <w:pPr>
        <w:spacing w:line="240" w:lineRule="auto"/>
        <w:jc w:val="both"/>
        <w:rPr>
          <w:rFonts w:ascii="Times New Roman" w:hAnsi="Times New Roman" w:cs="Times New Roman"/>
          <w:sz w:val="24"/>
          <w:szCs w:val="24"/>
        </w:rPr>
      </w:pPr>
      <w:r w:rsidRPr="00485BFD">
        <w:rPr>
          <w:rFonts w:ascii="Times New Roman" w:hAnsi="Times New Roman" w:cs="Times New Roman"/>
          <w:sz w:val="24"/>
          <w:szCs w:val="24"/>
        </w:rPr>
        <w:t>Estos giros del mercado no significan que las transformaciones digital, energética y biomédica en curso sean insignificantes, ni que sus efectos económicos no vayan a ser duraderos. Los mercados tienden naturalmente a ser más volátiles que la realidad económica subyacente que supuestamente reflejan. Los incentivos debidos a la inercia producen excesos en ambas direcciones.</w:t>
      </w:r>
    </w:p>
    <w:p w:rsidR="00CF408C" w:rsidRPr="00485BFD" w:rsidRDefault="00CF408C" w:rsidP="00CF408C">
      <w:pPr>
        <w:spacing w:line="240" w:lineRule="auto"/>
        <w:jc w:val="both"/>
        <w:rPr>
          <w:rFonts w:ascii="Times New Roman" w:hAnsi="Times New Roman" w:cs="Times New Roman"/>
          <w:sz w:val="24"/>
          <w:szCs w:val="24"/>
        </w:rPr>
      </w:pPr>
      <w:r w:rsidRPr="00485BFD">
        <w:rPr>
          <w:rFonts w:ascii="Times New Roman" w:hAnsi="Times New Roman" w:cs="Times New Roman"/>
          <w:color w:val="FF0000"/>
          <w:sz w:val="24"/>
          <w:szCs w:val="24"/>
          <w:u w:val="single"/>
        </w:rPr>
        <w:t>La mayor volatilidad del mercado tendrá consecuencias importantes en el corto plazo debido a que el capital de riesgo y el capital inversión, cuyo apoyo es fundamental para las empresas innovadoras con alto crecimiento potencial, no están protegidos contra ella.</w:t>
      </w:r>
      <w:r w:rsidRPr="00485BFD">
        <w:rPr>
          <w:rFonts w:ascii="Times New Roman" w:hAnsi="Times New Roman" w:cs="Times New Roman"/>
          <w:sz w:val="24"/>
          <w:szCs w:val="24"/>
        </w:rPr>
        <w:t>Durante las subas, las valuaciones son generosas y algunas empresas cuyas promesas sobre las dinámicas de crecimiento duradero son dudosas reciben financiamiento. Durante las bajas, las valuaciones privadas se rezagan entre seis y nueve meses (según las estimaciones de los expertos) respecto de los ajustes de mercado, en parte debido a que tanto los inversores como las empresas se resisten a ajustar las valuaciones a la baja hasta que la necesidad de captar capital adicional los obliga a ello. (Incluso ahora, se está instando a las empresas de crecimiento a limitar sus costos y mantener su capital). Durante este período, los precios de las operaciones van desacompasados respecto de los valores realistas a largo plazo, lo que dificulta el financiamiento e impide el crecimiento de la innovación.</w:t>
      </w:r>
    </w:p>
    <w:p w:rsidR="00CF408C" w:rsidRPr="00485BFD" w:rsidRDefault="00CF408C" w:rsidP="00CF408C">
      <w:pPr>
        <w:spacing w:line="240" w:lineRule="auto"/>
        <w:jc w:val="both"/>
        <w:rPr>
          <w:rFonts w:ascii="Times New Roman" w:hAnsi="Times New Roman" w:cs="Times New Roman"/>
          <w:color w:val="FF0000"/>
          <w:sz w:val="24"/>
          <w:szCs w:val="24"/>
          <w:u w:val="single"/>
        </w:rPr>
      </w:pPr>
      <w:r w:rsidRPr="00485BFD">
        <w:rPr>
          <w:rFonts w:ascii="Times New Roman" w:hAnsi="Times New Roman" w:cs="Times New Roman"/>
          <w:color w:val="FF0000"/>
          <w:sz w:val="24"/>
          <w:szCs w:val="24"/>
          <w:u w:val="single"/>
        </w:rPr>
        <w:t>Una última pregunta que parece dar qué pensar últimamente es si la guerra en Ucrania, la decisión europea de reducir su dependencia del petróleo y el gas rusos, y los exorbitantes precios de los combustibles fósiles desbaratarán la transición hacia una economía con bajas emisiones de carbono. Afortunadamente, hay buenos motivos para creer que eso no ocurrirá, al menos no de forma duradera.</w:t>
      </w:r>
    </w:p>
    <w:p w:rsidR="00CF408C" w:rsidRPr="00485BFD" w:rsidRDefault="00CF408C" w:rsidP="00CF408C">
      <w:pPr>
        <w:spacing w:line="240" w:lineRule="auto"/>
        <w:jc w:val="both"/>
        <w:rPr>
          <w:rFonts w:ascii="Times New Roman" w:hAnsi="Times New Roman" w:cs="Times New Roman"/>
          <w:sz w:val="24"/>
          <w:szCs w:val="24"/>
        </w:rPr>
      </w:pPr>
      <w:r w:rsidRPr="00485BFD">
        <w:rPr>
          <w:rFonts w:ascii="Times New Roman" w:hAnsi="Times New Roman" w:cs="Times New Roman"/>
          <w:sz w:val="24"/>
          <w:szCs w:val="24"/>
          <w:u w:val="single"/>
        </w:rPr>
        <w:t>En primer lugar, los elevados precios de los combustibles fósiles generan un fuerte incentivo para que los países y los consumidores aumenten la eficiencia energética e inviertan en soluciones energéticas sostenibles</w:t>
      </w:r>
      <w:r w:rsidRPr="00485BFD">
        <w:rPr>
          <w:rFonts w:ascii="Times New Roman" w:hAnsi="Times New Roman" w:cs="Times New Roman"/>
          <w:sz w:val="24"/>
          <w:szCs w:val="24"/>
        </w:rPr>
        <w:t>. En este sentido, contrarrestan en parte la incapacidad para implementar un esquema mundial eficaz para los precios del carbono.</w:t>
      </w:r>
    </w:p>
    <w:p w:rsidR="00CF408C" w:rsidRPr="00485BFD" w:rsidRDefault="00CF408C" w:rsidP="00CF408C">
      <w:pPr>
        <w:spacing w:line="240" w:lineRule="auto"/>
        <w:jc w:val="both"/>
        <w:rPr>
          <w:rFonts w:ascii="Times New Roman" w:hAnsi="Times New Roman" w:cs="Times New Roman"/>
          <w:color w:val="FF0000"/>
          <w:sz w:val="24"/>
          <w:szCs w:val="24"/>
          <w:u w:val="single"/>
        </w:rPr>
      </w:pPr>
      <w:r w:rsidRPr="00485BFD">
        <w:rPr>
          <w:rFonts w:ascii="Times New Roman" w:hAnsi="Times New Roman" w:cs="Times New Roman"/>
          <w:sz w:val="24"/>
          <w:szCs w:val="24"/>
          <w:u w:val="single"/>
        </w:rPr>
        <w:t>El elevado precio de los combustibles fósiles tendrá efectos distributivos adversos entre los países y dentro de ellos, similares a los que crearía un impuesto regresivo, pero son efectos mitigables (idealmente, a través de alguna forma de redistribución del ingreso).</w:t>
      </w:r>
      <w:r w:rsidRPr="00485BFD">
        <w:rPr>
          <w:rFonts w:ascii="Times New Roman" w:hAnsi="Times New Roman" w:cs="Times New Roman"/>
          <w:color w:val="FF0000"/>
          <w:sz w:val="24"/>
          <w:szCs w:val="24"/>
          <w:u w:val="single"/>
        </w:rPr>
        <w:t>Lo que los gobiernos no deben hacer es subsidiar a los combustibles fósiles regulando los precios finales por debajo de los niveles de mercado, ya que esto debilitaría los incentivos para buscar opciones más sostenibles. Existen buenos argumentos para estabilizar los precios de la energía y fomentar la inversión en alternativas, pero eso no implica cercenar los picos y dejar los valles incólumes.</w:t>
      </w:r>
    </w:p>
    <w:p w:rsidR="00CF408C" w:rsidRPr="00485BFD" w:rsidRDefault="00CF408C" w:rsidP="00CF408C">
      <w:pPr>
        <w:spacing w:line="240" w:lineRule="auto"/>
        <w:jc w:val="both"/>
        <w:rPr>
          <w:rFonts w:ascii="Times New Roman" w:hAnsi="Times New Roman" w:cs="Times New Roman"/>
          <w:color w:val="FF0000"/>
          <w:sz w:val="24"/>
          <w:szCs w:val="24"/>
          <w:u w:val="single"/>
        </w:rPr>
      </w:pPr>
      <w:r w:rsidRPr="00485BFD">
        <w:rPr>
          <w:rFonts w:ascii="Times New Roman" w:hAnsi="Times New Roman" w:cs="Times New Roman"/>
          <w:color w:val="FF0000"/>
          <w:sz w:val="24"/>
          <w:szCs w:val="24"/>
          <w:u w:val="single"/>
        </w:rPr>
        <w:t>La geopolítica también refuerza los incentivos al uso de energías limpias: a diferencia de los combustibles fósiles, las energías renovables, en gran medida, no generan dependencias externas. La transición verde es entonces un poderoso mecanismo para aumentar la resiliencia y reducir la vulnerabilidad frente al uso del control de la provisión energética como arma.</w:t>
      </w:r>
    </w:p>
    <w:p w:rsidR="00CF408C" w:rsidRDefault="00CF408C" w:rsidP="00CF408C">
      <w:pPr>
        <w:spacing w:line="240" w:lineRule="auto"/>
        <w:jc w:val="both"/>
        <w:rPr>
          <w:rFonts w:ascii="Times New Roman" w:hAnsi="Times New Roman" w:cs="Times New Roman"/>
          <w:color w:val="FF0000"/>
          <w:sz w:val="24"/>
          <w:szCs w:val="24"/>
          <w:u w:val="single"/>
        </w:rPr>
      </w:pPr>
      <w:r w:rsidRPr="004B4375">
        <w:rPr>
          <w:rFonts w:ascii="Times New Roman" w:hAnsi="Times New Roman" w:cs="Times New Roman"/>
          <w:color w:val="FF0000"/>
          <w:sz w:val="24"/>
          <w:szCs w:val="24"/>
          <w:u w:val="single"/>
        </w:rPr>
        <w:t>En última instancia, la transición verde es un proceso que requiere varias décadas, durante el cual la combinación de combustibles se desplaza gradualmente desde los fósiles hacia las alternativas limpias. En el corto plaz</w:t>
      </w:r>
      <w:r w:rsidR="003245F4">
        <w:rPr>
          <w:rFonts w:ascii="Times New Roman" w:hAnsi="Times New Roman" w:cs="Times New Roman"/>
          <w:color w:val="FF0000"/>
          <w:sz w:val="24"/>
          <w:szCs w:val="24"/>
          <w:u w:val="single"/>
        </w:rPr>
        <w:t>o es posible que las economías -especialmente la europea-</w:t>
      </w:r>
      <w:r w:rsidRPr="004B4375">
        <w:rPr>
          <w:rFonts w:ascii="Times New Roman" w:hAnsi="Times New Roman" w:cs="Times New Roman"/>
          <w:color w:val="FF0000"/>
          <w:sz w:val="24"/>
          <w:szCs w:val="24"/>
          <w:u w:val="single"/>
        </w:rPr>
        <w:t xml:space="preserve"> recurran a energías sucias, como el carbón, para satisfacer sus necesidades, pero </w:t>
      </w:r>
      <w:r w:rsidRPr="004B4375">
        <w:rPr>
          <w:rFonts w:ascii="Times New Roman" w:hAnsi="Times New Roman" w:cs="Times New Roman"/>
          <w:color w:val="FF0000"/>
          <w:sz w:val="24"/>
          <w:szCs w:val="24"/>
          <w:u w:val="single"/>
        </w:rPr>
        <w:lastRenderedPageBreak/>
        <w:t>esto no tiene por qué implicar el fracaso de la transición energética (y mucho menos, el de la agenda mundial de la sostenibilidad).</w:t>
      </w:r>
    </w:p>
    <w:p w:rsidR="00CF408C" w:rsidRPr="000830AB" w:rsidRDefault="00CF408C" w:rsidP="00CF408C">
      <w:pPr>
        <w:shd w:val="clear" w:color="auto" w:fill="FFFFFF"/>
        <w:spacing w:before="84" w:after="170" w:line="240" w:lineRule="auto"/>
        <w:jc w:val="both"/>
        <w:textAlignment w:val="baseline"/>
        <w:outlineLvl w:val="0"/>
        <w:rPr>
          <w:rFonts w:ascii="Times New Roman" w:eastAsia="Times New Roman" w:hAnsi="Times New Roman" w:cs="Times New Roman"/>
          <w:bCs/>
          <w:color w:val="111111"/>
          <w:kern w:val="36"/>
          <w:sz w:val="24"/>
          <w:szCs w:val="24"/>
          <w:lang w:eastAsia="es-ES"/>
        </w:rPr>
      </w:pPr>
      <w:r w:rsidRPr="000830AB">
        <w:rPr>
          <w:rFonts w:ascii="Times New Roman" w:eastAsia="Times New Roman" w:hAnsi="Times New Roman" w:cs="Times New Roman"/>
          <w:bCs/>
          <w:color w:val="111111"/>
          <w:kern w:val="36"/>
          <w:sz w:val="24"/>
          <w:szCs w:val="24"/>
          <w:u w:val="single"/>
          <w:lang w:eastAsia="es-ES"/>
        </w:rPr>
        <w:t>La OCDE ya habla abiertamente de estanflación: el fin de ciclo ha llegado</w:t>
      </w:r>
    </w:p>
    <w:p w:rsidR="00CF408C" w:rsidRPr="006019A3" w:rsidRDefault="000441B2" w:rsidP="00CF408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19A3">
        <w:rPr>
          <w:rFonts w:ascii="Times New Roman" w:eastAsia="Times New Roman" w:hAnsi="Times New Roman" w:cs="Times New Roman"/>
          <w:sz w:val="24"/>
          <w:szCs w:val="24"/>
          <w:lang w:eastAsia="es-ES"/>
        </w:rPr>
        <w:t>Cuando llegó el Covid19 p</w:t>
      </w:r>
      <w:r w:rsidR="00CF408C" w:rsidRPr="006019A3">
        <w:rPr>
          <w:rFonts w:ascii="Times New Roman" w:eastAsia="Times New Roman" w:hAnsi="Times New Roman" w:cs="Times New Roman"/>
          <w:sz w:val="24"/>
          <w:szCs w:val="24"/>
          <w:lang w:eastAsia="es-ES"/>
        </w:rPr>
        <w:t>rácticamente todas las economías del mundo registraron la mayor destrucción económica de su historia reciente, l</w:t>
      </w:r>
      <w:r w:rsidR="00CF408C" w:rsidRPr="006019A3">
        <w:rPr>
          <w:rFonts w:ascii="Times New Roman" w:eastAsia="Times New Roman" w:hAnsi="Times New Roman" w:cs="Times New Roman"/>
          <w:bCs/>
          <w:sz w:val="24"/>
          <w:szCs w:val="24"/>
          <w:bdr w:val="none" w:sz="0" w:space="0" w:color="auto" w:frame="1"/>
          <w:lang w:eastAsia="es-ES"/>
        </w:rPr>
        <w:t>os déficit se dispararon, la situación en los mercados financieros se puso muy seria… </w:t>
      </w:r>
      <w:r w:rsidR="00CF408C" w:rsidRPr="006019A3">
        <w:rPr>
          <w:rFonts w:ascii="Times New Roman" w:eastAsia="Times New Roman" w:hAnsi="Times New Roman" w:cs="Times New Roman"/>
          <w:sz w:val="24"/>
          <w:szCs w:val="24"/>
          <w:lang w:eastAsia="es-ES"/>
        </w:rPr>
        <w:t>Hasta que los principales bancos centrales decidieron intervenir con más fuerza que nunca.</w:t>
      </w:r>
    </w:p>
    <w:p w:rsidR="00CF408C" w:rsidRPr="006019A3" w:rsidRDefault="00CF408C" w:rsidP="00CF408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F408C" w:rsidRPr="006019A3" w:rsidRDefault="000441B2" w:rsidP="000441B2">
      <w:pPr>
        <w:shd w:val="clear" w:color="auto" w:fill="FFFFFF"/>
        <w:spacing w:before="84" w:after="170" w:line="240" w:lineRule="auto"/>
        <w:jc w:val="both"/>
        <w:textAlignment w:val="baseline"/>
        <w:outlineLvl w:val="0"/>
        <w:rPr>
          <w:rFonts w:ascii="Times New Roman" w:eastAsia="Times New Roman" w:hAnsi="Times New Roman" w:cs="Times New Roman"/>
          <w:bCs/>
          <w:kern w:val="36"/>
          <w:sz w:val="24"/>
          <w:szCs w:val="24"/>
          <w:lang w:eastAsia="es-ES"/>
        </w:rPr>
      </w:pPr>
      <w:r w:rsidRPr="006019A3">
        <w:rPr>
          <w:rFonts w:ascii="Times New Roman" w:eastAsia="Times New Roman" w:hAnsi="Times New Roman" w:cs="Times New Roman"/>
          <w:sz w:val="24"/>
          <w:szCs w:val="24"/>
          <w:lang w:eastAsia="es-ES"/>
        </w:rPr>
        <w:t>“</w:t>
      </w:r>
      <w:r w:rsidR="00CF408C" w:rsidRPr="006019A3">
        <w:rPr>
          <w:rFonts w:ascii="Times New Roman" w:eastAsia="Times New Roman" w:hAnsi="Times New Roman" w:cs="Times New Roman"/>
          <w:sz w:val="24"/>
          <w:szCs w:val="24"/>
          <w:lang w:eastAsia="es-ES"/>
        </w:rPr>
        <w:t>¿Se puede considerar que la acción de política monetaria nos salvó de una situación aún peor y, por lo tanto, los bancos centrales sí que tenían munición en la recámara? El </w:t>
      </w:r>
      <w:r w:rsidR="00CF408C" w:rsidRPr="006019A3">
        <w:rPr>
          <w:rFonts w:ascii="Times New Roman" w:eastAsia="Times New Roman" w:hAnsi="Times New Roman" w:cs="Times New Roman"/>
          <w:bCs/>
          <w:sz w:val="24"/>
          <w:szCs w:val="24"/>
          <w:bdr w:val="none" w:sz="0" w:space="0" w:color="auto" w:frame="1"/>
          <w:lang w:eastAsia="es-ES"/>
        </w:rPr>
        <w:t>balance de los principales bancos centrales desde el estallido de la pandemia se ha incrementado en 12 billones de dólares</w:t>
      </w:r>
      <w:r w:rsidR="00CF408C" w:rsidRPr="006019A3">
        <w:rPr>
          <w:rFonts w:ascii="Times New Roman" w:eastAsia="Times New Roman" w:hAnsi="Times New Roman" w:cs="Times New Roman"/>
          <w:sz w:val="24"/>
          <w:szCs w:val="24"/>
          <w:lang w:eastAsia="es-ES"/>
        </w:rPr>
        <w:t>, un 63%</w:t>
      </w:r>
      <w:r w:rsidRPr="006019A3">
        <w:rPr>
          <w:rFonts w:ascii="Times New Roman" w:eastAsia="Times New Roman" w:hAnsi="Times New Roman" w:cs="Times New Roman"/>
          <w:sz w:val="24"/>
          <w:szCs w:val="24"/>
          <w:lang w:eastAsia="es-ES"/>
        </w:rPr>
        <w:t>”..</w:t>
      </w:r>
      <w:r w:rsidR="00CF408C" w:rsidRPr="006019A3">
        <w:rPr>
          <w:rFonts w:ascii="Times New Roman" w:eastAsia="Times New Roman" w:hAnsi="Times New Roman" w:cs="Times New Roman"/>
          <w:sz w:val="24"/>
          <w:szCs w:val="24"/>
          <w:lang w:eastAsia="es-ES"/>
        </w:rPr>
        <w:t>.</w:t>
      </w:r>
      <w:r w:rsidRPr="006019A3">
        <w:rPr>
          <w:rFonts w:ascii="Times New Roman" w:eastAsia="Times New Roman" w:hAnsi="Times New Roman" w:cs="Times New Roman"/>
          <w:bCs/>
          <w:kern w:val="36"/>
          <w:sz w:val="24"/>
          <w:szCs w:val="24"/>
          <w:lang w:eastAsia="es-ES"/>
        </w:rPr>
        <w:t xml:space="preserve">(Libertad Digital - </w:t>
      </w:r>
      <w:r w:rsidRPr="006019A3">
        <w:rPr>
          <w:rFonts w:ascii="Times New Roman" w:eastAsia="Times New Roman" w:hAnsi="Times New Roman" w:cs="Times New Roman"/>
          <w:b/>
          <w:bCs/>
          <w:kern w:val="36"/>
          <w:sz w:val="24"/>
          <w:szCs w:val="24"/>
          <w:lang w:eastAsia="es-ES"/>
        </w:rPr>
        <w:t>12/6/22</w:t>
      </w:r>
      <w:r w:rsidRPr="006019A3">
        <w:rPr>
          <w:rFonts w:ascii="Times New Roman" w:eastAsia="Times New Roman" w:hAnsi="Times New Roman" w:cs="Times New Roman"/>
          <w:bCs/>
          <w:kern w:val="36"/>
          <w:sz w:val="24"/>
          <w:szCs w:val="24"/>
          <w:lang w:eastAsia="es-ES"/>
        </w:rPr>
        <w:t>)</w:t>
      </w:r>
    </w:p>
    <w:p w:rsidR="00CF408C" w:rsidRPr="000830AB" w:rsidRDefault="00CF408C" w:rsidP="00CF408C">
      <w:pPr>
        <w:shd w:val="clear" w:color="auto" w:fill="FFFFFF"/>
        <w:spacing w:after="0" w:line="240" w:lineRule="auto"/>
        <w:jc w:val="both"/>
        <w:textAlignment w:val="baseline"/>
        <w:rPr>
          <w:rFonts w:ascii="Times New Roman" w:eastAsia="Times New Roman" w:hAnsi="Times New Roman" w:cs="Times New Roman"/>
          <w:color w:val="333333"/>
          <w:sz w:val="24"/>
          <w:szCs w:val="24"/>
          <w:lang w:eastAsia="es-ES"/>
        </w:rPr>
      </w:pPr>
      <w:r w:rsidRPr="000830AB">
        <w:rPr>
          <w:rFonts w:ascii="Times New Roman" w:eastAsia="Times New Roman" w:hAnsi="Times New Roman" w:cs="Times New Roman"/>
          <w:noProof/>
          <w:color w:val="0000FF"/>
          <w:sz w:val="24"/>
          <w:szCs w:val="24"/>
          <w:bdr w:val="none" w:sz="0" w:space="0" w:color="auto" w:frame="1"/>
          <w:lang w:val="en-GB" w:eastAsia="zh-CN"/>
        </w:rPr>
        <w:drawing>
          <wp:inline distT="0" distB="0" distL="0" distR="0">
            <wp:extent cx="5632450" cy="2654300"/>
            <wp:effectExtent l="0" t="0" r="6350" b="0"/>
            <wp:docPr id="49" name="Imagen 49" descr="tamano-bancos-centrales.jpg">
              <a:hlinkClick xmlns:a="http://schemas.openxmlformats.org/drawingml/2006/main" r:id="rId13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amano-bancos-centrales.jpg">
                      <a:hlinkClick r:id="rId139" tooltip="&quot;&quot;"/>
                    </pic:cNvPr>
                    <pic:cNvPicPr>
                      <a:picLocks noChangeAspect="1" noChangeArrowheads="1"/>
                    </pic:cNvPicPr>
                  </pic:nvPicPr>
                  <pic:blipFill>
                    <a:blip r:embed="rId1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2450" cy="2654300"/>
                    </a:xfrm>
                    <a:prstGeom prst="rect">
                      <a:avLst/>
                    </a:prstGeom>
                    <a:noFill/>
                    <a:ln>
                      <a:noFill/>
                    </a:ln>
                  </pic:spPr>
                </pic:pic>
              </a:graphicData>
            </a:graphic>
          </wp:inline>
        </w:drawing>
      </w:r>
    </w:p>
    <w:p w:rsidR="00CF408C" w:rsidRDefault="00CF408C" w:rsidP="00CF408C">
      <w:pPr>
        <w:shd w:val="clear" w:color="auto" w:fill="FFFFFF"/>
        <w:spacing w:after="0" w:line="240" w:lineRule="auto"/>
        <w:jc w:val="both"/>
        <w:textAlignment w:val="baseline"/>
        <w:rPr>
          <w:rFonts w:ascii="Times New Roman" w:eastAsia="Times New Roman" w:hAnsi="Times New Roman" w:cs="Times New Roman"/>
          <w:bCs/>
          <w:color w:val="333333"/>
          <w:sz w:val="24"/>
          <w:szCs w:val="24"/>
          <w:bdr w:val="none" w:sz="0" w:space="0" w:color="auto" w:frame="1"/>
          <w:lang w:eastAsia="es-ES"/>
        </w:rPr>
      </w:pPr>
    </w:p>
    <w:p w:rsidR="00CF408C" w:rsidRPr="006019A3" w:rsidRDefault="00CF408C" w:rsidP="00CF408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19A3">
        <w:rPr>
          <w:rFonts w:ascii="Times New Roman" w:eastAsia="Times New Roman" w:hAnsi="Times New Roman" w:cs="Times New Roman"/>
          <w:bCs/>
          <w:sz w:val="24"/>
          <w:szCs w:val="24"/>
          <w:bdr w:val="none" w:sz="0" w:space="0" w:color="auto" w:frame="1"/>
          <w:lang w:eastAsia="es-ES"/>
        </w:rPr>
        <w:t>¿De qué ha servido? El </w:t>
      </w:r>
      <w:r w:rsidR="000441B2" w:rsidRPr="006019A3">
        <w:rPr>
          <w:rFonts w:ascii="Times New Roman" w:eastAsia="Times New Roman" w:hAnsi="Times New Roman" w:cs="Times New Roman"/>
          <w:bCs/>
          <w:sz w:val="24"/>
          <w:szCs w:val="24"/>
          <w:bdr w:val="none" w:sz="0" w:space="0" w:color="auto" w:frame="1"/>
          <w:lang w:eastAsia="es-ES"/>
        </w:rPr>
        <w:t>“</w:t>
      </w:r>
      <w:r w:rsidRPr="006019A3">
        <w:rPr>
          <w:rFonts w:ascii="Times New Roman" w:eastAsia="Times New Roman" w:hAnsi="Times New Roman" w:cs="Times New Roman"/>
          <w:bCs/>
          <w:iCs/>
          <w:sz w:val="24"/>
          <w:szCs w:val="24"/>
          <w:bdr w:val="none" w:sz="0" w:space="0" w:color="auto" w:frame="1"/>
          <w:lang w:eastAsia="es-ES"/>
        </w:rPr>
        <w:t>efecto placebo</w:t>
      </w:r>
      <w:r w:rsidR="000441B2" w:rsidRPr="006019A3">
        <w:rPr>
          <w:rFonts w:ascii="Times New Roman" w:eastAsia="Times New Roman" w:hAnsi="Times New Roman" w:cs="Times New Roman"/>
          <w:bCs/>
          <w:iCs/>
          <w:sz w:val="24"/>
          <w:szCs w:val="24"/>
          <w:bdr w:val="none" w:sz="0" w:space="0" w:color="auto" w:frame="1"/>
          <w:lang w:eastAsia="es-ES"/>
        </w:rPr>
        <w:t>”</w:t>
      </w:r>
      <w:r w:rsidRPr="006019A3">
        <w:rPr>
          <w:rFonts w:ascii="Times New Roman" w:eastAsia="Times New Roman" w:hAnsi="Times New Roman" w:cs="Times New Roman"/>
          <w:i/>
          <w:iCs/>
          <w:sz w:val="24"/>
          <w:szCs w:val="24"/>
          <w:bdr w:val="none" w:sz="0" w:space="0" w:color="auto" w:frame="1"/>
          <w:lang w:eastAsia="es-ES"/>
        </w:rPr>
        <w:t> </w:t>
      </w:r>
      <w:r w:rsidRPr="006019A3">
        <w:rPr>
          <w:rFonts w:ascii="Times New Roman" w:eastAsia="Times New Roman" w:hAnsi="Times New Roman" w:cs="Times New Roman"/>
          <w:sz w:val="24"/>
          <w:szCs w:val="24"/>
          <w:lang w:eastAsia="es-ES"/>
        </w:rPr>
        <w:t>(esto es, aplacar las tensiones en los mercados financieros) es indudable, pero nada más. El crecimiento económico ha sido muy débil en todo el mundo, altamente endeudado… y con graves desequilibrios que han derivado en la situación de inflación moderada que estamos sufriendo.</w:t>
      </w:r>
    </w:p>
    <w:p w:rsidR="000441B2" w:rsidRPr="006019A3" w:rsidRDefault="000441B2" w:rsidP="00CF408C">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p>
    <w:p w:rsidR="000441B2" w:rsidRPr="00371758" w:rsidRDefault="000441B2" w:rsidP="00CF408C">
      <w:pPr>
        <w:shd w:val="clear" w:color="auto" w:fill="FFFFFF"/>
        <w:spacing w:after="0" w:line="240" w:lineRule="auto"/>
        <w:jc w:val="both"/>
        <w:textAlignment w:val="baseline"/>
        <w:rPr>
          <w:rFonts w:ascii="Times New Roman" w:eastAsia="Times New Roman" w:hAnsi="Times New Roman" w:cs="Times New Roman"/>
          <w:color w:val="333333"/>
          <w:sz w:val="24"/>
          <w:szCs w:val="24"/>
          <w:u w:val="single"/>
          <w:lang w:eastAsia="es-ES"/>
        </w:rPr>
      </w:pPr>
      <w:r w:rsidRPr="000830AB">
        <w:rPr>
          <w:rFonts w:ascii="Times New Roman" w:eastAsia="Times New Roman" w:hAnsi="Times New Roman" w:cs="Times New Roman"/>
          <w:noProof/>
          <w:color w:val="0000FF"/>
          <w:sz w:val="24"/>
          <w:szCs w:val="24"/>
          <w:bdr w:val="none" w:sz="0" w:space="0" w:color="auto" w:frame="1"/>
          <w:lang w:val="en-GB" w:eastAsia="zh-CN"/>
        </w:rPr>
        <w:drawing>
          <wp:inline distT="0" distB="0" distL="0" distR="0">
            <wp:extent cx="5562600" cy="2609850"/>
            <wp:effectExtent l="0" t="0" r="0" b="0"/>
            <wp:docPr id="93" name="Imagen 93" descr="tipos-de-interes.jpg">
              <a:hlinkClick xmlns:a="http://schemas.openxmlformats.org/drawingml/2006/main" r:id="rId14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ipos-de-interes.jpg">
                      <a:hlinkClick r:id="rId141" tooltip="&quot;&quot;"/>
                    </pic:cNvPr>
                    <pic:cNvPicPr>
                      <a:picLocks noChangeAspect="1" noChangeArrowheads="1"/>
                    </pic:cNvPicPr>
                  </pic:nvPicPr>
                  <pic:blipFill>
                    <a:blip r:embed="rId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62600" cy="2609850"/>
                    </a:xfrm>
                    <a:prstGeom prst="rect">
                      <a:avLst/>
                    </a:prstGeom>
                    <a:noFill/>
                    <a:ln>
                      <a:noFill/>
                    </a:ln>
                  </pic:spPr>
                </pic:pic>
              </a:graphicData>
            </a:graphic>
          </wp:inline>
        </w:drawing>
      </w:r>
    </w:p>
    <w:p w:rsidR="00CF408C" w:rsidRPr="000441B2" w:rsidRDefault="000441B2" w:rsidP="00CF408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0441B2">
        <w:rPr>
          <w:rFonts w:ascii="Times New Roman" w:eastAsia="Times New Roman" w:hAnsi="Times New Roman" w:cs="Times New Roman"/>
          <w:sz w:val="24"/>
          <w:szCs w:val="24"/>
          <w:lang w:eastAsia="es-ES"/>
        </w:rPr>
        <w:lastRenderedPageBreak/>
        <w:t>En la segunda</w:t>
      </w:r>
      <w:r w:rsidR="00CF408C" w:rsidRPr="000441B2">
        <w:rPr>
          <w:rFonts w:ascii="Times New Roman" w:eastAsia="Times New Roman" w:hAnsi="Times New Roman" w:cs="Times New Roman"/>
          <w:sz w:val="24"/>
          <w:szCs w:val="24"/>
          <w:lang w:eastAsia="es-ES"/>
        </w:rPr>
        <w:t xml:space="preserve"> semana</w:t>
      </w:r>
      <w:r w:rsidRPr="000441B2">
        <w:rPr>
          <w:rFonts w:ascii="Times New Roman" w:eastAsia="Times New Roman" w:hAnsi="Times New Roman" w:cs="Times New Roman"/>
          <w:sz w:val="24"/>
          <w:szCs w:val="24"/>
          <w:lang w:eastAsia="es-ES"/>
        </w:rPr>
        <w:t xml:space="preserve"> de junio (2022)</w:t>
      </w:r>
      <w:r w:rsidR="00CF408C" w:rsidRPr="000441B2">
        <w:rPr>
          <w:rFonts w:ascii="Times New Roman" w:eastAsia="Times New Roman" w:hAnsi="Times New Roman" w:cs="Times New Roman"/>
          <w:sz w:val="24"/>
          <w:szCs w:val="24"/>
          <w:lang w:eastAsia="es-ES"/>
        </w:rPr>
        <w:t xml:space="preserve"> la </w:t>
      </w:r>
      <w:r w:rsidR="00CF408C" w:rsidRPr="000441B2">
        <w:rPr>
          <w:rFonts w:ascii="Times New Roman" w:eastAsia="Times New Roman" w:hAnsi="Times New Roman" w:cs="Times New Roman"/>
          <w:bCs/>
          <w:sz w:val="24"/>
          <w:szCs w:val="24"/>
          <w:bdr w:val="none" w:sz="0" w:space="0" w:color="auto" w:frame="1"/>
          <w:lang w:eastAsia="es-ES"/>
        </w:rPr>
        <w:t>OCDE ha publicado un informe en el que dedica un apartado entero al riesgo de estanflación</w:t>
      </w:r>
      <w:r w:rsidR="00CF408C" w:rsidRPr="000441B2">
        <w:rPr>
          <w:rFonts w:ascii="Times New Roman" w:eastAsia="Times New Roman" w:hAnsi="Times New Roman" w:cs="Times New Roman"/>
          <w:sz w:val="24"/>
          <w:szCs w:val="24"/>
          <w:lang w:eastAsia="es-ES"/>
        </w:rPr>
        <w:t> (estancamiento económico con inflación) a nivel global. O, dicho de otra manera, dos años después de la crisis que sí que fue pero quedó disimulada tras el Covid19, seguimos teniendo el mismo problema para crecer, al que añadimos una evolución de los precios que cada vez menos organismos se ven capacitados para justificar que remitirán en el medio plazo.</w:t>
      </w:r>
    </w:p>
    <w:p w:rsidR="00CF408C" w:rsidRPr="000441B2" w:rsidRDefault="00CF408C" w:rsidP="00CF408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F408C" w:rsidRDefault="00CF408C" w:rsidP="00CF408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0441B2">
        <w:rPr>
          <w:rFonts w:ascii="Times New Roman" w:eastAsia="Times New Roman" w:hAnsi="Times New Roman" w:cs="Times New Roman"/>
          <w:sz w:val="24"/>
          <w:szCs w:val="24"/>
          <w:lang w:eastAsia="es-ES"/>
        </w:rPr>
        <w:t>Lo que es evidente es que la</w:t>
      </w:r>
      <w:r w:rsidRPr="000441B2">
        <w:rPr>
          <w:rFonts w:ascii="Times New Roman" w:eastAsia="Times New Roman" w:hAnsi="Times New Roman" w:cs="Times New Roman"/>
          <w:bCs/>
          <w:sz w:val="24"/>
          <w:szCs w:val="24"/>
          <w:bdr w:val="none" w:sz="0" w:space="0" w:color="auto" w:frame="1"/>
          <w:lang w:eastAsia="es-ES"/>
        </w:rPr>
        <w:t> cascada de revisiones a la baja en el crecimiento económico</w:t>
      </w:r>
      <w:r w:rsidRPr="000441B2">
        <w:rPr>
          <w:rFonts w:ascii="Times New Roman" w:eastAsia="Times New Roman" w:hAnsi="Times New Roman" w:cs="Times New Roman"/>
          <w:sz w:val="24"/>
          <w:szCs w:val="24"/>
          <w:lang w:eastAsia="es-ES"/>
        </w:rPr>
        <w:t> está afectando, por una u otra causa, a prácticamente todas las economías de la OCDE, y la inflación, lejos de remitir, se está consolidando.</w:t>
      </w:r>
    </w:p>
    <w:p w:rsidR="006019A3" w:rsidRPr="000441B2" w:rsidRDefault="006019A3" w:rsidP="00CF408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F408C" w:rsidRPr="000830AB" w:rsidRDefault="00CF408C" w:rsidP="00CF408C">
      <w:pPr>
        <w:shd w:val="clear" w:color="auto" w:fill="FFFFFF"/>
        <w:spacing w:after="0" w:line="240" w:lineRule="auto"/>
        <w:jc w:val="both"/>
        <w:textAlignment w:val="baseline"/>
        <w:rPr>
          <w:rFonts w:ascii="Times New Roman" w:eastAsia="Times New Roman" w:hAnsi="Times New Roman" w:cs="Times New Roman"/>
          <w:color w:val="333333"/>
          <w:sz w:val="24"/>
          <w:szCs w:val="24"/>
          <w:lang w:eastAsia="es-ES"/>
        </w:rPr>
      </w:pPr>
      <w:r w:rsidRPr="000830AB">
        <w:rPr>
          <w:rFonts w:ascii="Times New Roman" w:eastAsia="Times New Roman" w:hAnsi="Times New Roman" w:cs="Times New Roman"/>
          <w:noProof/>
          <w:color w:val="0000FF"/>
          <w:sz w:val="24"/>
          <w:szCs w:val="24"/>
          <w:bdr w:val="none" w:sz="0" w:space="0" w:color="auto" w:frame="1"/>
          <w:lang w:val="en-GB" w:eastAsia="zh-CN"/>
        </w:rPr>
        <w:drawing>
          <wp:inline distT="0" distB="0" distL="0" distR="0">
            <wp:extent cx="5721350" cy="5365750"/>
            <wp:effectExtent l="0" t="0" r="0" b="6350"/>
            <wp:docPr id="32" name="Imagen 32" descr="crecimiento-ocde.jpg">
              <a:hlinkClick xmlns:a="http://schemas.openxmlformats.org/drawingml/2006/main" r:id="rId14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recimiento-ocde.jpg">
                      <a:hlinkClick r:id="rId143" tooltip="&quot;&quot;"/>
                    </pic:cNvPr>
                    <pic:cNvPicPr>
                      <a:picLocks noChangeAspect="1" noChangeArrowheads="1"/>
                    </pic:cNvPicPr>
                  </pic:nvPicPr>
                  <pic:blipFill>
                    <a:blip r:embed="rId1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1350" cy="5365750"/>
                    </a:xfrm>
                    <a:prstGeom prst="rect">
                      <a:avLst/>
                    </a:prstGeom>
                    <a:noFill/>
                    <a:ln>
                      <a:noFill/>
                    </a:ln>
                  </pic:spPr>
                </pic:pic>
              </a:graphicData>
            </a:graphic>
          </wp:inline>
        </w:drawing>
      </w:r>
    </w:p>
    <w:p w:rsidR="00CF408C" w:rsidRDefault="00CF408C" w:rsidP="00CF408C">
      <w:pPr>
        <w:shd w:val="clear" w:color="auto" w:fill="FFFFFF"/>
        <w:spacing w:after="0" w:line="240" w:lineRule="auto"/>
        <w:jc w:val="both"/>
        <w:textAlignment w:val="baseline"/>
        <w:rPr>
          <w:rFonts w:ascii="Times New Roman" w:eastAsia="Times New Roman" w:hAnsi="Times New Roman" w:cs="Times New Roman"/>
          <w:color w:val="333333"/>
          <w:sz w:val="24"/>
          <w:szCs w:val="24"/>
          <w:lang w:eastAsia="es-ES"/>
        </w:rPr>
      </w:pPr>
    </w:p>
    <w:p w:rsidR="00CF408C" w:rsidRPr="006019A3" w:rsidRDefault="00CF408C" w:rsidP="00CF408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19A3">
        <w:rPr>
          <w:rFonts w:ascii="Times New Roman" w:eastAsia="Times New Roman" w:hAnsi="Times New Roman" w:cs="Times New Roman"/>
          <w:sz w:val="24"/>
          <w:szCs w:val="24"/>
          <w:lang w:eastAsia="es-ES"/>
        </w:rPr>
        <w:t>Por si lo anterior fuera poco, </w:t>
      </w:r>
      <w:r w:rsidRPr="006019A3">
        <w:rPr>
          <w:rFonts w:ascii="Times New Roman" w:eastAsia="Times New Roman" w:hAnsi="Times New Roman" w:cs="Times New Roman"/>
          <w:bCs/>
          <w:sz w:val="24"/>
          <w:szCs w:val="24"/>
          <w:bdr w:val="none" w:sz="0" w:space="0" w:color="auto" w:frame="1"/>
          <w:lang w:eastAsia="es-ES"/>
        </w:rPr>
        <w:t>los síntomas de fin de ciclo, muy especialmente los vinculados al mercado de trabajo</w:t>
      </w:r>
      <w:r w:rsidRPr="006019A3">
        <w:rPr>
          <w:rFonts w:ascii="Times New Roman" w:eastAsia="Times New Roman" w:hAnsi="Times New Roman" w:cs="Times New Roman"/>
          <w:sz w:val="24"/>
          <w:szCs w:val="24"/>
          <w:lang w:eastAsia="es-ES"/>
        </w:rPr>
        <w:t> (tasas de paro históricamente bajas) son evidentes, y los mercados de renta variable sufren pérdidas históricas. De hecho, estamos ante el cuarto peor año de la historia del S&amp;P500.</w:t>
      </w:r>
    </w:p>
    <w:p w:rsidR="00CF408C" w:rsidRPr="006019A3" w:rsidRDefault="00CF408C" w:rsidP="00CF408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F408C" w:rsidRPr="000830AB" w:rsidRDefault="00CF408C" w:rsidP="00CF408C">
      <w:pPr>
        <w:shd w:val="clear" w:color="auto" w:fill="FFFFFF"/>
        <w:spacing w:after="0" w:line="240" w:lineRule="auto"/>
        <w:jc w:val="both"/>
        <w:textAlignment w:val="baseline"/>
        <w:rPr>
          <w:rFonts w:ascii="Times New Roman" w:eastAsia="Times New Roman" w:hAnsi="Times New Roman" w:cs="Times New Roman"/>
          <w:color w:val="333333"/>
          <w:sz w:val="24"/>
          <w:szCs w:val="24"/>
          <w:lang w:eastAsia="es-ES"/>
        </w:rPr>
      </w:pPr>
      <w:r w:rsidRPr="000830AB">
        <w:rPr>
          <w:rFonts w:ascii="Times New Roman" w:eastAsia="Times New Roman" w:hAnsi="Times New Roman" w:cs="Times New Roman"/>
          <w:noProof/>
          <w:color w:val="0000FF"/>
          <w:sz w:val="24"/>
          <w:szCs w:val="24"/>
          <w:bdr w:val="none" w:sz="0" w:space="0" w:color="auto" w:frame="1"/>
          <w:lang w:val="en-GB" w:eastAsia="zh-CN"/>
        </w:rPr>
        <w:lastRenderedPageBreak/>
        <w:drawing>
          <wp:inline distT="0" distB="0" distL="0" distR="0">
            <wp:extent cx="4178300" cy="3175000"/>
            <wp:effectExtent l="0" t="0" r="0" b="6350"/>
            <wp:docPr id="33" name="Imagen 33" descr="sp-500.jpg">
              <a:hlinkClick xmlns:a="http://schemas.openxmlformats.org/drawingml/2006/main" r:id="rId14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p-500.jpg">
                      <a:hlinkClick r:id="rId145" tooltip="&quot;&quot;"/>
                    </pic:cNvPr>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78300" cy="3175000"/>
                    </a:xfrm>
                    <a:prstGeom prst="rect">
                      <a:avLst/>
                    </a:prstGeom>
                    <a:noFill/>
                    <a:ln>
                      <a:noFill/>
                    </a:ln>
                  </pic:spPr>
                </pic:pic>
              </a:graphicData>
            </a:graphic>
          </wp:inline>
        </w:drawing>
      </w:r>
    </w:p>
    <w:p w:rsidR="00CF408C" w:rsidRPr="006019A3" w:rsidRDefault="00CF408C" w:rsidP="00CF408C">
      <w:pPr>
        <w:shd w:val="clear" w:color="auto" w:fill="FFFFFF"/>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p>
    <w:p w:rsidR="00CF408C" w:rsidRPr="006019A3" w:rsidRDefault="00CF408C" w:rsidP="00CF408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19A3">
        <w:rPr>
          <w:rFonts w:ascii="Times New Roman" w:eastAsia="Times New Roman" w:hAnsi="Times New Roman" w:cs="Times New Roman"/>
          <w:bCs/>
          <w:sz w:val="24"/>
          <w:szCs w:val="24"/>
          <w:bdr w:val="none" w:sz="0" w:space="0" w:color="auto" w:frame="1"/>
          <w:lang w:eastAsia="es-ES"/>
        </w:rPr>
        <w:t>La OCDE sí que recoge con claridad el fenómeno de la estanflación</w:t>
      </w:r>
      <w:r w:rsidRPr="006019A3">
        <w:rPr>
          <w:rFonts w:ascii="Times New Roman" w:eastAsia="Times New Roman" w:hAnsi="Times New Roman" w:cs="Times New Roman"/>
          <w:sz w:val="24"/>
          <w:szCs w:val="24"/>
          <w:lang w:eastAsia="es-ES"/>
        </w:rPr>
        <w:t>, aunque aún no ha alertado sobre la situación en los mercados financieros. Mientras, el BCE anuncia que va a subir 0,25 puntos básicos los tipos de interés de referencia en la zona Euro en julio</w:t>
      </w:r>
      <w:r w:rsidR="000441B2" w:rsidRPr="006019A3">
        <w:rPr>
          <w:rFonts w:ascii="Times New Roman" w:eastAsia="Times New Roman" w:hAnsi="Times New Roman" w:cs="Times New Roman"/>
          <w:sz w:val="24"/>
          <w:szCs w:val="24"/>
          <w:lang w:eastAsia="es-ES"/>
        </w:rPr>
        <w:t xml:space="preserve"> (2022)</w:t>
      </w:r>
      <w:r w:rsidRPr="006019A3">
        <w:rPr>
          <w:rFonts w:ascii="Times New Roman" w:eastAsia="Times New Roman" w:hAnsi="Times New Roman" w:cs="Times New Roman"/>
          <w:sz w:val="24"/>
          <w:szCs w:val="24"/>
          <w:lang w:eastAsia="es-ES"/>
        </w:rPr>
        <w:t>, y el mal dato de inflación en Estados Unidos provoca una nueva estampida en los mercados de renta variable en búsqueda de activos refugio como el oro. Además, las </w:t>
      </w:r>
      <w:r w:rsidRPr="006019A3">
        <w:rPr>
          <w:rFonts w:ascii="Times New Roman" w:eastAsia="Times New Roman" w:hAnsi="Times New Roman" w:cs="Times New Roman"/>
          <w:bCs/>
          <w:sz w:val="24"/>
          <w:szCs w:val="24"/>
          <w:bdr w:val="none" w:sz="0" w:space="0" w:color="auto" w:frame="1"/>
          <w:lang w:eastAsia="es-ES"/>
        </w:rPr>
        <w:t>primas de riesgo en Europa están subiendo a un ritmo vertiginoso</w:t>
      </w:r>
      <w:r w:rsidRPr="006019A3">
        <w:rPr>
          <w:rFonts w:ascii="Times New Roman" w:eastAsia="Times New Roman" w:hAnsi="Times New Roman" w:cs="Times New Roman"/>
          <w:sz w:val="24"/>
          <w:szCs w:val="24"/>
          <w:lang w:eastAsia="es-ES"/>
        </w:rPr>
        <w:t> y términos como </w:t>
      </w:r>
      <w:r w:rsidR="000441B2" w:rsidRPr="006019A3">
        <w:rPr>
          <w:rFonts w:ascii="Times New Roman" w:eastAsia="Times New Roman" w:hAnsi="Times New Roman" w:cs="Times New Roman"/>
          <w:sz w:val="24"/>
          <w:szCs w:val="24"/>
          <w:lang w:eastAsia="es-ES"/>
        </w:rPr>
        <w:t>“</w:t>
      </w:r>
      <w:r w:rsidRPr="006019A3">
        <w:rPr>
          <w:rFonts w:ascii="Times New Roman" w:eastAsia="Times New Roman" w:hAnsi="Times New Roman" w:cs="Times New Roman"/>
          <w:iCs/>
          <w:sz w:val="24"/>
          <w:szCs w:val="24"/>
          <w:bdr w:val="none" w:sz="0" w:space="0" w:color="auto" w:frame="1"/>
          <w:lang w:eastAsia="es-ES"/>
        </w:rPr>
        <w:t>morosidad</w:t>
      </w:r>
      <w:r w:rsidR="000441B2" w:rsidRPr="006019A3">
        <w:rPr>
          <w:rFonts w:ascii="Times New Roman" w:eastAsia="Times New Roman" w:hAnsi="Times New Roman" w:cs="Times New Roman"/>
          <w:iCs/>
          <w:sz w:val="24"/>
          <w:szCs w:val="24"/>
          <w:bdr w:val="none" w:sz="0" w:space="0" w:color="auto" w:frame="1"/>
          <w:lang w:eastAsia="es-ES"/>
        </w:rPr>
        <w:t>”</w:t>
      </w:r>
      <w:r w:rsidRPr="006019A3">
        <w:rPr>
          <w:rFonts w:ascii="Times New Roman" w:eastAsia="Times New Roman" w:hAnsi="Times New Roman" w:cs="Times New Roman"/>
          <w:i/>
          <w:iCs/>
          <w:sz w:val="24"/>
          <w:szCs w:val="24"/>
          <w:bdr w:val="none" w:sz="0" w:space="0" w:color="auto" w:frame="1"/>
          <w:lang w:eastAsia="es-ES"/>
        </w:rPr>
        <w:t> </w:t>
      </w:r>
      <w:r w:rsidRPr="006019A3">
        <w:rPr>
          <w:rFonts w:ascii="Times New Roman" w:eastAsia="Times New Roman" w:hAnsi="Times New Roman" w:cs="Times New Roman"/>
          <w:sz w:val="24"/>
          <w:szCs w:val="24"/>
          <w:lang w:eastAsia="es-ES"/>
        </w:rPr>
        <w:t>son cada vez más usados en el argot bancario.</w:t>
      </w:r>
    </w:p>
    <w:p w:rsidR="00CF408C" w:rsidRPr="000830AB" w:rsidRDefault="00CF408C" w:rsidP="00CF408C">
      <w:pPr>
        <w:shd w:val="clear" w:color="auto" w:fill="FFFFFF"/>
        <w:spacing w:after="0" w:line="240" w:lineRule="auto"/>
        <w:jc w:val="both"/>
        <w:textAlignment w:val="baseline"/>
        <w:rPr>
          <w:rFonts w:ascii="Times New Roman" w:eastAsia="Times New Roman" w:hAnsi="Times New Roman" w:cs="Times New Roman"/>
          <w:color w:val="333333"/>
          <w:sz w:val="24"/>
          <w:szCs w:val="24"/>
          <w:lang w:eastAsia="es-ES"/>
        </w:rPr>
      </w:pPr>
    </w:p>
    <w:p w:rsidR="006019A3" w:rsidRPr="006019A3" w:rsidRDefault="00215613" w:rsidP="00215613">
      <w:pPr>
        <w:spacing w:after="360" w:line="240" w:lineRule="auto"/>
        <w:jc w:val="both"/>
        <w:rPr>
          <w:rFonts w:ascii="Times New Roman" w:eastAsia="Times New Roman" w:hAnsi="Times New Roman" w:cs="Times New Roman"/>
          <w:sz w:val="24"/>
          <w:szCs w:val="24"/>
          <w:lang w:eastAsia="es-ES"/>
        </w:rPr>
      </w:pPr>
      <w:r w:rsidRPr="006019A3">
        <w:rPr>
          <w:rFonts w:ascii="Times New Roman" w:eastAsia="Times New Roman" w:hAnsi="Times New Roman" w:cs="Times New Roman"/>
          <w:sz w:val="24"/>
          <w:szCs w:val="24"/>
          <w:lang w:eastAsia="es-ES"/>
        </w:rPr>
        <w:t xml:space="preserve">- </w:t>
      </w:r>
      <w:r w:rsidRPr="006019A3">
        <w:rPr>
          <w:rFonts w:ascii="Times New Roman" w:eastAsia="Times New Roman" w:hAnsi="Times New Roman" w:cs="Times New Roman"/>
          <w:sz w:val="24"/>
          <w:szCs w:val="24"/>
          <w:u w:val="single"/>
          <w:lang w:eastAsia="es-ES"/>
        </w:rPr>
        <w:t>Roubini alerta de que la eurozona entrará en recesión en pocas semanas tras una “recuperación anémica</w:t>
      </w:r>
      <w:r w:rsidRPr="006019A3">
        <w:rPr>
          <w:rFonts w:ascii="Times New Roman" w:eastAsia="Times New Roman" w:hAnsi="Times New Roman" w:cs="Times New Roman"/>
          <w:sz w:val="24"/>
          <w:szCs w:val="24"/>
          <w:lang w:eastAsia="es-ES"/>
        </w:rPr>
        <w:t xml:space="preserve">” (El Economista - </w:t>
      </w:r>
      <w:r w:rsidRPr="006019A3">
        <w:rPr>
          <w:rFonts w:ascii="Times New Roman" w:eastAsia="Times New Roman" w:hAnsi="Times New Roman" w:cs="Times New Roman"/>
          <w:b/>
          <w:sz w:val="24"/>
          <w:szCs w:val="24"/>
          <w:lang w:eastAsia="es-ES"/>
        </w:rPr>
        <w:t>18/6/22</w:t>
      </w:r>
      <w:r w:rsidRPr="006019A3">
        <w:rPr>
          <w:rFonts w:ascii="Times New Roman" w:eastAsia="Times New Roman" w:hAnsi="Times New Roman" w:cs="Times New Roman"/>
          <w:sz w:val="24"/>
          <w:szCs w:val="24"/>
          <w:lang w:eastAsia="es-ES"/>
        </w:rPr>
        <w:t>)</w:t>
      </w:r>
    </w:p>
    <w:p w:rsidR="00215613" w:rsidRPr="006019A3" w:rsidRDefault="00215613" w:rsidP="00215613">
      <w:pPr>
        <w:spacing w:after="360" w:line="240" w:lineRule="auto"/>
        <w:jc w:val="both"/>
        <w:rPr>
          <w:rFonts w:ascii="Times New Roman" w:eastAsia="Times New Roman" w:hAnsi="Times New Roman" w:cs="Times New Roman"/>
          <w:sz w:val="24"/>
          <w:szCs w:val="24"/>
          <w:lang w:eastAsia="es-ES"/>
        </w:rPr>
      </w:pPr>
      <w:r w:rsidRPr="006019A3">
        <w:rPr>
          <w:rFonts w:ascii="Times New Roman" w:eastAsia="Times New Roman" w:hAnsi="Times New Roman" w:cs="Times New Roman"/>
          <w:sz w:val="24"/>
          <w:szCs w:val="24"/>
          <w:lang w:eastAsia="es-ES"/>
        </w:rPr>
        <w:t>(Por Javier Collado)</w:t>
      </w:r>
    </w:p>
    <w:p w:rsidR="00215613" w:rsidRPr="006019A3" w:rsidRDefault="00215613" w:rsidP="00215613">
      <w:pPr>
        <w:spacing w:after="360" w:line="240" w:lineRule="auto"/>
        <w:jc w:val="both"/>
        <w:rPr>
          <w:rFonts w:ascii="Times New Roman" w:eastAsia="Times New Roman" w:hAnsi="Times New Roman" w:cs="Times New Roman"/>
          <w:sz w:val="24"/>
          <w:szCs w:val="24"/>
          <w:u w:val="single"/>
          <w:lang w:eastAsia="es-ES"/>
        </w:rPr>
      </w:pPr>
      <w:r w:rsidRPr="006019A3">
        <w:rPr>
          <w:rFonts w:ascii="Times New Roman" w:eastAsia="Times New Roman" w:hAnsi="Times New Roman" w:cs="Times New Roman"/>
          <w:sz w:val="24"/>
          <w:szCs w:val="24"/>
          <w:lang w:eastAsia="es-ES"/>
        </w:rPr>
        <w:t xml:space="preserve">Los gurús de la economía empiezan a señalar los riesgos de las nuevas medidas propuestas por el Banco Central Europeo. Es el caso </w:t>
      </w:r>
      <w:r w:rsidRPr="006019A3">
        <w:rPr>
          <w:rFonts w:ascii="Times New Roman" w:eastAsia="Times New Roman" w:hAnsi="Times New Roman" w:cs="Times New Roman"/>
          <w:sz w:val="24"/>
          <w:szCs w:val="24"/>
          <w:u w:val="single"/>
          <w:lang w:eastAsia="es-ES"/>
        </w:rPr>
        <w:t>de Nouriel Roubini, profesor de Finanzas de la Universidad de Nueva York, quien ha alertado este sábado de que, si bien la situación de la economía estadounidense no es favorable, la que atraviesa la eurozona es especialmente preocupante. Además, ha señalado el caso de Italia como el país que más puede sufrir durante los próximos meses.</w:t>
      </w:r>
    </w:p>
    <w:p w:rsidR="00215613" w:rsidRPr="006019A3" w:rsidRDefault="00215613" w:rsidP="00215613">
      <w:pPr>
        <w:spacing w:after="360" w:line="240" w:lineRule="auto"/>
        <w:jc w:val="both"/>
        <w:rPr>
          <w:rFonts w:ascii="Times New Roman" w:eastAsia="Times New Roman" w:hAnsi="Times New Roman" w:cs="Times New Roman"/>
          <w:sz w:val="24"/>
          <w:szCs w:val="24"/>
          <w:u w:val="single"/>
          <w:lang w:eastAsia="es-ES"/>
        </w:rPr>
      </w:pPr>
      <w:r w:rsidRPr="006019A3">
        <w:rPr>
          <w:rFonts w:ascii="Times New Roman" w:eastAsia="Times New Roman" w:hAnsi="Times New Roman" w:cs="Times New Roman"/>
          <w:sz w:val="24"/>
          <w:szCs w:val="24"/>
          <w:lang w:eastAsia="es-ES"/>
        </w:rPr>
        <w:t xml:space="preserve">En un artículo publicado en Financial Times, Roubini ha señalado que la zona euro se enfrenta a peligros que no se aprecian en el resto de economías mundiales. </w:t>
      </w:r>
      <w:r w:rsidRPr="006019A3">
        <w:rPr>
          <w:rFonts w:ascii="Times New Roman" w:eastAsia="Times New Roman" w:hAnsi="Times New Roman" w:cs="Times New Roman"/>
          <w:sz w:val="24"/>
          <w:szCs w:val="24"/>
          <w:u w:val="single"/>
          <w:lang w:eastAsia="es-ES"/>
        </w:rPr>
        <w:t>“La zona podría ir hacia una recesión incluso antes de que el BCE comience a subir los tipos”, apunta Roubini. De esta forma, el experto deja entrever que la posibilidad de recesión es inminente, puesto que el organismo dirigido por Christine Lagarde ya anunció hace unas semanas que iniciará las subidas en su reunión de julio.</w:t>
      </w:r>
    </w:p>
    <w:p w:rsidR="00215613" w:rsidRPr="006019A3" w:rsidRDefault="00215613" w:rsidP="00215613">
      <w:pPr>
        <w:spacing w:after="360" w:line="240" w:lineRule="auto"/>
        <w:jc w:val="both"/>
        <w:rPr>
          <w:rFonts w:ascii="Times New Roman" w:eastAsia="Times New Roman" w:hAnsi="Times New Roman" w:cs="Times New Roman"/>
          <w:sz w:val="24"/>
          <w:szCs w:val="24"/>
          <w:u w:val="single"/>
          <w:lang w:eastAsia="es-ES"/>
        </w:rPr>
      </w:pPr>
      <w:r w:rsidRPr="006019A3">
        <w:rPr>
          <w:rFonts w:ascii="Times New Roman" w:eastAsia="Times New Roman" w:hAnsi="Times New Roman" w:cs="Times New Roman"/>
          <w:sz w:val="24"/>
          <w:szCs w:val="24"/>
          <w:lang w:eastAsia="es-ES"/>
        </w:rPr>
        <w:t xml:space="preserve">El profesor emérito de la Stern School of Business indica las grandes diferencias entre el conjunto de economías de la moneda única y la de Estados Unidos. Por una parte, cita al shock de oferta, incluyendo el encarecimiento de la energía y las materias primas, que </w:t>
      </w:r>
      <w:r w:rsidRPr="006019A3">
        <w:rPr>
          <w:rFonts w:ascii="Times New Roman" w:eastAsia="Times New Roman" w:hAnsi="Times New Roman" w:cs="Times New Roman"/>
          <w:sz w:val="24"/>
          <w:szCs w:val="24"/>
          <w:lang w:eastAsia="es-ES"/>
        </w:rPr>
        <w:lastRenderedPageBreak/>
        <w:t xml:space="preserve">alimenta la inflación. </w:t>
      </w:r>
      <w:r w:rsidRPr="006019A3">
        <w:rPr>
          <w:rFonts w:ascii="Times New Roman" w:eastAsia="Times New Roman" w:hAnsi="Times New Roman" w:cs="Times New Roman"/>
          <w:sz w:val="24"/>
          <w:szCs w:val="24"/>
          <w:u w:val="single"/>
          <w:lang w:eastAsia="es-ES"/>
        </w:rPr>
        <w:t>Alude también a un crecimiento inferior en salarios y creación de empleo, a una “recuperación anémica” tras la pandemia, al debilitamiento del euro y a la mayor exposición a las exportaciones de China, que pueden vers</w:t>
      </w:r>
      <w:r w:rsidR="006144DC">
        <w:rPr>
          <w:rFonts w:ascii="Times New Roman" w:eastAsia="Times New Roman" w:hAnsi="Times New Roman" w:cs="Times New Roman"/>
          <w:sz w:val="24"/>
          <w:szCs w:val="24"/>
          <w:u w:val="single"/>
          <w:lang w:eastAsia="es-ES"/>
        </w:rPr>
        <w:t>e afectadas por la política de “cero Covid”</w:t>
      </w:r>
      <w:r w:rsidRPr="006019A3">
        <w:rPr>
          <w:rFonts w:ascii="Times New Roman" w:eastAsia="Times New Roman" w:hAnsi="Times New Roman" w:cs="Times New Roman"/>
          <w:sz w:val="24"/>
          <w:szCs w:val="24"/>
          <w:u w:val="single"/>
          <w:lang w:eastAsia="es-ES"/>
        </w:rPr>
        <w:t xml:space="preserve"> y seguir empujando los precios al alza.</w:t>
      </w:r>
    </w:p>
    <w:p w:rsidR="00215613" w:rsidRPr="006019A3" w:rsidRDefault="00215613" w:rsidP="00215613">
      <w:pPr>
        <w:spacing w:after="360" w:line="240" w:lineRule="auto"/>
        <w:jc w:val="both"/>
        <w:rPr>
          <w:rFonts w:ascii="Times New Roman" w:eastAsia="Times New Roman" w:hAnsi="Times New Roman" w:cs="Times New Roman"/>
          <w:sz w:val="24"/>
          <w:szCs w:val="24"/>
          <w:u w:val="single"/>
          <w:lang w:eastAsia="es-ES"/>
        </w:rPr>
      </w:pPr>
      <w:r w:rsidRPr="006019A3">
        <w:rPr>
          <w:rFonts w:ascii="Times New Roman" w:eastAsia="Times New Roman" w:hAnsi="Times New Roman" w:cs="Times New Roman"/>
          <w:sz w:val="24"/>
          <w:szCs w:val="24"/>
          <w:u w:val="single"/>
          <w:lang w:eastAsia="es-ES"/>
        </w:rPr>
        <w:t>“Un aterrizaje forzoso no solo exacerbaría esos problemas sino que intensificaría las preocupaciones del mercado sobre la sostenibilidad de la deuda o el riesgo de fragmentación. El círculo vicioso entre los gobiernos endeudados y los bancos que poseen esa deuda, una situación fijada en las cabezas de muchos por la crisis de la eurozona de hace una década, volvería a estar en el foco”, argumenta.</w:t>
      </w:r>
    </w:p>
    <w:p w:rsidR="00215613" w:rsidRPr="006019A3" w:rsidRDefault="00215613" w:rsidP="00215613">
      <w:pPr>
        <w:spacing w:after="360" w:line="240" w:lineRule="auto"/>
        <w:jc w:val="both"/>
        <w:rPr>
          <w:rFonts w:ascii="Times New Roman" w:eastAsia="Times New Roman" w:hAnsi="Times New Roman" w:cs="Times New Roman"/>
          <w:sz w:val="24"/>
          <w:szCs w:val="24"/>
          <w:u w:val="single"/>
          <w:lang w:eastAsia="es-ES"/>
        </w:rPr>
      </w:pPr>
      <w:r w:rsidRPr="006019A3">
        <w:rPr>
          <w:rFonts w:ascii="Times New Roman" w:eastAsia="Times New Roman" w:hAnsi="Times New Roman" w:cs="Times New Roman"/>
          <w:sz w:val="24"/>
          <w:szCs w:val="24"/>
          <w:lang w:eastAsia="es-ES"/>
        </w:rPr>
        <w:t xml:space="preserve">En este aspecto, sí cree que el mecanismo anunciado por el BCE es necesario porque las medidas de política monetaria afectarán de forma distinta a los 19 países de la zona euro, pero cree que es algo “más fácil de decir que de hacer”. </w:t>
      </w:r>
      <w:r w:rsidRPr="006019A3">
        <w:rPr>
          <w:rFonts w:ascii="Times New Roman" w:eastAsia="Times New Roman" w:hAnsi="Times New Roman" w:cs="Times New Roman"/>
          <w:sz w:val="24"/>
          <w:szCs w:val="24"/>
          <w:u w:val="single"/>
          <w:lang w:eastAsia="es-ES"/>
        </w:rPr>
        <w:t>Roubini recuerda que la adquisición ilimitada de bonos soberanos por parte del banco central está condicionada a una serie de medidas económicas que pongan en el buen rumbo las finanzas del país, lo que desincentiva a los países más perjudicados a que soliciten este rescate.</w:t>
      </w:r>
    </w:p>
    <w:p w:rsidR="00215613" w:rsidRPr="00040881" w:rsidRDefault="00215613" w:rsidP="00215613">
      <w:pPr>
        <w:spacing w:after="360" w:line="240" w:lineRule="auto"/>
        <w:jc w:val="both"/>
        <w:rPr>
          <w:rFonts w:ascii="Times New Roman" w:eastAsia="Times New Roman" w:hAnsi="Times New Roman" w:cs="Times New Roman"/>
          <w:color w:val="FF0000"/>
          <w:sz w:val="24"/>
          <w:szCs w:val="24"/>
          <w:u w:val="single"/>
          <w:lang w:eastAsia="es-ES"/>
        </w:rPr>
      </w:pPr>
      <w:r w:rsidRPr="00040881">
        <w:rPr>
          <w:rFonts w:ascii="Times New Roman" w:eastAsia="Times New Roman" w:hAnsi="Times New Roman" w:cs="Times New Roman"/>
          <w:color w:val="FF0000"/>
          <w:sz w:val="24"/>
          <w:szCs w:val="24"/>
          <w:u w:val="single"/>
          <w:lang w:eastAsia="es-ES"/>
        </w:rPr>
        <w:t>Roubini señala especialmente el caso de I</w:t>
      </w:r>
      <w:r>
        <w:rPr>
          <w:rFonts w:ascii="Times New Roman" w:eastAsia="Times New Roman" w:hAnsi="Times New Roman" w:cs="Times New Roman"/>
          <w:color w:val="FF0000"/>
          <w:sz w:val="24"/>
          <w:szCs w:val="24"/>
          <w:u w:val="single"/>
          <w:lang w:eastAsia="es-ES"/>
        </w:rPr>
        <w:t>talia, de quien dice que tiene “</w:t>
      </w:r>
      <w:r w:rsidRPr="00040881">
        <w:rPr>
          <w:rFonts w:ascii="Times New Roman" w:eastAsia="Times New Roman" w:hAnsi="Times New Roman" w:cs="Times New Roman"/>
          <w:color w:val="FF0000"/>
          <w:sz w:val="24"/>
          <w:szCs w:val="24"/>
          <w:u w:val="single"/>
          <w:lang w:eastAsia="es-ES"/>
        </w:rPr>
        <w:t>bajo potencial de crecimiento, un gran déficit fiscal y una enorme deuda pública, posiblemente insostenible, que h</w:t>
      </w:r>
      <w:r>
        <w:rPr>
          <w:rFonts w:ascii="Times New Roman" w:eastAsia="Times New Roman" w:hAnsi="Times New Roman" w:cs="Times New Roman"/>
          <w:color w:val="FF0000"/>
          <w:sz w:val="24"/>
          <w:szCs w:val="24"/>
          <w:u w:val="single"/>
          <w:lang w:eastAsia="es-ES"/>
        </w:rPr>
        <w:t>a aumentado durante la pandemia”</w:t>
      </w:r>
      <w:r w:rsidRPr="00040881">
        <w:rPr>
          <w:rFonts w:ascii="Times New Roman" w:eastAsia="Times New Roman" w:hAnsi="Times New Roman" w:cs="Times New Roman"/>
          <w:color w:val="FF0000"/>
          <w:sz w:val="24"/>
          <w:szCs w:val="24"/>
          <w:u w:val="single"/>
          <w:lang w:eastAsia="es-ES"/>
        </w:rPr>
        <w:t>, una deuda a la que le costará cada vez más poder pagar cuando el BCE empiece a subir los tipos de interés. Además, recuerda que habrá elecciones en el país en 2023 que pueden dar como resultado una coalición de derechas con partidos euroescépticos para quienes podrían</w:t>
      </w:r>
      <w:r>
        <w:rPr>
          <w:rFonts w:ascii="Times New Roman" w:eastAsia="Times New Roman" w:hAnsi="Times New Roman" w:cs="Times New Roman"/>
          <w:color w:val="FF0000"/>
          <w:sz w:val="24"/>
          <w:szCs w:val="24"/>
          <w:u w:val="single"/>
          <w:lang w:eastAsia="es-ES"/>
        </w:rPr>
        <w:t xml:space="preserve"> ser “inaceptables”</w:t>
      </w:r>
      <w:r w:rsidRPr="00040881">
        <w:rPr>
          <w:rFonts w:ascii="Times New Roman" w:eastAsia="Times New Roman" w:hAnsi="Times New Roman" w:cs="Times New Roman"/>
          <w:color w:val="FF0000"/>
          <w:sz w:val="24"/>
          <w:szCs w:val="24"/>
          <w:u w:val="single"/>
          <w:lang w:eastAsia="es-ES"/>
        </w:rPr>
        <w:t xml:space="preserve"> las condiciones que el banco central imponga de cara a la compra de deuda soberana italiana.</w:t>
      </w:r>
    </w:p>
    <w:p w:rsidR="00215613" w:rsidRPr="006019A3" w:rsidRDefault="00215613" w:rsidP="00215613">
      <w:pPr>
        <w:spacing w:after="360" w:line="240" w:lineRule="auto"/>
        <w:jc w:val="both"/>
        <w:rPr>
          <w:rFonts w:ascii="Times New Roman" w:eastAsia="Times New Roman" w:hAnsi="Times New Roman" w:cs="Times New Roman"/>
          <w:sz w:val="24"/>
          <w:szCs w:val="24"/>
          <w:lang w:eastAsia="es-ES"/>
        </w:rPr>
      </w:pPr>
      <w:r w:rsidRPr="006019A3">
        <w:rPr>
          <w:rFonts w:ascii="Times New Roman" w:eastAsia="Times New Roman" w:hAnsi="Times New Roman" w:cs="Times New Roman"/>
          <w:sz w:val="24"/>
          <w:szCs w:val="24"/>
          <w:lang w:eastAsia="es-ES"/>
        </w:rPr>
        <w:t>Cabe recordar que, en una reunión de urgencia convocada el miércoles, la entidad dirigida por Lagarde comunicó que flexibilizará la reinversión de la cartera de vencimientos del programa de compra de emergencia, de forma que se adquiera más deuda de aquellas economías más perjudicadas. Es la forma en la que el BCE ha intentado refrenar el miedo de los inversores hacia los países periféricos, donde la prima de riesgo se ha disparado en las últimas semanas ante el miedo a los efectos de una recesión. En la práctica, esto supondrá que el BCE dejará de comprar deuda de los países fuertes, como Alemania o Francia, para aumentar el apoyo a los que están en riesgo, como Italia, España, Grecia o Portugal.</w:t>
      </w:r>
    </w:p>
    <w:p w:rsidR="00215613" w:rsidRPr="006019A3" w:rsidRDefault="000441B2"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6019A3">
        <w:rPr>
          <w:rFonts w:ascii="Times New Roman" w:eastAsia="Times New Roman" w:hAnsi="Times New Roman" w:cs="Times New Roman"/>
          <w:sz w:val="24"/>
          <w:szCs w:val="24"/>
          <w:lang w:eastAsia="es-ES"/>
        </w:rPr>
        <w:t>L</w:t>
      </w:r>
      <w:r w:rsidR="00215613" w:rsidRPr="006019A3">
        <w:rPr>
          <w:rFonts w:ascii="Times New Roman" w:eastAsia="Times New Roman" w:hAnsi="Times New Roman" w:cs="Times New Roman"/>
          <w:sz w:val="24"/>
          <w:szCs w:val="24"/>
          <w:u w:val="single"/>
          <w:lang w:eastAsia="es-ES"/>
        </w:rPr>
        <w:t>as preocupantes señales que manda el “faro” alemán al resto de la eurozona</w:t>
      </w:r>
    </w:p>
    <w:p w:rsidR="000441B2" w:rsidRPr="006019A3" w:rsidRDefault="000441B2" w:rsidP="000441B2">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6019A3">
        <w:rPr>
          <w:rFonts w:ascii="Times New Roman" w:eastAsia="Times New Roman" w:hAnsi="Times New Roman" w:cs="Times New Roman"/>
          <w:sz w:val="24"/>
          <w:szCs w:val="24"/>
          <w:lang w:eastAsia="es-ES"/>
        </w:rPr>
        <w:t>“</w:t>
      </w:r>
      <w:r w:rsidR="00215613" w:rsidRPr="006019A3">
        <w:rPr>
          <w:rFonts w:ascii="Times New Roman" w:eastAsia="Times New Roman" w:hAnsi="Times New Roman" w:cs="Times New Roman"/>
          <w:sz w:val="24"/>
          <w:szCs w:val="24"/>
          <w:lang w:eastAsia="es-ES"/>
        </w:rPr>
        <w:t>Cuando Alemania se constipa, el resto de la eurozona estornuda. El dicho amenaza con volver a hacerse patente ante los obstáculos que se acumulan en el camino. Con una recuperación económica del covid más tibia de lo esperado, la “locomotora” europea se ha topado con vientos en contra como la guerra de Ucrania y sus efectos en los precios de las materias primas. El escenario ya contemplado de tener que volver al carbón y racionar el gas -nuevo “momento Lehman”- tras los cortes a conveniencia de Rusia amenaza con una recesión a la que los socios europeos de Berlín no van a poder ser ajenos</w:t>
      </w:r>
      <w:r w:rsidRPr="006019A3">
        <w:rPr>
          <w:rFonts w:ascii="Times New Roman" w:eastAsia="Times New Roman" w:hAnsi="Times New Roman" w:cs="Times New Roman"/>
          <w:sz w:val="24"/>
          <w:szCs w:val="24"/>
          <w:lang w:eastAsia="es-ES"/>
        </w:rPr>
        <w:t xml:space="preserve">”... (El Economista - </w:t>
      </w:r>
      <w:r w:rsidRPr="006019A3">
        <w:rPr>
          <w:rFonts w:ascii="Times New Roman" w:eastAsia="Times New Roman" w:hAnsi="Times New Roman" w:cs="Times New Roman"/>
          <w:b/>
          <w:sz w:val="24"/>
          <w:szCs w:val="24"/>
          <w:lang w:eastAsia="es-ES"/>
        </w:rPr>
        <w:t>24/6/22</w:t>
      </w:r>
      <w:r w:rsidRPr="006019A3">
        <w:rPr>
          <w:rFonts w:ascii="Times New Roman" w:eastAsia="Times New Roman" w:hAnsi="Times New Roman" w:cs="Times New Roman"/>
          <w:sz w:val="24"/>
          <w:szCs w:val="24"/>
          <w:lang w:eastAsia="es-ES"/>
        </w:rPr>
        <w:t>)</w:t>
      </w:r>
    </w:p>
    <w:p w:rsidR="00215613" w:rsidRPr="006019A3"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6019A3">
        <w:rPr>
          <w:rFonts w:ascii="Times New Roman" w:eastAsia="Times New Roman" w:hAnsi="Times New Roman" w:cs="Times New Roman"/>
          <w:sz w:val="24"/>
          <w:szCs w:val="24"/>
          <w:lang w:eastAsia="es-ES"/>
        </w:rPr>
        <w:t xml:space="preserve">El pasado 25 de mayo, la Oficina Federal de Estadística (Destatis) confirmaba las cifras de crecimiento económico adelantadas a finales de abril. El producto interior bruto (PIB) en el primer trimestre de 2022 creció un 0,2%. Se evitaba una contracción anticipada por no pocos </w:t>
      </w:r>
      <w:r w:rsidRPr="006019A3">
        <w:rPr>
          <w:rFonts w:ascii="Times New Roman" w:eastAsia="Times New Roman" w:hAnsi="Times New Roman" w:cs="Times New Roman"/>
          <w:sz w:val="24"/>
          <w:szCs w:val="24"/>
          <w:lang w:eastAsia="es-ES"/>
        </w:rPr>
        <w:lastRenderedPageBreak/>
        <w:t>analistas, pero quedaba de manifiesto que la economía alemana todavía estaba a un 0,9% de alcanzar los niveles previos a la irrupción del coronavirus con el escenario geopolítico europeo condenado a empeorar.</w:t>
      </w:r>
    </w:p>
    <w:p w:rsidR="00215613" w:rsidRPr="006019A3"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6019A3">
        <w:rPr>
          <w:rFonts w:ascii="Times New Roman" w:eastAsia="Times New Roman" w:hAnsi="Times New Roman" w:cs="Times New Roman"/>
          <w:sz w:val="24"/>
          <w:szCs w:val="24"/>
          <w:lang w:eastAsia="es-ES"/>
        </w:rPr>
        <w:t>Casi sin tiempo para digerir los agresivos cortes en el suministro de gas decretados por Moscú la semana pasada reduciendo en más de la mitad el flujo del gasoducto Nord Stream 1 -los futuros europeos del gas han pasado de los 80 euros el megavatio hora (MwH) a superar los 130 desde el 13 de junio hasta ahora-, las lecturas flash de los PMI de junio y el prestigioso índice Ifo de confianza empresarial en Alemania han arrojado esta semana otro contundente “jarro de agua fría”.</w:t>
      </w:r>
    </w:p>
    <w:p w:rsidR="00215613" w:rsidRPr="006019A3" w:rsidRDefault="00551B2C"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6019A3">
        <w:rPr>
          <w:rFonts w:ascii="Times New Roman" w:eastAsia="Times New Roman" w:hAnsi="Times New Roman" w:cs="Times New Roman"/>
          <w:sz w:val="24"/>
          <w:szCs w:val="24"/>
          <w:lang w:eastAsia="es-ES"/>
        </w:rPr>
        <w:t>Pocos después</w:t>
      </w:r>
      <w:r w:rsidR="00215613" w:rsidRPr="006019A3">
        <w:rPr>
          <w:rFonts w:ascii="Times New Roman" w:eastAsia="Times New Roman" w:hAnsi="Times New Roman" w:cs="Times New Roman"/>
          <w:sz w:val="24"/>
          <w:szCs w:val="24"/>
          <w:lang w:eastAsia="es-ES"/>
        </w:rPr>
        <w:t xml:space="preserve"> se </w:t>
      </w:r>
      <w:r w:rsidR="006019A3">
        <w:rPr>
          <w:rFonts w:ascii="Times New Roman" w:eastAsia="Times New Roman" w:hAnsi="Times New Roman" w:cs="Times New Roman"/>
          <w:sz w:val="24"/>
          <w:szCs w:val="24"/>
          <w:lang w:eastAsia="es-ES"/>
        </w:rPr>
        <w:t>conocía</w:t>
      </w:r>
      <w:r w:rsidR="00215613" w:rsidRPr="006019A3">
        <w:rPr>
          <w:rFonts w:ascii="Times New Roman" w:eastAsia="Times New Roman" w:hAnsi="Times New Roman" w:cs="Times New Roman"/>
          <w:sz w:val="24"/>
          <w:szCs w:val="24"/>
          <w:lang w:eastAsia="es-ES"/>
        </w:rPr>
        <w:t xml:space="preserve"> que los índices PMI de Francia y Alemania de junio caían mucho más de lo previsto. Estos indicadores, elaborados por S&amp;P Global, muestran el comportamiento de la actividad privada y son una de las referencias más seguidas por los analistas e inversores. En concreto, el PMI compuesto germano se queda en 51,3 puntos y el galo se sitúa en 52,8 puntos. Por tanto, los indicadores adelantados se acercan peligrosamente al nivel de contracción, que está por debajo de los 50 puntos básicos.</w:t>
      </w:r>
    </w:p>
    <w:p w:rsidR="00215613" w:rsidRPr="006019A3"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6019A3">
        <w:rPr>
          <w:rFonts w:ascii="Times New Roman" w:eastAsia="Times New Roman" w:hAnsi="Times New Roman" w:cs="Times New Roman"/>
          <w:sz w:val="24"/>
          <w:szCs w:val="24"/>
          <w:lang w:eastAsia="es-ES"/>
        </w:rPr>
        <w:t>Los índices PMI se han convertido en uno de los indicadores adelantados más fiables para detectar caídas súbitas del PIB, como sucedió con el impacto del covid, al tratarse de encuestas masivas a empresas de distintos sectores. Tanto es así que existe una fuerte correlación entre el PIB trimestral de una zona económica y el índice. El dato de junio en Alemania ya apunta a una contracción del PIB en el segundo trimestre.</w:t>
      </w:r>
    </w:p>
    <w:p w:rsidR="00215613" w:rsidRPr="007C7AA9" w:rsidRDefault="00215613" w:rsidP="00215613">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sidRPr="007C7AA9">
        <w:rPr>
          <w:rFonts w:ascii="Times New Roman" w:eastAsia="Times New Roman" w:hAnsi="Times New Roman" w:cs="Times New Roman"/>
          <w:noProof/>
          <w:color w:val="333333"/>
          <w:sz w:val="24"/>
          <w:szCs w:val="24"/>
          <w:lang w:val="en-GB" w:eastAsia="zh-CN"/>
        </w:rPr>
        <w:drawing>
          <wp:inline distT="0" distB="0" distL="0" distR="0">
            <wp:extent cx="5733438" cy="2787650"/>
            <wp:effectExtent l="0" t="0" r="63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2786712"/>
                    </a:xfrm>
                    <a:prstGeom prst="rect">
                      <a:avLst/>
                    </a:prstGeom>
                  </pic:spPr>
                </pic:pic>
              </a:graphicData>
            </a:graphic>
          </wp:inline>
        </w:drawing>
      </w:r>
    </w:p>
    <w:p w:rsidR="00215613" w:rsidRPr="00717E24"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El otro al</w:t>
      </w:r>
      <w:r w:rsidR="00551B2C" w:rsidRPr="00717E24">
        <w:rPr>
          <w:rFonts w:ascii="Times New Roman" w:eastAsia="Times New Roman" w:hAnsi="Times New Roman" w:cs="Times New Roman"/>
          <w:sz w:val="24"/>
          <w:szCs w:val="24"/>
          <w:lang w:eastAsia="es-ES"/>
        </w:rPr>
        <w:t>dabonazo llegaba un día después:</w:t>
      </w:r>
      <w:r w:rsidRPr="00717E24">
        <w:rPr>
          <w:rFonts w:ascii="Times New Roman" w:eastAsia="Times New Roman" w:hAnsi="Times New Roman" w:cs="Times New Roman"/>
          <w:sz w:val="24"/>
          <w:szCs w:val="24"/>
          <w:lang w:eastAsia="es-ES"/>
        </w:rPr>
        <w:t xml:space="preserve"> La confianza empresarial en Alemania empeora este mes. El índice elaborado por el Instituto de Investigación Económica alemán (Ifo) se ha situado en 92,3 en la lectura de junio, desde los 93 de mayo, cuando subió por segundo mes consecutivo. El dato es peor al esperado por los analistas, que anticiparon que el indicador Ifo se mantendría estable. “Continúa en zona de desaceleración”, apunta el Departamento de Análisis de Bankinter.</w:t>
      </w:r>
    </w:p>
    <w:p w:rsidR="00215613" w:rsidRPr="00717E24"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 xml:space="preserve">“Las expectativas eran significativamente más pesimistas”, señala el organismo germano, que explica que “el aumento de los precios de la energía y la amenaza de escasez de gas son las principales preocupaciones” de la mayor economía de la eurozona. “Las razones de este menor optimismo son claras: la guerra en Ucrania, los cierres en China y las consiguientes </w:t>
      </w:r>
      <w:r w:rsidRPr="00717E24">
        <w:rPr>
          <w:rFonts w:ascii="Times New Roman" w:eastAsia="Times New Roman" w:hAnsi="Times New Roman" w:cs="Times New Roman"/>
          <w:sz w:val="24"/>
          <w:szCs w:val="24"/>
          <w:lang w:eastAsia="es-ES"/>
        </w:rPr>
        <w:lastRenderedPageBreak/>
        <w:t>fricciones en la cadena de suministro, el aumento de los costes y los precios, y el debilitamiento de la demanda. En realidad, no es la primera vez que el sentimiento empresarial alemán parece haber tenido una reacción retardada a los acontecimientos mundiales”, destaca Carsten Brzeski, analista de ING Economics.</w:t>
      </w:r>
    </w:p>
    <w:p w:rsidR="00215613" w:rsidRPr="00717E24"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Todo este negativo carrusel se suma a unos datos de inflación más que elevados en un país como Alemania, tan receloso del repunte de los precios tras su experiencia posterior a la I Guerra Mundial con la República de Weimar, cuando compensaba forrar las paredes con marcos en vez de con papel pintado. La inflación en Alemania marcó nuevos récords el mes pasado. Según Destatis, el índice de precios al consumo (IPC) armonizado, referencia para el Banco Central Europeo (BCE), subió en mayo al 8,7% interanual, un nivel nunca visto, casi un punto porcentual superior al dato de abril. En cuanto al IPC “normal”, escaló al 7,9% interanual, una tasa de inflación que no se veía desde el invierno de 1973/1974, cuando los precios de los hidrocarburos también habían aumentado bruscamente como consecuencia de la primera crisis del petróleo.</w:t>
      </w:r>
    </w:p>
    <w:p w:rsidR="00215613" w:rsidRPr="00717E24"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“La tasa de inflación alcanzó un máximo histórico por tercer mes consecutivo desde la reunificación alemana”, resaltaba en la lectura Georg Thiel, presidente de Destatis. “La principal razón de la elevada inflación sigue siendo el aumento de los precios de los productos energéticos. Pero también se observa un aumento de los precios de muchos otros bienes, especialmente los alimentos”, añadía este experto.</w:t>
      </w:r>
    </w:p>
    <w:p w:rsidR="00215613" w:rsidRPr="007C7AA9" w:rsidRDefault="00215613" w:rsidP="00215613">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sidRPr="007C7AA9">
        <w:rPr>
          <w:rFonts w:ascii="Times New Roman" w:eastAsia="Times New Roman" w:hAnsi="Times New Roman" w:cs="Times New Roman"/>
          <w:noProof/>
          <w:color w:val="333333"/>
          <w:sz w:val="24"/>
          <w:szCs w:val="24"/>
          <w:lang w:val="en-GB" w:eastAsia="zh-CN"/>
        </w:rPr>
        <w:drawing>
          <wp:inline distT="0" distB="0" distL="0" distR="0">
            <wp:extent cx="5734031" cy="2603500"/>
            <wp:effectExtent l="0" t="0" r="635"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2602355"/>
                    </a:xfrm>
                    <a:prstGeom prst="rect">
                      <a:avLst/>
                    </a:prstGeom>
                  </pic:spPr>
                </pic:pic>
              </a:graphicData>
            </a:graphic>
          </wp:inline>
        </w:drawing>
      </w:r>
    </w:p>
    <w:p w:rsidR="00215613" w:rsidRPr="00717E24"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La inflación mayorista en Alemania también continúa marcando récords. El índice de precios al productor (IPP) aumentó en mayo un 33,6% en comparación con el mismo mes de 2021, según Destatis. La tasa interanual ha superado por una décima la estimación del consenso de analistas (que esperaba un IPP del 33,5%, estable respecto a abril) y es la más alta de la serie histórica.</w:t>
      </w:r>
    </w:p>
    <w:p w:rsidR="00215613" w:rsidRPr="00717E24"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“Ayer, el PMI alemán cayó por cuarto mes consecutivo, hasta el nivel más bajo desde la cuarta ola de la pandemia. Los detalles mostraron otra fuerte acumulación de inventarios y un enfriamiento en el sector de los servicios, una combinación que definitivamente no presagia nada bueno para la futura actividad económica”, se sincera Brzeski de ING. Según el experto, los factores de apoyo a la economía, como la reapertura de las tiendas y el llenado de las carteras de pedidos, han ido perdiendo impulso rápidamente.</w:t>
      </w:r>
    </w:p>
    <w:p w:rsidR="00215613" w:rsidRPr="00717E24"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lastRenderedPageBreak/>
        <w:t>“La elevada incertidumbre y el miedo pesarán tanto en la oferta como en la demanda en los próximos meses. La renta real disponible de los hogares se resentirá, y las empresas tendrán cada vez más dificultades para hacer frente a los costes de la subida de los precios de la energía y las materias primas, lo que presionará los márgenes de beneficio de las empresas. No es una historia feliz”, presagia.</w:t>
      </w:r>
    </w:p>
    <w:p w:rsidR="00215613" w:rsidRPr="00717E24"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“La economía alemana no se desplomará como lo hizo durante los cierres de 2020, pero la confianza de los consumidores ya está en territorio de clara recesión y la lectura del Ifo de hoy, sumada a los PMI, sugieren que el sector manufacturero está siguiendo rápidamente su ejemplo. La estanflación para el resto del año sigue siendo nuestro escenario base para la economía alemana, y una recesión total es nuestro escenario de riesgo”, concluye el analista.</w:t>
      </w:r>
    </w:p>
    <w:p w:rsidR="00215613" w:rsidRPr="00717E24"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Lo cierto es que el pasadizo es cada vez más estrecho. Una escalada en las sanciones occidentales o una ruptura total entre Berlín y Moscú podría provocar un shock global, advertía ya en abril Paul Gruenwald, economista jefe de S&amp;P Global, y una sangría en el PIB alemán, según los principales institutos económicos teutones.</w:t>
      </w:r>
    </w:p>
    <w:p w:rsidR="00215613" w:rsidRPr="00717E24"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Los cinco institutos más destacados recortaban ya entonces su previsión de crecimiento para 2022 de la mayor economía europea al 2,7% desde el 4,8% en un escenario base, y preveían un crecimiento para 2023 del 3,1%. Sin embargo, en caso de que llegue un corte repentino del suministro de energía ruso, la economía alemana crecería un 1,9% este año y se contraería un 2,2% en 2023. En plata: llegaría la recesión. La pérdida acumulada del PIB en 2022 y 2023 en caso de congelación del suministro será probablemente de unos 220.000 millones de euros, lo que equivale a más del 6,5% de la producción económica anual, según calculan estos institutos.</w:t>
      </w:r>
    </w:p>
    <w:p w:rsidR="00215613" w:rsidRPr="00717E24" w:rsidRDefault="004B5F6B" w:rsidP="00215613">
      <w:pPr>
        <w:spacing w:after="360" w:line="240" w:lineRule="auto"/>
        <w:jc w:val="both"/>
        <w:rPr>
          <w:rFonts w:ascii="Times New Roman" w:eastAsia="Times New Roman" w:hAnsi="Times New Roman" w:cs="Times New Roman"/>
          <w:b/>
          <w:sz w:val="24"/>
          <w:szCs w:val="24"/>
          <w:lang w:eastAsia="es-ES"/>
        </w:rPr>
      </w:pPr>
      <w:r w:rsidRPr="00717E24">
        <w:rPr>
          <w:rFonts w:ascii="Times New Roman" w:eastAsia="Times New Roman" w:hAnsi="Times New Roman" w:cs="Times New Roman"/>
          <w:b/>
          <w:sz w:val="24"/>
          <w:szCs w:val="24"/>
          <w:lang w:eastAsia="es-ES"/>
        </w:rPr>
        <w:t>Nota: ¿Qué significa “vivir por encima de las posibilidades”?</w:t>
      </w:r>
    </w:p>
    <w:p w:rsidR="004B5F6B" w:rsidRPr="00717E24" w:rsidRDefault="004B5F6B" w:rsidP="00215613">
      <w:pPr>
        <w:spacing w:after="360" w:line="240" w:lineRule="auto"/>
        <w:jc w:val="both"/>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Los ciudadanos europeos se han acostumbrado a consumir -por la vía del crédito- por encima de sus ingresos reales. El dinero plástico (tarjetas de crédito), el crédito bancario (hipotecas, crédito para el consumo) le han permiti</w:t>
      </w:r>
      <w:r w:rsidR="006144DC">
        <w:rPr>
          <w:rFonts w:ascii="Times New Roman" w:eastAsia="Times New Roman" w:hAnsi="Times New Roman" w:cs="Times New Roman"/>
          <w:sz w:val="24"/>
          <w:szCs w:val="24"/>
          <w:lang w:eastAsia="es-ES"/>
        </w:rPr>
        <w:t>do al ciudadano europeo vivir una</w:t>
      </w:r>
      <w:r w:rsidRPr="00717E24">
        <w:rPr>
          <w:rFonts w:ascii="Times New Roman" w:eastAsia="Times New Roman" w:hAnsi="Times New Roman" w:cs="Times New Roman"/>
          <w:sz w:val="24"/>
          <w:szCs w:val="24"/>
          <w:lang w:eastAsia="es-ES"/>
        </w:rPr>
        <w:t xml:space="preserve"> ilusión</w:t>
      </w:r>
      <w:r w:rsidR="006144DC">
        <w:rPr>
          <w:rFonts w:ascii="Times New Roman" w:eastAsia="Times New Roman" w:hAnsi="Times New Roman" w:cs="Times New Roman"/>
          <w:sz w:val="24"/>
          <w:szCs w:val="24"/>
          <w:lang w:eastAsia="es-ES"/>
        </w:rPr>
        <w:t xml:space="preserve"> de riqueza (</w:t>
      </w:r>
      <w:r w:rsidRPr="00717E24">
        <w:rPr>
          <w:rFonts w:ascii="Times New Roman" w:eastAsia="Times New Roman" w:hAnsi="Times New Roman" w:cs="Times New Roman"/>
          <w:sz w:val="24"/>
          <w:szCs w:val="24"/>
          <w:lang w:eastAsia="es-ES"/>
        </w:rPr>
        <w:t>nivel de consumo superior a su renta</w:t>
      </w:r>
      <w:r w:rsidR="006144DC">
        <w:rPr>
          <w:rFonts w:ascii="Times New Roman" w:eastAsia="Times New Roman" w:hAnsi="Times New Roman" w:cs="Times New Roman"/>
          <w:sz w:val="24"/>
          <w:szCs w:val="24"/>
          <w:lang w:eastAsia="es-ES"/>
        </w:rPr>
        <w:t>)</w:t>
      </w:r>
      <w:r w:rsidRPr="00717E24">
        <w:rPr>
          <w:rFonts w:ascii="Times New Roman" w:eastAsia="Times New Roman" w:hAnsi="Times New Roman" w:cs="Times New Roman"/>
          <w:sz w:val="24"/>
          <w:szCs w:val="24"/>
          <w:lang w:eastAsia="es-ES"/>
        </w:rPr>
        <w:t xml:space="preserve">. </w:t>
      </w:r>
      <w:r w:rsidR="007E5B48" w:rsidRPr="00717E24">
        <w:rPr>
          <w:rFonts w:ascii="Times New Roman" w:eastAsia="Times New Roman" w:hAnsi="Times New Roman" w:cs="Times New Roman"/>
          <w:sz w:val="24"/>
          <w:szCs w:val="24"/>
          <w:lang w:eastAsia="es-ES"/>
        </w:rPr>
        <w:t>Los créditos no se pagan, se renuevan. El crédito “revolving” (20/25% TAE) termina siendo la droga dura, para los yonquis del consumo.</w:t>
      </w:r>
    </w:p>
    <w:p w:rsidR="004B5F6B" w:rsidRPr="00717E24" w:rsidRDefault="004B5F6B" w:rsidP="00215613">
      <w:pPr>
        <w:spacing w:after="360" w:line="240" w:lineRule="auto"/>
        <w:jc w:val="both"/>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Las entidades financieras se lucraron con</w:t>
      </w:r>
      <w:r w:rsidR="00B809C3" w:rsidRPr="00717E24">
        <w:rPr>
          <w:rFonts w:ascii="Times New Roman" w:eastAsia="Times New Roman" w:hAnsi="Times New Roman" w:cs="Times New Roman"/>
          <w:sz w:val="24"/>
          <w:szCs w:val="24"/>
          <w:lang w:eastAsia="es-ES"/>
        </w:rPr>
        <w:t xml:space="preserve"> esa fórmulad</w:t>
      </w:r>
      <w:r w:rsidRPr="00717E24">
        <w:rPr>
          <w:rFonts w:ascii="Times New Roman" w:eastAsia="Times New Roman" w:hAnsi="Times New Roman" w:cs="Times New Roman"/>
          <w:sz w:val="24"/>
          <w:szCs w:val="24"/>
          <w:lang w:eastAsia="es-ES"/>
        </w:rPr>
        <w:t>el crédito fácil, y los políticos no quisieron arruinar la fiesta. Al contrario</w:t>
      </w:r>
      <w:r w:rsidR="007E5B48" w:rsidRPr="00717E24">
        <w:rPr>
          <w:rFonts w:ascii="Times New Roman" w:eastAsia="Times New Roman" w:hAnsi="Times New Roman" w:cs="Times New Roman"/>
          <w:sz w:val="24"/>
          <w:szCs w:val="24"/>
          <w:lang w:eastAsia="es-ES"/>
        </w:rPr>
        <w:t>,</w:t>
      </w:r>
      <w:r w:rsidRPr="00717E24">
        <w:rPr>
          <w:rFonts w:ascii="Times New Roman" w:eastAsia="Times New Roman" w:hAnsi="Times New Roman" w:cs="Times New Roman"/>
          <w:sz w:val="24"/>
          <w:szCs w:val="24"/>
          <w:lang w:eastAsia="es-ES"/>
        </w:rPr>
        <w:t xml:space="preserve"> se unieron a ella, aprovechando la ilusión de riqueza de la población, en beneficio propio (</w:t>
      </w:r>
      <w:r w:rsidR="00B809C3" w:rsidRPr="00717E24">
        <w:rPr>
          <w:rFonts w:ascii="Times New Roman" w:eastAsia="Times New Roman" w:hAnsi="Times New Roman" w:cs="Times New Roman"/>
          <w:sz w:val="24"/>
          <w:szCs w:val="24"/>
          <w:lang w:eastAsia="es-ES"/>
        </w:rPr>
        <w:t xml:space="preserve">para </w:t>
      </w:r>
      <w:r w:rsidRPr="00717E24">
        <w:rPr>
          <w:rFonts w:ascii="Times New Roman" w:eastAsia="Times New Roman" w:hAnsi="Times New Roman" w:cs="Times New Roman"/>
          <w:sz w:val="24"/>
          <w:szCs w:val="24"/>
          <w:lang w:eastAsia="es-ES"/>
        </w:rPr>
        <w:t>mejora</w:t>
      </w:r>
      <w:r w:rsidR="00B809C3" w:rsidRPr="00717E24">
        <w:rPr>
          <w:rFonts w:ascii="Times New Roman" w:eastAsia="Times New Roman" w:hAnsi="Times New Roman" w:cs="Times New Roman"/>
          <w:sz w:val="24"/>
          <w:szCs w:val="24"/>
          <w:lang w:eastAsia="es-ES"/>
        </w:rPr>
        <w:t>r sus</w:t>
      </w:r>
      <w:r w:rsidRPr="00717E24">
        <w:rPr>
          <w:rFonts w:ascii="Times New Roman" w:eastAsia="Times New Roman" w:hAnsi="Times New Roman" w:cs="Times New Roman"/>
          <w:sz w:val="24"/>
          <w:szCs w:val="24"/>
          <w:lang w:eastAsia="es-ES"/>
        </w:rPr>
        <w:t xml:space="preserve"> expectativas electorales).</w:t>
      </w:r>
    </w:p>
    <w:p w:rsidR="004B5F6B" w:rsidRPr="00717E24" w:rsidRDefault="004B5F6B" w:rsidP="00215613">
      <w:pPr>
        <w:spacing w:after="360" w:line="240" w:lineRule="auto"/>
        <w:jc w:val="both"/>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Cuando vinieron mal dadas (crisis de las hipotecas subprime en el año 2008, y cris</w:t>
      </w:r>
      <w:r w:rsidR="007E5B48" w:rsidRPr="00717E24">
        <w:rPr>
          <w:rFonts w:ascii="Times New Roman" w:eastAsia="Times New Roman" w:hAnsi="Times New Roman" w:cs="Times New Roman"/>
          <w:sz w:val="24"/>
          <w:szCs w:val="24"/>
          <w:lang w:eastAsia="es-ES"/>
        </w:rPr>
        <w:t>is sanitaria en el año 2020), los bancos</w:t>
      </w:r>
      <w:r w:rsidRPr="00717E24">
        <w:rPr>
          <w:rFonts w:ascii="Times New Roman" w:eastAsia="Times New Roman" w:hAnsi="Times New Roman" w:cs="Times New Roman"/>
          <w:sz w:val="24"/>
          <w:szCs w:val="24"/>
          <w:lang w:eastAsia="es-ES"/>
        </w:rPr>
        <w:t xml:space="preserve"> y las grandes empresas recurrieron al sector público (gobierno) para que los rescatara (por riesgo sistémico), los agentes bursátiles</w:t>
      </w:r>
      <w:r w:rsidR="00FE6010" w:rsidRPr="00717E24">
        <w:rPr>
          <w:rFonts w:ascii="Times New Roman" w:eastAsia="Times New Roman" w:hAnsi="Times New Roman" w:cs="Times New Roman"/>
          <w:sz w:val="24"/>
          <w:szCs w:val="24"/>
          <w:lang w:eastAsia="es-ES"/>
        </w:rPr>
        <w:t xml:space="preserve"> también</w:t>
      </w:r>
      <w:r w:rsidRPr="00717E24">
        <w:rPr>
          <w:rFonts w:ascii="Times New Roman" w:eastAsia="Times New Roman" w:hAnsi="Times New Roman" w:cs="Times New Roman"/>
          <w:sz w:val="24"/>
          <w:szCs w:val="24"/>
          <w:lang w:eastAsia="es-ES"/>
        </w:rPr>
        <w:t xml:space="preserve"> pidieron lo suyo (por la </w:t>
      </w:r>
      <w:r w:rsidR="00FE6010" w:rsidRPr="00717E24">
        <w:rPr>
          <w:rFonts w:ascii="Times New Roman" w:eastAsia="Times New Roman" w:hAnsi="Times New Roman" w:cs="Times New Roman"/>
          <w:sz w:val="24"/>
          <w:szCs w:val="24"/>
          <w:lang w:eastAsia="es-ES"/>
        </w:rPr>
        <w:t>sacrosanta paz de los mercad</w:t>
      </w:r>
      <w:r w:rsidR="00B809C3" w:rsidRPr="00717E24">
        <w:rPr>
          <w:rFonts w:ascii="Times New Roman" w:eastAsia="Times New Roman" w:hAnsi="Times New Roman" w:cs="Times New Roman"/>
          <w:sz w:val="24"/>
          <w:szCs w:val="24"/>
          <w:lang w:eastAsia="es-ES"/>
        </w:rPr>
        <w:t>os), y los gobiernos aceptaron</w:t>
      </w:r>
      <w:r w:rsidR="00FE6010" w:rsidRPr="00717E24">
        <w:rPr>
          <w:rFonts w:ascii="Times New Roman" w:eastAsia="Times New Roman" w:hAnsi="Times New Roman" w:cs="Times New Roman"/>
          <w:sz w:val="24"/>
          <w:szCs w:val="24"/>
          <w:lang w:eastAsia="es-ES"/>
        </w:rPr>
        <w:t xml:space="preserve"> “socializar las pérdidas”.  </w:t>
      </w:r>
    </w:p>
    <w:p w:rsidR="00551B2C" w:rsidRPr="00717E24" w:rsidRDefault="00FE6010" w:rsidP="00A87879">
      <w:pPr>
        <w:spacing w:after="360" w:line="240" w:lineRule="auto"/>
        <w:jc w:val="both"/>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Más pronto que tarde, los políticos descubrieron los beneficios electorales del “pobrismo” (</w:t>
      </w:r>
      <w:r w:rsidR="00A87879" w:rsidRPr="00717E24">
        <w:rPr>
          <w:rFonts w:ascii="Times New Roman" w:eastAsia="Times New Roman" w:hAnsi="Times New Roman" w:cs="Times New Roman"/>
          <w:sz w:val="24"/>
          <w:szCs w:val="24"/>
          <w:lang w:eastAsia="es-ES"/>
        </w:rPr>
        <w:t xml:space="preserve">una </w:t>
      </w:r>
      <w:r w:rsidRPr="00717E24">
        <w:rPr>
          <w:rFonts w:ascii="Times New Roman" w:eastAsia="Times New Roman" w:hAnsi="Times New Roman" w:cs="Times New Roman"/>
          <w:sz w:val="24"/>
          <w:szCs w:val="24"/>
          <w:lang w:eastAsia="es-ES"/>
        </w:rPr>
        <w:t>parte de la población comiendo de la mano del gobierno), para lo cual tiraron del presupuesto (aumentandoel déficit y la deuda pública) para mantener</w:t>
      </w:r>
      <w:r w:rsidR="006144DC">
        <w:rPr>
          <w:rFonts w:ascii="Times New Roman" w:eastAsia="Times New Roman" w:hAnsi="Times New Roman" w:cs="Times New Roman"/>
          <w:sz w:val="24"/>
          <w:szCs w:val="24"/>
          <w:lang w:eastAsia="es-ES"/>
        </w:rPr>
        <w:t xml:space="preserve"> tranquilo al</w:t>
      </w:r>
      <w:r w:rsidR="00A87879" w:rsidRPr="00717E24">
        <w:rPr>
          <w:rFonts w:ascii="Times New Roman" w:eastAsia="Times New Roman" w:hAnsi="Times New Roman" w:cs="Times New Roman"/>
          <w:sz w:val="24"/>
          <w:szCs w:val="24"/>
          <w:lang w:eastAsia="es-ES"/>
        </w:rPr>
        <w:t xml:space="preserve"> pesebre.</w:t>
      </w:r>
    </w:p>
    <w:p w:rsidR="00B809C3" w:rsidRPr="00717E24" w:rsidRDefault="00B809C3" w:rsidP="00A87879">
      <w:pPr>
        <w:spacing w:after="360" w:line="240" w:lineRule="auto"/>
        <w:jc w:val="both"/>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Todos han sido “cómplices” del festival de deuda, para mantener la ficción de riqueza. O sea.</w:t>
      </w:r>
    </w:p>
    <w:p w:rsidR="00C96793" w:rsidRDefault="00C96793" w:rsidP="00C96793">
      <w:pPr>
        <w:pStyle w:val="NormalWeb"/>
        <w:shd w:val="clear" w:color="auto" w:fill="FFFFFF"/>
        <w:jc w:val="both"/>
        <w:rPr>
          <w:b/>
        </w:rPr>
      </w:pPr>
      <w:r>
        <w:rPr>
          <w:b/>
        </w:rPr>
        <w:lastRenderedPageBreak/>
        <w:t xml:space="preserve">Represión financiera (socialización de las pérdidas - castigo al ahorro) </w:t>
      </w:r>
    </w:p>
    <w:p w:rsidR="00C96793" w:rsidRDefault="00C96793" w:rsidP="00C96793">
      <w:pPr>
        <w:pStyle w:val="NormalWeb"/>
        <w:shd w:val="clear" w:color="auto" w:fill="FFFFFF"/>
        <w:jc w:val="both"/>
        <w:rPr>
          <w:color w:val="000000"/>
        </w:rPr>
      </w:pPr>
      <w:r>
        <w:rPr>
          <w:noProof/>
          <w:color w:val="000000"/>
          <w:lang w:val="en-GB" w:eastAsia="zh-CN"/>
        </w:rPr>
        <w:drawing>
          <wp:inline distT="0" distB="0" distL="0" distR="0">
            <wp:extent cx="5403850" cy="3600450"/>
            <wp:effectExtent l="0" t="0" r="635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0"/>
                    <pic:cNvPicPr>
                      <a:picLocks noChangeAspect="1" noChangeArrowheads="1"/>
                    </pic:cNvPicPr>
                  </pic:nvPicPr>
                  <pic:blipFill>
                    <a:blip r:embed="rId1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3850" cy="3600450"/>
                    </a:xfrm>
                    <a:prstGeom prst="rect">
                      <a:avLst/>
                    </a:prstGeom>
                    <a:noFill/>
                    <a:ln>
                      <a:noFill/>
                    </a:ln>
                  </pic:spPr>
                </pic:pic>
              </a:graphicData>
            </a:graphic>
          </wp:inline>
        </w:drawing>
      </w:r>
      <w:r>
        <w:rPr>
          <w:color w:val="000000"/>
        </w:rPr>
        <w:t> </w:t>
      </w:r>
    </w:p>
    <w:p w:rsidR="00551B2C" w:rsidRDefault="00551B2C" w:rsidP="00C96793">
      <w:pPr>
        <w:pStyle w:val="NormalWeb"/>
        <w:shd w:val="clear" w:color="auto" w:fill="FFFFFF"/>
        <w:jc w:val="both"/>
        <w:rPr>
          <w:color w:val="000000"/>
        </w:rPr>
      </w:pPr>
    </w:p>
    <w:p w:rsidR="00C96793" w:rsidRDefault="00C96793" w:rsidP="00C96793">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zh-CN"/>
        </w:rPr>
        <w:drawing>
          <wp:inline distT="0" distB="0" distL="0" distR="0">
            <wp:extent cx="2717800" cy="3695700"/>
            <wp:effectExtent l="0" t="0" r="635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1"/>
                    <pic:cNvPicPr>
                      <a:picLocks noChangeAspect="1" noChangeArrowheads="1"/>
                    </pic:cNvPicPr>
                  </pic:nvPicPr>
                  <pic:blipFill>
                    <a:blip r:embed="rId1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7800" cy="3695700"/>
                    </a:xfrm>
                    <a:prstGeom prst="rect">
                      <a:avLst/>
                    </a:prstGeom>
                    <a:noFill/>
                    <a:ln>
                      <a:noFill/>
                    </a:ln>
                  </pic:spPr>
                </pic:pic>
              </a:graphicData>
            </a:graphic>
          </wp:inline>
        </w:drawing>
      </w:r>
      <w:r>
        <w:rPr>
          <w:rFonts w:ascii="Times New Roman" w:hAnsi="Times New Roman" w:cs="Times New Roman"/>
          <w:noProof/>
          <w:sz w:val="24"/>
          <w:szCs w:val="24"/>
          <w:lang w:val="en-GB" w:eastAsia="zh-CN"/>
        </w:rPr>
        <w:drawing>
          <wp:inline distT="0" distB="0" distL="0" distR="0">
            <wp:extent cx="2762250" cy="358140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2"/>
                    <pic:cNvPicPr>
                      <a:picLocks noChangeAspect="1" noChangeArrowheads="1"/>
                    </pic:cNvPicPr>
                  </pic:nvPicPr>
                  <pic:blipFill>
                    <a:blip r:embed="rId1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3581400"/>
                    </a:xfrm>
                    <a:prstGeom prst="rect">
                      <a:avLst/>
                    </a:prstGeom>
                    <a:noFill/>
                    <a:ln>
                      <a:noFill/>
                    </a:ln>
                  </pic:spPr>
                </pic:pic>
              </a:graphicData>
            </a:graphic>
          </wp:inline>
        </w:drawing>
      </w:r>
    </w:p>
    <w:p w:rsidR="00C96793" w:rsidRDefault="00C96793" w:rsidP="00C96793">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zh-CN"/>
        </w:rPr>
        <w:lastRenderedPageBreak/>
        <w:drawing>
          <wp:inline distT="0" distB="0" distL="0" distR="0">
            <wp:extent cx="5581650" cy="302895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3"/>
                    <pic:cNvPicPr>
                      <a:picLocks noChangeAspect="1" noChangeArrowheads="1"/>
                    </pic:cNvPicPr>
                  </pic:nvPicPr>
                  <pic:blipFill>
                    <a:blip r:embed="rId1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81650" cy="3028950"/>
                    </a:xfrm>
                    <a:prstGeom prst="rect">
                      <a:avLst/>
                    </a:prstGeom>
                    <a:noFill/>
                    <a:ln>
                      <a:noFill/>
                    </a:ln>
                  </pic:spPr>
                </pic:pic>
              </a:graphicData>
            </a:graphic>
          </wp:inline>
        </w:drawing>
      </w:r>
    </w:p>
    <w:p w:rsidR="00C96793" w:rsidRDefault="00551B2C" w:rsidP="00C96793">
      <w:pPr>
        <w:pStyle w:val="NormalWeb"/>
        <w:shd w:val="clear" w:color="auto" w:fill="FFFFFF"/>
        <w:jc w:val="both"/>
        <w:rPr>
          <w:color w:val="000000"/>
        </w:rPr>
      </w:pPr>
      <w:r>
        <w:rPr>
          <w:color w:val="000000"/>
        </w:rPr>
        <w:t>(</w:t>
      </w:r>
      <w:r w:rsidR="00C96793">
        <w:rPr>
          <w:color w:val="000000"/>
        </w:rPr>
        <w:t xml:space="preserve">Fuente: La política monetaria ante la crisis: análisis y comparación de las medidas adoptadas por el Banco Central Europeo y la Reserva Federal - Álvaro Barba Sáez - Universidad Politécnica de Valencia - España - </w:t>
      </w:r>
      <w:r w:rsidR="00C96793">
        <w:rPr>
          <w:b/>
          <w:color w:val="000000"/>
        </w:rPr>
        <w:t>Septiembre 2017</w:t>
      </w:r>
      <w:r w:rsidR="00C96793">
        <w:rPr>
          <w:color w:val="000000"/>
        </w:rPr>
        <w:t>)</w:t>
      </w:r>
    </w:p>
    <w:p w:rsidR="00C96793" w:rsidRDefault="00C96793" w:rsidP="00C96793">
      <w:pPr>
        <w:pStyle w:val="NormalWeb"/>
        <w:shd w:val="clear" w:color="auto" w:fill="FFFFFF"/>
        <w:jc w:val="both"/>
      </w:pPr>
      <w:r>
        <w:rPr>
          <w:noProof/>
          <w:color w:val="000000"/>
          <w:lang w:val="en-GB" w:eastAsia="zh-CN"/>
        </w:rPr>
        <w:drawing>
          <wp:inline distT="0" distB="0" distL="0" distR="0">
            <wp:extent cx="5657850" cy="4584700"/>
            <wp:effectExtent l="0" t="0" r="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4"/>
                    <pic:cNvPicPr>
                      <a:picLocks noChangeAspect="1" noChangeArrowheads="1"/>
                    </pic:cNvPicPr>
                  </pic:nvPicPr>
                  <pic:blipFill>
                    <a:blip r:embed="rId1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57850" cy="4584700"/>
                    </a:xfrm>
                    <a:prstGeom prst="rect">
                      <a:avLst/>
                    </a:prstGeom>
                    <a:noFill/>
                    <a:ln>
                      <a:noFill/>
                    </a:ln>
                  </pic:spPr>
                </pic:pic>
              </a:graphicData>
            </a:graphic>
          </wp:inline>
        </w:drawing>
      </w:r>
      <w:r w:rsidR="00551B2C">
        <w:t>(</w:t>
      </w:r>
      <w:r>
        <w:t xml:space="preserve">Fuente: La política monetaria durante la “Gran Recesión” (Fructuoso Borrallo Egea - Tesis Doctoral 2016 - Universidad de Sevilla - </w:t>
      </w:r>
      <w:r>
        <w:rPr>
          <w:b/>
        </w:rPr>
        <w:t>Septiembre 2016</w:t>
      </w:r>
      <w:r>
        <w:t>)</w:t>
      </w:r>
    </w:p>
    <w:p w:rsidR="00C96793" w:rsidRDefault="00C96793" w:rsidP="00C96793">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La agonía de los depósitos y la máquina de fabricar dinero </w:t>
      </w:r>
    </w:p>
    <w:p w:rsidR="00C96793" w:rsidRDefault="00C96793" w:rsidP="00C96793">
      <w:pPr>
        <w:spacing w:line="240" w:lineRule="auto"/>
        <w:jc w:val="both"/>
        <w:rPr>
          <w:rFonts w:ascii="Times New Roman" w:hAnsi="Times New Roman" w:cs="Times New Roman"/>
          <w:sz w:val="24"/>
          <w:szCs w:val="24"/>
        </w:rPr>
      </w:pPr>
      <w:r>
        <w:rPr>
          <w:rFonts w:ascii="Times New Roman" w:hAnsi="Times New Roman" w:cs="Times New Roman"/>
          <w:sz w:val="24"/>
          <w:szCs w:val="24"/>
        </w:rPr>
        <w:t>El interés ofrecido por el sector financiero inició una cuesta abajo que se fue agudizando con los tipos de interés negativos aplicados por el BCE (11 de junio de 2014) y los programas de compras de activos, que han inundado el sistema de una liquidez que tiene un coste para la banca (un -0,5% de la facilidad de depósito) si no logra rentabilizarla con su negocio. La crisis del covid-19 y las necesarias medidas adoptadas por el BCE (más compra de activos, tipos bajos por más tiempo, inyecciones de liquidez...) podrían complicar aún más la capacidad de la banca para rentabilizar este tipo de productos y prolongar esta situación. De la guerra por captar depósitos, la banca casi se ha pasado a lo contrario. Las consecuencias han sido evidentes: los hogares y empresas han huido de un producto financiero que ofrece un 0,01% de media en los depósitos a un año y un 0,3% en los depósitos de más de dos años.</w:t>
      </w:r>
    </w:p>
    <w:p w:rsidR="00C96793" w:rsidRDefault="00C96793" w:rsidP="00C96793">
      <w:pPr>
        <w:spacing w:line="240" w:lineRule="auto"/>
        <w:jc w:val="both"/>
        <w:rPr>
          <w:rFonts w:ascii="Times New Roman" w:hAnsi="Times New Roman" w:cs="Times New Roman"/>
          <w:sz w:val="24"/>
          <w:szCs w:val="24"/>
        </w:rPr>
      </w:pPr>
      <w:r>
        <w:rPr>
          <w:rFonts w:ascii="Times New Roman" w:hAnsi="Times New Roman" w:cs="Times New Roman"/>
          <w:sz w:val="24"/>
          <w:szCs w:val="24"/>
        </w:rPr>
        <w:t>Ahora, la crisis del Covid-19 ha llevado al Banco Central Europeo a dar una vuelta de tuerca más a sus políticas monetarias expansivas, que están obligando a la banca a ofrecer cada vez menos por sus pasivos (chocando contra el límite inferior o zero lower bound) en un intento por seguir siendo rentables. Con rentabilidades irrisoriasen un depósito con condiciones de permanencia pierde atractivo.</w:t>
      </w:r>
    </w:p>
    <w:p w:rsidR="00C96793" w:rsidRDefault="00C96793" w:rsidP="00C96793">
      <w:pPr>
        <w:spacing w:line="240" w:lineRule="auto"/>
        <w:jc w:val="both"/>
        <w:rPr>
          <w:rFonts w:ascii="Times New Roman" w:hAnsi="Times New Roman" w:cs="Times New Roman"/>
          <w:color w:val="FF0000"/>
          <w:sz w:val="24"/>
          <w:szCs w:val="24"/>
        </w:rPr>
      </w:pPr>
      <w:r>
        <w:rPr>
          <w:noProof/>
          <w:lang w:val="en-GB" w:eastAsia="zh-CN"/>
        </w:rPr>
        <w:drawing>
          <wp:inline distT="0" distB="0" distL="0" distR="0">
            <wp:extent cx="5734050" cy="1898650"/>
            <wp:effectExtent l="0" t="0" r="0" b="6350"/>
            <wp:docPr id="69" name="Imagen 69" descr="https://s03.s3c.es/imag/_v0/770x508/a/7/5/tipo-interes-medio-deposi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5" descr="https://s03.s3c.es/imag/_v0/770x508/a/7/5/tipo-interes-medio-deposito.jpg"/>
                    <pic:cNvPicPr>
                      <a:picLocks noChangeAspect="1" noChangeArrowheads="1"/>
                    </pic:cNvPicPr>
                  </pic:nvPicPr>
                  <pic:blipFill>
                    <a:blip r:embed="rId1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1898650"/>
                    </a:xfrm>
                    <a:prstGeom prst="rect">
                      <a:avLst/>
                    </a:prstGeom>
                    <a:noFill/>
                    <a:ln>
                      <a:noFill/>
                    </a:ln>
                  </pic:spPr>
                </pic:pic>
              </a:graphicData>
            </a:graphic>
          </wp:inline>
        </w:drawing>
      </w:r>
    </w:p>
    <w:p w:rsidR="00C96793" w:rsidRDefault="00C96793" w:rsidP="00C96793">
      <w:pPr>
        <w:spacing w:line="240" w:lineRule="auto"/>
        <w:jc w:val="both"/>
        <w:rPr>
          <w:rFonts w:ascii="Times New Roman" w:hAnsi="Times New Roman" w:cs="Times New Roman"/>
          <w:color w:val="FF0000"/>
          <w:sz w:val="24"/>
          <w:szCs w:val="24"/>
        </w:rPr>
      </w:pPr>
      <w:r>
        <w:rPr>
          <w:noProof/>
          <w:lang w:val="en-GB" w:eastAsia="zh-CN"/>
        </w:rPr>
        <w:drawing>
          <wp:inline distT="0" distB="0" distL="0" distR="0">
            <wp:extent cx="5727700" cy="2660650"/>
            <wp:effectExtent l="0" t="0" r="6350" b="6350"/>
            <wp:docPr id="68" name="Imagen 68" descr="https://s03.s3c.es/imag/_v0/770x672/c/1/6/dinero-depositos-plazo-c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6" descr="https://s03.s3c.es/imag/_v0/770x672/c/1/6/dinero-depositos-plazo-cae.jpg"/>
                    <pic:cNvPicPr>
                      <a:picLocks noChangeAspect="1" noChangeArrowheads="1"/>
                    </pic:cNvPicPr>
                  </pic:nvPicPr>
                  <pic:blipFill>
                    <a:blip r:embed="rId1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2660650"/>
                    </a:xfrm>
                    <a:prstGeom prst="rect">
                      <a:avLst/>
                    </a:prstGeom>
                    <a:noFill/>
                    <a:ln>
                      <a:noFill/>
                    </a:ln>
                  </pic:spPr>
                </pic:pic>
              </a:graphicData>
            </a:graphic>
          </wp:inline>
        </w:drawing>
      </w:r>
    </w:p>
    <w:p w:rsidR="00C96793" w:rsidRDefault="00C96793" w:rsidP="00C96793">
      <w:pPr>
        <w:spacing w:line="240" w:lineRule="auto"/>
        <w:jc w:val="both"/>
        <w:rPr>
          <w:rFonts w:ascii="Times New Roman" w:hAnsi="Times New Roman" w:cs="Times New Roman"/>
          <w:sz w:val="24"/>
          <w:szCs w:val="24"/>
        </w:rPr>
      </w:pPr>
      <w:r>
        <w:rPr>
          <w:rFonts w:ascii="Times New Roman" w:hAnsi="Times New Roman" w:cs="Times New Roman"/>
          <w:sz w:val="24"/>
          <w:szCs w:val="24"/>
        </w:rPr>
        <w:t>Esta situación no puede ser eterna. Sería muy mala señal. Los depósitos a largo plazo volverán, la pregunta difícil es cuándo ocurrirá porque equivale a responder cuándo tendremos tipos de interés más elevados y menos “intervenidos” por autoridades monetarias.</w:t>
      </w:r>
    </w:p>
    <w:p w:rsidR="00C96793" w:rsidRDefault="00C96793" w:rsidP="00C96793">
      <w:pPr>
        <w:spacing w:line="240" w:lineRule="auto"/>
        <w:jc w:val="both"/>
        <w:rPr>
          <w:rFonts w:ascii="Times New Roman" w:hAnsi="Times New Roman" w:cs="Times New Roman"/>
          <w:sz w:val="24"/>
          <w:szCs w:val="24"/>
        </w:rPr>
      </w:pPr>
      <w:r>
        <w:rPr>
          <w:rFonts w:ascii="Times New Roman" w:hAnsi="Times New Roman" w:cs="Times New Roman"/>
          <w:sz w:val="24"/>
          <w:szCs w:val="24"/>
        </w:rPr>
        <w:t>El problema es que la trampa monetaria en la que estamos es difícil de revertir a medio plazo.</w:t>
      </w:r>
    </w:p>
    <w:p w:rsidR="009447A0" w:rsidRDefault="009447A0" w:rsidP="009447A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Podrán seguir “dibujando” el futuro, pero ya no podrán “borrar” el pasado… para el cual habrá que buscar las razones y los responsables del declive: mal liderazgo, prioridades equivocadas, y decisiones políticas ineptas.</w:t>
      </w:r>
    </w:p>
    <w:p w:rsidR="009447A0" w:rsidRDefault="009447A0" w:rsidP="009447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Aunque los “curanderos académicos” se encarguen de decir (con pago revertido, off course) que han sido las “externalidades negativas”, o los “daños colaterales” no deseados, de la crisis del Covid-19, sin entrar a debatir el modelo económico de globalización, librecambio, financierización, desregulación, privatización… los daños que ha ocasionado la globalización en el tejido económico (productivo) y social (laboral), de los países avanzados (ahora, en vías de subdesarrollo), son más profundos y extensos que los perjuicios de la depresión de 1929, y las dos guerras mundiales. La crisis financiera de 2008 y sanitaria de 2020 quedarán en el recuerdo de varias generaciones. Y eso no lo podrán manipular con “algoritmos”, disimular con el “big data”, u ocultar en la “nube”. </w:t>
      </w:r>
    </w:p>
    <w:p w:rsidR="009447A0" w:rsidRDefault="009447A0" w:rsidP="009447A0">
      <w:pPr>
        <w:spacing w:line="240" w:lineRule="auto"/>
        <w:jc w:val="both"/>
        <w:rPr>
          <w:rFonts w:ascii="Times New Roman" w:hAnsi="Times New Roman" w:cs="Times New Roman"/>
          <w:sz w:val="24"/>
          <w:szCs w:val="24"/>
        </w:rPr>
      </w:pPr>
      <w:r>
        <w:rPr>
          <w:rFonts w:ascii="Times New Roman" w:hAnsi="Times New Roman" w:cs="Times New Roman"/>
          <w:sz w:val="24"/>
          <w:szCs w:val="24"/>
        </w:rPr>
        <w:t>La hipocresía y el cinismo de los “borradores de cabeza” no tiene límite, pero les va a resultar difícil (muy difícil) continuar negando la evidencia, arreando la manada, empujando la soga.</w:t>
      </w:r>
    </w:p>
    <w:p w:rsidR="009447A0" w:rsidRDefault="009447A0" w:rsidP="009447A0">
      <w:pPr>
        <w:spacing w:line="240" w:lineRule="auto"/>
        <w:jc w:val="both"/>
        <w:rPr>
          <w:rFonts w:ascii="Times New Roman" w:hAnsi="Times New Roman" w:cs="Times New Roman"/>
          <w:sz w:val="24"/>
          <w:szCs w:val="24"/>
        </w:rPr>
      </w:pPr>
      <w:r>
        <w:rPr>
          <w:rFonts w:ascii="Times New Roman" w:hAnsi="Times New Roman" w:cs="Times New Roman"/>
          <w:sz w:val="24"/>
          <w:szCs w:val="24"/>
        </w:rPr>
        <w:t>Ya que han fracasado en el credo smithsoniano (de falsos liberales, pasaron a tenebrosos liberticidas, en una fórmula de capitalismo autoritario), deberían intentarlo con uno hipocrático (en estas épocas de pandemia, al menos): “primero, no hacer daño”.</w:t>
      </w:r>
    </w:p>
    <w:p w:rsidR="009447A0" w:rsidRDefault="009447A0" w:rsidP="009447A0">
      <w:pPr>
        <w:pStyle w:val="Estndar"/>
        <w:jc w:val="both"/>
        <w:rPr>
          <w:b/>
          <w:color w:val="auto"/>
          <w:lang w:val="es-ES"/>
        </w:rPr>
      </w:pPr>
      <w:r>
        <w:rPr>
          <w:b/>
          <w:color w:val="auto"/>
          <w:lang w:val="es-ES"/>
        </w:rPr>
        <w:t xml:space="preserve">Si exceptuamos las contracciones originadas por las guerras mundiales (I y II), y la depresión 1930-1932 (cuyo período de registro es más amplio), las dos depresiones causadas por la globalización (financiera en 2008 -made in USA-, y sanitaria en 2020 -made in China-) son las más profundas y de alcance más amplio. </w:t>
      </w:r>
    </w:p>
    <w:p w:rsidR="009447A0" w:rsidRDefault="009447A0" w:rsidP="009447A0">
      <w:pPr>
        <w:pStyle w:val="Estndar"/>
        <w:jc w:val="both"/>
        <w:rPr>
          <w:b/>
          <w:color w:val="auto"/>
          <w:lang w:val="es-ES"/>
        </w:rPr>
      </w:pPr>
    </w:p>
    <w:p w:rsidR="009447A0" w:rsidRDefault="009447A0" w:rsidP="009447A0">
      <w:pPr>
        <w:pStyle w:val="Estndar"/>
        <w:jc w:val="both"/>
        <w:rPr>
          <w:color w:val="auto"/>
          <w:lang w:val="es-ES"/>
        </w:rPr>
      </w:pPr>
      <w:r>
        <w:rPr>
          <w:color w:val="auto"/>
          <w:lang w:val="es-ES"/>
        </w:rPr>
        <w:t>Por más que se escamoten las cifras, se manoseen los datos, se oculten los daños, se retuerza la información, engañando, estafando... (y lo sigan haciendo), las evidencias resultan innegables. Ya no podrán seguir ocultando la realidad (aunque lo intenten).</w:t>
      </w:r>
    </w:p>
    <w:p w:rsidR="009447A0" w:rsidRDefault="009447A0" w:rsidP="009447A0">
      <w:pPr>
        <w:pStyle w:val="Estndar"/>
        <w:jc w:val="both"/>
        <w:rPr>
          <w:color w:val="auto"/>
          <w:lang w:val="es-ES"/>
        </w:rPr>
      </w:pPr>
    </w:p>
    <w:p w:rsidR="009447A0" w:rsidRDefault="009447A0" w:rsidP="009447A0">
      <w:pPr>
        <w:pStyle w:val="Estndar"/>
        <w:jc w:val="both"/>
        <w:rPr>
          <w:color w:val="auto"/>
          <w:lang w:val="es-ES"/>
        </w:rPr>
      </w:pPr>
      <w:r>
        <w:rPr>
          <w:color w:val="auto"/>
          <w:lang w:val="es-ES"/>
        </w:rPr>
        <w:t xml:space="preserve">Aunque la fiel tropilla de embusteros por lo empresario, lo académico, o lo gubernamental, en un tedioso desfile de personajillos absurdos, técnicos incapaces, amenazantes dogmáticos, siga marcando el paso, tratando de hacer vistoso el desfile, esta vez no podrán pasar página. La puta crisis, y el período de desolación consiguiente, se los llevará por delante…Este vez, no habrá “rescate” oficial. Esta vez, no podrán “socializar las pérdidas”. Esta vez no podrán “arrear a la manada”. Esta vez, no podrán “borrar las cabezas”. Esta vez no podrán continuar “empujando la soga”. </w:t>
      </w:r>
    </w:p>
    <w:p w:rsidR="009447A0" w:rsidRDefault="009447A0" w:rsidP="009447A0">
      <w:pPr>
        <w:pStyle w:val="Estndar"/>
        <w:jc w:val="both"/>
        <w:rPr>
          <w:color w:val="auto"/>
          <w:lang w:val="es-ES"/>
        </w:rPr>
      </w:pPr>
    </w:p>
    <w:p w:rsidR="009447A0" w:rsidRDefault="009447A0" w:rsidP="009447A0">
      <w:pPr>
        <w:pStyle w:val="Estndar"/>
        <w:jc w:val="both"/>
        <w:rPr>
          <w:color w:val="auto"/>
          <w:lang w:val="es-ES"/>
        </w:rPr>
      </w:pPr>
      <w:r>
        <w:rPr>
          <w:color w:val="auto"/>
          <w:lang w:val="es-ES"/>
        </w:rPr>
        <w:t>La tormenta perfecta: crisis de oferta + expansión monetaria = inflación desbocada</w:t>
      </w:r>
    </w:p>
    <w:p w:rsidR="009447A0" w:rsidRDefault="009447A0" w:rsidP="009447A0">
      <w:pPr>
        <w:pStyle w:val="Estndar"/>
        <w:jc w:val="both"/>
        <w:rPr>
          <w:color w:val="auto"/>
          <w:lang w:val="es-ES"/>
        </w:rPr>
      </w:pPr>
    </w:p>
    <w:p w:rsidR="009447A0" w:rsidRDefault="009447A0" w:rsidP="009447A0">
      <w:pPr>
        <w:pStyle w:val="Estndar"/>
        <w:jc w:val="both"/>
        <w:rPr>
          <w:color w:val="auto"/>
          <w:lang w:val="es-ES"/>
        </w:rPr>
      </w:pPr>
      <w:r>
        <w:rPr>
          <w:color w:val="auto"/>
          <w:lang w:val="es-ES"/>
        </w:rPr>
        <w:t>En mis palabras podrán encontrar (observar) cierto escepticismo, incluso intelectualismo, y hasta individualismo, pero no encontrarán (eso espero), autocomplacencia, cinismo, frivolidad, o insinceridad.</w:t>
      </w:r>
    </w:p>
    <w:p w:rsidR="009447A0" w:rsidRDefault="009447A0" w:rsidP="009447A0">
      <w:pPr>
        <w:pStyle w:val="Estndar"/>
        <w:jc w:val="both"/>
        <w:rPr>
          <w:color w:val="auto"/>
          <w:lang w:val="es-ES"/>
        </w:rPr>
      </w:pPr>
    </w:p>
    <w:p w:rsidR="009447A0" w:rsidRDefault="009447A0" w:rsidP="009447A0">
      <w:pPr>
        <w:pStyle w:val="Estndar"/>
        <w:jc w:val="both"/>
        <w:rPr>
          <w:color w:val="auto"/>
          <w:lang w:val="es-ES"/>
        </w:rPr>
      </w:pPr>
      <w:r>
        <w:rPr>
          <w:color w:val="auto"/>
          <w:lang w:val="es-ES"/>
        </w:rPr>
        <w:t>Entonces, lo único que puedo hacer, es “denunciar” las trágicas equivocaciones, “lamentar” las trágicas equivocaciones… lo único que puedo hacer, es “explicar” esas equivocaciones, y “trabajar” para que sean reparadas.</w:t>
      </w:r>
    </w:p>
    <w:p w:rsidR="009447A0" w:rsidRDefault="009447A0" w:rsidP="009447A0">
      <w:pPr>
        <w:pStyle w:val="Estndar"/>
        <w:jc w:val="both"/>
        <w:rPr>
          <w:color w:val="auto"/>
          <w:lang w:val="es-ES"/>
        </w:rPr>
      </w:pPr>
    </w:p>
    <w:p w:rsidR="009447A0" w:rsidRDefault="009447A0" w:rsidP="009447A0">
      <w:pPr>
        <w:pStyle w:val="Estndar"/>
        <w:jc w:val="both"/>
        <w:rPr>
          <w:color w:val="auto"/>
          <w:lang w:val="es-ES"/>
        </w:rPr>
      </w:pPr>
      <w:r>
        <w:rPr>
          <w:color w:val="auto"/>
          <w:lang w:val="es-ES"/>
        </w:rPr>
        <w:t xml:space="preserve">A los “grandes bonetes”, “vacas sagradas”, “académicos” de la Ivy League, gurús mediáticos, y analistas de postín, que restan importancia al riesgo inflacionario causado por el excesivo </w:t>
      </w:r>
      <w:r>
        <w:rPr>
          <w:color w:val="auto"/>
          <w:lang w:val="es-ES"/>
        </w:rPr>
        <w:lastRenderedPageBreak/>
        <w:t>relajamiento cuantitativo (QE), solo quiero decirles, “respetuosamente”… qué distantes estamos en nuestras apreciaciones y qué próximos estamos del acantilado expansivo.</w:t>
      </w:r>
    </w:p>
    <w:p w:rsidR="009447A0" w:rsidRDefault="009447A0" w:rsidP="009447A0">
      <w:pPr>
        <w:pStyle w:val="Estndar"/>
        <w:jc w:val="both"/>
        <w:rPr>
          <w:color w:val="auto"/>
          <w:lang w:val="es-ES"/>
        </w:rPr>
      </w:pPr>
    </w:p>
    <w:p w:rsidR="009447A0" w:rsidRDefault="009447A0" w:rsidP="009447A0">
      <w:pPr>
        <w:pStyle w:val="Estndar"/>
        <w:jc w:val="both"/>
        <w:rPr>
          <w:color w:val="auto"/>
          <w:lang w:val="es-ES"/>
        </w:rPr>
      </w:pPr>
      <w:r>
        <w:rPr>
          <w:color w:val="auto"/>
          <w:lang w:val="es-ES"/>
        </w:rPr>
        <w:t>La inflación es un impuesto en la sombra que empobrece a familias y empresas. Dónde no llegan las ecuaciones matemáticas, y no sirven los juegos académicos. La cruda (dura, puta) realidad marca los riesgos económicos, las angustias personales y las frustraciones sociales.</w:t>
      </w:r>
    </w:p>
    <w:p w:rsidR="009447A0" w:rsidRDefault="009447A0" w:rsidP="009447A0">
      <w:pPr>
        <w:pStyle w:val="Estndar"/>
        <w:jc w:val="both"/>
        <w:rPr>
          <w:color w:val="auto"/>
          <w:lang w:val="es-ES"/>
        </w:rPr>
      </w:pPr>
    </w:p>
    <w:p w:rsidR="009447A0" w:rsidRDefault="009447A0" w:rsidP="009447A0">
      <w:pPr>
        <w:pStyle w:val="Estndar"/>
        <w:jc w:val="both"/>
        <w:rPr>
          <w:color w:val="auto"/>
          <w:lang w:val="es-ES"/>
        </w:rPr>
      </w:pPr>
      <w:r>
        <w:rPr>
          <w:color w:val="auto"/>
          <w:lang w:val="es-ES"/>
        </w:rPr>
        <w:t>El mayor peligro de la inflación está en la “indexación” de la economía (espiral de precios y salarios), en la cual llevan la de perder los asalariados, los pensionistas y todos los empresarios (en general pequeños y medianos) que no pueden trasladar a precios los aumentos de costos (vender a costo de reposición).</w:t>
      </w:r>
    </w:p>
    <w:p w:rsidR="009447A0" w:rsidRDefault="009447A0" w:rsidP="009447A0">
      <w:pPr>
        <w:pStyle w:val="Estndar"/>
        <w:jc w:val="both"/>
        <w:rPr>
          <w:color w:val="auto"/>
          <w:lang w:val="es-ES"/>
        </w:rPr>
      </w:pPr>
    </w:p>
    <w:p w:rsidR="009447A0" w:rsidRDefault="009447A0" w:rsidP="009447A0">
      <w:pPr>
        <w:pStyle w:val="Estndar"/>
        <w:jc w:val="both"/>
        <w:rPr>
          <w:color w:val="auto"/>
          <w:lang w:val="es-ES"/>
        </w:rPr>
      </w:pPr>
      <w:r>
        <w:rPr>
          <w:color w:val="auto"/>
          <w:lang w:val="es-ES"/>
        </w:rPr>
        <w:t>Los mayores “ganadores” del incremento de la inflación serán los que tienen deudas (no ajustables), los gobiernos que ven “licuada” su deuda (pública), o las grandes empresas que ven reducido su pasivo (deuda a proveedores y crédito bancario), mientras que pueden ajustar sus productos de precio (ganancia por inflación).</w:t>
      </w:r>
    </w:p>
    <w:p w:rsidR="009447A0" w:rsidRDefault="009447A0" w:rsidP="009447A0">
      <w:pPr>
        <w:pStyle w:val="Estndar"/>
        <w:jc w:val="both"/>
        <w:rPr>
          <w:color w:val="auto"/>
          <w:lang w:val="es-ES"/>
        </w:rPr>
      </w:pPr>
    </w:p>
    <w:p w:rsidR="009447A0" w:rsidRDefault="009447A0" w:rsidP="009447A0">
      <w:pPr>
        <w:pStyle w:val="Estndar"/>
        <w:jc w:val="both"/>
        <w:rPr>
          <w:color w:val="auto"/>
          <w:lang w:val="es-ES"/>
        </w:rPr>
      </w:pPr>
      <w:r>
        <w:rPr>
          <w:color w:val="auto"/>
          <w:lang w:val="es-ES"/>
        </w:rPr>
        <w:t xml:space="preserve">Los mayores “perdedores” del incremento de la inflación serán los asalariados, los ahorristas, los pensionistas, los acreedores (que no tiene el crédito indexado) y los consumidores. </w:t>
      </w:r>
    </w:p>
    <w:p w:rsidR="009447A0" w:rsidRDefault="009447A0" w:rsidP="009447A0">
      <w:pPr>
        <w:pStyle w:val="Estndar"/>
        <w:jc w:val="both"/>
        <w:rPr>
          <w:color w:val="auto"/>
          <w:lang w:val="es-ES"/>
        </w:rPr>
      </w:pPr>
    </w:p>
    <w:p w:rsidR="009447A0" w:rsidRDefault="009447A0" w:rsidP="009447A0">
      <w:pPr>
        <w:pStyle w:val="Estndar"/>
        <w:jc w:val="both"/>
        <w:rPr>
          <w:color w:val="auto"/>
          <w:lang w:val="es-ES"/>
        </w:rPr>
      </w:pPr>
      <w:r>
        <w:rPr>
          <w:color w:val="auto"/>
          <w:lang w:val="es-ES"/>
        </w:rPr>
        <w:t>Cuando existe una mayor cantidad de dinero para comprar, y una menor oferta de productos para vender, indefectiblemente (se pongan, como se pongan, los académicos, gurús y analistas), hay una posibilidad cierta (y demostrable) de incremento de precios (inflación).</w:t>
      </w:r>
    </w:p>
    <w:p w:rsidR="009447A0" w:rsidRDefault="009447A0" w:rsidP="009447A0">
      <w:pPr>
        <w:pStyle w:val="Estndar"/>
        <w:jc w:val="both"/>
        <w:rPr>
          <w:color w:val="auto"/>
          <w:lang w:val="es-ES"/>
        </w:rPr>
      </w:pPr>
    </w:p>
    <w:p w:rsidR="009447A0" w:rsidRDefault="009447A0" w:rsidP="009447A0">
      <w:pPr>
        <w:pStyle w:val="Estndar"/>
        <w:jc w:val="both"/>
        <w:rPr>
          <w:color w:val="auto"/>
          <w:lang w:val="es-ES"/>
        </w:rPr>
      </w:pPr>
      <w:r>
        <w:rPr>
          <w:color w:val="auto"/>
          <w:lang w:val="es-ES"/>
        </w:rPr>
        <w:t xml:space="preserve">Ello provoca una menor capacidad de consumo, ahorro, o inversión, de todos aquellos que no pueden trasladar el aumento de costos a sus ingresos (trabajadores, pequeños o medianos empresarios, pensionistas, y ahorristas en general). </w:t>
      </w:r>
    </w:p>
    <w:p w:rsidR="009447A0" w:rsidRDefault="009447A0" w:rsidP="009447A0">
      <w:pPr>
        <w:pStyle w:val="Estndar"/>
        <w:jc w:val="both"/>
        <w:rPr>
          <w:color w:val="auto"/>
          <w:lang w:val="es-ES"/>
        </w:rPr>
      </w:pPr>
    </w:p>
    <w:p w:rsidR="00C96793" w:rsidRDefault="009447A0" w:rsidP="00FC2AD8">
      <w:pPr>
        <w:pStyle w:val="Estndar"/>
        <w:jc w:val="both"/>
        <w:rPr>
          <w:b/>
          <w:color w:val="auto"/>
          <w:lang w:val="es-ES"/>
        </w:rPr>
      </w:pPr>
      <w:r>
        <w:rPr>
          <w:b/>
          <w:color w:val="auto"/>
          <w:lang w:val="es-ES"/>
        </w:rPr>
        <w:t xml:space="preserve">Entonces ¿cuándo es mala la inflación? Pues cuando es muy alta, es decir muy por encima de los objetivos de los bancos centrales, porque entonces se ponen nerviosos, suben los tipos de interés y hacen daño a diestro y siniestro, renta variable incluida. Pero, sobre todo, la inflación es mala cuando supera al crecimiento económico de forma persistente. También lo es cuando coinciden estancamiento e inflación, la llamada estanflación, que es lo que ocurrió en los años 70 y primeros 80. </w:t>
      </w:r>
    </w:p>
    <w:p w:rsidR="004B5F6B" w:rsidRPr="00717E24" w:rsidRDefault="004B5F6B" w:rsidP="004B5F6B">
      <w:pPr>
        <w:pStyle w:val="NormalWeb"/>
        <w:spacing w:after="360"/>
        <w:jc w:val="both"/>
        <w:rPr>
          <w:b/>
        </w:rPr>
      </w:pPr>
      <w:r w:rsidRPr="00717E24">
        <w:rPr>
          <w:b/>
        </w:rPr>
        <w:t>La mayoría de los burócratas de Bruselas no tiene experiencia al lidiar con la inflación.</w:t>
      </w:r>
    </w:p>
    <w:p w:rsidR="004B5F6B" w:rsidRPr="00717E24" w:rsidRDefault="004B5F6B" w:rsidP="004B5F6B">
      <w:pPr>
        <w:pStyle w:val="NormalWeb"/>
        <w:spacing w:after="360"/>
        <w:jc w:val="both"/>
      </w:pPr>
      <w:r w:rsidRPr="00717E24">
        <w:t xml:space="preserve">La inflación sólo podrá eliminarse cuando la tasa de crecimiento a largo plazo de la oferta monetaria sea aproximadamente la misma que la tasa de crecimiento a largo plazo del PIB. (Lorenzo Bernaldo De Quirós - Vozpópuli - </w:t>
      </w:r>
      <w:r w:rsidRPr="00717E24">
        <w:rPr>
          <w:b/>
        </w:rPr>
        <w:t>7/7/22</w:t>
      </w:r>
      <w:r w:rsidRPr="00717E24">
        <w:t>)</w:t>
      </w:r>
    </w:p>
    <w:p w:rsidR="004B5F6B" w:rsidRPr="00717E24" w:rsidRDefault="004B5F6B" w:rsidP="004B5F6B">
      <w:pPr>
        <w:pStyle w:val="NormalWeb"/>
        <w:spacing w:after="360"/>
        <w:jc w:val="both"/>
      </w:pPr>
      <w:r w:rsidRPr="00717E24">
        <w:t>Y esto no depende ni del petróleo ni del gas ni de la guerra de Putin…</w:t>
      </w:r>
    </w:p>
    <w:p w:rsidR="004B5F6B" w:rsidRPr="00717E24" w:rsidRDefault="004B5F6B" w:rsidP="004B5F6B">
      <w:pPr>
        <w:pStyle w:val="NormalWeb"/>
        <w:spacing w:after="360"/>
        <w:jc w:val="both"/>
      </w:pPr>
      <w:r w:rsidRPr="00717E24">
        <w:t>Si la oferta monetaria permanece constante, no existe dinero adicional para que los individuos y las empresas puedan adquirir el mismo volumen de bienes y servicios que compraban antes del shock.</w:t>
      </w:r>
    </w:p>
    <w:p w:rsidR="004B5F6B" w:rsidRPr="00717E24" w:rsidRDefault="004B5F6B" w:rsidP="004B5F6B">
      <w:pPr>
        <w:pStyle w:val="NormalWeb"/>
        <w:spacing w:after="360"/>
        <w:jc w:val="both"/>
      </w:pPr>
      <w:r w:rsidRPr="00717E24">
        <w:t>El problema principal es la inflación, que afecta a todos, no una recesión que alivia la inflación y afecta principalmente a una parte.</w:t>
      </w:r>
    </w:p>
    <w:p w:rsidR="001C678E" w:rsidRPr="004B5F6B" w:rsidRDefault="001C678E" w:rsidP="004B5F6B">
      <w:pPr>
        <w:pStyle w:val="NormalWeb"/>
        <w:spacing w:after="360"/>
        <w:jc w:val="both"/>
        <w:rPr>
          <w:color w:val="FF0000"/>
        </w:rPr>
      </w:pPr>
      <w:r w:rsidRPr="004866EF">
        <w:rPr>
          <w:b/>
        </w:rPr>
        <w:lastRenderedPageBreak/>
        <w:t>El dilema del BCE: sepultar el crecimiento o seguir alimentando la mayor burbuja de la historia</w:t>
      </w:r>
    </w:p>
    <w:p w:rsidR="00FC2AD8" w:rsidRPr="00717E24" w:rsidRDefault="00FC2AD8" w:rsidP="001C678E">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(Escrito en los primeros “compases” de la pan</w:t>
      </w:r>
      <w:r w:rsidR="00717E24" w:rsidRPr="00717E24">
        <w:rPr>
          <w:rFonts w:ascii="Times New Roman" w:eastAsia="Times New Roman" w:hAnsi="Times New Roman" w:cs="Times New Roman"/>
          <w:sz w:val="24"/>
          <w:szCs w:val="24"/>
          <w:lang w:eastAsia="es-ES"/>
        </w:rPr>
        <w:t xml:space="preserve">demia, cuando estaba en </w:t>
      </w:r>
      <w:r w:rsidRPr="00717E24">
        <w:rPr>
          <w:rFonts w:ascii="Times New Roman" w:eastAsia="Times New Roman" w:hAnsi="Times New Roman" w:cs="Times New Roman"/>
          <w:sz w:val="24"/>
          <w:szCs w:val="24"/>
          <w:lang w:eastAsia="es-ES"/>
        </w:rPr>
        <w:t>prisión domiciliaria)</w:t>
      </w:r>
    </w:p>
    <w:p w:rsidR="00CF408C" w:rsidRPr="00717E24" w:rsidRDefault="00CF408C" w:rsidP="00CF408C">
      <w:pPr>
        <w:pStyle w:val="selectionshareable"/>
        <w:shd w:val="clear" w:color="auto" w:fill="FFFFFF"/>
        <w:spacing w:after="300"/>
        <w:jc w:val="both"/>
        <w:textAlignment w:val="baseline"/>
        <w:rPr>
          <w:shd w:val="clear" w:color="auto" w:fill="FFFFFF"/>
        </w:rPr>
      </w:pPr>
      <w:r w:rsidRPr="00717E24">
        <w:rPr>
          <w:shd w:val="clear" w:color="auto" w:fill="FFFFFF"/>
        </w:rPr>
        <w:t>Para “tranquilizar a los mercados” (sic), los bancos centrales (de los países avanzados, y de los demás, en la medida de sus “temeridades”), antes (2008) y ahora (2020-2021) están fabricando dos cosas: billetes a mansalva y una bomba que ellos mismos deberán desactivar con grandes posibilidades de ser alcanzados por las esquirlas. Ninguno de nosotros (vivamos en el lado bueno, o en el lado malo, de las vías del tren) estará a salvo de ellas. La pregunta del momento es entonces qué harán realmente los bancos centrales “el día después”, cuánto pesará en su decisión la  pesadísima e inmovilizante armadura de plomo que los protege, y cuánto podrán maniobrar sin “irritar” a los “amos del universo” (principales beneficiarios del relajamiento monetario), y “fastidiar” al poder político (cómplices necesarios, de la gran estafa inflacionaria).</w:t>
      </w:r>
    </w:p>
    <w:p w:rsidR="00CF408C" w:rsidRPr="00717E24" w:rsidRDefault="00CF408C" w:rsidP="00CF408C">
      <w:pPr>
        <w:pStyle w:val="selectionshareable"/>
        <w:shd w:val="clear" w:color="auto" w:fill="FFFFFF"/>
        <w:spacing w:after="300"/>
        <w:jc w:val="both"/>
        <w:textAlignment w:val="baseline"/>
        <w:rPr>
          <w:shd w:val="clear" w:color="auto" w:fill="FFFFFF"/>
        </w:rPr>
      </w:pPr>
      <w:r w:rsidRPr="00717E24">
        <w:rPr>
          <w:shd w:val="clear" w:color="auto" w:fill="FFFFFF"/>
        </w:rPr>
        <w:t>Analizando sus actuaciones anteriores (desde el año 2008 en adelante), es más que probable, que lo hagan con el concurso, de esos mecanismos medianamente sinceros de la mala fe. Si no fuera tan infantil creeríamos que esta gente se ha vuelto idiota. Meros “burócratas megalómanos”, asentados en una anodina posmodernidad. Resultan tan previsibles como los matasuegras en las fiestas: algo inventado para alegrar pero que da grima.</w:t>
      </w:r>
    </w:p>
    <w:p w:rsidR="00FE128D" w:rsidRPr="00717E24" w:rsidRDefault="00FE128D" w:rsidP="00FE128D">
      <w:pPr>
        <w:pStyle w:val="selectionshareable"/>
        <w:shd w:val="clear" w:color="auto" w:fill="FFFFFF"/>
        <w:jc w:val="both"/>
        <w:textAlignment w:val="baseline"/>
        <w:rPr>
          <w:rFonts w:eastAsiaTheme="minorHAnsi"/>
          <w:lang w:eastAsia="en-US"/>
        </w:rPr>
      </w:pPr>
      <w:r w:rsidRPr="00717E24">
        <w:rPr>
          <w:rFonts w:eastAsiaTheme="minorHAnsi"/>
          <w:lang w:eastAsia="en-US"/>
        </w:rPr>
        <w:t>¿Se animarán los “chicos del coro”, a “retirar la ponchera” (cortar el “gas de la risa”)?</w:t>
      </w:r>
    </w:p>
    <w:p w:rsidR="00CF408C" w:rsidRPr="00717E24" w:rsidRDefault="00FC2AD8"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u w:val="single"/>
          <w:lang w:eastAsia="es-ES"/>
        </w:rPr>
        <w:t>Remembranzas: de Trichet a Lagarde(</w:t>
      </w:r>
      <w:r w:rsidR="00CF408C" w:rsidRPr="00717E24">
        <w:rPr>
          <w:rFonts w:ascii="Times New Roman" w:eastAsia="Times New Roman" w:hAnsi="Times New Roman" w:cs="Times New Roman"/>
          <w:sz w:val="24"/>
          <w:szCs w:val="24"/>
          <w:u w:val="single"/>
          <w:lang w:eastAsia="es-ES"/>
        </w:rPr>
        <w:t>14 años de despliegue de arsenal monetario que toca retirar bajo amenaza de recesión</w:t>
      </w:r>
      <w:r w:rsidRPr="00717E24">
        <w:rPr>
          <w:rFonts w:ascii="Times New Roman" w:eastAsia="Times New Roman" w:hAnsi="Times New Roman" w:cs="Times New Roman"/>
          <w:sz w:val="24"/>
          <w:szCs w:val="24"/>
          <w:u w:val="single"/>
          <w:lang w:eastAsia="es-ES"/>
        </w:rPr>
        <w:t>)</w:t>
      </w:r>
      <w:r w:rsidR="00CF408C" w:rsidRPr="00717E24">
        <w:rPr>
          <w:rFonts w:ascii="Times New Roman" w:eastAsia="Times New Roman" w:hAnsi="Times New Roman" w:cs="Times New Roman"/>
          <w:sz w:val="24"/>
          <w:szCs w:val="24"/>
          <w:lang w:eastAsia="es-ES"/>
        </w:rPr>
        <w:t xml:space="preserve"> (</w:t>
      </w:r>
      <w:r w:rsidRPr="00717E24">
        <w:rPr>
          <w:rFonts w:ascii="Times New Roman" w:eastAsia="Times New Roman" w:hAnsi="Times New Roman" w:cs="Times New Roman"/>
          <w:sz w:val="24"/>
          <w:szCs w:val="24"/>
          <w:lang w:eastAsia="es-ES"/>
        </w:rPr>
        <w:t xml:space="preserve">Fuente: </w:t>
      </w:r>
      <w:r w:rsidR="00CF408C" w:rsidRPr="00717E24">
        <w:rPr>
          <w:rFonts w:ascii="Times New Roman" w:eastAsia="Times New Roman" w:hAnsi="Times New Roman" w:cs="Times New Roman"/>
          <w:sz w:val="24"/>
          <w:szCs w:val="24"/>
          <w:lang w:eastAsia="es-ES"/>
        </w:rPr>
        <w:t xml:space="preserve">El Español - </w:t>
      </w:r>
      <w:r w:rsidR="00CF408C" w:rsidRPr="00717E24">
        <w:rPr>
          <w:rFonts w:ascii="Times New Roman" w:eastAsia="Times New Roman" w:hAnsi="Times New Roman" w:cs="Times New Roman"/>
          <w:b/>
          <w:sz w:val="24"/>
          <w:szCs w:val="24"/>
          <w:lang w:eastAsia="es-ES"/>
        </w:rPr>
        <w:t>12/6/22</w:t>
      </w:r>
      <w:r w:rsidR="00CF408C" w:rsidRPr="00717E24">
        <w:rPr>
          <w:rFonts w:ascii="Times New Roman" w:eastAsia="Times New Roman" w:hAnsi="Times New Roman" w:cs="Times New Roman"/>
          <w:sz w:val="24"/>
          <w:szCs w:val="24"/>
          <w:lang w:eastAsia="es-ES"/>
        </w:rPr>
        <w:t>)</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En octubre de 2008, con la eurozona ya en recesión y España a las puertas de ella, el entonces presidente del Banco Central Europeo (BCE), Jean Claude Trichet, se plegó a las voces que venían reclamando una bajada de los tipos de interés y anunció una rebaja de medio punto para el precio del dinero, desde el 4,25% al 3,75%.</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No lo hizo en solitario, sino dentro de una acción conjunta de los bancos centrales más importantes del mundo para hacer frente al tsunami financiero que había desatado la quiebra de Lehman Brothers unas semanas antes.</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 xml:space="preserve">Con aquella decisión, Fráncfort rectificaba y comenzaba a dar respuesta a una crisis de origen financiero que llevaba tiempo dañando a las economías europeas. Solo unos meses antes, en julio de 2008, el BCE había subido los tipos, al 4,25%, pese a la debilidad del contexto económico. Lo hizo empeñado en cumplir con su mandato: el de combatir la inflación en la zona euro, que estaba en el 4% interanual. </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Aquella decisión adoptada en un momento en el que la Reserva Federal de Estados Unidos ya había comenzado a bajar los tipos de interés para estimular la economía ante el colapso de las hipotecas subprime, acompañará para siempre la reputación de Trichet. Hay consenso en calificar esa subida como el mayor error de la historia del BCE.</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 xml:space="preserve">Ya en febrero de ese año, el economista francés en una visita a España había escuchado las voces que desde el sur de Europa pedían una rebaja de los tipos para hacer frente a las incipientes turbulencias económicas. Sin embargo, consideró que su independencia y la </w:t>
      </w:r>
      <w:r w:rsidRPr="00717E24">
        <w:rPr>
          <w:rFonts w:ascii="Times New Roman" w:eastAsia="Times New Roman" w:hAnsi="Times New Roman" w:cs="Times New Roman"/>
          <w:sz w:val="24"/>
          <w:szCs w:val="24"/>
          <w:lang w:eastAsia="es-ES"/>
        </w:rPr>
        <w:lastRenderedPageBreak/>
        <w:t>credibilidad del BCE frente a la inflación debían primar y optó por no sucumbir a las presiones que también venían de otros países del euro.</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Así, cuando por fin, en octubre de 2008, Trichet aceptó bajar los tipos, voces como el presidente de Francia, Nicolás Sarkozy, salieron a expresar en público su satisfacción por el cambio de rumbo de Fráncfort.</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Mucho ha llovido desde entonces en una política monetaria que podría decirse que ha llegado exhausta a 2022 tras dos crisis financieras muy seguidas.</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De 2008 a Grecia</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 xml:space="preserve">Ya en los años 2007 y 2008, el BCE comenzó a inyectar liquidez en los mercados para dar soporte al sistema financiero europeo, siempre con la sombra de que la Reserva Federal iba por delante en calendario y en ambición. </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Sin embargo, con el mercado interbancario muy tensionado, el BCE optó por recurrir a herramientas “no convencionales” que en aquellos años fueron bautizadas de manera coloquial como manguerazos de liquidez a la banca. Se abrieron también programas de subastas para sostener al sector financiero europeo.</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En 2009, con el estallido de la crisis de deuda griega, Europa abrió la era de la austeridad. El pulso que ahora se ilustra como una batalla entre halcones y palomas comenzó a marcar comenzó a marcar el devenir de una institución, difícilmente reconocible 14 años después. Por aquel entonces, la inflación ya no preocupaba. Al contrario, el riesgo era la deflación y los tipos llegaron en verano al 1%. En aquel tiempo, intervenir en el mercado de deuda soberana era una de las líneas rojas de los países del norte.</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 xml:space="preserve">Sin embargo, Trichet acabó cruzando ese umbral al comenzar a comprar deuda pública y privada en los mercados para ayudar a los tres países rescatados por Bruselas: Grecia, Portugal e Irlanda. </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Trichet y Zapatero</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Pronto, llegaría el contagio a Italia y a España. Como testigo de aquellos tiempos de tensión, quedaron las cartas intercambiadas entre José Luis Rodríguez Zapatero y Trichet en el verano de 2011. Unos meses en los que ante el ataque de los mercados, España pidió ayuda al banco central para la compra de deuda soberana a cambio de ofrecer medidas para consolidación fiscal (con un cambio en la Constitución para limitar el déficit público) o para el mercado laboral.</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Fue en aquel convulso contexto en el que un economista italiano, Mario Draghi, tomó el relevo del ortodoxo Trichet en un momento en el que el futuro del euro como divisa común se tambaleaba.</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“Lo que sea necesario”</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La primera decisión de Draghi fue solo el anticipo de la nueva era monetaria que se abría en la eurozona, con una rebaja de los tipos de interés al 1,25%.</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Si la reputación de Trichet quedó marcada para siempre por su decisión de subir los tipos en 2008, Draghi pasó a la historia como el salvador del euro por unas palabras que pronunció en julio de 2012.</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lastRenderedPageBreak/>
        <w:t>El famoso “whatever it takes” (lo que sea necesario) en defensa de la moneda común fue un mensaje contundente lanzado contra la especulación de los mercados financieros.</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La credibilidad de la institución hizo que se diera por seguro que ningún ataque especulativo contra España o contra Italia tendría éxito frente al BCE. Comenzó así la relajación de las primas de riesgo tras meses de alta tensión.</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“Halcones” e inflación</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Desde entonces, el pulso entre halcones (representantes de los países del norte) y palomas (países del sur) ha sido una constante en las decisiones del BCE. El motivo no era otro que retirar munición para evitar que en Europa se volvieran a vivir episodios como los que precedieron a la llegada de Hitler al poder por el aumento de los precios derivado de la inflación.</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No sin dificultades, Draghi logró aprobar su programa OMT (Operaciones Monetarias de Compraventa, por sus siglas en inglés) en septiembre de 2012 para comprar bonos soberanos en los mercados secundarios. Además, los tipos siguieron bajando hasta el 0,05% en 2014.</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Hasta que, en 2015, seis años y medio después de la quiebra de Lehman, el BCE anunció por fin su primer gran programa de estímulos para inyectar en la economía 60.000 millones de euros al mes con los que comprar deuda pública y privada emitida en la Eurozona.</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El ahora primer ministro italiano terminó su mandato en el BCE conocido como “SuperMario”. Pese a su heterodoxia, también quedaron en la hemeroteca sus roces con la política europea, algo entendible dada la independencia de la que siempre debe hacer gala un banquero central.</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Una expolítica en el BCE</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La sorpresa fue cuando el Consejo Europeo decidió nombrar a una expolítica y abogada, Christine Lagarde, como nueva presidenta del BCE en octubre de 2019.</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Una paloma que quiso quitarse el apodo para llamarse lechuza ante las presiones de los halcones para una rápida retirada de estímulos de la economía que evitara un estallido futuro de la inflación en la zona euro y permitiera tener munición por si en el futuro se producía una nueva crisis económica.</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Muy pocos meses después de que Lagarde aterrizara en Fráncfort, llegó la pandemia. Y con la Covid-19, su primer resbalón, cuando afirmó que “no estamos aquí para reducir las primas de riesgo”. La reacción de los mercados no se hizo esperar y acabó forzando al BCE a lanzar un programa de 750.000 millones de euros en estímulos.</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Los cuatro grandes bancos centrales (Estados Unidos, China, Eurozona y Japón) han inyectado en dos años casi 12 billones de euros en las economías. De esa cantidad, alrededor de cinco billones se han puesto en circulación por el BCE.</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 xml:space="preserve">Para calibrar el impacto de esa cifra en dos años, basta con recordar que, entre 2006 y 2020, el dinero inyectado para combatir la crisis por esos bancos centrales fue de 14,7 billones. </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Inflación desbocada</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 xml:space="preserve">Con el fantasma de la inflación fuera de la tumba (en mayo marcó un nuevo récord en el 8,1%), el BCE de Lagarde afronta ahora el reto de drenar esa liquidez con una guerra </w:t>
      </w:r>
      <w:r w:rsidRPr="00717E24">
        <w:rPr>
          <w:rFonts w:ascii="Times New Roman" w:eastAsia="Times New Roman" w:hAnsi="Times New Roman" w:cs="Times New Roman"/>
          <w:sz w:val="24"/>
          <w:szCs w:val="24"/>
          <w:lang w:eastAsia="es-ES"/>
        </w:rPr>
        <w:lastRenderedPageBreak/>
        <w:t>librándose en territorio europeo. Para ello, anunció este jueves el fin de las compras de bonos soberanos, una subida de tipos en julio y otra en septiembre.</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Empezará, así, lo que Lagarde describió como “largo viaje” para volver a la estabilidad de precios en un escenario en el que no se descarta una recesión si se recrudece la tensión con Rusia.</w:t>
      </w:r>
    </w:p>
    <w:p w:rsidR="00CF408C" w:rsidRPr="00133CC7" w:rsidRDefault="00CF408C" w:rsidP="00CF408C">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sidRPr="00133CC7">
        <w:rPr>
          <w:rFonts w:ascii="Times New Roman" w:eastAsia="Times New Roman" w:hAnsi="Times New Roman" w:cs="Times New Roman"/>
          <w:noProof/>
          <w:color w:val="333333"/>
          <w:sz w:val="24"/>
          <w:szCs w:val="24"/>
          <w:lang w:val="en-GB" w:eastAsia="zh-CN"/>
        </w:rPr>
        <w:drawing>
          <wp:inline distT="0" distB="0" distL="0" distR="0">
            <wp:extent cx="5686425" cy="3441700"/>
            <wp:effectExtent l="0" t="0" r="9525" b="635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687219" cy="3442180"/>
                    </a:xfrm>
                    <a:prstGeom prst="rect">
                      <a:avLst/>
                    </a:prstGeom>
                  </pic:spPr>
                </pic:pic>
              </a:graphicData>
            </a:graphic>
          </wp:inline>
        </w:drawing>
      </w:r>
    </w:p>
    <w:p w:rsidR="00CF408C" w:rsidRPr="00FC2AD8"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FC2AD8">
        <w:rPr>
          <w:rFonts w:ascii="Times New Roman" w:eastAsia="Times New Roman" w:hAnsi="Times New Roman" w:cs="Times New Roman"/>
          <w:sz w:val="24"/>
          <w:szCs w:val="24"/>
          <w:lang w:eastAsia="es-ES"/>
        </w:rPr>
        <w:t>Al repasar las hemerotecas, se puede ver cómo desde los tiempos de Trichet y Draghi se venía pidiendo a países como España un esfuerzo con la reforma laboral, la reforma de las pensiones o la consolidación fiscal para que la prima de riesgo fuera más resiliente a una retirada de estímulos que tarde o temprano iba a tener que llegar.</w:t>
      </w:r>
    </w:p>
    <w:p w:rsidR="00CF408C" w:rsidRPr="00FC2AD8"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FC2AD8">
        <w:rPr>
          <w:rFonts w:ascii="Times New Roman" w:eastAsia="Times New Roman" w:hAnsi="Times New Roman" w:cs="Times New Roman"/>
          <w:sz w:val="24"/>
          <w:szCs w:val="24"/>
          <w:lang w:eastAsia="es-ES"/>
        </w:rPr>
        <w:t>No fueron pocas las veces que Draghi recordó a los políticos europeos desde su atril en Fráncfort que la política monetaria no podía sustituir a la política fiscal y a la política económica.</w:t>
      </w:r>
    </w:p>
    <w:p w:rsidR="00CF408C" w:rsidRPr="00FC2AD8"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FC2AD8">
        <w:rPr>
          <w:rFonts w:ascii="Times New Roman" w:eastAsia="Times New Roman" w:hAnsi="Times New Roman" w:cs="Times New Roman"/>
          <w:sz w:val="24"/>
          <w:szCs w:val="24"/>
          <w:lang w:eastAsia="es-ES"/>
        </w:rPr>
        <w:t>La pandemia diluyó ese mensaje al tiempo que permitió a los Estados del euro emitir volúmenes de deuda sin precedentes amparados por la liquidez del sistema y la credibilidad del BCE ante los inversores. Una reputación que Lagarde debe ahora consolidar frente a la inflación.</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España y la periferia</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Con la “contrarreforma laboral” recién aprobada y el resto de reformas como asignaturas pendientes, la prima de riesgo española llega a este momento en la manejable cota de 112 puntos. Es una situación parecida a la de Portugal (117) y más holgada que la de Italia (213) o Grecia (249). En el otro extremo de los países que más sufrieron en 2012 figura Irlanda, con una prima de riesgo de 57 puntos.</w:t>
      </w:r>
    </w:p>
    <w:p w:rsidR="00CF408C" w:rsidRPr="00717E24" w:rsidRDefault="00CF408C" w:rsidP="00CF408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Curiosamente, la Eurozona se enfrenta en este momento a la amenaza de una recesión económica o, en el mejor de los casos, al estancamiento económico por la guerra de Ucrania y las sanciones a Rusia.</w:t>
      </w:r>
    </w:p>
    <w:p w:rsidR="00CF408C" w:rsidRPr="00717E24" w:rsidRDefault="00CF408C" w:rsidP="001C678E">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lastRenderedPageBreak/>
        <w:t>Esto ha devuelto al BCE a la casilla de salida del dilema monetario. Toca subir los tipos y retirar estímulos para combatir la inflación sin un crecimiento sólido. La duda es hasta dónde tendrá que llegar Lagarde para que el BCE pueda cumplir con el mandato que obsesionaba a Trichet: mantener la estabilidad de los precios, es decir, actuar hasta que la inflación vuelva al entorno del 2%. A</w:t>
      </w:r>
      <w:r w:rsidR="00FC2AD8" w:rsidRPr="00717E24">
        <w:rPr>
          <w:rFonts w:ascii="Times New Roman" w:eastAsia="Times New Roman" w:hAnsi="Times New Roman" w:cs="Times New Roman"/>
          <w:sz w:val="24"/>
          <w:szCs w:val="24"/>
          <w:lang w:eastAsia="es-ES"/>
        </w:rPr>
        <w:t>lgo que no ocurrirá (según los gurús mediáticos) hasta 2024.</w:t>
      </w:r>
    </w:p>
    <w:p w:rsidR="007031A1" w:rsidRPr="000228F1" w:rsidRDefault="00B20080" w:rsidP="007031A1">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007031A1">
        <w:rPr>
          <w:rFonts w:ascii="Times New Roman" w:hAnsi="Times New Roman" w:cs="Times New Roman"/>
          <w:sz w:val="24"/>
          <w:szCs w:val="24"/>
          <w:u w:val="single"/>
        </w:rPr>
        <w:t>os “Cinco Sabios”</w:t>
      </w:r>
      <w:r>
        <w:rPr>
          <w:rFonts w:ascii="Times New Roman" w:hAnsi="Times New Roman" w:cs="Times New Roman"/>
          <w:sz w:val="24"/>
          <w:szCs w:val="24"/>
          <w:u w:val="single"/>
        </w:rPr>
        <w:t xml:space="preserve"> alemanes comienzan a recuperar la memoria</w:t>
      </w:r>
    </w:p>
    <w:p w:rsidR="00B20080" w:rsidRPr="00717E24" w:rsidRDefault="00B20080" w:rsidP="00B20080">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w:t>
      </w:r>
      <w:r w:rsidR="007031A1" w:rsidRPr="00717E24">
        <w:rPr>
          <w:rFonts w:ascii="Times New Roman" w:hAnsi="Times New Roman" w:cs="Times New Roman"/>
          <w:sz w:val="24"/>
          <w:szCs w:val="24"/>
        </w:rPr>
        <w:t>El ala alemana se pone seria. Pese a que Ber</w:t>
      </w:r>
      <w:r w:rsidR="00254497">
        <w:rPr>
          <w:rFonts w:ascii="Times New Roman" w:hAnsi="Times New Roman" w:cs="Times New Roman"/>
          <w:sz w:val="24"/>
          <w:szCs w:val="24"/>
        </w:rPr>
        <w:t>l</w:t>
      </w:r>
      <w:r w:rsidR="007031A1" w:rsidRPr="00717E24">
        <w:rPr>
          <w:rFonts w:ascii="Times New Roman" w:hAnsi="Times New Roman" w:cs="Times New Roman"/>
          <w:sz w:val="24"/>
          <w:szCs w:val="24"/>
        </w:rPr>
        <w:t>ín siempre ha sido más proclive a iniciar antes la retirada de estímulos del Banco Central Europeo (BCE), el avance de la inflación alemana, en máximos desde 1993 ha hecho saltar ya todas las alarmas y varios halcones alemanes piden seguir los pasos de la Reserva Federal Americana y subir los tipos este mismo año</w:t>
      </w:r>
      <w:r w:rsidRPr="00717E24">
        <w:rPr>
          <w:rFonts w:ascii="Times New Roman" w:hAnsi="Times New Roman" w:cs="Times New Roman"/>
          <w:sz w:val="24"/>
          <w:szCs w:val="24"/>
        </w:rPr>
        <w:t>”..</w:t>
      </w:r>
      <w:r w:rsidR="007031A1" w:rsidRPr="00717E24">
        <w:rPr>
          <w:rFonts w:ascii="Times New Roman" w:hAnsi="Times New Roman" w:cs="Times New Roman"/>
          <w:sz w:val="24"/>
          <w:szCs w:val="24"/>
        </w:rPr>
        <w:t>.</w:t>
      </w:r>
      <w:r w:rsidRPr="00717E24">
        <w:rPr>
          <w:rFonts w:ascii="Times New Roman" w:hAnsi="Times New Roman" w:cs="Times New Roman"/>
          <w:sz w:val="24"/>
          <w:szCs w:val="24"/>
        </w:rPr>
        <w:t xml:space="preserve">(El Economista - </w:t>
      </w:r>
      <w:r w:rsidRPr="00717E24">
        <w:rPr>
          <w:rFonts w:ascii="Times New Roman" w:hAnsi="Times New Roman" w:cs="Times New Roman"/>
          <w:b/>
          <w:sz w:val="24"/>
          <w:szCs w:val="24"/>
        </w:rPr>
        <w:t>10/1/22</w:t>
      </w:r>
      <w:r w:rsidRPr="00717E24">
        <w:rPr>
          <w:rFonts w:ascii="Times New Roman" w:hAnsi="Times New Roman" w:cs="Times New Roman"/>
          <w:sz w:val="24"/>
          <w:szCs w:val="24"/>
        </w:rPr>
        <w:t>)</w:t>
      </w:r>
    </w:p>
    <w:p w:rsidR="007031A1" w:rsidRPr="00717E24" w:rsidRDefault="007031A1" w:rsidP="007031A1">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Los consejeros alemanes del BCE presionan desde hace meses a la presidenta, Christine Lagarde, para que endurezca la política monetaria. Sin embargo, Lagarde rechaza un repliegue ahora por considerarlo “prematuro”. Sin embargo, la mayoría de los economistas alemanes consideran que se necesitará tiempo antes de que la tasa de inflación regrese a sus niveles habituales y para 2022 esperan que en promedio esté una vez más por encima del 3,0 %.</w:t>
      </w:r>
    </w:p>
    <w:p w:rsidR="007031A1" w:rsidRPr="00717E24" w:rsidRDefault="007031A1" w:rsidP="007031A1">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Ante ello, surgen voces que piden que el Banco Central Europeo (BCE) de un giro en su política de bajos intereses. En ese sentido se expresa el presidente de la Confederación Alemana de Comercio Mayorista y Comercio Exterior (BGA), Dirk Jadura. “No es que el BCE esté haciendo muy poco, es que lo que está haciendo es equivocado”, indica Jadura.</w:t>
      </w:r>
    </w:p>
    <w:p w:rsidR="007031A1" w:rsidRPr="00717E24" w:rsidRDefault="007031A1" w:rsidP="007031A1">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En la misma dirección va la opinión del catedrático de economía Volker Wieland, miembro del Consejo Asesor de Economistas del Gobierno alemán, conocido como el Grupo de los Cinco Sabios. “Descartar un alza de tipos de interés en 2022 es algo difícil de defender y es innecesario”, señala Wieland. El BCE debería dar, según Wieland, un giro en su política ya en 2022, siguiendo el ejemplo del FED, y no esperar a 2023. El experto critica directamente la política de comunicación de la presidenta del BCE, Christine Lagarde.</w:t>
      </w:r>
    </w:p>
    <w:p w:rsidR="007031A1" w:rsidRPr="00717E24" w:rsidRDefault="007031A1" w:rsidP="007031A1">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“Me sorprende que justifique su política expansiva diciendo que en 2023 y 2024 estaremos otra vez por debajo del 2%, como lo exigen las metas de inflación”, señala tras conocer los últimos datos de la inflación. “En vista de los fallos en los pronósticos de inflación me parece muy atrevido ligar la política monetaria a esos pronósticos”, agrega el economista.</w:t>
      </w:r>
    </w:p>
    <w:p w:rsidR="007031A1" w:rsidRPr="00717E24" w:rsidRDefault="007031A1" w:rsidP="007031A1">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Para enero los expertos esperan una tasa de inflación más baja por efectos estadísticos. Los precios ya se compararán con los del segundo semestre de 2020 cuando tuvo efecto la reducción temporal del IVA.</w:t>
      </w:r>
    </w:p>
    <w:p w:rsidR="007031A1" w:rsidRPr="00717E24" w:rsidRDefault="007031A1" w:rsidP="007031A1">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El instituto alemán de estudios económicos IFO de Múnich, sin embargo, pronostica para este año un índice de inflación promedio del 3,3% y prevé que una normalización solo se empezará a sentir en 2023.</w:t>
      </w:r>
    </w:p>
    <w:p w:rsidR="007031A1" w:rsidRPr="00717E24" w:rsidRDefault="007031A1" w:rsidP="007031A1">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Muchos de los factores inflacionarios, como los precios de la energía y los problemas en las cadenas de suministro, seguirán teniendo efecto en los próximos meses según el IFO.</w:t>
      </w:r>
    </w:p>
    <w:p w:rsidR="007031A1" w:rsidRPr="00717E24" w:rsidRDefault="007031A1" w:rsidP="007031A1">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La política monetaria expansiva del BCE, con bajos intereses, ha sido parte de la estrategia para impulsar la reactivación de las economías europeas. El BCE define una tasa de inflación interanual ligeramente por debajo del 2% como meta y con ella considera garantizada la estabilidad de los precios.</w:t>
      </w:r>
    </w:p>
    <w:p w:rsidR="007031A1" w:rsidRPr="00717E24" w:rsidRDefault="007031A1" w:rsidP="007031A1">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lastRenderedPageBreak/>
        <w:t>Los Cinco Sabios ya alertaron en noviembre en un informe de la situación. El consejo urge al BCE a diseñar una estrategia con la que normalizar su política monetaria ultraexpansiva a la vista de la pujanza de los riesgos inflacionistas.</w:t>
      </w:r>
    </w:p>
    <w:p w:rsidR="007031A1" w:rsidRPr="008C7C25" w:rsidRDefault="007031A1" w:rsidP="007031A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C7C25">
        <w:rPr>
          <w:rFonts w:ascii="Times New Roman" w:hAnsi="Times New Roman" w:cs="Times New Roman"/>
          <w:sz w:val="24"/>
          <w:szCs w:val="24"/>
          <w:u w:val="single"/>
        </w:rPr>
        <w:t>El dilema del BCE: sepultar el crecimiento o seguir alimentando la mayor burbuja de la historia</w:t>
      </w:r>
      <w:r>
        <w:rPr>
          <w:rFonts w:ascii="Times New Roman" w:hAnsi="Times New Roman" w:cs="Times New Roman"/>
          <w:sz w:val="24"/>
          <w:szCs w:val="24"/>
        </w:rPr>
        <w:t xml:space="preserve"> (Libertad Digital - </w:t>
      </w:r>
      <w:r w:rsidRPr="008C7C25">
        <w:rPr>
          <w:rFonts w:ascii="Times New Roman" w:hAnsi="Times New Roman" w:cs="Times New Roman"/>
          <w:b/>
          <w:sz w:val="24"/>
          <w:szCs w:val="24"/>
        </w:rPr>
        <w:t>6/2/22</w:t>
      </w:r>
      <w:r>
        <w:rPr>
          <w:rFonts w:ascii="Times New Roman" w:hAnsi="Times New Roman" w:cs="Times New Roman"/>
          <w:sz w:val="24"/>
          <w:szCs w:val="24"/>
        </w:rPr>
        <w:t>)</w:t>
      </w:r>
    </w:p>
    <w:p w:rsidR="007031A1" w:rsidRPr="00EE7EBE" w:rsidRDefault="007031A1" w:rsidP="007031A1">
      <w:pPr>
        <w:spacing w:line="240" w:lineRule="auto"/>
        <w:jc w:val="both"/>
        <w:rPr>
          <w:rFonts w:ascii="Times New Roman" w:hAnsi="Times New Roman" w:cs="Times New Roman"/>
          <w:color w:val="FF0000"/>
          <w:sz w:val="24"/>
          <w:szCs w:val="24"/>
        </w:rPr>
      </w:pPr>
      <w:r w:rsidRPr="00EE7EBE">
        <w:rPr>
          <w:rFonts w:ascii="Times New Roman" w:hAnsi="Times New Roman" w:cs="Times New Roman"/>
          <w:color w:val="FF0000"/>
          <w:sz w:val="24"/>
          <w:szCs w:val="24"/>
        </w:rPr>
        <w:t xml:space="preserve">Con el mayor impulso monetario de la historia (el BCE ya supera el 70% de la Eurozona), Europa muestra una desaceleración económica más que preocupante. </w:t>
      </w:r>
    </w:p>
    <w:p w:rsidR="007031A1" w:rsidRPr="008C7C25" w:rsidRDefault="007031A1" w:rsidP="007031A1">
      <w:pPr>
        <w:spacing w:line="240" w:lineRule="auto"/>
        <w:jc w:val="both"/>
        <w:rPr>
          <w:rFonts w:ascii="Times New Roman" w:hAnsi="Times New Roman" w:cs="Times New Roman"/>
          <w:sz w:val="24"/>
          <w:szCs w:val="24"/>
        </w:rPr>
      </w:pPr>
      <w:r>
        <w:rPr>
          <w:rFonts w:ascii="Times New Roman" w:hAnsi="Times New Roman" w:cs="Times New Roman"/>
          <w:sz w:val="24"/>
          <w:szCs w:val="24"/>
        </w:rPr>
        <w:t>(Por Daniel Rodríguez Asensio)</w:t>
      </w:r>
    </w:p>
    <w:p w:rsidR="007031A1" w:rsidRPr="00D82D52" w:rsidRDefault="007031A1" w:rsidP="007031A1">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El Banco Central Europeo se encuentra ante un callejón sin salida. En la última semana, el Banco de Inglaterra ha vuelto a subir los tipos hasta el 0,5% y el mercado ya está descontando 4 subidas de tipos de la Reserva Federal (FED) como consecuencia de la última reunión mantenida.</w:t>
      </w:r>
    </w:p>
    <w:p w:rsidR="007031A1" w:rsidRPr="008C7C25" w:rsidRDefault="007031A1" w:rsidP="007031A1">
      <w:pPr>
        <w:spacing w:line="240" w:lineRule="auto"/>
        <w:jc w:val="both"/>
        <w:rPr>
          <w:rFonts w:ascii="Times New Roman" w:hAnsi="Times New Roman" w:cs="Times New Roman"/>
          <w:sz w:val="24"/>
          <w:szCs w:val="24"/>
        </w:rPr>
      </w:pPr>
      <w:r w:rsidRPr="00D82D52">
        <w:rPr>
          <w:rFonts w:ascii="Times New Roman" w:hAnsi="Times New Roman" w:cs="Times New Roman"/>
          <w:sz w:val="24"/>
          <w:szCs w:val="24"/>
          <w:u w:val="single"/>
        </w:rPr>
        <w:t>El BCE</w:t>
      </w:r>
      <w:r w:rsidRPr="008C7C25">
        <w:rPr>
          <w:rFonts w:ascii="Times New Roman" w:hAnsi="Times New Roman" w:cs="Times New Roman"/>
          <w:sz w:val="24"/>
          <w:szCs w:val="24"/>
        </w:rPr>
        <w:t>, por el momento, no ha anunciado ninguna subida de tipos, aunque el mercado ya comienza a descontar hasta 2 este año por la mayor preocupación que ha mostrado por la infl</w:t>
      </w:r>
      <w:r>
        <w:rPr>
          <w:rFonts w:ascii="Times New Roman" w:hAnsi="Times New Roman" w:cs="Times New Roman"/>
          <w:sz w:val="24"/>
          <w:szCs w:val="24"/>
        </w:rPr>
        <w:t>ación. ¿</w:t>
      </w:r>
      <w:r w:rsidRPr="00D82D52">
        <w:rPr>
          <w:rFonts w:ascii="Times New Roman" w:hAnsi="Times New Roman" w:cs="Times New Roman"/>
          <w:sz w:val="24"/>
          <w:szCs w:val="24"/>
          <w:u w:val="single"/>
        </w:rPr>
        <w:t>Qué alternativas tiene</w:t>
      </w:r>
      <w:r>
        <w:rPr>
          <w:rFonts w:ascii="Times New Roman" w:hAnsi="Times New Roman" w:cs="Times New Roman"/>
          <w:sz w:val="24"/>
          <w:szCs w:val="24"/>
        </w:rPr>
        <w:t>?</w:t>
      </w:r>
    </w:p>
    <w:p w:rsidR="007031A1" w:rsidRPr="00717E24" w:rsidRDefault="007031A1" w:rsidP="007031A1">
      <w:pPr>
        <w:spacing w:line="240" w:lineRule="auto"/>
        <w:jc w:val="both"/>
        <w:rPr>
          <w:rFonts w:ascii="Times New Roman" w:hAnsi="Times New Roman" w:cs="Times New Roman"/>
          <w:color w:val="FF0000"/>
          <w:sz w:val="24"/>
          <w:szCs w:val="24"/>
          <w:u w:val="single"/>
        </w:rPr>
      </w:pPr>
      <w:r w:rsidRPr="00717E24">
        <w:rPr>
          <w:rFonts w:ascii="Times New Roman" w:hAnsi="Times New Roman" w:cs="Times New Roman"/>
          <w:color w:val="FF0000"/>
          <w:sz w:val="24"/>
          <w:szCs w:val="24"/>
          <w:u w:val="single"/>
        </w:rPr>
        <w:t>Mantener los tipos en mínimos históricos mientras alimenta la temida estanflación.</w:t>
      </w:r>
    </w:p>
    <w:p w:rsidR="007031A1" w:rsidRPr="00717E24" w:rsidRDefault="007031A1" w:rsidP="007031A1">
      <w:pPr>
        <w:spacing w:line="240" w:lineRule="auto"/>
        <w:jc w:val="both"/>
        <w:rPr>
          <w:rFonts w:ascii="Times New Roman" w:hAnsi="Times New Roman" w:cs="Times New Roman"/>
          <w:color w:val="FF0000"/>
          <w:sz w:val="24"/>
          <w:szCs w:val="24"/>
          <w:u w:val="single"/>
        </w:rPr>
      </w:pPr>
      <w:r w:rsidRPr="00717E24">
        <w:rPr>
          <w:rFonts w:ascii="Times New Roman" w:hAnsi="Times New Roman" w:cs="Times New Roman"/>
          <w:color w:val="FF0000"/>
          <w:sz w:val="24"/>
          <w:szCs w:val="24"/>
          <w:u w:val="single"/>
        </w:rPr>
        <w:t>Racionaliza la política monetaria, sube tipos y se arriesga a una situación de restricción de crédito similar a la de 2011/2012.</w:t>
      </w:r>
    </w:p>
    <w:p w:rsidR="007031A1" w:rsidRPr="00717E24" w:rsidRDefault="007031A1" w:rsidP="007031A1">
      <w:pPr>
        <w:spacing w:line="240" w:lineRule="auto"/>
        <w:jc w:val="both"/>
        <w:rPr>
          <w:rFonts w:ascii="Times New Roman" w:hAnsi="Times New Roman" w:cs="Times New Roman"/>
          <w:sz w:val="24"/>
          <w:szCs w:val="24"/>
          <w:u w:val="single"/>
        </w:rPr>
      </w:pPr>
      <w:r w:rsidRPr="00717E24">
        <w:rPr>
          <w:rFonts w:ascii="Times New Roman" w:hAnsi="Times New Roman" w:cs="Times New Roman"/>
          <w:sz w:val="24"/>
          <w:szCs w:val="24"/>
          <w:u w:val="single"/>
        </w:rPr>
        <w:t>Dicho de otra manera: Tras 7 años de QE y de política monetaria insana, el BCE ha llegado a un callejón sin salida que pone a la Eurozona en una situación muy sensible incluso ya en este año.</w:t>
      </w:r>
    </w:p>
    <w:p w:rsidR="007031A1" w:rsidRPr="008C7C25" w:rsidRDefault="007031A1" w:rsidP="007031A1">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Lo que es evidente es que, aún con el mayor impulso monetario de la historia reciente (recordemos que el BCE ya supera el 70% de la Eurozona y mantiene el programa de compra de bonos covid19 hasta marzo), Europa muestra una desaceleración</w:t>
      </w:r>
      <w:r>
        <w:rPr>
          <w:rFonts w:ascii="Times New Roman" w:hAnsi="Times New Roman" w:cs="Times New Roman"/>
          <w:sz w:val="24"/>
          <w:szCs w:val="24"/>
        </w:rPr>
        <w:t xml:space="preserve"> económica más que preocupante.</w:t>
      </w:r>
    </w:p>
    <w:p w:rsidR="007031A1" w:rsidRPr="008C7C25" w:rsidRDefault="007031A1" w:rsidP="007031A1">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Alemania, Italia, España...</w:t>
      </w:r>
    </w:p>
    <w:p w:rsidR="007031A1" w:rsidRPr="008C7C25" w:rsidRDefault="007031A1" w:rsidP="007031A1">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El caso más ilustrativo es Alemania, que ha hecho público un dato de PIB del -0,7% trimestral para el último trimestre de 2021. El consumo y la inversión pri</w:t>
      </w:r>
      <w:r>
        <w:rPr>
          <w:rFonts w:ascii="Times New Roman" w:hAnsi="Times New Roman" w:cs="Times New Roman"/>
          <w:sz w:val="24"/>
          <w:szCs w:val="24"/>
        </w:rPr>
        <w:t>vada</w:t>
      </w:r>
      <w:r w:rsidRPr="008C7C25">
        <w:rPr>
          <w:rFonts w:ascii="Times New Roman" w:hAnsi="Times New Roman" w:cs="Times New Roman"/>
          <w:sz w:val="24"/>
          <w:szCs w:val="24"/>
        </w:rPr>
        <w:t xml:space="preserve"> evolucionan el negativo, y tan sólo la inversión pública (programas de estímulos) salvan al paí</w:t>
      </w:r>
      <w:r>
        <w:rPr>
          <w:rFonts w:ascii="Times New Roman" w:hAnsi="Times New Roman" w:cs="Times New Roman"/>
          <w:sz w:val="24"/>
          <w:szCs w:val="24"/>
        </w:rPr>
        <w:t>s de un dato aún peor.</w:t>
      </w:r>
    </w:p>
    <w:p w:rsidR="007031A1" w:rsidRPr="008C7C25" w:rsidRDefault="007031A1" w:rsidP="007031A1">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Merece la pena recordar que Alemania empezó a dar muestras de debilidad en los indicadores adelantados de actividad económica ya en el mes de octubre, y no se ha recuperado desde entonces. Es cierto que es un país muy dependiente del sector industrial y, por lo tanto, altamente afectado por las rupturas de las cadenas de valor a nivel global, los cuellos de botella y la inflación de bienes industriales. Pero no es menos cierto que hay otros países que también tienen unas características similares y, hasta</w:t>
      </w:r>
      <w:r>
        <w:rPr>
          <w:rFonts w:ascii="Times New Roman" w:hAnsi="Times New Roman" w:cs="Times New Roman"/>
          <w:sz w:val="24"/>
          <w:szCs w:val="24"/>
        </w:rPr>
        <w:t xml:space="preserve"> ahora, han evolucionado mejor.</w:t>
      </w:r>
    </w:p>
    <w:p w:rsidR="007031A1" w:rsidRPr="008C7C25" w:rsidRDefault="007031A1" w:rsidP="007031A1">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Un ejemplo es Italia, que ha mantenido unos niveles de crecimiento sólidos durante el último trimestre del año (de hecho ha sido la gran economía que más ha crecido en los últimos tres meses)… aunque el dato de actividad económica adelantado de enero la sitúa al borde de la recesión.</w:t>
      </w:r>
    </w:p>
    <w:p w:rsidR="007031A1" w:rsidRPr="008C7C25" w:rsidRDefault="007031A1" w:rsidP="007031A1">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lastRenderedPageBreak/>
        <w:t>España, con un modelo productivo muy distinto a los dos anteriores y sin apenas restricciones por esta última ola Covid19 también arroja indicadores adelantados y de coyuntura (comercio minorista, ISM compuesto, demanda de electricidad, etc.) muy débiles,</w:t>
      </w:r>
      <w:r>
        <w:rPr>
          <w:rFonts w:ascii="Times New Roman" w:hAnsi="Times New Roman" w:cs="Times New Roman"/>
          <w:sz w:val="24"/>
          <w:szCs w:val="24"/>
        </w:rPr>
        <w:t xml:space="preserve"> e incluso algunos en negativo.</w:t>
      </w:r>
    </w:p>
    <w:p w:rsidR="007031A1" w:rsidRPr="00D82D52" w:rsidRDefault="007031A1" w:rsidP="007031A1">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O, dicho de otra manera: 3 de las 4 grandes economías de la Eurozona muestran ya un claro patrón de desaceleración económica, o muestran indicios de que podrían comenzar a mostrarlos en los próximos meses.</w:t>
      </w:r>
    </w:p>
    <w:p w:rsidR="007031A1" w:rsidRPr="008C7C25" w:rsidRDefault="007031A1" w:rsidP="007031A1">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La inflación, al alza</w:t>
      </w:r>
    </w:p>
    <w:p w:rsidR="007031A1" w:rsidRPr="008C7C25" w:rsidRDefault="007031A1" w:rsidP="007031A1">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Mientras, la inflación continúa al alza, supera el 5% y ya tiene a dos grandes economías como Alemania y</w:t>
      </w:r>
      <w:r>
        <w:rPr>
          <w:rFonts w:ascii="Times New Roman" w:hAnsi="Times New Roman" w:cs="Times New Roman"/>
          <w:sz w:val="24"/>
          <w:szCs w:val="24"/>
        </w:rPr>
        <w:t xml:space="preserve"> España en niveles inasumibles.</w:t>
      </w:r>
    </w:p>
    <w:p w:rsidR="007031A1" w:rsidRPr="008C7C25" w:rsidRDefault="007031A1" w:rsidP="007031A1">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Hace ya algunos meses anticipé en público que 2022 podría ser el año en el que algunos países, entre ellos el nuestro, ya podrían entrar en un escenario de estanflación (crecimiento económico muy bajo e inflación elevada). Pueden leer el artículo aquí. Los datos evidencian una clara tendencia a este escenario, que podría empeorar si la FED ejecuta la subida de tipos prevista y añade una presión infl</w:t>
      </w:r>
      <w:r>
        <w:rPr>
          <w:rFonts w:ascii="Times New Roman" w:hAnsi="Times New Roman" w:cs="Times New Roman"/>
          <w:sz w:val="24"/>
          <w:szCs w:val="24"/>
        </w:rPr>
        <w:t>acionista más a la UE.</w:t>
      </w:r>
    </w:p>
    <w:p w:rsidR="007031A1" w:rsidRDefault="007031A1" w:rsidP="007031A1">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Además, la subida de tipos de interés de los bonos soberanos es un hecho y comienza a ser motivo de debate y preocupación en algunas casas de analista por sus efectos sobre la solvencia de algunas grandes empresas y, sobre todo países. Hay a quien le sorprende que los tipos estén subiendo en todos los segmentos de la curva, y tanto en países considerados seguros como en los que tenemos una calidad crediticia menor.</w:t>
      </w:r>
    </w:p>
    <w:p w:rsidR="007031A1" w:rsidRPr="008C7C25" w:rsidRDefault="007031A1" w:rsidP="007031A1">
      <w:pPr>
        <w:spacing w:line="240" w:lineRule="auto"/>
        <w:jc w:val="both"/>
        <w:rPr>
          <w:rFonts w:ascii="Times New Roman" w:hAnsi="Times New Roman" w:cs="Times New Roman"/>
          <w:sz w:val="24"/>
          <w:szCs w:val="24"/>
        </w:rPr>
      </w:pPr>
      <w:r>
        <w:rPr>
          <w:noProof/>
          <w:lang w:val="en-GB" w:eastAsia="zh-CN"/>
        </w:rPr>
        <w:drawing>
          <wp:inline distT="0" distB="0" distL="0" distR="0">
            <wp:extent cx="5727700" cy="3003550"/>
            <wp:effectExtent l="0" t="0" r="6350" b="6350"/>
            <wp:docPr id="21" name="Imagen 21" descr="bond-yiel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nd-yields.jpg"/>
                    <pic:cNvPicPr>
                      <a:picLocks noChangeAspect="1" noChangeArrowheads="1"/>
                    </pic:cNvPicPr>
                  </pic:nvPicPr>
                  <pic:blipFill>
                    <a:blip r:embed="rId1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3003550"/>
                    </a:xfrm>
                    <a:prstGeom prst="rect">
                      <a:avLst/>
                    </a:prstGeom>
                    <a:noFill/>
                    <a:ln>
                      <a:noFill/>
                    </a:ln>
                  </pic:spPr>
                </pic:pic>
              </a:graphicData>
            </a:graphic>
          </wp:inline>
        </w:drawing>
      </w:r>
    </w:p>
    <w:p w:rsidR="007031A1" w:rsidRPr="00D82D52" w:rsidRDefault="007031A1" w:rsidP="007031A1">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Que los tipos iban a subir era evidente. Lo advertimos en esta columna en el análisis de perspectivas para 2022 y afinamos en</w:t>
      </w:r>
      <w:r>
        <w:rPr>
          <w:rFonts w:ascii="Times New Roman" w:hAnsi="Times New Roman" w:cs="Times New Roman"/>
          <w:sz w:val="24"/>
          <w:szCs w:val="24"/>
          <w:u w:val="single"/>
        </w:rPr>
        <w:t xml:space="preserve"> el análisis hace 15 días</w:t>
      </w:r>
      <w:r w:rsidRPr="00D82D52">
        <w:rPr>
          <w:rFonts w:ascii="Times New Roman" w:hAnsi="Times New Roman" w:cs="Times New Roman"/>
          <w:sz w:val="24"/>
          <w:szCs w:val="24"/>
          <w:u w:val="single"/>
        </w:rPr>
        <w:t>, la gran pregunta es cuál será el ritmo de subida y, sobre todo, si se producirá una divergencia entre los activos de riesgo y los seguros, que se mostraría en un repunte de las primas de riesgo.</w:t>
      </w:r>
    </w:p>
    <w:p w:rsidR="007031A1" w:rsidRDefault="007031A1" w:rsidP="007031A1">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 xml:space="preserve">Por el momento este fenómeno no se ha producido a una escala relevante, aunque la encuesta de condiciones de crédito que ha hecho pública el BCE ya recoge un empeoramiento de las </w:t>
      </w:r>
      <w:r w:rsidRPr="008C7C25">
        <w:rPr>
          <w:rFonts w:ascii="Times New Roman" w:hAnsi="Times New Roman" w:cs="Times New Roman"/>
          <w:sz w:val="24"/>
          <w:szCs w:val="24"/>
        </w:rPr>
        <w:lastRenderedPageBreak/>
        <w:t>condiciones de financiación en países como el nuestro, motivada por una percepción de riesgo claramente al alza por la que los bancos necesitan cubrirse.</w:t>
      </w:r>
    </w:p>
    <w:p w:rsidR="007031A1" w:rsidRPr="008C7C25" w:rsidRDefault="007031A1" w:rsidP="007031A1">
      <w:pPr>
        <w:spacing w:line="240" w:lineRule="auto"/>
        <w:jc w:val="both"/>
        <w:rPr>
          <w:rFonts w:ascii="Times New Roman" w:hAnsi="Times New Roman" w:cs="Times New Roman"/>
          <w:sz w:val="24"/>
          <w:szCs w:val="24"/>
        </w:rPr>
      </w:pPr>
      <w:r>
        <w:rPr>
          <w:noProof/>
          <w:lang w:val="en-GB" w:eastAsia="zh-CN"/>
        </w:rPr>
        <w:drawing>
          <wp:inline distT="0" distB="0" distL="0" distR="0">
            <wp:extent cx="5727700" cy="3784600"/>
            <wp:effectExtent l="0" t="0" r="6350" b="6350"/>
            <wp:docPr id="22" name="Imagen 22" descr="condiciones-de-credi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ndiciones-de-credito.jpg"/>
                    <pic:cNvPicPr>
                      <a:picLocks noChangeAspect="1" noChangeArrowheads="1"/>
                    </pic:cNvPicPr>
                  </pic:nvPicPr>
                  <pic:blipFill>
                    <a:blip r:embed="rId1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3784600"/>
                    </a:xfrm>
                    <a:prstGeom prst="rect">
                      <a:avLst/>
                    </a:prstGeom>
                    <a:noFill/>
                    <a:ln>
                      <a:noFill/>
                    </a:ln>
                  </pic:spPr>
                </pic:pic>
              </a:graphicData>
            </a:graphic>
          </wp:inline>
        </w:drawing>
      </w:r>
    </w:p>
    <w:p w:rsidR="007031A1" w:rsidRPr="00D82D52" w:rsidRDefault="007031A1" w:rsidP="007031A1">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¿Primer paso hacia la crisis bancaria? ¿Un asunto puramente coyuntural? Veremos. Por el momento, son solo indicios, aunque los riesgos siguen siendo solamente a la baja.</w:t>
      </w:r>
    </w:p>
    <w:p w:rsidR="007031A1" w:rsidRPr="00D82D52" w:rsidRDefault="007031A1" w:rsidP="007031A1">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Todo lo anterior, y esto es importante remarcarlo, se produce en un contexto de estímulos fiscales y monetarios sin precedentes en la historia, lo cual es aún más preocupante.</w:t>
      </w:r>
    </w:p>
    <w:p w:rsidR="007031A1" w:rsidRPr="00D82D52" w:rsidRDefault="007031A1" w:rsidP="007031A1">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¿El BCE puede frenar esta situación? Sí. Pero para eso tiene que cambiar su estrategia de política monetaria: Subir tipos y retirar estímulos.</w:t>
      </w:r>
    </w:p>
    <w:p w:rsidR="007031A1" w:rsidRPr="00D82D52" w:rsidRDefault="007031A1" w:rsidP="007031A1">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¿Lo hará? En mi opinión, pocas alternativas le quedarán a finales de este año. Y la contrapartida será una economía muy débil, muy endeudada y con graves desequilibrios macroeconómicos que podrían explotar ante cualquier mínimo empeoramiento de las condiciones financieras.</w:t>
      </w:r>
    </w:p>
    <w:p w:rsidR="007031A1" w:rsidRPr="008C7C25" w:rsidRDefault="007031A1" w:rsidP="007031A1">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Las subidas de tipos de la deuda pública ya están produciendo un encarecimiento del crédito bancario a empresas y particulares por puro efecto arrastre. El Euríbor, principal índice de referencia para las hipotecas. Por el momento, el tipo ESTER (tipo de interés de referencia para los préstamos del mercado interbancario a un día, la antigua EONIA) se mantiene estable, en niveles de hace 3 años. Este es el verdadero indicador que mide el estado de los mercados financieros internacionales y el que puede desencadenar un empeoramiento masivo de las condiciones de cré</w:t>
      </w:r>
      <w:r>
        <w:rPr>
          <w:rFonts w:ascii="Times New Roman" w:hAnsi="Times New Roman" w:cs="Times New Roman"/>
          <w:sz w:val="24"/>
          <w:szCs w:val="24"/>
        </w:rPr>
        <w:t>dito en países como el nuestro.</w:t>
      </w:r>
    </w:p>
    <w:p w:rsidR="007031A1" w:rsidRDefault="007031A1" w:rsidP="007031A1">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En resumen: Mi opinión es que el BCE subirá tipos a finales de año, tal y como descuenta el mercado, aunque los riesgos sean muy alto y las condiciones ciertamente inciertas. No por convicción, sino por ausencia de alternativas. Llevamos años transitando por un callejón sin salida del que ya vemos el final.</w:t>
      </w:r>
    </w:p>
    <w:p w:rsidR="00B20080" w:rsidRPr="00717E24" w:rsidRDefault="00B20080" w:rsidP="00F73809">
      <w:pPr>
        <w:spacing w:line="240" w:lineRule="auto"/>
        <w:jc w:val="both"/>
        <w:rPr>
          <w:rFonts w:ascii="Times New Roman" w:hAnsi="Times New Roman" w:cs="Times New Roman"/>
          <w:sz w:val="24"/>
          <w:szCs w:val="24"/>
          <w:u w:val="single"/>
        </w:rPr>
      </w:pPr>
      <w:r w:rsidRPr="00717E24">
        <w:rPr>
          <w:rFonts w:ascii="Times New Roman" w:hAnsi="Times New Roman" w:cs="Times New Roman"/>
          <w:sz w:val="24"/>
          <w:szCs w:val="24"/>
          <w:u w:val="single"/>
        </w:rPr>
        <w:lastRenderedPageBreak/>
        <w:t>La debacle del euro pone más presión al BCE</w:t>
      </w:r>
    </w:p>
    <w:p w:rsidR="00B20080" w:rsidRPr="00717E24" w:rsidRDefault="00B20080" w:rsidP="00B20080">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 xml:space="preserve"> “</w:t>
      </w:r>
      <w:r w:rsidR="00F73809" w:rsidRPr="00717E24">
        <w:rPr>
          <w:rFonts w:ascii="Times New Roman" w:hAnsi="Times New Roman" w:cs="Times New Roman"/>
          <w:sz w:val="24"/>
          <w:szCs w:val="24"/>
        </w:rPr>
        <w:t xml:space="preserve">La presión sobre el Banco Central Europeo para que comience a subir los tipos de interés es cada vez mayor y llega por diferentes frentes. Por un lado, el IPC sigue en máximos de la corta historia del bloque. Por otro, mirando algo más al futuro, los precios de producción industrial (tardan unos seis meses en trasladarse por completo al IPC) siguen marcando nuevos máximos. Por si esto fuera poco, ahora se le une la debilidad del euro, que amenaza con disparar los precios de importación (muchos de ellos denominados en dólares) y sumarse a la presión inflacionaria. El BCE no apunta directamente al tipo de cambio, pero sí lo tiene en cuenta por su posible impacto en la inflación, como ya reconoció años atrás, aunque por motivos opuestos a los actuales. Esta </w:t>
      </w:r>
      <w:r w:rsidRPr="00717E24">
        <w:rPr>
          <w:rFonts w:ascii="Times New Roman" w:hAnsi="Times New Roman" w:cs="Times New Roman"/>
          <w:sz w:val="24"/>
          <w:szCs w:val="24"/>
        </w:rPr>
        <w:t xml:space="preserve">vez sí, el BCE tiene que actuar”… (El Economista - </w:t>
      </w:r>
      <w:r w:rsidRPr="00717E24">
        <w:rPr>
          <w:rFonts w:ascii="Times New Roman" w:hAnsi="Times New Roman" w:cs="Times New Roman"/>
          <w:b/>
          <w:sz w:val="24"/>
          <w:szCs w:val="24"/>
        </w:rPr>
        <w:t>6/5/22</w:t>
      </w:r>
      <w:r w:rsidRPr="00717E24">
        <w:rPr>
          <w:rFonts w:ascii="Times New Roman" w:hAnsi="Times New Roman" w:cs="Times New Roman"/>
          <w:sz w:val="24"/>
          <w:szCs w:val="24"/>
        </w:rPr>
        <w:t>)</w:t>
      </w:r>
    </w:p>
    <w:p w:rsidR="00F73809" w:rsidRPr="00717E24" w:rsidRDefault="00F73809" w:rsidP="00F73809">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La invasión de Rusia a Ucrania ha supuesto un duro golpe para la cotización del euro. A esta debilidad del propio euro que se puede observar en el índice que pondera el tipo de cambio de la divisa única con una cesta de las monedas más importantes, se le une la fortaleza del dólar (se prevé una Fed relativamente más agresiva, una economía que crecerá más y su función como activo refugio). La combinación de ambas tendencias divergentes ha generado una tormenta perfecta para el euro en su cruce contra la divisa americana. Algunos analistas, como los de Commerzbank, están proyectando escenarios en los que el euro cae hasta la paridad con el dólar o incluso por debajo (la última vez que el euro y el dólar valieron lo mismo fue en 2002).</w:t>
      </w:r>
    </w:p>
    <w:p w:rsidR="00F73809" w:rsidRPr="00717E24" w:rsidRDefault="00F73809" w:rsidP="00F73809">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“Actualmente, el euro está sufriendo mucho por la incertidumbre sobre los futuros acontecimientos en torno a la guerra de Ucrania. Después de todo, la espada de Damocles de una crisis energética pende sobre la UE, sobre todo si decide implementar un embargo de las fuentes de energía rusas o si la parte rusa interrumpe el suministro de energía que envía a Occidente de forma generalizada. En ese caso, el euro caería por debajo de la paridad con el dólar”, advierten los expertos de Commerzbank en su informe semanal</w:t>
      </w:r>
      <w:r w:rsidR="00B20080" w:rsidRPr="00717E24">
        <w:rPr>
          <w:rFonts w:ascii="Times New Roman" w:hAnsi="Times New Roman" w:cs="Times New Roman"/>
          <w:sz w:val="24"/>
          <w:szCs w:val="24"/>
        </w:rPr>
        <w:t xml:space="preserve"> (principios de junio)</w:t>
      </w:r>
      <w:r w:rsidRPr="00717E24">
        <w:rPr>
          <w:rFonts w:ascii="Times New Roman" w:hAnsi="Times New Roman" w:cs="Times New Roman"/>
          <w:sz w:val="24"/>
          <w:szCs w:val="24"/>
        </w:rPr>
        <w:t>.</w:t>
      </w:r>
    </w:p>
    <w:p w:rsidR="00F73809" w:rsidRPr="00717E24" w:rsidRDefault="00F73809" w:rsidP="00F73809">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No obstante, aunque la crisis energética aún no sea una realidad completa y absoluta, “este riesgo ya está debilitando la moneda europea”. A su vez, esta depreciación del euro vuelve a retroalimentar la subida de los precios. Una buena muestra es el índice de precios al productor (IPP) que esta semana ha vuelto a alcanzar un máximo histórico tras presentar una tasa de variación del 36,8% interanual, mientras que la mensual supera el 5%.</w:t>
      </w:r>
    </w:p>
    <w:p w:rsidR="00F73809" w:rsidRPr="00717E24" w:rsidRDefault="00F73809" w:rsidP="00F73809">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En su cruce contra el dólar, el euro acumula ya cuatro meses consecutivos a la baja. Desde diciembre, la caída contra el “billete verde” supera el 7,6%. El euro ha llegado a perder los 1,05 dólares en los últimos días, unos niveles que no se veían desde principios de 2017. A primera vista, la caída del euro podría parecer una bendición para el bloque, puesto que abarata en términos relativos los bienes y servicios “made in Eurozone”, lo que en teoría debería permitir un auge de las exportaciones y una mayor cuota de mercado. Pero esta vez, con la inflación ya disparada, el perjuicio puede ser mayor que el beneficio, lo que forzaría al BCE a actuar para evitar que las expectativas se desanclen.</w:t>
      </w:r>
    </w:p>
    <w:p w:rsidR="00F73809" w:rsidRPr="00717E24" w:rsidRDefault="00F73809" w:rsidP="00F73809">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William De Vijlder, economista de BNP Paribas, señala en un comentario para clientes que “a primera vista, la importante depreciación del euro parece una bendición para el BCE y la Eurozona. A través de su efecto mecánico sobre los precios de importación, debería eliminar cualquier duda que quede sobre la necesidad de aumentar los tipos de interés”. Mayor demanda externa (exportaciones) y unos precios más elevados (importaciones) ponen en bandeja la subida de tipos del BCE. Pero como de costumbre, todo lo que pasa en la Eurozona parece tener un doble filo que termina hiriendo a la economía.</w:t>
      </w:r>
    </w:p>
    <w:p w:rsidR="00F73809" w:rsidRPr="00B20080" w:rsidRDefault="00F73809" w:rsidP="00F73809">
      <w:pPr>
        <w:spacing w:line="240" w:lineRule="auto"/>
        <w:jc w:val="both"/>
        <w:rPr>
          <w:rFonts w:ascii="Times New Roman" w:hAnsi="Times New Roman" w:cs="Times New Roman"/>
          <w:sz w:val="24"/>
          <w:szCs w:val="24"/>
        </w:rPr>
      </w:pPr>
      <w:r w:rsidRPr="00B20080">
        <w:rPr>
          <w:rFonts w:ascii="Times New Roman" w:hAnsi="Times New Roman" w:cs="Times New Roman"/>
          <w:sz w:val="24"/>
          <w:szCs w:val="24"/>
        </w:rPr>
        <w:lastRenderedPageBreak/>
        <w:t>El experto de BNP Paribas comenta que “tras una inspección más cercana, existe la preocupación de que un euro más débil, a través de su efecto sobre la inflación y, por lo tanto, el poder adquisitivo de los hogares, termine pesando sobre el crecimiento”. No obstante, para impedir que el euro siga depreciándose, la única opción a corto plazo es que el BCE sea más agresivo con su política o que la guerra termina cuanto antes. Al final, todos los caminos parecen conducir a un endurecimiento de la política monetaria.</w:t>
      </w:r>
    </w:p>
    <w:p w:rsidR="00F73809" w:rsidRDefault="00F73809" w:rsidP="00F73809">
      <w:pPr>
        <w:spacing w:line="240" w:lineRule="auto"/>
        <w:jc w:val="both"/>
        <w:rPr>
          <w:rFonts w:ascii="Times New Roman" w:hAnsi="Times New Roman" w:cs="Times New Roman"/>
          <w:sz w:val="24"/>
          <w:szCs w:val="24"/>
        </w:rPr>
      </w:pPr>
      <w:r w:rsidRPr="00F6778D">
        <w:rPr>
          <w:rFonts w:ascii="Times New Roman" w:hAnsi="Times New Roman" w:cs="Times New Roman"/>
          <w:noProof/>
          <w:sz w:val="24"/>
          <w:szCs w:val="24"/>
          <w:lang w:val="en-GB" w:eastAsia="zh-CN"/>
        </w:rPr>
        <w:drawing>
          <wp:inline distT="0" distB="0" distL="0" distR="0">
            <wp:extent cx="5732512" cy="3175000"/>
            <wp:effectExtent l="0" t="0" r="1905" b="63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3174445"/>
                    </a:xfrm>
                    <a:prstGeom prst="rect">
                      <a:avLst/>
                    </a:prstGeom>
                  </pic:spPr>
                </pic:pic>
              </a:graphicData>
            </a:graphic>
          </wp:inline>
        </w:drawing>
      </w:r>
    </w:p>
    <w:p w:rsidR="00306926" w:rsidRPr="003601C7" w:rsidRDefault="00306926" w:rsidP="0030692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601C7">
        <w:rPr>
          <w:rFonts w:ascii="Times New Roman" w:hAnsi="Times New Roman" w:cs="Times New Roman"/>
          <w:sz w:val="24"/>
          <w:szCs w:val="24"/>
          <w:u w:val="single"/>
        </w:rPr>
        <w:t>El alza de tipos en EEUU y Europa: ¿aterrizaje suave o final de una era</w:t>
      </w:r>
      <w:r w:rsidRPr="003601C7">
        <w:rPr>
          <w:rFonts w:ascii="Times New Roman" w:hAnsi="Times New Roman" w:cs="Times New Roman"/>
          <w:sz w:val="24"/>
          <w:szCs w:val="24"/>
        </w:rPr>
        <w:t>?</w:t>
      </w:r>
      <w:r>
        <w:rPr>
          <w:rFonts w:ascii="Times New Roman" w:hAnsi="Times New Roman" w:cs="Times New Roman"/>
          <w:sz w:val="24"/>
          <w:szCs w:val="24"/>
        </w:rPr>
        <w:t xml:space="preserve"> (Cinco Días - </w:t>
      </w:r>
      <w:r w:rsidRPr="003601C7">
        <w:rPr>
          <w:rFonts w:ascii="Times New Roman" w:hAnsi="Times New Roman" w:cs="Times New Roman"/>
          <w:b/>
          <w:sz w:val="24"/>
          <w:szCs w:val="24"/>
        </w:rPr>
        <w:t>17/5/22</w:t>
      </w:r>
      <w:r>
        <w:rPr>
          <w:rFonts w:ascii="Times New Roman" w:hAnsi="Times New Roman" w:cs="Times New Roman"/>
          <w:sz w:val="24"/>
          <w:szCs w:val="24"/>
        </w:rPr>
        <w:t>)</w:t>
      </w:r>
    </w:p>
    <w:p w:rsidR="00306926" w:rsidRPr="003601C7" w:rsidRDefault="00306926" w:rsidP="0030692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601C7">
        <w:rPr>
          <w:rFonts w:ascii="Times New Roman" w:hAnsi="Times New Roman" w:cs="Times New Roman"/>
          <w:sz w:val="24"/>
          <w:szCs w:val="24"/>
        </w:rPr>
        <w:t>Alexandre Muns</w:t>
      </w:r>
      <w:r>
        <w:rPr>
          <w:rFonts w:ascii="Times New Roman" w:hAnsi="Times New Roman" w:cs="Times New Roman"/>
          <w:sz w:val="24"/>
          <w:szCs w:val="24"/>
        </w:rPr>
        <w:t>)</w:t>
      </w:r>
    </w:p>
    <w:p w:rsidR="00306926" w:rsidRPr="00882141" w:rsidRDefault="00306926" w:rsidP="00306926">
      <w:pPr>
        <w:spacing w:line="240" w:lineRule="auto"/>
        <w:jc w:val="both"/>
        <w:rPr>
          <w:rFonts w:ascii="Times New Roman" w:hAnsi="Times New Roman" w:cs="Times New Roman"/>
          <w:sz w:val="24"/>
          <w:szCs w:val="24"/>
          <w:u w:val="single"/>
        </w:rPr>
      </w:pPr>
      <w:r w:rsidRPr="00882141">
        <w:rPr>
          <w:rFonts w:ascii="Times New Roman" w:hAnsi="Times New Roman" w:cs="Times New Roman"/>
          <w:sz w:val="24"/>
          <w:szCs w:val="24"/>
          <w:u w:val="single"/>
        </w:rPr>
        <w:t>Los bancos centrales no supieron contener a tiempo la inflación de los setenta. El resultado fue la temida estanflación: altas tasas de inflación, interés y desempleo. Se dispararon los precios de los hidrocarburos después de los dos choques petroleros de los setenta. En 1979, Paul Volcker se convirtió en presidente de la Reserva Federal. La inflación había alcanzado el 9%. La Fed elevó los tipos hasta el 20%. En 1983 la inflación se situó por debajo del 3%. Pero el precio de atajarla fue un desempleo del 20% y las recesiones que padecieron EEUU en 1981-82 y la mayoría de las potencias del G7 entre 1980 y 1983. Las tasas de paro de los países desarrollados se mantuvieron altas hasta 1985.</w:t>
      </w:r>
    </w:p>
    <w:p w:rsidR="00306926" w:rsidRPr="003601C7" w:rsidRDefault="00306926" w:rsidP="00306926">
      <w:pPr>
        <w:spacing w:line="240" w:lineRule="auto"/>
        <w:jc w:val="both"/>
        <w:rPr>
          <w:rFonts w:ascii="Times New Roman" w:hAnsi="Times New Roman" w:cs="Times New Roman"/>
          <w:sz w:val="24"/>
          <w:szCs w:val="24"/>
        </w:rPr>
      </w:pPr>
      <w:r w:rsidRPr="00882141">
        <w:rPr>
          <w:rFonts w:ascii="Times New Roman" w:hAnsi="Times New Roman" w:cs="Times New Roman"/>
          <w:sz w:val="24"/>
          <w:szCs w:val="24"/>
          <w:u w:val="single"/>
        </w:rPr>
        <w:t>Durante las subsiguientes crisis económicas internacionales (financiera y de la eurozona 2009-2013, y la causada por el Covid-19) la Fed y los otros bancos centrales han situado los tipos cerca del 0%. Después los elevaron gradualmente a cotas bajas a medida que se recuperó el crecimiento y empleo.</w:t>
      </w:r>
      <w:r w:rsidRPr="003601C7">
        <w:rPr>
          <w:rFonts w:ascii="Times New Roman" w:hAnsi="Times New Roman" w:cs="Times New Roman"/>
          <w:sz w:val="24"/>
          <w:szCs w:val="24"/>
        </w:rPr>
        <w:t xml:space="preserve"> Los confinamientos y el atasco de las cadenas de producción y suministro han impedido satisfacer la demanda de bienes que repuntó con fuerza al levantarse las restricciones. En muchos países desarrollados, profesionales de algunos sectores (aerolíneas) aprovecharon el Covid-19 para jubilarse. No hay suficientes conductores de camión ni personal cualificado en los puertos. China se empeña en una política de erradicación completa de casos de Covid criticada por la OMS. Shanghái es una metrópolis de 25 millones de personas, el mayor puerto mundial desde 2011 y el origen del 27% de las exportaciones chinas en 2021. Su confinamiento total es contraproducente.</w:t>
      </w:r>
    </w:p>
    <w:p w:rsidR="00306926" w:rsidRPr="00882141" w:rsidRDefault="00306926" w:rsidP="00306926">
      <w:pPr>
        <w:spacing w:line="240" w:lineRule="auto"/>
        <w:jc w:val="both"/>
        <w:rPr>
          <w:rFonts w:ascii="Times New Roman" w:hAnsi="Times New Roman" w:cs="Times New Roman"/>
          <w:sz w:val="24"/>
          <w:szCs w:val="24"/>
          <w:u w:val="single"/>
        </w:rPr>
      </w:pPr>
      <w:r w:rsidRPr="00882141">
        <w:rPr>
          <w:rFonts w:ascii="Times New Roman" w:hAnsi="Times New Roman" w:cs="Times New Roman"/>
          <w:sz w:val="24"/>
          <w:szCs w:val="24"/>
          <w:u w:val="single"/>
        </w:rPr>
        <w:lastRenderedPageBreak/>
        <w:t>Entre marzo de 2020 y noviembre de 2021, el Congreso de EEUU aprobó cuatro paquetes de estímulo por un valor conjunto de 5,1 billones de dólares. Son el Cares Act de marzo de 2020 (2,1 billones), el paquete de diciembre de 2020 (900.000 millones), el American Rescue Plan de marzo de 2021 (1,1 billones) y el programa de modernización de infraestructuras de 1 billón. Protegieron a la parte de la población y empresas más vulnerables ante la pandemia. Pero ningún país inyectó tanta liquidez. Se hinchó una burbuja bursátil alimentada por tipos bajos desde 2009. Muchos colectivos se han acostumbrado al teletrabajo o a vivir de las subvenciones otorgadas en dichos paquetes.</w:t>
      </w:r>
    </w:p>
    <w:p w:rsidR="00306926" w:rsidRPr="003601C7" w:rsidRDefault="00306926" w:rsidP="00306926">
      <w:pPr>
        <w:spacing w:line="240" w:lineRule="auto"/>
        <w:jc w:val="both"/>
        <w:rPr>
          <w:rFonts w:ascii="Times New Roman" w:hAnsi="Times New Roman" w:cs="Times New Roman"/>
          <w:sz w:val="24"/>
          <w:szCs w:val="24"/>
        </w:rPr>
      </w:pPr>
      <w:r w:rsidRPr="00882141">
        <w:rPr>
          <w:rFonts w:ascii="Times New Roman" w:hAnsi="Times New Roman" w:cs="Times New Roman"/>
          <w:sz w:val="24"/>
          <w:szCs w:val="24"/>
          <w:u w:val="single"/>
        </w:rPr>
        <w:t>La invasión de Ucrania por parte de Vladimir Putin en febrero acrecentó más la inflación. Se desbocó el precio del petróleo, gas natural, la vivienda y los alimentos. En 2021, la Fed y la Casa Blanca insistieron en que la inflación elevada era un fenómeno transitorio.</w:t>
      </w:r>
      <w:r w:rsidRPr="003601C7">
        <w:rPr>
          <w:rFonts w:ascii="Times New Roman" w:hAnsi="Times New Roman" w:cs="Times New Roman"/>
          <w:sz w:val="24"/>
          <w:szCs w:val="24"/>
        </w:rPr>
        <w:t xml:space="preserve"> El banco central de EEUU corrigió su error con un ascenso en marzo de su Federal Funds Rate de 25 puntos, el primero desde diciembre de 2018. La tasa de inflación interanual se situó en el 8,5% en marzo, la mayor subida desde 1981. La Fed se apresuró a incrementar el Federal Funds Rate en 50 puntos básicos el 4 de mayo. Fue la primera alza de 50 puntos básicos desde el año 2000. Los analistas prevén que la Fed incremente los tipos desde la horquilla de 0,75%-1% actual hasta 2,75%-3% a principios de 2023. El comunicado del Comité Federal de Política Monetaria asimismo anunció que la Fed empezaría a vender part</w:t>
      </w:r>
      <w:r>
        <w:rPr>
          <w:rFonts w:ascii="Times New Roman" w:hAnsi="Times New Roman" w:cs="Times New Roman"/>
          <w:sz w:val="24"/>
          <w:szCs w:val="24"/>
        </w:rPr>
        <w:t>e de sus 9 billones en activos.</w:t>
      </w:r>
    </w:p>
    <w:p w:rsidR="00306926" w:rsidRPr="00882141" w:rsidRDefault="00306926" w:rsidP="00306926">
      <w:pPr>
        <w:spacing w:line="240" w:lineRule="auto"/>
        <w:jc w:val="both"/>
        <w:rPr>
          <w:rFonts w:ascii="Times New Roman" w:hAnsi="Times New Roman" w:cs="Times New Roman"/>
          <w:sz w:val="24"/>
          <w:szCs w:val="24"/>
          <w:u w:val="single"/>
        </w:rPr>
      </w:pPr>
      <w:r w:rsidRPr="003601C7">
        <w:rPr>
          <w:rFonts w:ascii="Times New Roman" w:hAnsi="Times New Roman" w:cs="Times New Roman"/>
          <w:sz w:val="24"/>
          <w:szCs w:val="24"/>
        </w:rPr>
        <w:t xml:space="preserve">La subida de los intereses de las nuevas hipotecas o de las existentes con tipos variables ya ha ralentizado el sector inmobiliario en EEUU. El consumo aporta el 66% del PIB en EEUU. En los próximos meses los estadounidenses con hipotecas, deuda universitaria o de sus tarjetas de crédito tendrán que recortar su consumo. El PIB en el primer trimestre de 2022 se contrajo en un 1,4% respecto al último trimestre de 2021. Por otra parte, el mercado laboral no flaquea. En abril se generaron 428.000 empleos y el paro registró un 3,6%. El banco central de EEUU seguirá subiendo tipos en los próximos meses y analizando los confinamientos y el funcionamiento de las cadenas de producción y suministro. </w:t>
      </w:r>
      <w:r w:rsidRPr="00882141">
        <w:rPr>
          <w:rFonts w:ascii="Times New Roman" w:hAnsi="Times New Roman" w:cs="Times New Roman"/>
          <w:sz w:val="24"/>
          <w:szCs w:val="24"/>
          <w:u w:val="single"/>
        </w:rPr>
        <w:t>El tipo de referencia del Banco Central Europeo se ha mantenido en el 0,25%. En abril la inflación de la eurozona fue del 7,5%, la mayor desde la fundación de la moneda única en 1999. Se proyectan tres aumentos de tipos del BCE en 2022.</w:t>
      </w:r>
    </w:p>
    <w:p w:rsidR="00306926" w:rsidRPr="003601C7" w:rsidRDefault="00306926" w:rsidP="00306926">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El factor más difícil de pronosticar es la duración de la guerra en Ucrania. Las sanciones decretadas por el bloque occidental están haciendo mella. Un total de 433 empresas han suspendido la mayoría de sus actividades en Rusia y otras 331 se han retirado completamente del país. Pero entre dichas 764 empresas no hay casi ninguna de las potencias emergentes. China, India, Brasil, México, Indonesia y Turquía mantienen sus inversiones y comercio con Moscú. El PIB conjunto de los países aliados (EEUU, UE, Japón, Reino Unido, Corea, Australia, Taiwán, Singapur) supera los 55 billones. Pero es muy difícil aislar al país más grande del mundo si las mencionadas seis potencias emergentes (con una población de 3,3 billones y un PIB de 27 billones) mantienen sus inversiones y comercio con Rusia. Occidente puede tomar muchas medidas: suspender la unión aduanera de la UE con Turquía; sus aranceles preferenciales con Mercosur, India, México e Indonesia; revocar el acuerdo de suministro de tecnología nuclear civil de EEUU a la India; cortar el aprovisionamiento de GNL de EEUU a Turquía. Catar debe dejar d</w:t>
      </w:r>
      <w:r>
        <w:rPr>
          <w:rFonts w:ascii="Times New Roman" w:hAnsi="Times New Roman" w:cs="Times New Roman"/>
          <w:sz w:val="24"/>
          <w:szCs w:val="24"/>
        </w:rPr>
        <w:t>e exportar GNL a China e India.</w:t>
      </w:r>
    </w:p>
    <w:p w:rsidR="00306926" w:rsidRPr="005E0519" w:rsidRDefault="00306926" w:rsidP="00306926">
      <w:pPr>
        <w:spacing w:line="240" w:lineRule="auto"/>
        <w:jc w:val="both"/>
        <w:rPr>
          <w:rFonts w:ascii="Times New Roman" w:hAnsi="Times New Roman" w:cs="Times New Roman"/>
          <w:color w:val="FF0000"/>
          <w:sz w:val="24"/>
          <w:szCs w:val="24"/>
          <w:u w:val="single"/>
        </w:rPr>
      </w:pPr>
      <w:r w:rsidRPr="005E0519">
        <w:rPr>
          <w:rFonts w:ascii="Times New Roman" w:hAnsi="Times New Roman" w:cs="Times New Roman"/>
          <w:color w:val="FF0000"/>
          <w:sz w:val="24"/>
          <w:szCs w:val="24"/>
          <w:u w:val="single"/>
        </w:rPr>
        <w:t xml:space="preserve">Necesitamos un partenariado-público privado acelerado de construcción de plantas de licuefacción en EEUU y regasificación de GNL en Europa. En cinco meses ya hará frío en Europa. Sin más ambición diplomática, energética y militar, la guerra económica entre Occidente y Rusia provocará una recesión en EEUU y Europa. Jerome Powell admira a </w:t>
      </w:r>
      <w:r w:rsidRPr="005E0519">
        <w:rPr>
          <w:rFonts w:ascii="Times New Roman" w:hAnsi="Times New Roman" w:cs="Times New Roman"/>
          <w:color w:val="FF0000"/>
          <w:sz w:val="24"/>
          <w:szCs w:val="24"/>
          <w:u w:val="single"/>
        </w:rPr>
        <w:lastRenderedPageBreak/>
        <w:t>Volcker. Esperemos que ni él ni Christine Lagarde tengan que elevar los tipos tan drásticamente como lo hizo Volcker.</w:t>
      </w:r>
    </w:p>
    <w:p w:rsidR="00306926" w:rsidRDefault="00306926" w:rsidP="0030692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601C7">
        <w:rPr>
          <w:rFonts w:ascii="Times New Roman" w:hAnsi="Times New Roman" w:cs="Times New Roman"/>
          <w:sz w:val="24"/>
          <w:szCs w:val="24"/>
        </w:rPr>
        <w:t>Alexandre Muns es profesor de EAE Business School</w:t>
      </w:r>
      <w:r>
        <w:rPr>
          <w:rFonts w:ascii="Times New Roman" w:hAnsi="Times New Roman" w:cs="Times New Roman"/>
          <w:sz w:val="24"/>
          <w:szCs w:val="24"/>
        </w:rPr>
        <w:t>)</w:t>
      </w:r>
    </w:p>
    <w:p w:rsidR="00954B1A" w:rsidRPr="00954B1A" w:rsidRDefault="00954B1A" w:rsidP="00306926">
      <w:pPr>
        <w:spacing w:line="240" w:lineRule="auto"/>
        <w:jc w:val="both"/>
        <w:rPr>
          <w:rFonts w:ascii="Times New Roman" w:hAnsi="Times New Roman" w:cs="Times New Roman"/>
          <w:sz w:val="24"/>
          <w:szCs w:val="24"/>
          <w:u w:val="single"/>
        </w:rPr>
      </w:pPr>
      <w:r w:rsidRPr="00954B1A">
        <w:rPr>
          <w:rFonts w:ascii="Times New Roman" w:hAnsi="Times New Roman" w:cs="Times New Roman"/>
          <w:sz w:val="24"/>
          <w:szCs w:val="24"/>
          <w:u w:val="single"/>
        </w:rPr>
        <w:t>Christine Lagarde y el “miedo escénico” (¿o debería decir “pánico”?</w:t>
      </w:r>
    </w:p>
    <w:p w:rsidR="00306926" w:rsidRPr="00717E24" w:rsidRDefault="00954B1A"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w:t>
      </w:r>
      <w:r w:rsidR="00306926" w:rsidRPr="00717E24">
        <w:rPr>
          <w:rFonts w:ascii="Times New Roman" w:hAnsi="Times New Roman" w:cs="Times New Roman"/>
          <w:sz w:val="24"/>
          <w:szCs w:val="24"/>
        </w:rPr>
        <w:t>Las actas de la reunión del Consejo de Gobierno del BCE del 14 de abril</w:t>
      </w:r>
      <w:r w:rsidR="00B20080" w:rsidRPr="00717E24">
        <w:rPr>
          <w:rFonts w:ascii="Times New Roman" w:hAnsi="Times New Roman" w:cs="Times New Roman"/>
          <w:sz w:val="24"/>
          <w:szCs w:val="24"/>
        </w:rPr>
        <w:t xml:space="preserve"> (2022)</w:t>
      </w:r>
      <w:r w:rsidR="00306926" w:rsidRPr="00717E24">
        <w:rPr>
          <w:rFonts w:ascii="Times New Roman" w:hAnsi="Times New Roman" w:cs="Times New Roman"/>
          <w:sz w:val="24"/>
          <w:szCs w:val="24"/>
        </w:rPr>
        <w:t xml:space="preserve"> muestran la disposición de la institución a avanzar hacia la subida de tipos, aunque con un tiento que la realidad posterior ha dejado en papel mojado. En aquella cita, el BCE anunció el final de las compras netas de deuda en el tercer trimestre, tras lo que llegaría una subida de tipos que podría darse “semanas o meses después”, según apuntó entonces Christine Lagarde</w:t>
      </w:r>
      <w:r w:rsidRPr="00717E24">
        <w:rPr>
          <w:rFonts w:ascii="Times New Roman" w:hAnsi="Times New Roman" w:cs="Times New Roman"/>
          <w:sz w:val="24"/>
          <w:szCs w:val="24"/>
        </w:rPr>
        <w:t>”..</w:t>
      </w:r>
      <w:r w:rsidR="00306926" w:rsidRPr="00717E24">
        <w:rPr>
          <w:rFonts w:ascii="Times New Roman" w:hAnsi="Times New Roman" w:cs="Times New Roman"/>
          <w:sz w:val="24"/>
          <w:szCs w:val="24"/>
        </w:rPr>
        <w:t>.</w:t>
      </w:r>
      <w:r w:rsidRPr="00717E24">
        <w:rPr>
          <w:rFonts w:ascii="Times New Roman" w:hAnsi="Times New Roman" w:cs="Times New Roman"/>
          <w:sz w:val="24"/>
          <w:szCs w:val="24"/>
        </w:rPr>
        <w:t xml:space="preserve"> (Cinco Días - </w:t>
      </w:r>
      <w:r w:rsidRPr="00717E24">
        <w:rPr>
          <w:rFonts w:ascii="Times New Roman" w:hAnsi="Times New Roman" w:cs="Times New Roman"/>
          <w:b/>
          <w:sz w:val="24"/>
          <w:szCs w:val="24"/>
        </w:rPr>
        <w:t>19/5/22</w:t>
      </w:r>
      <w:r w:rsidRPr="00717E24">
        <w:rPr>
          <w:rFonts w:ascii="Times New Roman" w:hAnsi="Times New Roman" w:cs="Times New Roman"/>
          <w:sz w:val="24"/>
          <w:szCs w:val="24"/>
        </w:rPr>
        <w:t>)</w:t>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Pero desde entonces, la presidenta del BCE ha ido moldeando su discurso hasta apuntar ya abiertamente a una subida de tipos de interés en la zona euro ya en el mes de julio, que descuenta por completo el mercado. Las actas del encuentro de abril muestran el debate interno sobre el ritmo y la secuencia que debe llevar el proceso de normalización monetaria, aunque se han quedado algo desfasadas ante la contundencia de las posteriores declaraciones de los miembros del consejo y también de todo el comité ejecutivo del BCE.</w:t>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La expectativa generalizada de alzas de tipos en la zona euro, junto al acelerón de las subidas en EEUU, han elevado las primas de riesgo y reactivado el temor a la fragmentación financiera, por la que se ensanchan las diferencias entre el coste de financiación de los países más endeudados frente a los menos. Pero, según muestran las actas, ese riesgo de fragmentación no va a ser obstáculo para mantener la subida de tipos.</w:t>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 xml:space="preserve">El texto reconoce que “es importante abordar un posible resurgir de la fragmentación en las condiciones financieras de la zona euro, si fuera necesario”. Y apunta al principio de “separación” por el que “una postura de política monetaria adecuada podría establecerse de forma independiente del uso de instrumentos de diseñados para evitar disrupciones repentinas de los mercados financieros”. Así, el BCE defiende que la “flexibilidad debería ser un rasgo permanente de las herramientas” de política monetaria. Y recuerda que, de ser necesario, la reinversión de los vencimientos de la deuda del programa PEPP, que se mantendrá al menos hasta finales de 2024, podría usarse para abordar posibles episodios de tensión en el mercado. </w:t>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En el debate sobre el alzas de tipos, el texto también apunta la urgencia de algunos miembros del Consejo de Gobierno que ya en abril abogaban por una rápida respuesta, una posición que ahora parece compartida de forma unánime. “Actuar demasiado tarde podría conducir a la materialización de efectos de segunda ronda y podría tener un coste económico, de estabilidad financiera y de credibilidad si el Consejo de Gobierno se viera forzado a endurecer su política después de forma más agresiva para anclar las expectativas de inflación”, defendía el ala más dura.</w:t>
      </w:r>
    </w:p>
    <w:p w:rsidR="00306926" w:rsidRPr="00717E24" w:rsidRDefault="00306926" w:rsidP="00F73809">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Por entonces, el Consejo de Gobierno ya estaba de acuerdo en finalizar las compras netas de deuda ya en el inicio del tercer trimestre, aunque ese es ahora el momento que se espera para el alza de tipos. Y había consenso en reconocer que el alza de la inflación va a tener de forma inevitable efectos de segunda ronda, como el alza de los salarios, que el BCE considera “cuestión de tiempo”. “Los datos de inflación subyacente se han elevado a niveles por encima del 2% y se considera improbable que la inflación retorne al objetivo del BCE en el medio plazo”, reconocen las actas. En abril, el IPC de la zona euro fue del 7,5% y la tasa suby</w:t>
      </w:r>
      <w:r w:rsidR="00954B1A" w:rsidRPr="00717E24">
        <w:rPr>
          <w:rFonts w:ascii="Times New Roman" w:hAnsi="Times New Roman" w:cs="Times New Roman"/>
          <w:sz w:val="24"/>
          <w:szCs w:val="24"/>
        </w:rPr>
        <w:t>acente, del 3,5%, nivel récord…</w:t>
      </w:r>
    </w:p>
    <w:p w:rsidR="00F73809" w:rsidRDefault="00F73809" w:rsidP="00F73809">
      <w:pPr>
        <w:spacing w:line="240" w:lineRule="auto"/>
        <w:jc w:val="both"/>
        <w:rPr>
          <w:rFonts w:ascii="Times New Roman" w:hAnsi="Times New Roman" w:cs="Times New Roman"/>
          <w:sz w:val="24"/>
          <w:szCs w:val="24"/>
        </w:rPr>
      </w:pPr>
      <w:r w:rsidRPr="00F6778D">
        <w:rPr>
          <w:rFonts w:ascii="Times New Roman" w:hAnsi="Times New Roman" w:cs="Times New Roman"/>
          <w:noProof/>
          <w:sz w:val="24"/>
          <w:szCs w:val="24"/>
          <w:lang w:val="en-GB" w:eastAsia="zh-CN"/>
        </w:rPr>
        <w:lastRenderedPageBreak/>
        <w:drawing>
          <wp:inline distT="0" distB="0" distL="0" distR="0">
            <wp:extent cx="5732335" cy="2908300"/>
            <wp:effectExtent l="0" t="0" r="1905"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2907881"/>
                    </a:xfrm>
                    <a:prstGeom prst="rect">
                      <a:avLst/>
                    </a:prstGeom>
                  </pic:spPr>
                </pic:pic>
              </a:graphicData>
            </a:graphic>
          </wp:inline>
        </w:drawing>
      </w:r>
    </w:p>
    <w:p w:rsidR="00F73809" w:rsidRPr="00717E24" w:rsidRDefault="00F73809" w:rsidP="00F73809">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¿Hasta dónde llegarán los tipos?</w:t>
      </w:r>
    </w:p>
    <w:p w:rsidR="00F73809" w:rsidRPr="00717E24" w:rsidRDefault="00F73809" w:rsidP="00F73809">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“En general, un aumento de la tasa de depósito en la segunda mitad del año parece una certeza, pero la verdadera pregunta es sobre la intensidad (si 10 puntos básicos, 25 o 50) y cuándo llegarán los aumentos posteriores de la tasa. Esto dependerá de cómo se desarrollen las perspectivas de inflación”, explica el experto de BNP Paribas.</w:t>
      </w:r>
    </w:p>
    <w:p w:rsidR="00F73809" w:rsidRPr="00717E24" w:rsidRDefault="00F73809" w:rsidP="00F73809">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Por ahora, los mercados descuentan nueve subidas de 10 puntos básicos para este año, una expectativa que parece exagerada a todas luces, puesto que dejaría el precio del dinero en el 0,3% positivo en la zona euro, un cambio demasiado brusco para un continente tan endeudado y en el que el riesgo de fragmentación sigue siendo elevado, según advierten los economistas de Unicredit.</w:t>
      </w:r>
    </w:p>
    <w:p w:rsidR="00F73809" w:rsidRPr="00717E24" w:rsidRDefault="00F73809" w:rsidP="00F73809">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James Knightley, Carsten Brzeski y James Smith, economistas de ING, creen que el BCE tiene muchas razones para adelantar la subida de tipos a julio y entre ellas la debilidad del euro es de las que más peso tiene. Estos expertos destacan que los mensajes de los “halcones” (defienden una política monetaria más restrictiva) han sido más en cantidad y calidad, mientras que las “palomas” (defienden más estímulos y tipos bajos) parecen estar arrinconadas, con menos intervenciones que en otras ocasiones. Es como si el Consejo de Gobierno hubiera mutado de “paloma” a “halcón” en cuestión de semanas.</w:t>
      </w:r>
    </w:p>
    <w:p w:rsidR="00F73809" w:rsidRPr="00717E24" w:rsidRDefault="00F73809" w:rsidP="00F73809">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Estos economistas destacan que “la renovada debilidad del euro va a obligar al BCE a elevar las proyecciones de inflación para 2023”, lo que sin duda debería motivar una posición más dura del banco central. Aunque el BCE ha señalado en varias ocasiones que el tipo de cambio no es un objetivo (en 2020 el problema fue la fortaleza del euro), sí reconocen que es fundamental para la inflación a medio plazo. Por otro lado, “la reunión del BCE de julio será a finales de mes (21 de julio), lo que le da al BCE un amplio margen entre el fin de las compras netas de activos (QE) y la primera subida de tipos”, sostienen desde ING.</w:t>
      </w:r>
    </w:p>
    <w:p w:rsidR="00F73809" w:rsidRPr="00717E24" w:rsidRDefault="00F73809" w:rsidP="00F73809">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De modo, que tanto los expertos de ING como los de Commerzbank creen que se producirá una subida de tipos ya en la reunión de julio (en dos meses). Los analistas del banco alemán apuntan que el alza del precio del dinero podría ser de 25 puntos básicos, a lo que habría que sumar otras dos subidas en lo que resta del año. El tamaño de las otras dos subidas dependerá de cómo vayan evolucionando los acontecimientos en la guerra y en los precios energéticos.</w:t>
      </w:r>
    </w:p>
    <w:p w:rsidR="00954B1A" w:rsidRPr="00717E24" w:rsidRDefault="00F73809" w:rsidP="00F73809">
      <w:pPr>
        <w:spacing w:line="240" w:lineRule="auto"/>
        <w:jc w:val="both"/>
        <w:rPr>
          <w:rFonts w:ascii="Times New Roman" w:hAnsi="Times New Roman" w:cs="Times New Roman"/>
          <w:sz w:val="24"/>
          <w:szCs w:val="24"/>
          <w:u w:val="single"/>
        </w:rPr>
      </w:pPr>
      <w:r w:rsidRPr="00717E24">
        <w:rPr>
          <w:rFonts w:ascii="Times New Roman" w:hAnsi="Times New Roman" w:cs="Times New Roman"/>
          <w:sz w:val="24"/>
          <w:szCs w:val="24"/>
          <w:u w:val="single"/>
        </w:rPr>
        <w:lastRenderedPageBreak/>
        <w:t>La extinción de las palomas de Frankfurt</w:t>
      </w:r>
      <w:r w:rsidR="00954B1A" w:rsidRPr="00717E24">
        <w:rPr>
          <w:rFonts w:ascii="Times New Roman" w:hAnsi="Times New Roman" w:cs="Times New Roman"/>
          <w:sz w:val="24"/>
          <w:szCs w:val="24"/>
          <w:u w:val="single"/>
        </w:rPr>
        <w:t xml:space="preserve"> (BCE)</w:t>
      </w:r>
    </w:p>
    <w:p w:rsidR="00F73809" w:rsidRPr="00717E24" w:rsidRDefault="00954B1A" w:rsidP="00F73809">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w:t>
      </w:r>
      <w:r w:rsidR="00F73809" w:rsidRPr="00717E24">
        <w:rPr>
          <w:rFonts w:ascii="Times New Roman" w:hAnsi="Times New Roman" w:cs="Times New Roman"/>
          <w:sz w:val="24"/>
          <w:szCs w:val="24"/>
        </w:rPr>
        <w:t>Hace meses los analistas y observadores que siguen el día a día del Banco Central Europeo (BCE) lanzaban distintas hipótesis sobre cuándo podría llegar una eventual subida de los tipos de intereses. ¿Finales de 2022? Algunos creían que hasta principios de 2023 no llegaría el momento. Pero el escenario ha cambiado por completo. Las palomas, en política monetaria los miembros que apuestan por posturas más flexibles, están en peligro de extinción en Frankfurt: casi todo el mundo habla de una subida de tipos en julio. El vicepresidente Luis de Guindos ya lo había deslizado desde hace algunas semanas que era una posibilidad, aunque sin abogar por ello. Pero en los últimos días ha llegado una auténtica cascada de declaraciones de distintos miembros del Consejo de Gobierno del BCE que están pidiendo acción de manera mucho más clara y directa. El martes fue el turno de Isabel Schnabel, miembro del Comité Ejecutivo, una de las voces más respetadas en Frankfurt y considerada un puente entre las distintas posturas dentro del eurobanco, aunque más escorada hacia el lado de los halcones, los que apuestan por posturas más restrictivas. “Desde la perspectiva actual, creo que es posible una subida de tipos en julio”, señaló, añadiendo que “ahora no es suficiente con hablar, hay que actuar”</w:t>
      </w:r>
      <w:r w:rsidRPr="00717E24">
        <w:rPr>
          <w:rFonts w:ascii="Times New Roman" w:hAnsi="Times New Roman" w:cs="Times New Roman"/>
          <w:sz w:val="24"/>
          <w:szCs w:val="24"/>
        </w:rPr>
        <w:t>”..</w:t>
      </w:r>
      <w:r w:rsidR="00F73809" w:rsidRPr="00717E24">
        <w:rPr>
          <w:rFonts w:ascii="Times New Roman" w:hAnsi="Times New Roman" w:cs="Times New Roman"/>
          <w:sz w:val="24"/>
          <w:szCs w:val="24"/>
        </w:rPr>
        <w:t>.</w:t>
      </w:r>
      <w:r w:rsidRPr="00717E24">
        <w:rPr>
          <w:rFonts w:ascii="Times New Roman" w:hAnsi="Times New Roman" w:cs="Times New Roman"/>
          <w:sz w:val="24"/>
          <w:szCs w:val="24"/>
        </w:rPr>
        <w:t xml:space="preserve"> (El Confidencial - </w:t>
      </w:r>
      <w:r w:rsidRPr="00717E24">
        <w:rPr>
          <w:rFonts w:ascii="Times New Roman" w:hAnsi="Times New Roman" w:cs="Times New Roman"/>
          <w:b/>
          <w:sz w:val="24"/>
          <w:szCs w:val="24"/>
        </w:rPr>
        <w:t>7/5/22</w:t>
      </w:r>
      <w:r w:rsidRPr="00717E24">
        <w:rPr>
          <w:rFonts w:ascii="Times New Roman" w:hAnsi="Times New Roman" w:cs="Times New Roman"/>
          <w:sz w:val="24"/>
          <w:szCs w:val="24"/>
        </w:rPr>
        <w:t>)</w:t>
      </w:r>
    </w:p>
    <w:p w:rsidR="00F73809" w:rsidRPr="00717E24" w:rsidRDefault="00954B1A" w:rsidP="00F73809">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Luego</w:t>
      </w:r>
      <w:r w:rsidR="00F73809" w:rsidRPr="00717E24">
        <w:rPr>
          <w:rFonts w:ascii="Times New Roman" w:hAnsi="Times New Roman" w:cs="Times New Roman"/>
          <w:sz w:val="24"/>
          <w:szCs w:val="24"/>
        </w:rPr>
        <w:t xml:space="preserve"> le tocó a Olli Rehn, gobernador del Banco de Finlandia, antiguo comisario de Asuntos Económicos, que también apostó por la necesidad de subidas de tipo en julio. El hombre que llegó a abogar públicamente en 2020 a favor de un poco de “overshooting”, más inflación de la que normalmente toleraría el BCE en condiciones normales, ha abandonado ya el sector de las palomas, que pierde así a uno de sus miembros de cara a las próximas reuniones. Si se busca un termómetro de dónde se sitúa el debate, si simplemente los halcones están siendo más agresivos en sus declaraciones o si de verdad hay un viraje general en el Consejo de Gobierno, las declaraciones de Rehn parecen despejar las dudas. Esa misma tarde le tocaba hablar a Robert Holzmann. La inflación en la zona euro no es lo único de lo que se habla en Frankfurt estos días: también de otra inflación, la del lenguaje. Y Holzmann, gobernador del Banco de Austria, con Schnabel e incluso una paloma como Rehn ya en su terreno, subió la apuesta, señalando a la reunión del mes de junio, probablemente con el objetivo de atar el debate y que la subida de tipos llegue bastante cocinada al encuentro de julio.</w:t>
      </w:r>
    </w:p>
    <w:p w:rsidR="00F73809" w:rsidRPr="00717E24" w:rsidRDefault="00F73809" w:rsidP="00F73809">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Son pocos los que siguen defendiendo públicamente que por lo pronto hay que esperar hasta después del verano. El único que lo ha hecho en los últimos días ha sido el italiano Fabio Panetta, miembro del Consejo Ejecutivo del eurobanco, que ha advertido en una entrevista que “la economía europea está estancada de facto” y ha pedido tener primero los datos del segundo trimestre antes de tomar una decisión. Pero esos datos no llegarán a manos del BCE hasta el 29 de julio y la reunión del Consejo de Gobierno es el día 21 de ese mes. La estrategia de Panetta ya solamente pasa por intentar retrasar la decisión aferrándose a los datos. “Esto (el estancamiento) hace que las opciones que enfrenta el BCE sean más complejas, ya que un endurecimiento de la política monetaria destinada a contener la inflación terminaría obstaculizando un crecimiento que ya se está debilitando”, explicó el italiano.</w:t>
      </w:r>
    </w:p>
    <w:p w:rsidR="00F73809" w:rsidRPr="00717E24" w:rsidRDefault="00F73809" w:rsidP="00F73809">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 xml:space="preserve">Y esa delicada situación está en la mente de todos, especialmente de los principales halcones: saben que pueden estar quedándose sin tiempo. Panetta apunta al riesgo de contracción de la economía europea, y los que apuestan por una subida saben que el ambiente en el Consejo de Gobierno, que ahora está cambiando claramente hacia su dirección, podría volverse en su contra: subir los tipos de interés en una recesión será mucho más complicado en términos políticos. Para las pocas palomas que quedan en el Consejo de Gobierno del BCE la situación es compleja: no solamente la guerra en Ucrania ha empeorado la tensión inflacionista en la </w:t>
      </w:r>
      <w:r w:rsidRPr="00717E24">
        <w:rPr>
          <w:rFonts w:ascii="Times New Roman" w:hAnsi="Times New Roman" w:cs="Times New Roman"/>
          <w:sz w:val="24"/>
          <w:szCs w:val="24"/>
        </w:rPr>
        <w:lastRenderedPageBreak/>
        <w:t>Eurozona, sino que los movimientos de la Reserva Federal en Estados Unidos, que acaba de decidir la mayor subida de tipos desde el año 2000, o el Banco de Inglaterra, aumentan la presión sobre el eurobanco.</w:t>
      </w:r>
    </w:p>
    <w:p w:rsidR="00954B1A" w:rsidRPr="00717E24" w:rsidRDefault="00954B1A" w:rsidP="00F73809">
      <w:pPr>
        <w:spacing w:line="240" w:lineRule="auto"/>
        <w:jc w:val="both"/>
        <w:rPr>
          <w:rFonts w:ascii="Times New Roman" w:hAnsi="Times New Roman" w:cs="Times New Roman"/>
          <w:sz w:val="24"/>
          <w:szCs w:val="24"/>
          <w:u w:val="single"/>
        </w:rPr>
      </w:pPr>
      <w:r w:rsidRPr="00717E24">
        <w:rPr>
          <w:rFonts w:ascii="Times New Roman" w:hAnsi="Times New Roman" w:cs="Times New Roman"/>
          <w:sz w:val="24"/>
          <w:szCs w:val="24"/>
          <w:u w:val="single"/>
        </w:rPr>
        <w:t>Vuelta a la casilla de salida: y ahora ¿qué hacemos con los “PIGS”? (más “pigs” que nunca)</w:t>
      </w:r>
    </w:p>
    <w:p w:rsidR="00954B1A" w:rsidRPr="00717E24" w:rsidRDefault="00954B1A" w:rsidP="00954B1A">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 xml:space="preserve"> “</w:t>
      </w:r>
      <w:r w:rsidR="00306926" w:rsidRPr="00717E24">
        <w:rPr>
          <w:rFonts w:ascii="Times New Roman" w:hAnsi="Times New Roman" w:cs="Times New Roman"/>
          <w:sz w:val="24"/>
          <w:szCs w:val="24"/>
        </w:rPr>
        <w:t>El Banco Central Europeo ejecutará en julio la primera subida de tipos de interés en diez años. La persistencia de la inflación ha forzado a la institución a iniciar “la vuelta a la normalidad”, pese a que muchos indicadores económicos en algunos países del euro son de todo menos normales. El endurecimiento se va a producir en un contexto de bajo crecimiento, alta incertidumbre y, sobre todo, elevadísimo endeudamiento. Un cóctel explosivo que puede desatar un incendio en la deuda de los países más vulnerables de la Eurozona. Para reducir este riesgo, el BCE podría estaría preparando un “cortafuegos” que impida, al menos parcialmente, que el incendio termine abrasando a la zona euro como estuvo a punto de ocurrir en 2011 y 2012</w:t>
      </w:r>
      <w:r w:rsidRPr="00717E24">
        <w:rPr>
          <w:rFonts w:ascii="Times New Roman" w:hAnsi="Times New Roman" w:cs="Times New Roman"/>
          <w:sz w:val="24"/>
          <w:szCs w:val="24"/>
        </w:rPr>
        <w:t>”..</w:t>
      </w:r>
      <w:r w:rsidR="00306926" w:rsidRPr="00717E24">
        <w:rPr>
          <w:rFonts w:ascii="Times New Roman" w:hAnsi="Times New Roman" w:cs="Times New Roman"/>
          <w:sz w:val="24"/>
          <w:szCs w:val="24"/>
        </w:rPr>
        <w:t>.</w:t>
      </w:r>
      <w:r w:rsidRPr="00717E24">
        <w:rPr>
          <w:rFonts w:ascii="Times New Roman" w:hAnsi="Times New Roman" w:cs="Times New Roman"/>
          <w:sz w:val="24"/>
          <w:szCs w:val="24"/>
        </w:rPr>
        <w:t xml:space="preserve"> (El Economista - </w:t>
      </w:r>
      <w:r w:rsidRPr="00717E24">
        <w:rPr>
          <w:rFonts w:ascii="Times New Roman" w:hAnsi="Times New Roman" w:cs="Times New Roman"/>
          <w:b/>
          <w:sz w:val="24"/>
          <w:szCs w:val="24"/>
        </w:rPr>
        <w:t>27/5/22</w:t>
      </w:r>
      <w:r w:rsidRPr="00717E24">
        <w:rPr>
          <w:rFonts w:ascii="Times New Roman" w:hAnsi="Times New Roman" w:cs="Times New Roman"/>
          <w:sz w:val="24"/>
          <w:szCs w:val="24"/>
        </w:rPr>
        <w:t>)</w:t>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El riesgo es real y puede materializarse de forma inesperada. Cualquier shock que reduzca la confianza de los inversores es una amenaza para las economías más vulnerables. Por ello, el BCE ya está trabajando para tener listo un plan que pueda aliviar o evitar un endurecimiento desigual de las condiciones financieras dentro de una misma área monetaria.</w:t>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Países como Italia o España, que cuentan con un déficit estructural que supera el 4% del PIB y con una deuda pública que rebasa holgadamente el 110% del PIB, podrían ser la 'diana' favorita de los mercados en medio de la subida de tipos. Sin ir más lejos, la simple expectativa de subida de tipos del BCE ya ha llevado a la prima de riesgo italiana a los 200 puntos, casi 100 puntos más que hace un año.</w:t>
      </w:r>
    </w:p>
    <w:p w:rsidR="00306926" w:rsidRPr="00BC2392" w:rsidRDefault="00306926" w:rsidP="00306926">
      <w:pPr>
        <w:spacing w:line="240" w:lineRule="auto"/>
        <w:jc w:val="both"/>
        <w:rPr>
          <w:rFonts w:ascii="Times New Roman" w:hAnsi="Times New Roman" w:cs="Times New Roman"/>
          <w:sz w:val="24"/>
          <w:szCs w:val="24"/>
        </w:rPr>
      </w:pPr>
      <w:r w:rsidRPr="00BC2392">
        <w:rPr>
          <w:rFonts w:ascii="Times New Roman" w:hAnsi="Times New Roman" w:cs="Times New Roman"/>
          <w:noProof/>
          <w:sz w:val="24"/>
          <w:szCs w:val="24"/>
          <w:lang w:val="en-GB" w:eastAsia="zh-CN"/>
        </w:rPr>
        <w:drawing>
          <wp:inline distT="0" distB="0" distL="0" distR="0">
            <wp:extent cx="5727699" cy="2978150"/>
            <wp:effectExtent l="0" t="0" r="698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2980132"/>
                    </a:xfrm>
                    <a:prstGeom prst="rect">
                      <a:avLst/>
                    </a:prstGeom>
                  </pic:spPr>
                </pic:pic>
              </a:graphicData>
            </a:graphic>
          </wp:inline>
        </w:drawing>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El propio BCE</w:t>
      </w:r>
      <w:r w:rsidR="00954B1A" w:rsidRPr="00717E24">
        <w:rPr>
          <w:rFonts w:ascii="Times New Roman" w:hAnsi="Times New Roman" w:cs="Times New Roman"/>
          <w:sz w:val="24"/>
          <w:szCs w:val="24"/>
        </w:rPr>
        <w:t xml:space="preserve"> reconocía en la tercera semana de mayo (2022)</w:t>
      </w:r>
      <w:r w:rsidRPr="00717E24">
        <w:rPr>
          <w:rFonts w:ascii="Times New Roman" w:hAnsi="Times New Roman" w:cs="Times New Roman"/>
          <w:sz w:val="24"/>
          <w:szCs w:val="24"/>
        </w:rPr>
        <w:t xml:space="preserve"> en su informe de estabilidad financiera que “las preocupaciones sobre la sostenibilidad de la deuda podrían contribuir a una reevaluación del riesgo soberano por parte de los participantes del mercado y estimular las presiones de fragmentación en los mercados de bonos soberanos... En la medida en que las mayores vulnerabilidades soberanas coincidan con fragilidades en los sectores corporativo y bancario, los riesgos que se materialicen en cualquiera de estos sectores (en forma aislada o </w:t>
      </w:r>
      <w:r w:rsidRPr="00717E24">
        <w:rPr>
          <w:rFonts w:ascii="Times New Roman" w:hAnsi="Times New Roman" w:cs="Times New Roman"/>
          <w:sz w:val="24"/>
          <w:szCs w:val="24"/>
        </w:rPr>
        <w:lastRenderedPageBreak/>
        <w:t>combinada) pueden generar ciclos de retroalimentación adversos entre el soberano, los bancos y las empresas”.</w:t>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Algunos miembros del Consejo de Gobierno del BCE han comenzado a dar nombre ya este nuevo programa o apéndice de los existentes. Fabio Panetta ha hablado de una “herramienta anti-fragmentación” que impida que la normalización monetaria genere una Eurozona con dispares condiciones financieras, mientras que Christine Lagar</w:t>
      </w:r>
      <w:r w:rsidR="00E860A2" w:rsidRPr="00717E24">
        <w:rPr>
          <w:rFonts w:ascii="Times New Roman" w:hAnsi="Times New Roman" w:cs="Times New Roman"/>
          <w:sz w:val="24"/>
          <w:szCs w:val="24"/>
        </w:rPr>
        <w:t xml:space="preserve">de señaló </w:t>
      </w:r>
      <w:r w:rsidRPr="00717E24">
        <w:rPr>
          <w:rFonts w:ascii="Times New Roman" w:hAnsi="Times New Roman" w:cs="Times New Roman"/>
          <w:sz w:val="24"/>
          <w:szCs w:val="24"/>
        </w:rPr>
        <w:t>que “cualquier decisión futura sobre el balance tendrá que ser coherente... con nuestro compromiso de garantizar la transmisión de la política, especialmente porque la reinversión flexible de la cartera del PEPP es una herramienta que hemos puesto a disposición para mitigar los riesgos de fragmentación”.</w:t>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Los analistas de Oxford Economics apostaban por el PEPP como opción más viable en un informe reciente. Si las primas de riesgo de España o Italia comienzan a dispararse, el BCE podría buscar fórmulas para que la retirada de la respiración asistida sea suave, pero para ello hay que convencer a los países del norte, que es seguro la parte más complicada. “La potencia de las reinversiones para evitar un aumento insostenible de los diferenciales dentro de la Eurozona puede reforzarse de dos formas. Primero, podrían desviarse de la clave de capital en el programa de compra de activos previo a la pandemia (bajo el cual las tenencias del BCE son aún mayores)”.</w:t>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El BCE busca mantener cierta proporción en su cartera de bonos, esto quiere decir que si Alemania pesa X dentro del capital del BCE, los bonos alemanes deben tener ese peso dentro de la cartera de bonos del banco central. No obstante, el programa de emergencia PEPP permitía cierta flexibilidad para sobrepasar esa clave de capital. Ahora, con las reinversiones podría hacerse algo similar y adaptarlo al programa de compras de bonos convencional que es todavía más grande. A medida que vayan venciendo bonos de países considerados solventes, el BCE podría usar ese dinero para comprar bonos de países considerados como menos solventes sin la necesidad de incrementar su balance.</w:t>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Desde JP Morgan dan por hecho que el BCE ajustará de manera flexible las reinversiones del PEPP. Esto es algo que el banco central ya dejó entrever cuando anunció el fin de las compras netas en diciembre, sin embargo, la flexibilidad de las reinversiones podría no ser suficiente para evitar la fragmentación. Por lo que una herramienta concreta para suavizar la fragmentación podría tener sentido.</w:t>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“En nuestra opinión, una herramienta anti-fragmentación sería fácil de justificar desde una perspectiva legal, pero podría ser más difícil de integrar en la configuración institucional de la región de una manera que garantice un apoyo sólido y efectivo. El BCE también puede tener dificultades para llegar a un acuerdo interno sobre los niveles de activación de la herramienta”, aseguran desde JP Morgan. ¿En qué momento se decide que hay que intervenir? ¿Cuándo los rendimientos superen cierto umbral o en función de la prima de riesgo?</w:t>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 xml:space="preserve">Por lo tanto, los economistas de JP Morgan creen que la acción se retrasará hasta el último momento, mientras tanto “sospechamos que el BCE confiará en la intervención verbal en primera instancia... Solo si las presiones del mercado aumentan considerablemente, se llegará a un acuerdo sobre una herramienta y sobre los niveles de intervención. Una herramienta de este tipo no sustituiría la formulación de políticas sólidas en Italia y el sur de Europa... esperaríamos que tuviese alguna condicionalidad (reformas, fondos del Next Generation...) y esperaríamos que cualquier liquidez inyectada a través de sus compras sea esterilizada. Las </w:t>
      </w:r>
      <w:r w:rsidRPr="00717E24">
        <w:rPr>
          <w:rFonts w:ascii="Times New Roman" w:hAnsi="Times New Roman" w:cs="Times New Roman"/>
          <w:sz w:val="24"/>
          <w:szCs w:val="24"/>
        </w:rPr>
        <w:lastRenderedPageBreak/>
        <w:t>compras también podrían restringirse para no cubrir algunos bonos a más largo plazo”, sostienen estos expertos.</w:t>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Pero, ¿qué pasa si las diversas intervenciones y declaraciones verbales no son suficientes para calmar los mercados? “Finalmente, el BCE tendría que intervenir por sí mismo. Y, si el BCE construye su herramienta ligada a cierta condicionalidad respecto a los fondos NextGenEU... En cualquier caso, si el BCE se viera obligado a lanzar una herramienta anti-fragmentación, esperaríamos que tuviera ciertas características, más allá de la condicionalidad. Primero, cualquier liquidez inyectada sería esterilizada, como se hizo bajo SMP y se planeó bajo OMT”, destaca el informe de JP Morgan.</w:t>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En segundo lugar, el BCE podría acotar las compras a determinados vencimientos. Grosso modo, las compras podrían centrarse en bonos con vencimientos relativamente cortos, lo que ayudaría al BCE a “demostrar” que no está dando a los gobiernos la certeza de comprar toda la curva de tipos y dejando entrever que en cualquier momento puede comenzar la reducción de tenencias de bonos de los países implicados.</w:t>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En tercer lugar, el BCE puede establecer un volumen de compras prefijado como ha hecho con el PEPP. Aunque este volumen sea para toda la deuda de la zona del euro, solo se utilizaría para comprar los bonos de los países afectados por la fragmentación, explican los analistas de JP Morgan. “A diferencia del PEPP, no habría un flujo constante de compras... En cambio, las intervenciones se harían de manera flexible para contrarrestar la fragmentación injustificada en momentos determinados”.</w:t>
      </w:r>
    </w:p>
    <w:p w:rsidR="00306926" w:rsidRPr="00717E24" w:rsidRDefault="00306926" w:rsidP="00306926">
      <w:pPr>
        <w:spacing w:line="240" w:lineRule="auto"/>
        <w:jc w:val="both"/>
        <w:rPr>
          <w:rFonts w:ascii="Times New Roman" w:hAnsi="Times New Roman" w:cs="Times New Roman"/>
          <w:sz w:val="24"/>
          <w:szCs w:val="24"/>
        </w:rPr>
      </w:pPr>
      <w:r w:rsidRPr="00717E24">
        <w:rPr>
          <w:rFonts w:ascii="Times New Roman" w:hAnsi="Times New Roman" w:cs="Times New Roman"/>
          <w:sz w:val="24"/>
          <w:szCs w:val="24"/>
        </w:rPr>
        <w:t>Los economistas del banco americano creen que el BCE podría presentar una variedad amplia de razones para justificar compras de activos específicas con condicionalidad limitada o incluso ilimitada, la realidad probablemente sea más complicada. Dentro del Consejo de Gobierno, los halcones más agresivos se preocuparán abiertamente por el riesgo de dominio fiscal (cuando la política monetaria queda a las órdenes de la fiscal). Al final, esta herramienta anti-fragmentación se crearía para evitar un incendio en la deuda de los países más endeudados, lo que puede ser considerado como dominio fiscal de facto.</w:t>
      </w:r>
    </w:p>
    <w:p w:rsidR="00CF408C" w:rsidRPr="00995962" w:rsidRDefault="00CF408C" w:rsidP="00CF40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5962">
        <w:rPr>
          <w:rFonts w:ascii="Times New Roman" w:hAnsi="Times New Roman" w:cs="Times New Roman"/>
          <w:sz w:val="24"/>
          <w:szCs w:val="24"/>
          <w:u w:val="single"/>
        </w:rPr>
        <w:t>El BCE sacará un nuevo conejo de la chistera para mantener a las primas de riesgo bajo control</w:t>
      </w:r>
      <w:r>
        <w:rPr>
          <w:rFonts w:ascii="Times New Roman" w:hAnsi="Times New Roman" w:cs="Times New Roman"/>
          <w:sz w:val="24"/>
          <w:szCs w:val="24"/>
        </w:rPr>
        <w:t xml:space="preserve"> (El Economista - </w:t>
      </w:r>
      <w:r w:rsidRPr="00995962">
        <w:rPr>
          <w:rFonts w:ascii="Times New Roman" w:hAnsi="Times New Roman" w:cs="Times New Roman"/>
          <w:b/>
          <w:sz w:val="24"/>
          <w:szCs w:val="24"/>
        </w:rPr>
        <w:t>6/6/22</w:t>
      </w:r>
      <w:r>
        <w:rPr>
          <w:rFonts w:ascii="Times New Roman" w:hAnsi="Times New Roman" w:cs="Times New Roman"/>
          <w:sz w:val="24"/>
          <w:szCs w:val="24"/>
        </w:rPr>
        <w:t>)</w:t>
      </w:r>
    </w:p>
    <w:p w:rsidR="00CF408C" w:rsidRPr="00995962" w:rsidRDefault="00CF408C" w:rsidP="00CF40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95962">
        <w:rPr>
          <w:rFonts w:ascii="Times New Roman" w:hAnsi="Times New Roman" w:cs="Times New Roman"/>
          <w:sz w:val="24"/>
          <w:szCs w:val="24"/>
        </w:rPr>
        <w:t>Francisco S. Jiménez</w:t>
      </w:r>
      <w:r>
        <w:rPr>
          <w:rFonts w:ascii="Times New Roman" w:hAnsi="Times New Roman" w:cs="Times New Roman"/>
          <w:sz w:val="24"/>
          <w:szCs w:val="24"/>
        </w:rPr>
        <w:t xml:space="preserve"> y </w:t>
      </w:r>
      <w:r w:rsidRPr="00995962">
        <w:rPr>
          <w:rFonts w:ascii="Times New Roman" w:hAnsi="Times New Roman" w:cs="Times New Roman"/>
          <w:sz w:val="24"/>
          <w:szCs w:val="24"/>
        </w:rPr>
        <w:t>Vicente Nieves</w:t>
      </w:r>
      <w:r>
        <w:rPr>
          <w:rFonts w:ascii="Times New Roman" w:hAnsi="Times New Roman" w:cs="Times New Roman"/>
          <w:sz w:val="24"/>
          <w:szCs w:val="24"/>
        </w:rPr>
        <w:t>)</w:t>
      </w:r>
    </w:p>
    <w:p w:rsidR="00CF408C" w:rsidRPr="00C60665" w:rsidRDefault="00CF408C" w:rsidP="00CF408C">
      <w:pPr>
        <w:spacing w:line="240" w:lineRule="auto"/>
        <w:jc w:val="both"/>
        <w:rPr>
          <w:rFonts w:ascii="Times New Roman" w:hAnsi="Times New Roman" w:cs="Times New Roman"/>
          <w:color w:val="FF0000"/>
          <w:sz w:val="24"/>
          <w:szCs w:val="24"/>
          <w:u w:val="single"/>
        </w:rPr>
      </w:pPr>
      <w:r w:rsidRPr="00C60665">
        <w:rPr>
          <w:rFonts w:ascii="Times New Roman" w:hAnsi="Times New Roman" w:cs="Times New Roman"/>
          <w:color w:val="FF0000"/>
          <w:sz w:val="24"/>
          <w:szCs w:val="24"/>
          <w:u w:val="single"/>
        </w:rPr>
        <w:t>La gran incógnita que tiene que despejar el BCE, el próximo jueves, es cómo va a concluir el fin de programa de bonos, sin dejar a la intemperie a la deuda periférica. Con las primas de riesgo, principalmente, de Italia y España, en máximos desde mayo de 2020, el Consejo de Gobierno abordará un nuevo plan para seguir comprando bonos y evitar una fragmentación en el mercado de deuda, que despierte los fantasmas de ruptura del euro de 2012.</w:t>
      </w:r>
    </w:p>
    <w:p w:rsidR="00CF408C" w:rsidRPr="00C60665" w:rsidRDefault="00CF408C" w:rsidP="00CF408C">
      <w:pPr>
        <w:spacing w:line="240" w:lineRule="auto"/>
        <w:jc w:val="both"/>
        <w:rPr>
          <w:rFonts w:ascii="Times New Roman" w:hAnsi="Times New Roman" w:cs="Times New Roman"/>
          <w:color w:val="FF0000"/>
          <w:sz w:val="24"/>
          <w:szCs w:val="24"/>
          <w:u w:val="single"/>
        </w:rPr>
      </w:pPr>
      <w:r w:rsidRPr="00C60665">
        <w:rPr>
          <w:rFonts w:ascii="Times New Roman" w:hAnsi="Times New Roman" w:cs="Times New Roman"/>
          <w:sz w:val="24"/>
          <w:szCs w:val="24"/>
          <w:u w:val="single"/>
        </w:rPr>
        <w:t>Todo el despliegue del BCE durante la pandemia, tuvo el principal objetivo de que el mercado crediticio no se viera afectado por las medidas sanitarias. Una de las principales preocupaciones fue que los estados encontraran los mercados financieros abiertos, pese a los confinamientos y los miles de millones comprometidos por los Gobiernos</w:t>
      </w:r>
      <w:r w:rsidRPr="00995962">
        <w:rPr>
          <w:rFonts w:ascii="Times New Roman" w:hAnsi="Times New Roman" w:cs="Times New Roman"/>
          <w:sz w:val="24"/>
          <w:szCs w:val="24"/>
        </w:rPr>
        <w:t xml:space="preserve">. </w:t>
      </w:r>
      <w:r w:rsidRPr="00C60665">
        <w:rPr>
          <w:rFonts w:ascii="Times New Roman" w:hAnsi="Times New Roman" w:cs="Times New Roman"/>
          <w:color w:val="FF0000"/>
          <w:sz w:val="24"/>
          <w:szCs w:val="24"/>
          <w:u w:val="single"/>
        </w:rPr>
        <w:t>Las cicatrices de la crisis de 2012 todavía resuenan por los pasillos del BCE. La fragmentación en el mercado de bonos a punto estuvo de cargarse el proyecto del euro. La lección parece más que aprendida y hay pocas dudas de que la deuda periférica necesita una red de seguridad.</w:t>
      </w:r>
    </w:p>
    <w:p w:rsidR="00CF408C" w:rsidRPr="00995962" w:rsidRDefault="00CF408C" w:rsidP="00CF408C">
      <w:pPr>
        <w:spacing w:line="240" w:lineRule="auto"/>
        <w:jc w:val="both"/>
        <w:rPr>
          <w:rFonts w:ascii="Times New Roman" w:hAnsi="Times New Roman" w:cs="Times New Roman"/>
          <w:sz w:val="24"/>
          <w:szCs w:val="24"/>
        </w:rPr>
      </w:pPr>
      <w:r w:rsidRPr="00C60665">
        <w:rPr>
          <w:rFonts w:ascii="Times New Roman" w:hAnsi="Times New Roman" w:cs="Times New Roman"/>
          <w:sz w:val="24"/>
          <w:szCs w:val="24"/>
          <w:u w:val="single"/>
        </w:rPr>
        <w:t xml:space="preserve">Salvo el conato de incendio que provocó el primer impacto del coronavirus, el PEPP, programa de emergencia de compra de deuda, mantuvo los diferenciales a raya. No ha sido </w:t>
      </w:r>
      <w:r w:rsidRPr="00C60665">
        <w:rPr>
          <w:rFonts w:ascii="Times New Roman" w:hAnsi="Times New Roman" w:cs="Times New Roman"/>
          <w:sz w:val="24"/>
          <w:szCs w:val="24"/>
          <w:u w:val="single"/>
        </w:rPr>
        <w:lastRenderedPageBreak/>
        <w:t>hasta que se han comenzado a disparar las expectativas sobre los tipos de interés, cuando ha vuelto la tensión al mercado de bonos soberanos</w:t>
      </w:r>
      <w:r w:rsidRPr="00995962">
        <w:rPr>
          <w:rFonts w:ascii="Times New Roman" w:hAnsi="Times New Roman" w:cs="Times New Roman"/>
          <w:sz w:val="24"/>
          <w:szCs w:val="24"/>
        </w:rPr>
        <w:t xml:space="preserve">. </w:t>
      </w:r>
      <w:r w:rsidRPr="00C60665">
        <w:rPr>
          <w:rFonts w:ascii="Times New Roman" w:hAnsi="Times New Roman" w:cs="Times New Roman"/>
          <w:color w:val="FF0000"/>
          <w:sz w:val="24"/>
          <w:szCs w:val="24"/>
          <w:u w:val="single"/>
        </w:rPr>
        <w:t>En general, los intereses están subiendo en toda la deuda soberana, pero especialmente en países con un endeudamiento más elevado</w:t>
      </w:r>
      <w:r w:rsidRPr="00995962">
        <w:rPr>
          <w:rFonts w:ascii="Times New Roman" w:hAnsi="Times New Roman" w:cs="Times New Roman"/>
          <w:sz w:val="24"/>
          <w:szCs w:val="24"/>
        </w:rPr>
        <w:t>. Por ejemplo, la prima de riesgo, el diferencial respecto a la deuda alemana, de Italia y España, se sitúa en niveles de mayo de 2020, al situarse en 207 y 113 puntos básicos, respectivamente.</w:t>
      </w:r>
    </w:p>
    <w:p w:rsidR="00CF408C" w:rsidRPr="00995962" w:rsidRDefault="00CF408C" w:rsidP="00CF408C">
      <w:pPr>
        <w:spacing w:line="240" w:lineRule="auto"/>
        <w:jc w:val="both"/>
        <w:rPr>
          <w:rFonts w:ascii="Times New Roman" w:hAnsi="Times New Roman" w:cs="Times New Roman"/>
          <w:sz w:val="24"/>
          <w:szCs w:val="24"/>
        </w:rPr>
      </w:pPr>
      <w:r w:rsidRPr="00C60665">
        <w:rPr>
          <w:rFonts w:ascii="Times New Roman" w:hAnsi="Times New Roman" w:cs="Times New Roman"/>
          <w:color w:val="FF0000"/>
          <w:sz w:val="24"/>
          <w:szCs w:val="24"/>
          <w:u w:val="single"/>
        </w:rPr>
        <w:t>Hoy el Financial Times asegura que hay mayoría dentro del Consejo de Gobierno para apoyar una nueva línea de compras de deuda</w:t>
      </w:r>
      <w:r>
        <w:rPr>
          <w:rFonts w:ascii="Times New Roman" w:hAnsi="Times New Roman" w:cs="Times New Roman"/>
          <w:color w:val="FF0000"/>
          <w:sz w:val="24"/>
          <w:szCs w:val="24"/>
          <w:u w:val="single"/>
        </w:rPr>
        <w:t xml:space="preserve"> para países cuyos bonos están “fuera de control”</w:t>
      </w:r>
      <w:r w:rsidRPr="00C60665">
        <w:rPr>
          <w:rFonts w:ascii="Times New Roman" w:hAnsi="Times New Roman" w:cs="Times New Roman"/>
          <w:color w:val="FF0000"/>
          <w:sz w:val="24"/>
          <w:szCs w:val="24"/>
          <w:u w:val="single"/>
        </w:rPr>
        <w:t>, como es el caso de Italia</w:t>
      </w:r>
      <w:r w:rsidRPr="00995962">
        <w:rPr>
          <w:rFonts w:ascii="Times New Roman" w:hAnsi="Times New Roman" w:cs="Times New Roman"/>
          <w:sz w:val="24"/>
          <w:szCs w:val="24"/>
        </w:rPr>
        <w:t>. El interés del bono trasalpino a diez años se sitúa en el 3,37%, en máximos de octubre de 2018. Para el BCE supone un difícil equilibrio, cuando se dispone a celebrar las reuniones clave para iniciar el ciclo de subida de tipos, por primera vez desde 2011, para contener una inflación cada vez más pegajosa.</w:t>
      </w:r>
    </w:p>
    <w:p w:rsidR="00CF408C" w:rsidRPr="00C60665" w:rsidRDefault="00CF408C" w:rsidP="00CF408C">
      <w:pPr>
        <w:spacing w:line="240" w:lineRule="auto"/>
        <w:jc w:val="both"/>
        <w:rPr>
          <w:rFonts w:ascii="Times New Roman" w:hAnsi="Times New Roman" w:cs="Times New Roman"/>
          <w:sz w:val="24"/>
          <w:szCs w:val="24"/>
          <w:u w:val="single"/>
        </w:rPr>
      </w:pPr>
      <w:r w:rsidRPr="00C60665">
        <w:rPr>
          <w:rFonts w:ascii="Times New Roman" w:hAnsi="Times New Roman" w:cs="Times New Roman"/>
          <w:sz w:val="24"/>
          <w:szCs w:val="24"/>
          <w:u w:val="single"/>
        </w:rPr>
        <w:t>En la cita del jueves se debe cumplir la primera condición autoimpuesta por el BCE, terminar primero con las compras, antes de iniciar el alza de tipos. La institución debería anunciar la fecha definitiva para que el PEPP finalice las compras</w:t>
      </w:r>
      <w:r w:rsidRPr="00995962">
        <w:rPr>
          <w:rFonts w:ascii="Times New Roman" w:hAnsi="Times New Roman" w:cs="Times New Roman"/>
          <w:sz w:val="24"/>
          <w:szCs w:val="24"/>
        </w:rPr>
        <w:t xml:space="preserve">. Tras la hoja de ruta publicada por la presidenta, Christine Lagarde, todo apunta a que terminará a finales de este mes, para que en la reunión del 21 de julio, se anuncie la primera subida. </w:t>
      </w:r>
      <w:r w:rsidRPr="00C60665">
        <w:rPr>
          <w:rFonts w:ascii="Times New Roman" w:hAnsi="Times New Roman" w:cs="Times New Roman"/>
          <w:sz w:val="24"/>
          <w:szCs w:val="24"/>
          <w:u w:val="single"/>
        </w:rPr>
        <w:t>El diario británico apunta que hay casi unanimidad en el Consejo para crear un nuevo programa. Por el lado de los halcones lo ven casi imprescindible, si el BCE adopta una posición agresiva, pero a la vez insisten en adelantar la fecha del fin de las compras.</w:t>
      </w:r>
    </w:p>
    <w:p w:rsidR="00CF408C" w:rsidRPr="00995962" w:rsidRDefault="00CF408C" w:rsidP="00CF408C">
      <w:pPr>
        <w:spacing w:line="240" w:lineRule="auto"/>
        <w:jc w:val="both"/>
        <w:rPr>
          <w:rFonts w:ascii="Times New Roman" w:hAnsi="Times New Roman" w:cs="Times New Roman"/>
          <w:sz w:val="24"/>
          <w:szCs w:val="24"/>
        </w:rPr>
      </w:pPr>
      <w:r w:rsidRPr="00995962">
        <w:rPr>
          <w:rFonts w:ascii="Times New Roman" w:hAnsi="Times New Roman" w:cs="Times New Roman"/>
          <w:sz w:val="24"/>
          <w:szCs w:val="24"/>
        </w:rPr>
        <w:t>Carsten Brzeski, jefe de Economía de ING, comenta que sería una manera clara de sorprender con un mensaje más duro y permitiría abrir la puerta a la posibilidad de subir las tasas de interés antes de la reunión del 21 de julio. Sería una manera de guardar una bala, si la situ</w:t>
      </w:r>
      <w:r>
        <w:rPr>
          <w:rFonts w:ascii="Times New Roman" w:hAnsi="Times New Roman" w:cs="Times New Roman"/>
          <w:sz w:val="24"/>
          <w:szCs w:val="24"/>
        </w:rPr>
        <w:t>ación con la deuda se complica.</w:t>
      </w:r>
    </w:p>
    <w:p w:rsidR="00CF408C" w:rsidRPr="00C60665" w:rsidRDefault="00CF408C" w:rsidP="00CF408C">
      <w:pPr>
        <w:spacing w:line="240" w:lineRule="auto"/>
        <w:jc w:val="both"/>
        <w:rPr>
          <w:rFonts w:ascii="Times New Roman" w:hAnsi="Times New Roman" w:cs="Times New Roman"/>
          <w:color w:val="FF0000"/>
          <w:sz w:val="24"/>
          <w:szCs w:val="24"/>
          <w:u w:val="single"/>
        </w:rPr>
      </w:pPr>
      <w:r w:rsidRPr="00C60665">
        <w:rPr>
          <w:rFonts w:ascii="Times New Roman" w:hAnsi="Times New Roman" w:cs="Times New Roman"/>
          <w:color w:val="FF0000"/>
          <w:sz w:val="24"/>
          <w:szCs w:val="24"/>
          <w:u w:val="single"/>
        </w:rPr>
        <w:t>Por encima del debate sobre la magnitud en la subida de tipos, será imprescindible conocer las condiciones de la retirada de las compras. El fin del PEPP no significa que el BCE salga del mercado de bonos. La sombra del guardián del euro seguirá siendo alargada y tendrá una capacidad de 200.000 millones, teniendo en cuenta los vencimientos y futuras reinversiones este año.</w:t>
      </w:r>
    </w:p>
    <w:p w:rsidR="00CF408C" w:rsidRPr="00C60665" w:rsidRDefault="00CF408C" w:rsidP="00CF408C">
      <w:pPr>
        <w:spacing w:line="240" w:lineRule="auto"/>
        <w:jc w:val="both"/>
        <w:rPr>
          <w:rFonts w:ascii="Times New Roman" w:hAnsi="Times New Roman" w:cs="Times New Roman"/>
          <w:color w:val="FF0000"/>
          <w:sz w:val="24"/>
          <w:szCs w:val="24"/>
          <w:u w:val="single"/>
        </w:rPr>
      </w:pPr>
      <w:r w:rsidRPr="00C60665">
        <w:rPr>
          <w:rFonts w:ascii="Times New Roman" w:hAnsi="Times New Roman" w:cs="Times New Roman"/>
          <w:color w:val="FF0000"/>
          <w:sz w:val="24"/>
          <w:szCs w:val="24"/>
          <w:u w:val="single"/>
        </w:rPr>
        <w:t>Fabio Panetta, miembro del Comité Ejecutivo de la ins</w:t>
      </w:r>
      <w:r>
        <w:rPr>
          <w:rFonts w:ascii="Times New Roman" w:hAnsi="Times New Roman" w:cs="Times New Roman"/>
          <w:color w:val="FF0000"/>
          <w:sz w:val="24"/>
          <w:szCs w:val="24"/>
          <w:u w:val="single"/>
        </w:rPr>
        <w:t>titución, ha hablado ya de una “</w:t>
      </w:r>
      <w:r w:rsidRPr="00C60665">
        <w:rPr>
          <w:rFonts w:ascii="Times New Roman" w:hAnsi="Times New Roman" w:cs="Times New Roman"/>
          <w:color w:val="FF0000"/>
          <w:sz w:val="24"/>
          <w:szCs w:val="24"/>
          <w:u w:val="single"/>
        </w:rPr>
        <w:t>herramienta anti-</w:t>
      </w:r>
      <w:r>
        <w:rPr>
          <w:rFonts w:ascii="Times New Roman" w:hAnsi="Times New Roman" w:cs="Times New Roman"/>
          <w:color w:val="FF0000"/>
          <w:sz w:val="24"/>
          <w:szCs w:val="24"/>
          <w:u w:val="single"/>
        </w:rPr>
        <w:t>fragmentación”</w:t>
      </w:r>
      <w:r w:rsidRPr="00C60665">
        <w:rPr>
          <w:rFonts w:ascii="Times New Roman" w:hAnsi="Times New Roman" w:cs="Times New Roman"/>
          <w:color w:val="FF0000"/>
          <w:sz w:val="24"/>
          <w:szCs w:val="24"/>
          <w:u w:val="single"/>
        </w:rPr>
        <w:t xml:space="preserve"> que impida que la normalización monetaria genere una Eurozona con dispares condiciones financieras, mientras que Christine </w:t>
      </w:r>
      <w:r>
        <w:rPr>
          <w:rFonts w:ascii="Times New Roman" w:hAnsi="Times New Roman" w:cs="Times New Roman"/>
          <w:color w:val="FF0000"/>
          <w:sz w:val="24"/>
          <w:szCs w:val="24"/>
          <w:u w:val="single"/>
        </w:rPr>
        <w:t>Lagarde señaló esta semana que “</w:t>
      </w:r>
      <w:r w:rsidRPr="00C60665">
        <w:rPr>
          <w:rFonts w:ascii="Times New Roman" w:hAnsi="Times New Roman" w:cs="Times New Roman"/>
          <w:color w:val="FF0000"/>
          <w:sz w:val="24"/>
          <w:szCs w:val="24"/>
          <w:u w:val="single"/>
        </w:rPr>
        <w:t>cualquier decisión futura sobre el balance tendrá que ser coherente... con nuestro compromiso de garantizar la transmisión de la política, especialmente porque la reinversión flexible de la cartera del PEPP es una herramienta que hemos puesto a disposición para mitig</w:t>
      </w:r>
      <w:r>
        <w:rPr>
          <w:rFonts w:ascii="Times New Roman" w:hAnsi="Times New Roman" w:cs="Times New Roman"/>
          <w:color w:val="FF0000"/>
          <w:sz w:val="24"/>
          <w:szCs w:val="24"/>
          <w:u w:val="single"/>
        </w:rPr>
        <w:t>ar los riesgos de fragmentación”</w:t>
      </w:r>
      <w:r w:rsidRPr="00C60665">
        <w:rPr>
          <w:rFonts w:ascii="Times New Roman" w:hAnsi="Times New Roman" w:cs="Times New Roman"/>
          <w:color w:val="FF0000"/>
          <w:sz w:val="24"/>
          <w:szCs w:val="24"/>
          <w:u w:val="single"/>
        </w:rPr>
        <w:t>.</w:t>
      </w:r>
    </w:p>
    <w:p w:rsidR="00CF408C" w:rsidRPr="00995962" w:rsidRDefault="00CF408C" w:rsidP="00CF408C">
      <w:pPr>
        <w:spacing w:line="240" w:lineRule="auto"/>
        <w:jc w:val="both"/>
        <w:rPr>
          <w:rFonts w:ascii="Times New Roman" w:hAnsi="Times New Roman" w:cs="Times New Roman"/>
          <w:sz w:val="24"/>
          <w:szCs w:val="24"/>
        </w:rPr>
      </w:pPr>
      <w:r w:rsidRPr="00995962">
        <w:rPr>
          <w:rFonts w:ascii="Times New Roman" w:hAnsi="Times New Roman" w:cs="Times New Roman"/>
          <w:sz w:val="24"/>
          <w:szCs w:val="24"/>
        </w:rPr>
        <w:t>Ya el mes pasado, cuando la banquera gala estableció la hoja de ruta para dejar atrás los ti</w:t>
      </w:r>
      <w:r>
        <w:rPr>
          <w:rFonts w:ascii="Times New Roman" w:hAnsi="Times New Roman" w:cs="Times New Roman"/>
          <w:sz w:val="24"/>
          <w:szCs w:val="24"/>
        </w:rPr>
        <w:t>pos negativos, ya apuntó a que “</w:t>
      </w:r>
      <w:r w:rsidRPr="00995962">
        <w:rPr>
          <w:rFonts w:ascii="Times New Roman" w:hAnsi="Times New Roman" w:cs="Times New Roman"/>
          <w:sz w:val="24"/>
          <w:szCs w:val="24"/>
        </w:rPr>
        <w:t xml:space="preserve">si es necesario, podemos diseñar y desplegar nuevos instrumentos para asegurar la transmisión de la política monetaria a medida que avanzamos en el camino de la normalización de la política, como hemos demostrado en </w:t>
      </w:r>
      <w:r>
        <w:rPr>
          <w:rFonts w:ascii="Times New Roman" w:hAnsi="Times New Roman" w:cs="Times New Roman"/>
          <w:sz w:val="24"/>
          <w:szCs w:val="24"/>
        </w:rPr>
        <w:t>muchas ocasiones en el pasado”.</w:t>
      </w:r>
    </w:p>
    <w:p w:rsidR="00CF408C" w:rsidRPr="00995962" w:rsidRDefault="00CF408C" w:rsidP="00CF408C">
      <w:pPr>
        <w:spacing w:line="240" w:lineRule="auto"/>
        <w:jc w:val="both"/>
        <w:rPr>
          <w:rFonts w:ascii="Times New Roman" w:hAnsi="Times New Roman" w:cs="Times New Roman"/>
          <w:sz w:val="24"/>
          <w:szCs w:val="24"/>
        </w:rPr>
      </w:pPr>
      <w:r w:rsidRPr="00995962">
        <w:rPr>
          <w:rFonts w:ascii="Times New Roman" w:hAnsi="Times New Roman" w:cs="Times New Roman"/>
          <w:sz w:val="24"/>
          <w:szCs w:val="24"/>
        </w:rPr>
        <w:t>Los expertos apuestan por un BCE jugando con palabras mágicas</w:t>
      </w:r>
    </w:p>
    <w:p w:rsidR="00CF408C" w:rsidRPr="00902510" w:rsidRDefault="00CF408C" w:rsidP="00CF408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w:t>
      </w:r>
      <w:r w:rsidRPr="00995962">
        <w:rPr>
          <w:rFonts w:ascii="Times New Roman" w:hAnsi="Times New Roman" w:cs="Times New Roman"/>
          <w:sz w:val="24"/>
          <w:szCs w:val="24"/>
        </w:rPr>
        <w:t xml:space="preserve">Una herramienta anti-fragmentación sería fácil de justificar desde una perspectiva legal, pero podría ser más difícil de integrar en la configuración institucional de la región de una </w:t>
      </w:r>
      <w:r w:rsidRPr="00995962">
        <w:rPr>
          <w:rFonts w:ascii="Times New Roman" w:hAnsi="Times New Roman" w:cs="Times New Roman"/>
          <w:sz w:val="24"/>
          <w:szCs w:val="24"/>
        </w:rPr>
        <w:lastRenderedPageBreak/>
        <w:t xml:space="preserve">manera que garantice un apoyo sólido y efectivo. El BCE también puede tener dificultades para llegar a un acuerdo interno sobre los niveles </w:t>
      </w:r>
      <w:r>
        <w:rPr>
          <w:rFonts w:ascii="Times New Roman" w:hAnsi="Times New Roman" w:cs="Times New Roman"/>
          <w:sz w:val="24"/>
          <w:szCs w:val="24"/>
        </w:rPr>
        <w:t>de activación de la herramienta”</w:t>
      </w:r>
      <w:r w:rsidRPr="00995962">
        <w:rPr>
          <w:rFonts w:ascii="Times New Roman" w:hAnsi="Times New Roman" w:cs="Times New Roman"/>
          <w:sz w:val="24"/>
          <w:szCs w:val="24"/>
        </w:rPr>
        <w:t xml:space="preserve">, aseguran </w:t>
      </w:r>
      <w:r w:rsidRPr="00902510">
        <w:rPr>
          <w:rFonts w:ascii="Times New Roman" w:hAnsi="Times New Roman" w:cs="Times New Roman"/>
          <w:sz w:val="24"/>
          <w:szCs w:val="24"/>
          <w:u w:val="single"/>
        </w:rPr>
        <w:t>desde JP Morgan. Para estos expertos, la flexibilidad de las reinversiones del PEPP no serán suficientes para mantener controlados los diferenciales.</w:t>
      </w:r>
    </w:p>
    <w:p w:rsidR="00CF408C" w:rsidRPr="00902510" w:rsidRDefault="00CF408C" w:rsidP="00CF408C">
      <w:pPr>
        <w:spacing w:line="240" w:lineRule="auto"/>
        <w:jc w:val="both"/>
        <w:rPr>
          <w:rFonts w:ascii="Times New Roman" w:hAnsi="Times New Roman" w:cs="Times New Roman"/>
          <w:color w:val="FF0000"/>
          <w:sz w:val="24"/>
          <w:szCs w:val="24"/>
          <w:u w:val="single"/>
        </w:rPr>
      </w:pPr>
      <w:r w:rsidRPr="00902510">
        <w:rPr>
          <w:rFonts w:ascii="Times New Roman" w:hAnsi="Times New Roman" w:cs="Times New Roman"/>
          <w:sz w:val="24"/>
          <w:szCs w:val="24"/>
          <w:u w:val="single"/>
        </w:rPr>
        <w:t>Los expertos tienen en mente el programa OMT de 2012, asociado a las palabras mágicas de Mario Draghi, el anterio</w:t>
      </w:r>
      <w:r>
        <w:rPr>
          <w:rFonts w:ascii="Times New Roman" w:hAnsi="Times New Roman" w:cs="Times New Roman"/>
          <w:sz w:val="24"/>
          <w:szCs w:val="24"/>
          <w:u w:val="single"/>
        </w:rPr>
        <w:t>r presidente del BCE, de “</w:t>
      </w:r>
      <w:r w:rsidRPr="00902510">
        <w:rPr>
          <w:rFonts w:ascii="Times New Roman" w:hAnsi="Times New Roman" w:cs="Times New Roman"/>
          <w:sz w:val="24"/>
          <w:szCs w:val="24"/>
          <w:u w:val="single"/>
        </w:rPr>
        <w:t>whateve</w:t>
      </w:r>
      <w:r>
        <w:rPr>
          <w:rFonts w:ascii="Times New Roman" w:hAnsi="Times New Roman" w:cs="Times New Roman"/>
          <w:sz w:val="24"/>
          <w:szCs w:val="24"/>
          <w:u w:val="single"/>
        </w:rPr>
        <w:t>r it takes to preserve the euro”</w:t>
      </w:r>
      <w:r w:rsidRPr="00902510">
        <w:rPr>
          <w:rFonts w:ascii="Times New Roman" w:hAnsi="Times New Roman" w:cs="Times New Roman"/>
          <w:sz w:val="24"/>
          <w:szCs w:val="24"/>
          <w:u w:val="single"/>
        </w:rPr>
        <w:t>. El programa nunca se llegó a utilizar, pero permitía al banco central comprar deuda directamente en el mercado secundario. Su solo presencia</w:t>
      </w:r>
      <w:r>
        <w:rPr>
          <w:rFonts w:ascii="Times New Roman" w:hAnsi="Times New Roman" w:cs="Times New Roman"/>
          <w:sz w:val="24"/>
          <w:szCs w:val="24"/>
          <w:u w:val="single"/>
        </w:rPr>
        <w:t xml:space="preserve"> aplacó las primas de riesgo.  “</w:t>
      </w:r>
      <w:r w:rsidRPr="00902510">
        <w:rPr>
          <w:rFonts w:ascii="Times New Roman" w:hAnsi="Times New Roman" w:cs="Times New Roman"/>
          <w:sz w:val="24"/>
          <w:szCs w:val="24"/>
          <w:u w:val="single"/>
        </w:rPr>
        <w:t>Sospechamos que el BCE confiará primero en la intervenc</w:t>
      </w:r>
      <w:r>
        <w:rPr>
          <w:rFonts w:ascii="Times New Roman" w:hAnsi="Times New Roman" w:cs="Times New Roman"/>
          <w:sz w:val="24"/>
          <w:szCs w:val="24"/>
          <w:u w:val="single"/>
        </w:rPr>
        <w:t>ión verbal en primera instancia”</w:t>
      </w:r>
      <w:r w:rsidRPr="00902510">
        <w:rPr>
          <w:rFonts w:ascii="Times New Roman" w:hAnsi="Times New Roman" w:cs="Times New Roman"/>
          <w:sz w:val="24"/>
          <w:szCs w:val="24"/>
          <w:u w:val="single"/>
        </w:rPr>
        <w:t>, inciden los expertos.</w:t>
      </w:r>
      <w:r>
        <w:rPr>
          <w:rFonts w:ascii="Times New Roman" w:hAnsi="Times New Roman" w:cs="Times New Roman"/>
          <w:color w:val="FF0000"/>
          <w:sz w:val="24"/>
          <w:szCs w:val="24"/>
          <w:u w:val="single"/>
        </w:rPr>
        <w:t>“</w:t>
      </w:r>
      <w:r w:rsidRPr="00902510">
        <w:rPr>
          <w:rFonts w:ascii="Times New Roman" w:hAnsi="Times New Roman" w:cs="Times New Roman"/>
          <w:color w:val="FF0000"/>
          <w:sz w:val="24"/>
          <w:szCs w:val="24"/>
          <w:u w:val="single"/>
        </w:rPr>
        <w:t>Solo si las presiones del mercado aumentan considerablemente, se llegará a un acuerdo sobre una herramienta y sobre los niveles de intervención, condicionada a reformas y a</w:t>
      </w:r>
      <w:r>
        <w:rPr>
          <w:rFonts w:ascii="Times New Roman" w:hAnsi="Times New Roman" w:cs="Times New Roman"/>
          <w:color w:val="FF0000"/>
          <w:sz w:val="24"/>
          <w:szCs w:val="24"/>
          <w:u w:val="single"/>
        </w:rPr>
        <w:t xml:space="preserve"> los fondos del Next Generation”</w:t>
      </w:r>
      <w:r w:rsidRPr="00902510">
        <w:rPr>
          <w:rFonts w:ascii="Times New Roman" w:hAnsi="Times New Roman" w:cs="Times New Roman"/>
          <w:color w:val="FF0000"/>
          <w:sz w:val="24"/>
          <w:szCs w:val="24"/>
          <w:u w:val="single"/>
        </w:rPr>
        <w:t>, concretan.</w:t>
      </w:r>
    </w:p>
    <w:p w:rsidR="00CF408C" w:rsidRDefault="00CF408C" w:rsidP="00CF408C">
      <w:pPr>
        <w:spacing w:line="240" w:lineRule="auto"/>
        <w:jc w:val="both"/>
        <w:rPr>
          <w:rFonts w:ascii="Times New Roman" w:hAnsi="Times New Roman" w:cs="Times New Roman"/>
          <w:sz w:val="24"/>
          <w:szCs w:val="24"/>
        </w:rPr>
      </w:pPr>
      <w:r w:rsidRPr="00995962">
        <w:rPr>
          <w:rFonts w:ascii="Times New Roman" w:hAnsi="Times New Roman" w:cs="Times New Roman"/>
          <w:sz w:val="24"/>
          <w:szCs w:val="24"/>
        </w:rPr>
        <w:t>En la misma línea se pronuncian desde la gestora PIMCO,</w:t>
      </w:r>
      <w:r>
        <w:rPr>
          <w:rFonts w:ascii="Times New Roman" w:hAnsi="Times New Roman" w:cs="Times New Roman"/>
          <w:sz w:val="24"/>
          <w:szCs w:val="24"/>
        </w:rPr>
        <w:t xml:space="preserve"> la mayor firma de renta fija. “</w:t>
      </w:r>
      <w:r w:rsidRPr="00995962">
        <w:rPr>
          <w:rFonts w:ascii="Times New Roman" w:hAnsi="Times New Roman" w:cs="Times New Roman"/>
          <w:sz w:val="24"/>
          <w:szCs w:val="24"/>
        </w:rPr>
        <w:t>No creemos que el BCE vaya a presentar un marco o un mecanismo para abordar los posibles problemas de fragmentación en un futuro próximo, más bien, y en consonancia con el pasado, pensamos que el BCE preferirá responder a las perturbaciones exógenas importantes con soluciones personalizadas, lo que habla de un riesgo de que los mercados pongan a prueba la voluntad del BCE de neutralizar cualquier respuesta no lineal del mercado que pue</w:t>
      </w:r>
      <w:r>
        <w:rPr>
          <w:rFonts w:ascii="Times New Roman" w:hAnsi="Times New Roman" w:cs="Times New Roman"/>
          <w:sz w:val="24"/>
          <w:szCs w:val="24"/>
        </w:rPr>
        <w:t>da surgir de la subida de tipos”</w:t>
      </w:r>
      <w:r w:rsidRPr="00995962">
        <w:rPr>
          <w:rFonts w:ascii="Times New Roman" w:hAnsi="Times New Roman" w:cs="Times New Roman"/>
          <w:sz w:val="24"/>
          <w:szCs w:val="24"/>
        </w:rPr>
        <w:t>, argumentan.</w:t>
      </w:r>
    </w:p>
    <w:p w:rsidR="00CF408C" w:rsidRPr="00EA330E" w:rsidRDefault="00CF408C" w:rsidP="00CF40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A330E">
        <w:rPr>
          <w:rFonts w:ascii="Times New Roman" w:hAnsi="Times New Roman" w:cs="Times New Roman"/>
          <w:sz w:val="24"/>
          <w:szCs w:val="24"/>
          <w:u w:val="single"/>
        </w:rPr>
        <w:t>El BCE subirá 25 puntos los tipos en julio y promete mantener a raya la prima de riesgo</w:t>
      </w:r>
      <w:r>
        <w:rPr>
          <w:rFonts w:ascii="Times New Roman" w:hAnsi="Times New Roman" w:cs="Times New Roman"/>
          <w:sz w:val="24"/>
          <w:szCs w:val="24"/>
        </w:rPr>
        <w:t xml:space="preserve"> (Cinco Días - </w:t>
      </w:r>
      <w:r w:rsidRPr="00EA330E">
        <w:rPr>
          <w:rFonts w:ascii="Times New Roman" w:hAnsi="Times New Roman" w:cs="Times New Roman"/>
          <w:b/>
          <w:sz w:val="24"/>
          <w:szCs w:val="24"/>
        </w:rPr>
        <w:t>9/6/22</w:t>
      </w:r>
      <w:r>
        <w:rPr>
          <w:rFonts w:ascii="Times New Roman" w:hAnsi="Times New Roman" w:cs="Times New Roman"/>
          <w:sz w:val="24"/>
          <w:szCs w:val="24"/>
        </w:rPr>
        <w:t>)</w:t>
      </w:r>
    </w:p>
    <w:p w:rsidR="00CF408C" w:rsidRDefault="00CF408C" w:rsidP="00CF40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A330E">
        <w:rPr>
          <w:rFonts w:ascii="Times New Roman" w:hAnsi="Times New Roman" w:cs="Times New Roman"/>
          <w:sz w:val="24"/>
          <w:szCs w:val="24"/>
        </w:rPr>
        <w:t>Nuria Salobral</w:t>
      </w:r>
      <w:r>
        <w:rPr>
          <w:rFonts w:ascii="Times New Roman" w:hAnsi="Times New Roman" w:cs="Times New Roman"/>
          <w:sz w:val="24"/>
          <w:szCs w:val="24"/>
        </w:rPr>
        <w:t>)</w:t>
      </w:r>
    </w:p>
    <w:p w:rsidR="00E860A2" w:rsidRPr="00EA330E" w:rsidRDefault="00E860A2" w:rsidP="00CF408C">
      <w:pPr>
        <w:spacing w:line="240" w:lineRule="auto"/>
        <w:jc w:val="both"/>
        <w:rPr>
          <w:rFonts w:ascii="Times New Roman" w:hAnsi="Times New Roman" w:cs="Times New Roman"/>
          <w:sz w:val="24"/>
          <w:szCs w:val="24"/>
        </w:rPr>
      </w:pPr>
      <w:r>
        <w:rPr>
          <w:noProof/>
          <w:lang w:val="en-GB" w:eastAsia="zh-CN"/>
        </w:rPr>
        <w:drawing>
          <wp:inline distT="0" distB="0" distL="0" distR="0">
            <wp:extent cx="5732143" cy="2533650"/>
            <wp:effectExtent l="0" t="0" r="2540" b="0"/>
            <wp:docPr id="94" name="Imagen 94" descr="Prima de riesgo Esp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a de riesgo España"/>
                    <pic:cNvPicPr>
                      <a:picLocks noChangeAspect="1" noChangeArrowheads="1"/>
                    </pic:cNvPicPr>
                  </pic:nvPicPr>
                  <pic:blipFill>
                    <a:blip r:embed="rId1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533370"/>
                    </a:xfrm>
                    <a:prstGeom prst="rect">
                      <a:avLst/>
                    </a:prstGeom>
                    <a:noFill/>
                    <a:ln>
                      <a:noFill/>
                    </a:ln>
                  </pic:spPr>
                </pic:pic>
              </a:graphicData>
            </a:graphic>
          </wp:inline>
        </w:drawing>
      </w:r>
    </w:p>
    <w:p w:rsidR="00CF408C" w:rsidRPr="003D1067" w:rsidRDefault="00CF408C" w:rsidP="00CF408C">
      <w:pPr>
        <w:spacing w:line="240" w:lineRule="auto"/>
        <w:jc w:val="both"/>
        <w:rPr>
          <w:rFonts w:ascii="Times New Roman" w:hAnsi="Times New Roman" w:cs="Times New Roman"/>
          <w:color w:val="FF0000"/>
          <w:sz w:val="24"/>
          <w:szCs w:val="24"/>
          <w:u w:val="single"/>
        </w:rPr>
      </w:pPr>
      <w:r w:rsidRPr="003D1067">
        <w:rPr>
          <w:rFonts w:ascii="Times New Roman" w:hAnsi="Times New Roman" w:cs="Times New Roman"/>
          <w:color w:val="FF0000"/>
          <w:sz w:val="24"/>
          <w:szCs w:val="24"/>
          <w:u w:val="single"/>
        </w:rPr>
        <w:t>El guion ya estaba escrito y hoy ha llegado la confirmación oficial. El Consejo de Gobierno del BCE, reunido hoy en Ámsterdam, ha decidido emprender el camino hacia la primera subida de tipos de interés en la zona euro desde 2011. Los subirán 25 puntos básicos en julio, al tiempo que pondrá fin a las compras netas de deuda el día 1 de ese mes. El objetivo es que la zona euro abandone el territorio de los tipos de interés negativos en septiembre.</w:t>
      </w:r>
    </w:p>
    <w:p w:rsidR="00CF408C" w:rsidRPr="00EA330E" w:rsidRDefault="00CF408C" w:rsidP="00CF408C">
      <w:pPr>
        <w:spacing w:line="240" w:lineRule="auto"/>
        <w:jc w:val="both"/>
        <w:rPr>
          <w:rFonts w:ascii="Times New Roman" w:hAnsi="Times New Roman" w:cs="Times New Roman"/>
          <w:sz w:val="24"/>
          <w:szCs w:val="24"/>
        </w:rPr>
      </w:pPr>
      <w:r w:rsidRPr="003D1067">
        <w:rPr>
          <w:rFonts w:ascii="Times New Roman" w:hAnsi="Times New Roman" w:cs="Times New Roman"/>
          <w:color w:val="FF0000"/>
          <w:sz w:val="24"/>
          <w:szCs w:val="24"/>
          <w:u w:val="single"/>
        </w:rPr>
        <w:t>En el comunicado posterior a la reunión el BCE también avanza que volverá a subir los tipos en septiembre, sin descartar un alza de 50 puntos básicos en esa cita. “Dependerá de las expectativas de inflación en el medio plazo. Si persisten o se deterioran un incremento más elevado sería apropiado en la reunión de septiembre”, explica la institución</w:t>
      </w:r>
      <w:r w:rsidRPr="00EA330E">
        <w:rPr>
          <w:rFonts w:ascii="Times New Roman" w:hAnsi="Times New Roman" w:cs="Times New Roman"/>
          <w:sz w:val="24"/>
          <w:szCs w:val="24"/>
        </w:rPr>
        <w:t xml:space="preserve">. Las alzas de </w:t>
      </w:r>
      <w:r w:rsidRPr="00EA330E">
        <w:rPr>
          <w:rFonts w:ascii="Times New Roman" w:hAnsi="Times New Roman" w:cs="Times New Roman"/>
          <w:sz w:val="24"/>
          <w:szCs w:val="24"/>
        </w:rPr>
        <w:lastRenderedPageBreak/>
        <w:t>tipos se aplicarán por igual a todas las referencias: a la tasa de depósito, ahora en el -0,5%; al tipo de referencia, en el 0%, y a la</w:t>
      </w:r>
      <w:r>
        <w:rPr>
          <w:rFonts w:ascii="Times New Roman" w:hAnsi="Times New Roman" w:cs="Times New Roman"/>
          <w:sz w:val="24"/>
          <w:szCs w:val="24"/>
        </w:rPr>
        <w:t xml:space="preserve"> facilidad marginal de crédito.</w:t>
      </w:r>
    </w:p>
    <w:p w:rsidR="00CF408C" w:rsidRPr="00EA330E" w:rsidRDefault="00CF408C" w:rsidP="00CF408C">
      <w:pPr>
        <w:spacing w:line="240" w:lineRule="auto"/>
        <w:jc w:val="both"/>
        <w:rPr>
          <w:rFonts w:ascii="Times New Roman" w:hAnsi="Times New Roman" w:cs="Times New Roman"/>
          <w:sz w:val="24"/>
          <w:szCs w:val="24"/>
        </w:rPr>
      </w:pPr>
      <w:r w:rsidRPr="003D1067">
        <w:rPr>
          <w:rFonts w:ascii="Times New Roman" w:hAnsi="Times New Roman" w:cs="Times New Roman"/>
          <w:color w:val="FF0000"/>
          <w:sz w:val="24"/>
          <w:szCs w:val="24"/>
          <w:u w:val="single"/>
        </w:rPr>
        <w:t>A partir de septiembre, el BCE avanza que “una gradual pero sostenida senda de aumentos adicionales de los tipos será apropiada, en línea con el objetivo del Consejo de Gobierno de alcanzar un objetivo de inflación del 2% en el medio plazo</w:t>
      </w:r>
      <w:r w:rsidRPr="003D1067">
        <w:rPr>
          <w:rFonts w:ascii="Times New Roman" w:hAnsi="Times New Roman" w:cs="Times New Roman"/>
          <w:color w:val="FF0000"/>
          <w:sz w:val="24"/>
          <w:szCs w:val="24"/>
        </w:rPr>
        <w:t>”. El comunicado añade que el ritmo de esas subidas dependerá de los indicadores económicos y de cómo evolucione la inflación en el medio plazo.</w:t>
      </w:r>
      <w:r>
        <w:rPr>
          <w:rFonts w:ascii="Times New Roman" w:hAnsi="Times New Roman" w:cs="Times New Roman"/>
          <w:sz w:val="24"/>
          <w:szCs w:val="24"/>
        </w:rPr>
        <w:t xml:space="preserve"> “</w:t>
      </w:r>
      <w:r w:rsidRPr="00EA330E">
        <w:rPr>
          <w:rFonts w:ascii="Times New Roman" w:hAnsi="Times New Roman" w:cs="Times New Roman"/>
          <w:sz w:val="24"/>
          <w:szCs w:val="24"/>
        </w:rPr>
        <w:t>Ha sido un debate muy productivo, una d</w:t>
      </w:r>
      <w:r>
        <w:rPr>
          <w:rFonts w:ascii="Times New Roman" w:hAnsi="Times New Roman" w:cs="Times New Roman"/>
          <w:sz w:val="24"/>
          <w:szCs w:val="24"/>
        </w:rPr>
        <w:t>ecisión aprobada por unanimidad”</w:t>
      </w:r>
      <w:r w:rsidRPr="00EA330E">
        <w:rPr>
          <w:rFonts w:ascii="Times New Roman" w:hAnsi="Times New Roman" w:cs="Times New Roman"/>
          <w:sz w:val="24"/>
          <w:szCs w:val="24"/>
        </w:rPr>
        <w:t xml:space="preserve">, ha asegurado la presidenta del BCE en rueda de prensa. Christine Lagarde ha insistido en que el BCE da un paso más en la normalización monetaria, en un proceso que será gradual, que dependerá de los datos económicos y en el que </w:t>
      </w:r>
      <w:r>
        <w:rPr>
          <w:rFonts w:ascii="Times New Roman" w:hAnsi="Times New Roman" w:cs="Times New Roman"/>
          <w:sz w:val="24"/>
          <w:szCs w:val="24"/>
        </w:rPr>
        <w:t>se responderá con flexibilidad.</w:t>
      </w:r>
    </w:p>
    <w:p w:rsidR="00CF408C" w:rsidRPr="003D1067" w:rsidRDefault="00CF408C" w:rsidP="00CF408C">
      <w:pPr>
        <w:spacing w:line="240" w:lineRule="auto"/>
        <w:jc w:val="both"/>
        <w:rPr>
          <w:rFonts w:ascii="Times New Roman" w:hAnsi="Times New Roman" w:cs="Times New Roman"/>
          <w:color w:val="FF0000"/>
          <w:sz w:val="24"/>
          <w:szCs w:val="24"/>
          <w:u w:val="single"/>
        </w:rPr>
      </w:pPr>
      <w:r w:rsidRPr="003D1067">
        <w:rPr>
          <w:rFonts w:ascii="Times New Roman" w:hAnsi="Times New Roman" w:cs="Times New Roman"/>
          <w:color w:val="FF0000"/>
          <w:sz w:val="24"/>
          <w:szCs w:val="24"/>
          <w:u w:val="single"/>
        </w:rPr>
        <w:t>El BCE ha tenido que acelerar el proceso de normalización de su política monetaria a la vista de la persistente y elevada inflación. En el mes de mayo alcanzó la cota histórica del 8,1% interanual y la incertidumbre es máxima en cuanto a si cederá en la segunda parte del año</w:t>
      </w:r>
      <w:r w:rsidRPr="00EA330E">
        <w:rPr>
          <w:rFonts w:ascii="Times New Roman" w:hAnsi="Times New Roman" w:cs="Times New Roman"/>
          <w:sz w:val="24"/>
          <w:szCs w:val="24"/>
        </w:rPr>
        <w:t>. El dato de junio será determinante, pero el BCE ya tiene prevista una subida de los tipos de interés en julio</w:t>
      </w:r>
      <w:r>
        <w:rPr>
          <w:rFonts w:ascii="Times New Roman" w:hAnsi="Times New Roman" w:cs="Times New Roman"/>
          <w:sz w:val="24"/>
          <w:szCs w:val="24"/>
        </w:rPr>
        <w:t xml:space="preserve">. </w:t>
      </w:r>
      <w:r w:rsidRPr="003D1067">
        <w:rPr>
          <w:rFonts w:ascii="Times New Roman" w:hAnsi="Times New Roman" w:cs="Times New Roman"/>
          <w:color w:val="FF0000"/>
          <w:sz w:val="24"/>
          <w:szCs w:val="24"/>
          <w:u w:val="single"/>
        </w:rPr>
        <w:t>“La elevada inflación es un gran desafío para todos nosotros”, recoge el comunicado del BCE y ha señ</w:t>
      </w:r>
      <w:r w:rsidR="004A36AB">
        <w:rPr>
          <w:rFonts w:ascii="Times New Roman" w:hAnsi="Times New Roman" w:cs="Times New Roman"/>
          <w:color w:val="FF0000"/>
          <w:sz w:val="24"/>
          <w:szCs w:val="24"/>
          <w:u w:val="single"/>
        </w:rPr>
        <w:t>alado Chri</w:t>
      </w:r>
      <w:r w:rsidRPr="003D1067">
        <w:rPr>
          <w:rFonts w:ascii="Times New Roman" w:hAnsi="Times New Roman" w:cs="Times New Roman"/>
          <w:color w:val="FF0000"/>
          <w:sz w:val="24"/>
          <w:szCs w:val="24"/>
          <w:u w:val="single"/>
        </w:rPr>
        <w:t xml:space="preserve">stine Lagarde en rueda de prensa. </w:t>
      </w:r>
    </w:p>
    <w:p w:rsidR="00CF408C" w:rsidRPr="00EA330E" w:rsidRDefault="00CF408C" w:rsidP="00CF408C">
      <w:pPr>
        <w:spacing w:line="240" w:lineRule="auto"/>
        <w:jc w:val="both"/>
        <w:rPr>
          <w:rFonts w:ascii="Times New Roman" w:hAnsi="Times New Roman" w:cs="Times New Roman"/>
          <w:sz w:val="24"/>
          <w:szCs w:val="24"/>
        </w:rPr>
      </w:pPr>
      <w:r w:rsidRPr="00EA330E">
        <w:rPr>
          <w:rFonts w:ascii="Times New Roman" w:hAnsi="Times New Roman" w:cs="Times New Roman"/>
          <w:sz w:val="24"/>
          <w:szCs w:val="24"/>
        </w:rPr>
        <w:t xml:space="preserve">Como paso previo imprescindible para la subida de tipos, las compras netas de deuda terminarán el 1 de julio. El BCE ya había reducido la cuantía de sus compras mensuales de activos dentro del programa APP a los 20.000 millones de euros para el mes de junio, según lo decidido en marzo, aunque ahora su papel en el mercado pasará a ser completamente secundario. </w:t>
      </w:r>
      <w:r w:rsidRPr="003D1067">
        <w:rPr>
          <w:rFonts w:ascii="Times New Roman" w:hAnsi="Times New Roman" w:cs="Times New Roman"/>
          <w:sz w:val="24"/>
          <w:szCs w:val="24"/>
          <w:u w:val="single"/>
        </w:rPr>
        <w:t>Continuará reinvirtiendo los vencimientos, que en el mes de julio ascenderán a 26.013 millones de euros y en el de septiembre, a 44.565 millones de euros. Pero no seguirá engordando su balance</w:t>
      </w:r>
      <w:r w:rsidRPr="00EA330E">
        <w:rPr>
          <w:rFonts w:ascii="Times New Roman" w:hAnsi="Times New Roman" w:cs="Times New Roman"/>
          <w:sz w:val="24"/>
          <w:szCs w:val="24"/>
        </w:rPr>
        <w:t xml:space="preserve">. Ya en marzo finalizó las compras de su programa extraordinario antipandemia (PEPP), del que se extenderán los vencimientos </w:t>
      </w:r>
      <w:r>
        <w:rPr>
          <w:rFonts w:ascii="Times New Roman" w:hAnsi="Times New Roman" w:cs="Times New Roman"/>
          <w:sz w:val="24"/>
          <w:szCs w:val="24"/>
        </w:rPr>
        <w:t>al menos hasta finales de 2024.</w:t>
      </w:r>
    </w:p>
    <w:p w:rsidR="00CF408C" w:rsidRPr="003D1067" w:rsidRDefault="00CF408C" w:rsidP="00CF408C">
      <w:pPr>
        <w:spacing w:line="240" w:lineRule="auto"/>
        <w:jc w:val="both"/>
        <w:rPr>
          <w:rFonts w:ascii="Times New Roman" w:hAnsi="Times New Roman" w:cs="Times New Roman"/>
          <w:sz w:val="24"/>
          <w:szCs w:val="24"/>
          <w:u w:val="single"/>
        </w:rPr>
      </w:pPr>
      <w:r w:rsidRPr="003D1067">
        <w:rPr>
          <w:rFonts w:ascii="Times New Roman" w:hAnsi="Times New Roman" w:cs="Times New Roman"/>
          <w:sz w:val="24"/>
          <w:szCs w:val="24"/>
          <w:u w:val="single"/>
        </w:rPr>
        <w:t xml:space="preserve">Los vencimientos del programa APP se reinvertirán en su totalidad, según explica el BCE, durante un “prolongado </w:t>
      </w:r>
      <w:r w:rsidR="00AD7D5D" w:rsidRPr="003D1067">
        <w:rPr>
          <w:rFonts w:ascii="Times New Roman" w:hAnsi="Times New Roman" w:cs="Times New Roman"/>
          <w:sz w:val="24"/>
          <w:szCs w:val="24"/>
          <w:u w:val="single"/>
        </w:rPr>
        <w:t>periodo</w:t>
      </w:r>
      <w:r w:rsidRPr="003D1067">
        <w:rPr>
          <w:rFonts w:ascii="Times New Roman" w:hAnsi="Times New Roman" w:cs="Times New Roman"/>
          <w:sz w:val="24"/>
          <w:szCs w:val="24"/>
          <w:u w:val="single"/>
        </w:rPr>
        <w:t xml:space="preserve"> de tiempo” después del inicio de la subida de los tipos de referencia y, en todo caso, “durante el tiempo necesario para mantener unas amplias condiciones de liquidez y una apropiada política monetaria”.</w:t>
      </w:r>
    </w:p>
    <w:p w:rsidR="00CF408C" w:rsidRDefault="00CF408C" w:rsidP="00CF408C">
      <w:pPr>
        <w:spacing w:line="240" w:lineRule="auto"/>
        <w:jc w:val="both"/>
        <w:rPr>
          <w:rFonts w:ascii="Times New Roman" w:hAnsi="Times New Roman" w:cs="Times New Roman"/>
          <w:sz w:val="24"/>
          <w:szCs w:val="24"/>
        </w:rPr>
      </w:pPr>
      <w:r w:rsidRPr="00EA330E">
        <w:rPr>
          <w:rFonts w:ascii="Times New Roman" w:hAnsi="Times New Roman" w:cs="Times New Roman"/>
          <w:sz w:val="24"/>
          <w:szCs w:val="24"/>
        </w:rPr>
        <w:t>El BCE también ha actualizado hoy sus previsiones macroeconómicas, con un notable ajuste respecto a las anteriores, anunciadas en marzo. Ahora estima un crecimiento del 2,8% para este año, frente al 3,7% de marzo, y del 2,1% en 2023 y en 2024. Y eleva con fuerza su pronóstico de inflación: los precios subirán este año el 6,8%, frente al 5,1% esperado en marzo y cerca del 7,1% apuntado entonces para el escenario más adverso, y lo harán al 3,5% en 2023 y el 2,1% en 2024. “Estas proyecciones indican que la inflación se mantendrá elevada de forma indeseada durante un tiempo”, añade el comunicado del BCE. Así, la inflación subyacente subirá este año el 3,3%, el 2,8% en 2023 y el 2,3% en 2024, también por enci</w:t>
      </w:r>
      <w:r>
        <w:rPr>
          <w:rFonts w:ascii="Times New Roman" w:hAnsi="Times New Roman" w:cs="Times New Roman"/>
          <w:sz w:val="24"/>
          <w:szCs w:val="24"/>
        </w:rPr>
        <w:t>ma de lo pronosticado en marzo.</w:t>
      </w:r>
    </w:p>
    <w:p w:rsidR="00CF408C" w:rsidRPr="00EA330E" w:rsidRDefault="00CF408C" w:rsidP="00CF408C">
      <w:pPr>
        <w:spacing w:line="240" w:lineRule="auto"/>
        <w:jc w:val="both"/>
        <w:rPr>
          <w:rFonts w:ascii="Times New Roman" w:hAnsi="Times New Roman" w:cs="Times New Roman"/>
          <w:sz w:val="24"/>
          <w:szCs w:val="24"/>
        </w:rPr>
      </w:pPr>
      <w:r w:rsidRPr="00EA330E">
        <w:rPr>
          <w:rFonts w:ascii="Times New Roman" w:hAnsi="Times New Roman" w:cs="Times New Roman"/>
          <w:sz w:val="24"/>
          <w:szCs w:val="24"/>
        </w:rPr>
        <w:t>No tolerar la fragmentación financiera</w:t>
      </w:r>
    </w:p>
    <w:p w:rsidR="00CF408C" w:rsidRPr="003D1067" w:rsidRDefault="00CF408C" w:rsidP="00CF408C">
      <w:pPr>
        <w:spacing w:line="240" w:lineRule="auto"/>
        <w:jc w:val="both"/>
        <w:rPr>
          <w:rFonts w:ascii="Times New Roman" w:hAnsi="Times New Roman" w:cs="Times New Roman"/>
          <w:sz w:val="24"/>
          <w:szCs w:val="24"/>
          <w:u w:val="single"/>
        </w:rPr>
      </w:pPr>
      <w:r w:rsidRPr="003D1067">
        <w:rPr>
          <w:rFonts w:ascii="Times New Roman" w:hAnsi="Times New Roman" w:cs="Times New Roman"/>
          <w:color w:val="FF0000"/>
          <w:sz w:val="24"/>
          <w:szCs w:val="24"/>
          <w:u w:val="single"/>
        </w:rPr>
        <w:t>En el mercado gana peso la idea de un nuevo instrumento monetario con el que neutralizar un aumento excesivo de las primas de riesgo e Italia y España en caso de que fuera necesario</w:t>
      </w:r>
      <w:r w:rsidRPr="00EA330E">
        <w:rPr>
          <w:rFonts w:ascii="Times New Roman" w:hAnsi="Times New Roman" w:cs="Times New Roman"/>
          <w:sz w:val="24"/>
          <w:szCs w:val="24"/>
        </w:rPr>
        <w:t xml:space="preserve">. El anuncio de hoy de subida de tipos, con posibilidad de un incremento de 50 puntos básicos en septiembre, ha vuelto a tensionar la deuda soberana europea. </w:t>
      </w:r>
      <w:r w:rsidRPr="003D1067">
        <w:rPr>
          <w:rFonts w:ascii="Times New Roman" w:hAnsi="Times New Roman" w:cs="Times New Roman"/>
          <w:sz w:val="24"/>
          <w:szCs w:val="24"/>
          <w:u w:val="single"/>
        </w:rPr>
        <w:t xml:space="preserve">El banco central no ha dado nuevos detalles pero sí ha mostrado de forma decidida su compromiso de ajustar todos los instrumentos de política monetaria, incluyendo la creación de una nuevo vehículo si fuera </w:t>
      </w:r>
      <w:r w:rsidRPr="003D1067">
        <w:rPr>
          <w:rFonts w:ascii="Times New Roman" w:hAnsi="Times New Roman" w:cs="Times New Roman"/>
          <w:sz w:val="24"/>
          <w:szCs w:val="24"/>
          <w:u w:val="single"/>
        </w:rPr>
        <w:lastRenderedPageBreak/>
        <w:t>necesario, para evitar el riesgo de fragmentación financiera. “Bajo condiciones de estrés, la flexibilidad se mantendrá como un elemento de política monetaria”, afirma el BCE.</w:t>
      </w:r>
    </w:p>
    <w:p w:rsidR="00CF408C" w:rsidRPr="003D1067" w:rsidRDefault="00CF408C" w:rsidP="00CF408C">
      <w:pPr>
        <w:spacing w:line="240" w:lineRule="auto"/>
        <w:jc w:val="both"/>
        <w:rPr>
          <w:rFonts w:ascii="Times New Roman" w:hAnsi="Times New Roman" w:cs="Times New Roman"/>
          <w:color w:val="FF0000"/>
          <w:sz w:val="24"/>
          <w:szCs w:val="24"/>
          <w:u w:val="single"/>
        </w:rPr>
      </w:pPr>
      <w:r w:rsidRPr="003D1067">
        <w:rPr>
          <w:rFonts w:ascii="Times New Roman" w:hAnsi="Times New Roman" w:cs="Times New Roman"/>
          <w:color w:val="FF0000"/>
          <w:sz w:val="24"/>
          <w:szCs w:val="24"/>
          <w:u w:val="single"/>
        </w:rPr>
        <w:t xml:space="preserve">Según ha insistido Lagarde en rueda de prensa, “estamos comprometidos con evitar la fragmentación financiera que impida la transmisión de la política monetaria. No toleraremos la </w:t>
      </w:r>
      <w:r w:rsidR="004A36AB" w:rsidRPr="003D1067">
        <w:rPr>
          <w:rFonts w:ascii="Times New Roman" w:hAnsi="Times New Roman" w:cs="Times New Roman"/>
          <w:color w:val="FF0000"/>
          <w:sz w:val="24"/>
          <w:szCs w:val="24"/>
          <w:u w:val="single"/>
        </w:rPr>
        <w:t>fragmentación</w:t>
      </w:r>
      <w:r w:rsidRPr="003D1067">
        <w:rPr>
          <w:rFonts w:ascii="Times New Roman" w:hAnsi="Times New Roman" w:cs="Times New Roman"/>
          <w:color w:val="FF0000"/>
          <w:sz w:val="24"/>
          <w:szCs w:val="24"/>
          <w:u w:val="single"/>
        </w:rPr>
        <w:t xml:space="preserve"> financiera”. Ha recordado que el BCE cuenta con la reinversión total de los vencimientos del programa PEPP; que alcanzó los 1,7 billones de euros, y que puede hacerlo con total flexibilidad en cuanto al tipo de activos y su nacionalidad o puede también emplear “instrumentos disponibles o nuevos”, como ya ha hecho en el pasado.</w:t>
      </w:r>
    </w:p>
    <w:p w:rsidR="00CF408C" w:rsidRDefault="00CF408C" w:rsidP="00CF408C">
      <w:pPr>
        <w:spacing w:line="240" w:lineRule="auto"/>
        <w:jc w:val="both"/>
        <w:rPr>
          <w:rFonts w:ascii="Times New Roman" w:hAnsi="Times New Roman" w:cs="Times New Roman"/>
          <w:sz w:val="24"/>
          <w:szCs w:val="24"/>
        </w:rPr>
      </w:pPr>
      <w:r w:rsidRPr="00EA330E">
        <w:rPr>
          <w:rFonts w:ascii="Times New Roman" w:hAnsi="Times New Roman" w:cs="Times New Roman"/>
          <w:sz w:val="24"/>
          <w:szCs w:val="24"/>
        </w:rPr>
        <w:t>La expectativa de alza de tipos de interés ya está encareciendo con fuerza el coste de financiación y las primas de riesgo española e italiana han subido a niveles de la primavera de 2020. La española se sitúa en los 117 puntos básicos, cuando en abril de aquel año superó los 150; y la italiana está en los 213, cuando en marzo de 2020 rozó los 280 puntos básicos. Pero el BCE ha cambiado el umbral del dolor a partir del que actuaría de forma extraordinaria para frenar su escalada, según ha sugerido Lagarde. La pres</w:t>
      </w:r>
      <w:r>
        <w:rPr>
          <w:rFonts w:ascii="Times New Roman" w:hAnsi="Times New Roman" w:cs="Times New Roman"/>
          <w:sz w:val="24"/>
          <w:szCs w:val="24"/>
        </w:rPr>
        <w:t>identa del BCE ha señalado que “</w:t>
      </w:r>
      <w:r w:rsidRPr="00EA330E">
        <w:rPr>
          <w:rFonts w:ascii="Times New Roman" w:hAnsi="Times New Roman" w:cs="Times New Roman"/>
          <w:sz w:val="24"/>
          <w:szCs w:val="24"/>
        </w:rPr>
        <w:t>e</w:t>
      </w:r>
      <w:r>
        <w:rPr>
          <w:rFonts w:ascii="Times New Roman" w:hAnsi="Times New Roman" w:cs="Times New Roman"/>
          <w:sz w:val="24"/>
          <w:szCs w:val="24"/>
        </w:rPr>
        <w:t>stamos en un universo diferente”</w:t>
      </w:r>
      <w:r w:rsidRPr="00EA330E">
        <w:rPr>
          <w:rFonts w:ascii="Times New Roman" w:hAnsi="Times New Roman" w:cs="Times New Roman"/>
          <w:sz w:val="24"/>
          <w:szCs w:val="24"/>
        </w:rPr>
        <w:t>, en el contexto de tipos de interés que van a ir al alza y ha introducido el matiz de que el BCE busca un</w:t>
      </w:r>
      <w:r>
        <w:rPr>
          <w:rFonts w:ascii="Times New Roman" w:hAnsi="Times New Roman" w:cs="Times New Roman"/>
          <w:sz w:val="24"/>
          <w:szCs w:val="24"/>
        </w:rPr>
        <w:t>as condiciones de financiación “amplias”</w:t>
      </w:r>
      <w:r w:rsidRPr="00EA330E">
        <w:rPr>
          <w:rFonts w:ascii="Times New Roman" w:hAnsi="Times New Roman" w:cs="Times New Roman"/>
          <w:sz w:val="24"/>
          <w:szCs w:val="24"/>
        </w:rPr>
        <w:t xml:space="preserve">, en lugar de favorables, el adjetivo </w:t>
      </w:r>
      <w:r>
        <w:rPr>
          <w:rFonts w:ascii="Times New Roman" w:hAnsi="Times New Roman" w:cs="Times New Roman"/>
          <w:sz w:val="24"/>
          <w:szCs w:val="24"/>
        </w:rPr>
        <w:t>empleado durante largo tiempo. “</w:t>
      </w:r>
      <w:r w:rsidRPr="00EA330E">
        <w:rPr>
          <w:rFonts w:ascii="Times New Roman" w:hAnsi="Times New Roman" w:cs="Times New Roman"/>
          <w:sz w:val="24"/>
          <w:szCs w:val="24"/>
        </w:rPr>
        <w:t>En los últimos 11 años hemos tratado de impulsar la inflación, estábamos en el movimiento contrario. Ahora</w:t>
      </w:r>
      <w:r>
        <w:rPr>
          <w:rFonts w:ascii="Times New Roman" w:hAnsi="Times New Roman" w:cs="Times New Roman"/>
          <w:sz w:val="24"/>
          <w:szCs w:val="24"/>
        </w:rPr>
        <w:t xml:space="preserve"> la inflación es demasiado alta”</w:t>
      </w:r>
      <w:r w:rsidRPr="00EA330E">
        <w:rPr>
          <w:rFonts w:ascii="Times New Roman" w:hAnsi="Times New Roman" w:cs="Times New Roman"/>
          <w:sz w:val="24"/>
          <w:szCs w:val="24"/>
        </w:rPr>
        <w:t>, ha reconocido Lagarde.</w:t>
      </w:r>
    </w:p>
    <w:p w:rsidR="00CF408C" w:rsidRPr="005378EF" w:rsidRDefault="00CF408C" w:rsidP="00CF408C">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5378EF">
        <w:rPr>
          <w:rFonts w:ascii="Times New Roman" w:eastAsia="Times New Roman" w:hAnsi="Times New Roman" w:cs="Times New Roman"/>
          <w:sz w:val="24"/>
          <w:szCs w:val="24"/>
          <w:lang w:eastAsia="es-ES"/>
        </w:rPr>
        <w:t>¿</w:t>
      </w:r>
      <w:r w:rsidRPr="005378EF">
        <w:rPr>
          <w:rFonts w:ascii="Times New Roman" w:eastAsia="Times New Roman" w:hAnsi="Times New Roman" w:cs="Times New Roman"/>
          <w:sz w:val="24"/>
          <w:szCs w:val="24"/>
          <w:u w:val="single"/>
          <w:lang w:eastAsia="es-ES"/>
        </w:rPr>
        <w:t>Con qué herramientas cuenta el BCE para frenar las primas de riesgo</w:t>
      </w:r>
      <w:r w:rsidRPr="005378EF">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(Cinco Días - </w:t>
      </w:r>
      <w:r w:rsidRPr="005378EF">
        <w:rPr>
          <w:rFonts w:ascii="Times New Roman" w:eastAsia="Times New Roman" w:hAnsi="Times New Roman" w:cs="Times New Roman"/>
          <w:b/>
          <w:sz w:val="24"/>
          <w:szCs w:val="24"/>
          <w:lang w:eastAsia="es-ES"/>
        </w:rPr>
        <w:t>15/6/22</w:t>
      </w:r>
      <w:r>
        <w:rPr>
          <w:rFonts w:ascii="Times New Roman" w:eastAsia="Times New Roman" w:hAnsi="Times New Roman" w:cs="Times New Roman"/>
          <w:sz w:val="24"/>
          <w:szCs w:val="24"/>
          <w:lang w:eastAsia="es-ES"/>
        </w:rPr>
        <w:t>)</w:t>
      </w:r>
    </w:p>
    <w:p w:rsidR="00CF408C" w:rsidRPr="005378EF" w:rsidRDefault="00CF408C" w:rsidP="00CF408C">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5378EF">
        <w:rPr>
          <w:rFonts w:ascii="Times New Roman" w:eastAsia="Times New Roman" w:hAnsi="Times New Roman" w:cs="Times New Roman"/>
          <w:sz w:val="24"/>
          <w:szCs w:val="24"/>
          <w:lang w:eastAsia="es-ES"/>
        </w:rPr>
        <w:t>Nuria Salobral</w:t>
      </w:r>
      <w:r>
        <w:rPr>
          <w:rFonts w:ascii="Times New Roman" w:eastAsia="Times New Roman" w:hAnsi="Times New Roman" w:cs="Times New Roman"/>
          <w:sz w:val="24"/>
          <w:szCs w:val="24"/>
          <w:lang w:eastAsia="es-ES"/>
        </w:rPr>
        <w:t>)</w:t>
      </w:r>
    </w:p>
    <w:p w:rsidR="00CF408C" w:rsidRPr="00167358" w:rsidRDefault="00CF408C" w:rsidP="00CF408C">
      <w:pPr>
        <w:spacing w:after="360" w:line="240" w:lineRule="auto"/>
        <w:jc w:val="both"/>
        <w:rPr>
          <w:rFonts w:ascii="Times New Roman" w:eastAsia="Times New Roman" w:hAnsi="Times New Roman" w:cs="Times New Roman"/>
          <w:sz w:val="24"/>
          <w:szCs w:val="24"/>
          <w:u w:val="single"/>
          <w:lang w:eastAsia="es-ES"/>
        </w:rPr>
      </w:pPr>
      <w:r w:rsidRPr="005378EF">
        <w:rPr>
          <w:rFonts w:ascii="Times New Roman" w:eastAsia="Times New Roman" w:hAnsi="Times New Roman" w:cs="Times New Roman"/>
          <w:sz w:val="24"/>
          <w:szCs w:val="24"/>
          <w:lang w:eastAsia="es-ES"/>
        </w:rPr>
        <w:t xml:space="preserve">El BCE ha decidido reaccionar al súbito incremento del coste de financiación y de las primas de riesgo de España e Italia y hoy se ha reunido de forma extraordinaria para debatir cómo abordar las actuales condiciones de mercado. </w:t>
      </w:r>
      <w:r w:rsidRPr="00167358">
        <w:rPr>
          <w:rFonts w:ascii="Times New Roman" w:eastAsia="Times New Roman" w:hAnsi="Times New Roman" w:cs="Times New Roman"/>
          <w:sz w:val="24"/>
          <w:szCs w:val="24"/>
          <w:u w:val="single"/>
          <w:lang w:eastAsia="es-ES"/>
        </w:rPr>
        <w:t>Ch</w:t>
      </w:r>
      <w:r w:rsidR="004A36AB">
        <w:rPr>
          <w:rFonts w:ascii="Times New Roman" w:eastAsia="Times New Roman" w:hAnsi="Times New Roman" w:cs="Times New Roman"/>
          <w:sz w:val="24"/>
          <w:szCs w:val="24"/>
          <w:u w:val="single"/>
          <w:lang w:eastAsia="es-ES"/>
        </w:rPr>
        <w:t>r</w:t>
      </w:r>
      <w:r w:rsidRPr="00167358">
        <w:rPr>
          <w:rFonts w:ascii="Times New Roman" w:eastAsia="Times New Roman" w:hAnsi="Times New Roman" w:cs="Times New Roman"/>
          <w:sz w:val="24"/>
          <w:szCs w:val="24"/>
          <w:u w:val="single"/>
          <w:lang w:eastAsia="es-ES"/>
        </w:rPr>
        <w:t>istine Lagarde ya anunció el jueves pasado que el BCE no iba a tolerar la fragmentación financiera en la zona euro, es decir, que se desboquen las primas de riesgo de los países de la periferia europea, los más endeudados, y sea mucho más costosa su financiación.</w:t>
      </w:r>
    </w:p>
    <w:p w:rsidR="00AD7D5D" w:rsidRDefault="00CF408C" w:rsidP="00CF408C">
      <w:pPr>
        <w:spacing w:after="360" w:line="240" w:lineRule="auto"/>
        <w:jc w:val="both"/>
        <w:rPr>
          <w:rFonts w:ascii="Times New Roman" w:eastAsia="Times New Roman" w:hAnsi="Times New Roman" w:cs="Times New Roman"/>
          <w:sz w:val="24"/>
          <w:szCs w:val="24"/>
          <w:u w:val="single"/>
          <w:lang w:eastAsia="es-ES"/>
        </w:rPr>
      </w:pPr>
      <w:r w:rsidRPr="00167358">
        <w:rPr>
          <w:rFonts w:ascii="Times New Roman" w:eastAsia="Times New Roman" w:hAnsi="Times New Roman" w:cs="Times New Roman"/>
          <w:sz w:val="24"/>
          <w:szCs w:val="24"/>
          <w:u w:val="single"/>
          <w:lang w:eastAsia="es-ES"/>
        </w:rPr>
        <w:t>¿Cuáles son entonces las herramientas con las que cuenta el BCE para evitarlo?</w:t>
      </w:r>
      <w:r w:rsidRPr="005378EF">
        <w:rPr>
          <w:rFonts w:ascii="Times New Roman" w:eastAsia="Times New Roman" w:hAnsi="Times New Roman" w:cs="Times New Roman"/>
          <w:sz w:val="24"/>
          <w:szCs w:val="24"/>
          <w:lang w:eastAsia="es-ES"/>
        </w:rPr>
        <w:t xml:space="preserve"> La institución ya ha respondido con contundencia en el pasado a la presión del mercado sobre la deuda periférica. A veces con rapidez y contundencia, como en la primavera de 2020 con el estallido de la pandemia, y otras veces mucho más lentamente y después de haber llegado casi al límite, como en la crisis del euro de 2012. </w:t>
      </w:r>
      <w:r w:rsidRPr="00167358">
        <w:rPr>
          <w:rFonts w:ascii="Times New Roman" w:eastAsia="Times New Roman" w:hAnsi="Times New Roman" w:cs="Times New Roman"/>
          <w:sz w:val="24"/>
          <w:szCs w:val="24"/>
          <w:u w:val="single"/>
          <w:lang w:eastAsia="es-ES"/>
        </w:rPr>
        <w:t>Estas son las opciones de las que dispone…</w:t>
      </w:r>
    </w:p>
    <w:p w:rsidR="00CF408C" w:rsidRPr="00E860A2" w:rsidRDefault="00CF408C" w:rsidP="00CF408C">
      <w:pPr>
        <w:spacing w:after="360" w:line="240" w:lineRule="auto"/>
        <w:jc w:val="both"/>
        <w:rPr>
          <w:rFonts w:ascii="Times New Roman" w:eastAsia="Times New Roman" w:hAnsi="Times New Roman" w:cs="Times New Roman"/>
          <w:sz w:val="24"/>
          <w:szCs w:val="24"/>
          <w:u w:val="single"/>
          <w:lang w:eastAsia="es-ES"/>
        </w:rPr>
      </w:pPr>
      <w:r w:rsidRPr="005378EF">
        <w:rPr>
          <w:rFonts w:ascii="Times New Roman" w:eastAsia="Times New Roman" w:hAnsi="Times New Roman" w:cs="Times New Roman"/>
          <w:sz w:val="24"/>
          <w:szCs w:val="24"/>
          <w:lang w:eastAsia="es-ES"/>
        </w:rPr>
        <w:t>No hacer nada</w:t>
      </w:r>
    </w:p>
    <w:p w:rsidR="00AD7D5D" w:rsidRDefault="00CF408C" w:rsidP="00CF408C">
      <w:pPr>
        <w:spacing w:after="360" w:line="240" w:lineRule="auto"/>
        <w:jc w:val="both"/>
        <w:rPr>
          <w:rFonts w:ascii="Times New Roman" w:eastAsia="Times New Roman" w:hAnsi="Times New Roman" w:cs="Times New Roman"/>
          <w:sz w:val="24"/>
          <w:szCs w:val="24"/>
          <w:lang w:eastAsia="es-ES"/>
        </w:rPr>
      </w:pPr>
      <w:r w:rsidRPr="00167358">
        <w:rPr>
          <w:rFonts w:ascii="Times New Roman" w:eastAsia="Times New Roman" w:hAnsi="Times New Roman" w:cs="Times New Roman"/>
          <w:sz w:val="24"/>
          <w:szCs w:val="24"/>
          <w:u w:val="single"/>
          <w:lang w:eastAsia="es-ES"/>
        </w:rPr>
        <w:t>A Mario Draghi le bastó con unas pocas palabras en julio de 2012, hace ya casi una década, para sofocar el incendio de las primas de riesgo en la periferia europea y el riesgo cierto por entonces de desintegración de la zona euro</w:t>
      </w:r>
      <w:r w:rsidRPr="005378EF">
        <w:rPr>
          <w:rFonts w:ascii="Times New Roman" w:eastAsia="Times New Roman" w:hAnsi="Times New Roman" w:cs="Times New Roman"/>
          <w:sz w:val="24"/>
          <w:szCs w:val="24"/>
          <w:lang w:eastAsia="es-ES"/>
        </w:rPr>
        <w:t xml:space="preserve">. Su promesa de hacer todo lo que fuera necesario para proteger el euro (el ya famoso whatever it takes…) convenció a los inversores de que el BCE no iba a permitir poner </w:t>
      </w:r>
      <w:r>
        <w:rPr>
          <w:rFonts w:ascii="Times New Roman" w:eastAsia="Times New Roman" w:hAnsi="Times New Roman" w:cs="Times New Roman"/>
          <w:sz w:val="24"/>
          <w:szCs w:val="24"/>
          <w:lang w:eastAsia="es-ES"/>
        </w:rPr>
        <w:t>el peligro el proyecto europeo.</w:t>
      </w:r>
    </w:p>
    <w:p w:rsidR="00CF408C" w:rsidRPr="00AD7D5D" w:rsidRDefault="00CF408C" w:rsidP="00CF408C">
      <w:pPr>
        <w:spacing w:after="360" w:line="240" w:lineRule="auto"/>
        <w:jc w:val="both"/>
        <w:rPr>
          <w:rFonts w:ascii="Times New Roman" w:eastAsia="Times New Roman" w:hAnsi="Times New Roman" w:cs="Times New Roman"/>
          <w:sz w:val="24"/>
          <w:szCs w:val="24"/>
          <w:lang w:eastAsia="es-ES"/>
        </w:rPr>
      </w:pPr>
      <w:r w:rsidRPr="00167358">
        <w:rPr>
          <w:rFonts w:ascii="Times New Roman" w:eastAsia="Times New Roman" w:hAnsi="Times New Roman" w:cs="Times New Roman"/>
          <w:sz w:val="24"/>
          <w:szCs w:val="24"/>
          <w:u w:val="single"/>
          <w:lang w:eastAsia="es-ES"/>
        </w:rPr>
        <w:lastRenderedPageBreak/>
        <w:t>El BCE ha comenzado en esta ocasión por lanzar la promesa de que no tolerará de ningún modo la fragmentación financiera. Pero las palabras no bastan por el momento a unos inversores acostumbrados a que el banco central salga al rescate con millonarias compras de deuda, como las que puso en marcha el propio Draghi dos años después de aquel famoso discurso para evitar la deflación en la zona euro.</w:t>
      </w:r>
    </w:p>
    <w:p w:rsidR="00CF408C" w:rsidRPr="005378EF" w:rsidRDefault="00CF408C" w:rsidP="00CF408C">
      <w:pPr>
        <w:spacing w:after="360" w:line="240" w:lineRule="auto"/>
        <w:jc w:val="both"/>
        <w:rPr>
          <w:rFonts w:ascii="Times New Roman" w:eastAsia="Times New Roman" w:hAnsi="Times New Roman" w:cs="Times New Roman"/>
          <w:sz w:val="24"/>
          <w:szCs w:val="24"/>
          <w:lang w:eastAsia="es-ES"/>
        </w:rPr>
      </w:pPr>
      <w:r w:rsidRPr="005378EF">
        <w:rPr>
          <w:rFonts w:ascii="Times New Roman" w:eastAsia="Times New Roman" w:hAnsi="Times New Roman" w:cs="Times New Roman"/>
          <w:sz w:val="24"/>
          <w:szCs w:val="24"/>
          <w:lang w:eastAsia="es-ES"/>
        </w:rPr>
        <w:t>Reinversión de los vencimientos</w:t>
      </w:r>
    </w:p>
    <w:p w:rsidR="00CF408C" w:rsidRPr="00167358" w:rsidRDefault="00CF408C" w:rsidP="00CF408C">
      <w:pPr>
        <w:spacing w:after="360" w:line="240" w:lineRule="auto"/>
        <w:jc w:val="both"/>
        <w:rPr>
          <w:rFonts w:ascii="Times New Roman" w:eastAsia="Times New Roman" w:hAnsi="Times New Roman" w:cs="Times New Roman"/>
          <w:color w:val="FF0000"/>
          <w:sz w:val="24"/>
          <w:szCs w:val="24"/>
          <w:u w:val="single"/>
          <w:lang w:eastAsia="es-ES"/>
        </w:rPr>
      </w:pPr>
      <w:r w:rsidRPr="00167358">
        <w:rPr>
          <w:rFonts w:ascii="Times New Roman" w:eastAsia="Times New Roman" w:hAnsi="Times New Roman" w:cs="Times New Roman"/>
          <w:color w:val="FF0000"/>
          <w:sz w:val="24"/>
          <w:szCs w:val="24"/>
          <w:u w:val="single"/>
          <w:lang w:eastAsia="es-ES"/>
        </w:rPr>
        <w:t>Es la fórmula que esgrime con más contundencia el BCE estos días como muro de contención. El banco central tiene previsto reinvertir la totalidad de los vencimientos de los bonos en balance adquiridos hasta el momento. Por un lado, los 1,7 billones de euros del programa extraordinario antipandemia (PEPP), que finalizó en marzo. Y por otro lado, los más de 3,2 billones del programa ordinario de compras (APP), iniciado en 2014 y al que se va a poner fin el 1 de julio. Terminarán las compras netas, el incremento del balance, aunque se mantendrán las reinversiones el tiempo necesario.</w:t>
      </w:r>
    </w:p>
    <w:p w:rsidR="00CF408C" w:rsidRPr="00167358" w:rsidRDefault="00CF408C" w:rsidP="00CF408C">
      <w:pPr>
        <w:spacing w:after="360" w:line="240" w:lineRule="auto"/>
        <w:jc w:val="both"/>
        <w:rPr>
          <w:rFonts w:ascii="Times New Roman" w:eastAsia="Times New Roman" w:hAnsi="Times New Roman" w:cs="Times New Roman"/>
          <w:color w:val="FF0000"/>
          <w:sz w:val="24"/>
          <w:szCs w:val="24"/>
          <w:u w:val="single"/>
          <w:lang w:eastAsia="es-ES"/>
        </w:rPr>
      </w:pPr>
      <w:r w:rsidRPr="00167358">
        <w:rPr>
          <w:rFonts w:ascii="Times New Roman" w:eastAsia="Times New Roman" w:hAnsi="Times New Roman" w:cs="Times New Roman"/>
          <w:color w:val="FF0000"/>
          <w:sz w:val="24"/>
          <w:szCs w:val="24"/>
          <w:u w:val="single"/>
          <w:lang w:eastAsia="es-ES"/>
        </w:rPr>
        <w:t>Según explica Nadia Gharbi, economista para Europa de Pictet WM, “las reinversiones del programa PEPP ascenderán a 200.000 millones los próximos doce meses y habrá 225.000 millones en reembolsos de deuda del programa convencional PSPP. Pero solo una parte puede llegar a reorientarse a compra de deuda periférica, especialmente italiana”.</w:t>
      </w:r>
    </w:p>
    <w:p w:rsidR="00CF408C" w:rsidRPr="005378EF" w:rsidRDefault="00CF408C" w:rsidP="00CF408C">
      <w:pPr>
        <w:spacing w:after="360" w:line="240" w:lineRule="auto"/>
        <w:jc w:val="both"/>
        <w:rPr>
          <w:rFonts w:ascii="Times New Roman" w:eastAsia="Times New Roman" w:hAnsi="Times New Roman" w:cs="Times New Roman"/>
          <w:sz w:val="24"/>
          <w:szCs w:val="24"/>
          <w:lang w:eastAsia="es-ES"/>
        </w:rPr>
      </w:pPr>
      <w:r w:rsidRPr="005378EF">
        <w:rPr>
          <w:rFonts w:ascii="Times New Roman" w:eastAsia="Times New Roman" w:hAnsi="Times New Roman" w:cs="Times New Roman"/>
          <w:sz w:val="24"/>
          <w:szCs w:val="24"/>
          <w:lang w:eastAsia="es-ES"/>
        </w:rPr>
        <w:t>Flexibilidad</w:t>
      </w:r>
    </w:p>
    <w:p w:rsidR="00CF408C" w:rsidRPr="005378EF" w:rsidRDefault="00CF408C" w:rsidP="00CF408C">
      <w:pPr>
        <w:spacing w:after="360" w:line="240" w:lineRule="auto"/>
        <w:jc w:val="both"/>
        <w:rPr>
          <w:rFonts w:ascii="Times New Roman" w:eastAsia="Times New Roman" w:hAnsi="Times New Roman" w:cs="Times New Roman"/>
          <w:sz w:val="24"/>
          <w:szCs w:val="24"/>
          <w:lang w:eastAsia="es-ES"/>
        </w:rPr>
      </w:pPr>
      <w:r w:rsidRPr="005378EF">
        <w:rPr>
          <w:rFonts w:ascii="Times New Roman" w:eastAsia="Times New Roman" w:hAnsi="Times New Roman" w:cs="Times New Roman"/>
          <w:sz w:val="24"/>
          <w:szCs w:val="24"/>
          <w:lang w:eastAsia="es-ES"/>
        </w:rPr>
        <w:t>La reinversión de los vencimientos puede encontrarse con la limitación, muy probable, de que no baste para contener unas primas de riesgo desbocadas. Los vencimientos del programa convencional APP deberán reinvertirse en el mismo tipo de activos. Deuda alemana por deuda alemana. El programa PEPP sí permite una flexibilidad muy valiosa, como se demostró en la pandemia, ya que por primera vez el BCE tuvo manos libres para comprar deuda de un país más allá de las limitaciones por las que debe adquirir una cuantía equivalente a peso de ese país e</w:t>
      </w:r>
      <w:r>
        <w:rPr>
          <w:rFonts w:ascii="Times New Roman" w:eastAsia="Times New Roman" w:hAnsi="Times New Roman" w:cs="Times New Roman"/>
          <w:sz w:val="24"/>
          <w:szCs w:val="24"/>
          <w:lang w:eastAsia="es-ES"/>
        </w:rPr>
        <w:t>n el capital del banco central.</w:t>
      </w:r>
    </w:p>
    <w:p w:rsidR="00CF408C" w:rsidRPr="00C25103" w:rsidRDefault="00CF408C" w:rsidP="00CF408C">
      <w:pPr>
        <w:spacing w:after="360" w:line="240" w:lineRule="auto"/>
        <w:jc w:val="both"/>
        <w:rPr>
          <w:rFonts w:ascii="Times New Roman" w:eastAsia="Times New Roman" w:hAnsi="Times New Roman" w:cs="Times New Roman"/>
          <w:color w:val="FF0000"/>
          <w:sz w:val="24"/>
          <w:szCs w:val="24"/>
          <w:u w:val="single"/>
          <w:lang w:eastAsia="es-ES"/>
        </w:rPr>
      </w:pPr>
      <w:r w:rsidRPr="00C25103">
        <w:rPr>
          <w:rFonts w:ascii="Times New Roman" w:eastAsia="Times New Roman" w:hAnsi="Times New Roman" w:cs="Times New Roman"/>
          <w:color w:val="FF0000"/>
          <w:sz w:val="24"/>
          <w:szCs w:val="24"/>
          <w:u w:val="single"/>
          <w:lang w:eastAsia="es-ES"/>
        </w:rPr>
        <w:t>Con el programa PEPP el BCE pudo favorecer con sus compras abiertamente a la deuda italiana y española. Ahora podrá hacerlo también con la reinversión de los vencimientos, pero en unas cuantías que pueden ser insuficientes en un momento de estrés elevado en el mercado.</w:t>
      </w:r>
    </w:p>
    <w:p w:rsidR="00CF408C" w:rsidRPr="005378EF" w:rsidRDefault="00CF408C" w:rsidP="00CF408C">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5378EF">
        <w:rPr>
          <w:rFonts w:ascii="Times New Roman" w:eastAsia="Times New Roman" w:hAnsi="Times New Roman" w:cs="Times New Roman"/>
          <w:sz w:val="24"/>
          <w:szCs w:val="24"/>
          <w:lang w:eastAsia="es-ES"/>
        </w:rPr>
        <w:t>El BCE podría utilizar las reinversiones para comprar más valores de determinados Estados miembros, desplazando la reinversión entre jurisdicciones. Sin embargo, no está claro si el BCE podría también acelerar la reinversión en valores de un Estado miembro antes del vencimiento de los títulos de deuda</w:t>
      </w:r>
      <w:r>
        <w:rPr>
          <w:rFonts w:ascii="Times New Roman" w:eastAsia="Times New Roman" w:hAnsi="Times New Roman" w:cs="Times New Roman"/>
          <w:sz w:val="24"/>
          <w:szCs w:val="24"/>
          <w:lang w:eastAsia="es-ES"/>
        </w:rPr>
        <w:t xml:space="preserve"> de esa jurisdicción específica”</w:t>
      </w:r>
      <w:r w:rsidRPr="005378EF">
        <w:rPr>
          <w:rFonts w:ascii="Times New Roman" w:eastAsia="Times New Roman" w:hAnsi="Times New Roman" w:cs="Times New Roman"/>
          <w:sz w:val="24"/>
          <w:szCs w:val="24"/>
          <w:lang w:eastAsia="es-ES"/>
        </w:rPr>
        <w:t>, señalan</w:t>
      </w:r>
      <w:r>
        <w:rPr>
          <w:rFonts w:ascii="Times New Roman" w:eastAsia="Times New Roman" w:hAnsi="Times New Roman" w:cs="Times New Roman"/>
          <w:sz w:val="24"/>
          <w:szCs w:val="24"/>
          <w:lang w:eastAsia="es-ES"/>
        </w:rPr>
        <w:t xml:space="preserve"> en la agencia de rating Scope.</w:t>
      </w:r>
    </w:p>
    <w:p w:rsidR="00CF408C" w:rsidRPr="005378EF" w:rsidRDefault="00CF408C" w:rsidP="00CF408C">
      <w:pPr>
        <w:spacing w:after="360" w:line="240" w:lineRule="auto"/>
        <w:jc w:val="both"/>
        <w:rPr>
          <w:rFonts w:ascii="Times New Roman" w:eastAsia="Times New Roman" w:hAnsi="Times New Roman" w:cs="Times New Roman"/>
          <w:sz w:val="24"/>
          <w:szCs w:val="24"/>
          <w:lang w:eastAsia="es-ES"/>
        </w:rPr>
      </w:pPr>
      <w:r w:rsidRPr="005378EF">
        <w:rPr>
          <w:rFonts w:ascii="Times New Roman" w:eastAsia="Times New Roman" w:hAnsi="Times New Roman" w:cs="Times New Roman"/>
          <w:sz w:val="24"/>
          <w:szCs w:val="24"/>
          <w:lang w:eastAsia="es-ES"/>
        </w:rPr>
        <w:t>Un instrumento nuevo</w:t>
      </w:r>
    </w:p>
    <w:p w:rsidR="00CF408C" w:rsidRPr="005378EF" w:rsidRDefault="00CF408C" w:rsidP="00CF408C">
      <w:pPr>
        <w:spacing w:after="360" w:line="240" w:lineRule="auto"/>
        <w:jc w:val="both"/>
        <w:rPr>
          <w:rFonts w:ascii="Times New Roman" w:eastAsia="Times New Roman" w:hAnsi="Times New Roman" w:cs="Times New Roman"/>
          <w:sz w:val="24"/>
          <w:szCs w:val="24"/>
          <w:lang w:eastAsia="es-ES"/>
        </w:rPr>
      </w:pPr>
      <w:r w:rsidRPr="005378EF">
        <w:rPr>
          <w:rFonts w:ascii="Times New Roman" w:eastAsia="Times New Roman" w:hAnsi="Times New Roman" w:cs="Times New Roman"/>
          <w:sz w:val="24"/>
          <w:szCs w:val="24"/>
          <w:lang w:eastAsia="es-ES"/>
        </w:rPr>
        <w:t xml:space="preserve">El BCE podría recuperar alguno de los programas de compras que ya ha empleado o lanzar uno nuevo, la opción elegida y que supondrá vencer la resistencia de los halcones del BCE. El lanzamiento del PEPP con la pandemia se adoptó con rapidez y de forma unánime, en un </w:t>
      </w:r>
      <w:r w:rsidRPr="005378EF">
        <w:rPr>
          <w:rFonts w:ascii="Times New Roman" w:eastAsia="Times New Roman" w:hAnsi="Times New Roman" w:cs="Times New Roman"/>
          <w:sz w:val="24"/>
          <w:szCs w:val="24"/>
          <w:lang w:eastAsia="es-ES"/>
        </w:rPr>
        <w:lastRenderedPageBreak/>
        <w:t>momento en que una crisis arrolladora afectaba a todos los países por igual. El alza de tipos que va a iniciar ahora el BCE hace sin embargo</w:t>
      </w:r>
      <w:r>
        <w:rPr>
          <w:rFonts w:ascii="Times New Roman" w:eastAsia="Times New Roman" w:hAnsi="Times New Roman" w:cs="Times New Roman"/>
          <w:sz w:val="24"/>
          <w:szCs w:val="24"/>
          <w:lang w:eastAsia="es-ES"/>
        </w:rPr>
        <w:t>,</w:t>
      </w:r>
      <w:r w:rsidRPr="005378EF">
        <w:rPr>
          <w:rFonts w:ascii="Times New Roman" w:eastAsia="Times New Roman" w:hAnsi="Times New Roman" w:cs="Times New Roman"/>
          <w:sz w:val="24"/>
          <w:szCs w:val="24"/>
          <w:lang w:eastAsia="es-ES"/>
        </w:rPr>
        <w:t xml:space="preserve"> más vulnerables a unos países que a otros. Italia y España vuelven a destacar por sus elev</w:t>
      </w:r>
      <w:r>
        <w:rPr>
          <w:rFonts w:ascii="Times New Roman" w:eastAsia="Times New Roman" w:hAnsi="Times New Roman" w:cs="Times New Roman"/>
          <w:sz w:val="24"/>
          <w:szCs w:val="24"/>
          <w:lang w:eastAsia="es-ES"/>
        </w:rPr>
        <w:t>ados ratios de deuda sobre PIB.</w:t>
      </w:r>
    </w:p>
    <w:p w:rsidR="00CF408C" w:rsidRDefault="00CF408C" w:rsidP="00CF408C">
      <w:pPr>
        <w:spacing w:after="360" w:line="240" w:lineRule="auto"/>
        <w:jc w:val="both"/>
        <w:rPr>
          <w:rFonts w:ascii="Times New Roman" w:eastAsia="Times New Roman" w:hAnsi="Times New Roman" w:cs="Times New Roman"/>
          <w:color w:val="FF0000"/>
          <w:sz w:val="24"/>
          <w:szCs w:val="24"/>
          <w:u w:val="single"/>
          <w:lang w:eastAsia="es-ES"/>
        </w:rPr>
      </w:pPr>
      <w:r w:rsidRPr="00C25103">
        <w:rPr>
          <w:rFonts w:ascii="Times New Roman" w:eastAsia="Times New Roman" w:hAnsi="Times New Roman" w:cs="Times New Roman"/>
          <w:color w:val="FF0000"/>
          <w:sz w:val="24"/>
          <w:szCs w:val="24"/>
          <w:u w:val="single"/>
          <w:lang w:eastAsia="es-ES"/>
        </w:rPr>
        <w:t>Además, favorecer de nuevo a estos dos país</w:t>
      </w:r>
      <w:r>
        <w:rPr>
          <w:rFonts w:ascii="Times New Roman" w:eastAsia="Times New Roman" w:hAnsi="Times New Roman" w:cs="Times New Roman"/>
          <w:color w:val="FF0000"/>
          <w:sz w:val="24"/>
          <w:szCs w:val="24"/>
          <w:u w:val="single"/>
          <w:lang w:eastAsia="es-ES"/>
        </w:rPr>
        <w:t>es con nuevas compras de deuda -</w:t>
      </w:r>
      <w:r w:rsidRPr="00C25103">
        <w:rPr>
          <w:rFonts w:ascii="Times New Roman" w:eastAsia="Times New Roman" w:hAnsi="Times New Roman" w:cs="Times New Roman"/>
          <w:color w:val="FF0000"/>
          <w:sz w:val="24"/>
          <w:szCs w:val="24"/>
          <w:u w:val="single"/>
          <w:lang w:eastAsia="es-ES"/>
        </w:rPr>
        <w:t>paradójicamente en un momento en que la economía requiere alzas de tipos de interés- plantea el riesgo de romper el principio de neutralidad del BCE y de desatar la denuncia de Alemania, siempre vigilante para que la política monetaria no sea una vía de ayuda a la política fiscal. El programa de ayuda OMT lanzado por Mario Draghi llegó a recibir una sentencia en contra del Tribunal Constitucional alemán.</w:t>
      </w:r>
    </w:p>
    <w:p w:rsidR="00CF408C" w:rsidRPr="005378EF" w:rsidRDefault="00CF408C" w:rsidP="00CF408C">
      <w:pPr>
        <w:spacing w:after="360" w:line="240" w:lineRule="auto"/>
        <w:jc w:val="both"/>
        <w:rPr>
          <w:rFonts w:ascii="Times New Roman" w:eastAsia="Times New Roman" w:hAnsi="Times New Roman" w:cs="Times New Roman"/>
          <w:sz w:val="24"/>
          <w:szCs w:val="24"/>
          <w:lang w:eastAsia="es-ES"/>
        </w:rPr>
      </w:pPr>
      <w:r w:rsidRPr="005378EF">
        <w:rPr>
          <w:rFonts w:ascii="Times New Roman" w:eastAsia="Times New Roman" w:hAnsi="Times New Roman" w:cs="Times New Roman"/>
          <w:sz w:val="24"/>
          <w:szCs w:val="24"/>
          <w:lang w:eastAsia="es-ES"/>
        </w:rPr>
        <w:t>Ayuda con condiciones</w:t>
      </w:r>
    </w:p>
    <w:p w:rsidR="00CF408C" w:rsidRPr="00C25103" w:rsidRDefault="00CF408C" w:rsidP="00CF408C">
      <w:pPr>
        <w:spacing w:after="360" w:line="240" w:lineRule="auto"/>
        <w:jc w:val="both"/>
        <w:rPr>
          <w:rFonts w:ascii="Times New Roman" w:eastAsia="Times New Roman" w:hAnsi="Times New Roman" w:cs="Times New Roman"/>
          <w:b/>
          <w:color w:val="FF0000"/>
          <w:sz w:val="24"/>
          <w:szCs w:val="24"/>
          <w:u w:val="single"/>
          <w:lang w:eastAsia="es-ES"/>
        </w:rPr>
      </w:pPr>
      <w:r w:rsidRPr="00C25103">
        <w:rPr>
          <w:rFonts w:ascii="Times New Roman" w:eastAsia="Times New Roman" w:hAnsi="Times New Roman" w:cs="Times New Roman"/>
          <w:b/>
          <w:color w:val="FF0000"/>
          <w:sz w:val="24"/>
          <w:szCs w:val="24"/>
          <w:u w:val="single"/>
          <w:lang w:eastAsia="es-ES"/>
        </w:rPr>
        <w:t>El BCE también cuenta con ese programa OMT (Outright Monetary Transactions), que permite la compra ilimitada de compra de un país pero que requiere la petición expresa de su solicitud. Su concesión va a asociada al cumplimiento de medidas económica y ajustes que hacen impopular su solicitud. Hasta el momento, nunca se ha activado.</w:t>
      </w:r>
    </w:p>
    <w:p w:rsidR="00717E24" w:rsidRDefault="00215613" w:rsidP="00215613">
      <w:pPr>
        <w:spacing w:after="360" w:line="240" w:lineRule="auto"/>
        <w:jc w:val="both"/>
        <w:rPr>
          <w:rFonts w:ascii="Times New Roman" w:eastAsia="Times New Roman" w:hAnsi="Times New Roman" w:cs="Times New Roman"/>
          <w:sz w:val="24"/>
          <w:szCs w:val="24"/>
          <w:lang w:eastAsia="es-ES"/>
        </w:rPr>
      </w:pPr>
      <w:r w:rsidRPr="00A44B7D">
        <w:rPr>
          <w:rFonts w:ascii="Times New Roman" w:eastAsia="Times New Roman" w:hAnsi="Times New Roman" w:cs="Times New Roman"/>
          <w:sz w:val="24"/>
          <w:szCs w:val="24"/>
          <w:u w:val="single"/>
          <w:lang w:eastAsia="es-ES"/>
        </w:rPr>
        <w:t>El BCE exigirá contrapartidas a quiene</w:t>
      </w:r>
      <w:r>
        <w:rPr>
          <w:rFonts w:ascii="Times New Roman" w:eastAsia="Times New Roman" w:hAnsi="Times New Roman" w:cs="Times New Roman"/>
          <w:sz w:val="24"/>
          <w:szCs w:val="24"/>
          <w:u w:val="single"/>
          <w:lang w:eastAsia="es-ES"/>
        </w:rPr>
        <w:t>s se beneficien de su “freno”</w:t>
      </w:r>
      <w:r w:rsidRPr="00A44B7D">
        <w:rPr>
          <w:rFonts w:ascii="Times New Roman" w:eastAsia="Times New Roman" w:hAnsi="Times New Roman" w:cs="Times New Roman"/>
          <w:sz w:val="24"/>
          <w:szCs w:val="24"/>
          <w:u w:val="single"/>
          <w:lang w:eastAsia="es-ES"/>
        </w:rPr>
        <w:t xml:space="preserve"> a las primas de riesgo</w:t>
      </w:r>
    </w:p>
    <w:p w:rsidR="00215613" w:rsidRPr="00D10BBD" w:rsidRDefault="00E860A2" w:rsidP="00215613">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215613" w:rsidRPr="00E860A2">
        <w:rPr>
          <w:rFonts w:ascii="Times New Roman" w:eastAsia="Times New Roman" w:hAnsi="Times New Roman" w:cs="Times New Roman"/>
          <w:sz w:val="24"/>
          <w:szCs w:val="24"/>
          <w:lang w:eastAsia="es-ES"/>
        </w:rPr>
        <w:t xml:space="preserve">El Banco Central Europeo exigirá contrapartidas a los países que se beneficien de la nueva herramienta para poner coto al crecimiento de las primas de riesgo. Según fuentes consultadas por la agencia Bloomberg, el mecanismo estará sujeto a condicionalidad para garantizar que no acabe sirviendo, “de facto”, para financiar a los Estados del sur, entre ellos España. Las mismas fuentes indicaron a Bloomberg que es muy probable que las nuevas </w:t>
      </w:r>
      <w:r w:rsidR="00215613" w:rsidRPr="00D10BBD">
        <w:rPr>
          <w:rFonts w:ascii="Times New Roman" w:eastAsia="Times New Roman" w:hAnsi="Times New Roman" w:cs="Times New Roman"/>
          <w:sz w:val="24"/>
          <w:szCs w:val="24"/>
          <w:lang w:eastAsia="es-ES"/>
        </w:rPr>
        <w:t>compras de bonos que prevé la herramienta anticrisis impliquen la venta de otros activos de la cartera del BCE. El objetivo de Fráncfort es que el nuevo mecanismo no contribuya a aumentar la inflación, precisamente en un momento de giro restrictivo de la política monetaria, ejemplificado en la próxima subida de los tipos de interés. El objetivo es que el instrumento esté concluido para la reunión que tendrá lugar los próximos 20 y 21 de julio, por lo que su diseño todavía podría sufrir cambios. Precisamente, en ese encuentro tendrá lugar la primera subida de tipos, de 25 puntos básicos, tres semanas después del fin de las compras netas de activ</w:t>
      </w:r>
      <w:r>
        <w:rPr>
          <w:rFonts w:ascii="Times New Roman" w:eastAsia="Times New Roman" w:hAnsi="Times New Roman" w:cs="Times New Roman"/>
          <w:sz w:val="24"/>
          <w:szCs w:val="24"/>
          <w:lang w:eastAsia="es-ES"/>
        </w:rPr>
        <w:t xml:space="preserve">os, prevista para el 1 de julio”… (El Confidencial - </w:t>
      </w:r>
      <w:r w:rsidRPr="00A44B7D">
        <w:rPr>
          <w:rFonts w:ascii="Times New Roman" w:eastAsia="Times New Roman" w:hAnsi="Times New Roman" w:cs="Times New Roman"/>
          <w:b/>
          <w:sz w:val="24"/>
          <w:szCs w:val="24"/>
          <w:lang w:eastAsia="es-ES"/>
        </w:rPr>
        <w:t>16/6/22</w:t>
      </w:r>
      <w:r>
        <w:rPr>
          <w:rFonts w:ascii="Times New Roman" w:eastAsia="Times New Roman" w:hAnsi="Times New Roman" w:cs="Times New Roman"/>
          <w:sz w:val="24"/>
          <w:szCs w:val="24"/>
          <w:lang w:eastAsia="es-ES"/>
        </w:rPr>
        <w:t>)</w:t>
      </w:r>
    </w:p>
    <w:p w:rsidR="00215613" w:rsidRPr="00D10BBD" w:rsidRDefault="00215613" w:rsidP="00215613">
      <w:pPr>
        <w:spacing w:after="360" w:line="240" w:lineRule="auto"/>
        <w:jc w:val="both"/>
        <w:rPr>
          <w:rFonts w:ascii="Times New Roman" w:eastAsia="Times New Roman" w:hAnsi="Times New Roman" w:cs="Times New Roman"/>
          <w:sz w:val="24"/>
          <w:szCs w:val="24"/>
          <w:lang w:eastAsia="es-ES"/>
        </w:rPr>
      </w:pPr>
      <w:r w:rsidRPr="00D10BBD">
        <w:rPr>
          <w:rFonts w:ascii="Times New Roman" w:eastAsia="Times New Roman" w:hAnsi="Times New Roman" w:cs="Times New Roman"/>
          <w:sz w:val="24"/>
          <w:szCs w:val="24"/>
          <w:lang w:eastAsia="es-ES"/>
        </w:rPr>
        <w:t>El anuncio del BCE sobre el nuevo mecanismo para aliviar la tensión en la renta fija, conocido este miércoles, ha tenido un efecto balsámico en las tensiones sobre la deuda de los países del sur. La prima de riesgo, que mide la diferencia entre el bono español a 10 años y el bono alemán, cae este jueves hasta los 117 puntos, mientras que el bono de referencia permanece por debajo del 3%.</w:t>
      </w:r>
    </w:p>
    <w:p w:rsidR="00215613" w:rsidRDefault="00215613" w:rsidP="00215613">
      <w:pPr>
        <w:spacing w:after="360" w:line="240" w:lineRule="auto"/>
        <w:jc w:val="both"/>
        <w:rPr>
          <w:rFonts w:ascii="Times New Roman" w:eastAsia="Times New Roman" w:hAnsi="Times New Roman" w:cs="Times New Roman"/>
          <w:sz w:val="24"/>
          <w:szCs w:val="24"/>
          <w:lang w:eastAsia="es-ES"/>
        </w:rPr>
      </w:pPr>
      <w:r w:rsidRPr="00D10BBD">
        <w:rPr>
          <w:rFonts w:ascii="Times New Roman" w:eastAsia="Times New Roman" w:hAnsi="Times New Roman" w:cs="Times New Roman"/>
          <w:sz w:val="24"/>
          <w:szCs w:val="24"/>
          <w:lang w:eastAsia="es-ES"/>
        </w:rPr>
        <w:t xml:space="preserve"> El consejo de Gobierno del regulador aceleró la decisión después de unos días en los que volvieron los temores por una crisis de deuda como la de 2012, ante la elevada fragmentación del mercado. El BCE también reiteró que utilizará las reinversiones de vencimiento de la deuda de su programa de compra de activos de la era de la pandemia, conocido como PEPP, de manera más flexible. De hecho, estima que unos 17.000 millones de euros de bonos vencen cada mes, 12.000 millones de los cuales están en los países centrales. Redirigir ese dinero a los mercados en apuros crea una defensa que puede aliviar el estrés.</w:t>
      </w:r>
    </w:p>
    <w:p w:rsidR="00215613" w:rsidRPr="00A44B7D" w:rsidRDefault="00215613" w:rsidP="00215613">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u w:val="single"/>
          <w:lang w:eastAsia="es-ES"/>
        </w:rPr>
        <w:lastRenderedPageBreak/>
        <w:t>Los “frugales”</w:t>
      </w:r>
      <w:r w:rsidRPr="00A44B7D">
        <w:rPr>
          <w:rFonts w:ascii="Times New Roman" w:eastAsia="Times New Roman" w:hAnsi="Times New Roman" w:cs="Times New Roman"/>
          <w:sz w:val="24"/>
          <w:szCs w:val="24"/>
          <w:u w:val="single"/>
          <w:lang w:eastAsia="es-ES"/>
        </w:rPr>
        <w:t xml:space="preserve"> exigen duras condiciones para que el BCE apoye a Italia y España</w:t>
      </w:r>
    </w:p>
    <w:p w:rsidR="00215613" w:rsidRDefault="00E860A2" w:rsidP="00215613">
      <w:pPr>
        <w:spacing w:after="360" w:line="240" w:lineRule="auto"/>
        <w:jc w:val="both"/>
        <w:rPr>
          <w:rFonts w:ascii="Times New Roman" w:eastAsia="Times New Roman" w:hAnsi="Times New Roman" w:cs="Times New Roman"/>
          <w:sz w:val="24"/>
          <w:szCs w:val="24"/>
          <w:lang w:eastAsia="es-ES"/>
        </w:rPr>
      </w:pPr>
      <w:r w:rsidRPr="00E860A2">
        <w:rPr>
          <w:rFonts w:ascii="Times New Roman" w:eastAsia="Times New Roman" w:hAnsi="Times New Roman" w:cs="Times New Roman"/>
          <w:sz w:val="24"/>
          <w:szCs w:val="24"/>
          <w:lang w:eastAsia="es-ES"/>
        </w:rPr>
        <w:t xml:space="preserve"> “</w:t>
      </w:r>
      <w:r w:rsidR="00215613" w:rsidRPr="00E860A2">
        <w:rPr>
          <w:rFonts w:ascii="Times New Roman" w:eastAsia="Times New Roman" w:hAnsi="Times New Roman" w:cs="Times New Roman"/>
          <w:sz w:val="24"/>
          <w:szCs w:val="24"/>
          <w:lang w:eastAsia="es-ES"/>
        </w:rPr>
        <w:t>El nuevo cortafuegos del BCE para evitar otra crisis de deuda en la eurozona, anunciado esta semana, aún carece de diseño definitivo. Sin embargo, los países del norte de la Unión Monetaria (los llamados frugales) ya tienen claro que sus homólogos del sur se someterán a un alto peaje a cambio de beneficiarse de dicho escudo. Fuentes ce</w:t>
      </w:r>
      <w:r w:rsidR="00717E24">
        <w:rPr>
          <w:rFonts w:ascii="Times New Roman" w:eastAsia="Times New Roman" w:hAnsi="Times New Roman" w:cs="Times New Roman"/>
          <w:sz w:val="24"/>
          <w:szCs w:val="24"/>
          <w:lang w:eastAsia="es-ES"/>
        </w:rPr>
        <w:t xml:space="preserve">rcanas al eurobanco revelan a El </w:t>
      </w:r>
      <w:r w:rsidR="00215613" w:rsidRPr="00E860A2">
        <w:rPr>
          <w:rFonts w:ascii="Times New Roman" w:eastAsia="Times New Roman" w:hAnsi="Times New Roman" w:cs="Times New Roman"/>
          <w:sz w:val="24"/>
          <w:szCs w:val="24"/>
          <w:lang w:eastAsia="es-ES"/>
        </w:rPr>
        <w:t>Economista que los frugales del Consejo de Gobierno de la institución monetaria se mostraron “muy reticentes” ante la reactivación de las compras de deuda para proteger a España e Italia, y sólo la aceptarán imponiendo “estrictas condiciones” a esas economías</w:t>
      </w:r>
      <w:r w:rsidRPr="00E860A2">
        <w:rPr>
          <w:rFonts w:ascii="Times New Roman" w:eastAsia="Times New Roman" w:hAnsi="Times New Roman" w:cs="Times New Roman"/>
          <w:sz w:val="24"/>
          <w:szCs w:val="24"/>
          <w:lang w:eastAsia="es-ES"/>
        </w:rPr>
        <w:t>”..</w:t>
      </w:r>
      <w:r w:rsidR="00215613" w:rsidRPr="00E860A2">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(El Economista - </w:t>
      </w:r>
      <w:r w:rsidRPr="00A44B7D">
        <w:rPr>
          <w:rFonts w:ascii="Times New Roman" w:eastAsia="Times New Roman" w:hAnsi="Times New Roman" w:cs="Times New Roman"/>
          <w:b/>
          <w:sz w:val="24"/>
          <w:szCs w:val="24"/>
          <w:lang w:eastAsia="es-ES"/>
        </w:rPr>
        <w:t>17/6/22</w:t>
      </w:r>
      <w:r>
        <w:rPr>
          <w:rFonts w:ascii="Times New Roman" w:eastAsia="Times New Roman" w:hAnsi="Times New Roman" w:cs="Times New Roman"/>
          <w:sz w:val="24"/>
          <w:szCs w:val="24"/>
          <w:lang w:eastAsia="es-ES"/>
        </w:rPr>
        <w:t>)</w:t>
      </w:r>
    </w:p>
    <w:p w:rsidR="00717082" w:rsidRPr="00E860A2" w:rsidRDefault="00717082" w:rsidP="00215613">
      <w:pPr>
        <w:spacing w:after="360" w:line="240" w:lineRule="auto"/>
        <w:jc w:val="both"/>
        <w:rPr>
          <w:rFonts w:ascii="Times New Roman" w:eastAsia="Times New Roman" w:hAnsi="Times New Roman" w:cs="Times New Roman"/>
          <w:sz w:val="24"/>
          <w:szCs w:val="24"/>
          <w:lang w:eastAsia="es-ES"/>
        </w:rPr>
      </w:pPr>
      <w:r w:rsidRPr="006A723B">
        <w:rPr>
          <w:rFonts w:ascii="Times New Roman" w:eastAsia="Times New Roman" w:hAnsi="Times New Roman" w:cs="Times New Roman"/>
          <w:noProof/>
          <w:sz w:val="24"/>
          <w:szCs w:val="24"/>
          <w:lang w:val="en-GB" w:eastAsia="zh-CN"/>
        </w:rPr>
        <w:drawing>
          <wp:inline distT="0" distB="0" distL="0" distR="0">
            <wp:extent cx="5689363" cy="5207000"/>
            <wp:effectExtent l="0" t="0" r="6985"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687219" cy="5205038"/>
                    </a:xfrm>
                    <a:prstGeom prst="rect">
                      <a:avLst/>
                    </a:prstGeom>
                  </pic:spPr>
                </pic:pic>
              </a:graphicData>
            </a:graphic>
          </wp:inline>
        </w:drawing>
      </w:r>
    </w:p>
    <w:p w:rsidR="00215613" w:rsidRPr="00717082" w:rsidRDefault="00215613" w:rsidP="00215613">
      <w:pPr>
        <w:spacing w:after="360" w:line="240" w:lineRule="auto"/>
        <w:jc w:val="both"/>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No se trata meramente del endurecimiento de los requisitos técnicos que todos los analistas anticipan ya, como el acortamiento del plazo temporal durante el cual el BCE podrá volver a adquirir bonos. Lo que los Gobiernos de Holanda, Finlandia o Austria tienen en mente, según las fuentes consultadas, es “un ajuste generalizado del gasto público” para poner en orden el déficit y el endeudamiento de las Administraciones españolas, transalpinas y del resto de los países meridionales del euro, aun cuando las condiciones del Pacto de Estabilidad sigan oficialmente suspendidas en 2023.</w:t>
      </w:r>
    </w:p>
    <w:p w:rsidR="00215613" w:rsidRPr="00717082" w:rsidRDefault="00215613" w:rsidP="00215613">
      <w:pPr>
        <w:spacing w:after="360" w:line="240" w:lineRule="auto"/>
        <w:jc w:val="both"/>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lastRenderedPageBreak/>
        <w:t>Se trataría, en otras palabras, del regreso de los hombres de negro a esos territorios.</w:t>
      </w:r>
    </w:p>
    <w:p w:rsidR="00215613" w:rsidRPr="00717082" w:rsidRDefault="00215613" w:rsidP="00215613">
      <w:pPr>
        <w:spacing w:after="360" w:line="240" w:lineRule="auto"/>
        <w:jc w:val="both"/>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El recurso a los términos y el discurso propios de las crisis financieras de 2012 y 2015 no es en absoluto casual. Los países frugales extrajeron de esas turbulencias unas lecciones que están dispuestos a aplicar ahora en toda su extensión. En primer lugar, demandan que el BCE sea escrupuloso en el cumplimiento de sus propios plazos y compromisos.</w:t>
      </w:r>
    </w:p>
    <w:p w:rsidR="00215613" w:rsidRPr="00717082" w:rsidRDefault="00215613" w:rsidP="00215613">
      <w:pPr>
        <w:spacing w:after="360" w:line="240" w:lineRule="auto"/>
        <w:jc w:val="both"/>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En este sentido, recuerdan que Fráncfort dejó claro que las compras de deuda puestas en marcha en el Programa Extraordinario Antipandemia (PEPP) se terminaron el pasado 31 de marzo y así deben continuar.</w:t>
      </w:r>
    </w:p>
    <w:p w:rsidR="00215613" w:rsidRPr="00717082" w:rsidRDefault="00215613" w:rsidP="00215613">
      <w:pPr>
        <w:spacing w:after="360" w:line="240" w:lineRule="auto"/>
        <w:jc w:val="both"/>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Toda reactivación de las adquisiciones de activos tiene que considerarse, por tanto, una acción excepcional asociada a unas nuevas exigencias para quienes más se van a beneficiar de ellas. Los frugales, con todo, saben que no pueden llevar su rigidez al extremo y romper la baraja en el Consejo de Gobierno del BCE.</w:t>
      </w:r>
    </w:p>
    <w:p w:rsidR="00215613" w:rsidRPr="00717082" w:rsidRDefault="00215613" w:rsidP="00215613">
      <w:pPr>
        <w:spacing w:after="360" w:line="240" w:lineRule="auto"/>
        <w:jc w:val="both"/>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Hay claras diferencias entre la situación actual y la propia de 2012 y 2015. La nueva guerra en Europa alteró muchas cosas, hasta el punto de que la UE ha adoptado un nuevo rol como adalid de la solidaridad con un país ajeno a la propia Unión, como es Ucrania.</w:t>
      </w:r>
    </w:p>
    <w:p w:rsidR="00215613" w:rsidRPr="00717082" w:rsidRDefault="00215613" w:rsidP="00215613">
      <w:pPr>
        <w:spacing w:after="360" w:line="240" w:lineRule="auto"/>
        <w:jc w:val="both"/>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En este contexto, sería injustificable que, en medio de esta misma crisis, la eurozona se viera minada internamente y los países del norte se desentendieran de sus vecinos del sur.</w:t>
      </w:r>
    </w:p>
    <w:p w:rsidR="00215613" w:rsidRPr="00717082" w:rsidRDefault="00215613" w:rsidP="00215613">
      <w:pPr>
        <w:spacing w:after="360" w:line="240" w:lineRule="auto"/>
        <w:jc w:val="both"/>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Pero los frugales están muy lejos de olvidar que la media de déficit público de Italia, Grecia, Portugal y España se sitúa actualmente en el 6,07% del PIB casi el doble que la propia de las principales economías septentrionales (incluyendo Alemania). La brecha todavía es más grande en lo que respecta a la deuda pública. El promedio en el norte de Europa es del 67% del PIB, frente al 147,5% de sus homólogos periféricos.</w:t>
      </w:r>
    </w:p>
    <w:p w:rsidR="00215613" w:rsidRPr="00717082" w:rsidRDefault="00215613" w:rsidP="00215613">
      <w:pPr>
        <w:spacing w:after="360" w:line="240" w:lineRule="auto"/>
        <w:jc w:val="both"/>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La imposición de una estricta condicionalidad a estos últimos no sólo es una certeza en el BCE sino también en Bruselas. Fuentes de la Comisión Europa aseguran que es, además, un requisito necesario para evitar “otro enfrentamiento con el Constitucional alemán”, informa Carmen Obregón.</w:t>
      </w:r>
    </w:p>
    <w:p w:rsidR="00215613" w:rsidRPr="00717082" w:rsidRDefault="00215613" w:rsidP="00215613">
      <w:pPr>
        <w:spacing w:after="360" w:line="240" w:lineRule="auto"/>
        <w:jc w:val="both"/>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De este modo, en el Ejecutivo comunitario hacen referencia al litigio en el Alto Tribunal teutón por el programa OMT de compras masivas de deuda que puso en marcha el ahora primer ministro italiano, Mario Draghi. El recurso fue finalmente desestimado pero originó una larga batalla judicial.</w:t>
      </w:r>
    </w:p>
    <w:p w:rsidR="00215613" w:rsidRPr="00717082" w:rsidRDefault="00215613" w:rsidP="00215613">
      <w:pPr>
        <w:spacing w:after="360" w:line="240" w:lineRule="auto"/>
        <w:jc w:val="both"/>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El analista de Pictet WM, Frederick Ducrozet abunda en este tema y también ve en la condicionalidad para el nuevo escudo del BCE un útil recurso “para evitar riesgos jurídicos”.</w:t>
      </w:r>
    </w:p>
    <w:p w:rsidR="00215613" w:rsidRPr="00717082" w:rsidRDefault="00215613" w:rsidP="00215613">
      <w:pPr>
        <w:spacing w:after="360" w:line="240" w:lineRule="auto"/>
        <w:jc w:val="both"/>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Dicha situación plantea un importante problema en el caso español. Ni el reciente Programa de Estabilidad ni ningún otro documento elaborado por Moncloa contiene hoja de ruta alguna de contención del gasto. Muy al contrario, los desembolsos corrientes están en auge con medidas como la revinculación de las pensiones al IPC que, por sí sola, supondrá más de 15.000 millones extra para los Presupuestos Generales el año próximo.</w:t>
      </w:r>
    </w:p>
    <w:p w:rsidR="00215613" w:rsidRDefault="00215613" w:rsidP="00215613">
      <w:pPr>
        <w:spacing w:after="360" w:line="240" w:lineRule="auto"/>
        <w:jc w:val="both"/>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lastRenderedPageBreak/>
        <w:t>Está por verse cómo semejante partida podrá justificarse no sólo ante Bruselas, cuyos límites de gasto corriente siguen vigentes para 2023, sino también ante los representantes de los países frugales que se sientan en el Consejo de Gobierno del BCE.</w:t>
      </w:r>
    </w:p>
    <w:p w:rsidR="00717082" w:rsidRPr="00717E24" w:rsidRDefault="00717082" w:rsidP="00717082">
      <w:pPr>
        <w:spacing w:after="360" w:line="240" w:lineRule="auto"/>
        <w:jc w:val="both"/>
        <w:rPr>
          <w:rFonts w:ascii="Times New Roman" w:eastAsia="Times New Roman" w:hAnsi="Times New Roman" w:cs="Times New Roman"/>
          <w:sz w:val="24"/>
          <w:szCs w:val="24"/>
          <w:u w:val="single"/>
          <w:lang w:eastAsia="es-ES"/>
        </w:rPr>
      </w:pPr>
      <w:r w:rsidRPr="00717E24">
        <w:rPr>
          <w:rFonts w:ascii="Times New Roman" w:eastAsia="Times New Roman" w:hAnsi="Times New Roman" w:cs="Times New Roman"/>
          <w:sz w:val="24"/>
          <w:szCs w:val="24"/>
          <w:u w:val="single"/>
          <w:lang w:eastAsia="es-ES"/>
        </w:rPr>
        <w:t>Otra vez “la burra al trigo”: e</w:t>
      </w:r>
      <w:r w:rsidR="00215613" w:rsidRPr="00717E24">
        <w:rPr>
          <w:rFonts w:ascii="Times New Roman" w:eastAsia="Times New Roman" w:hAnsi="Times New Roman" w:cs="Times New Roman"/>
          <w:sz w:val="24"/>
          <w:szCs w:val="24"/>
          <w:u w:val="single"/>
          <w:lang w:eastAsia="es-ES"/>
        </w:rPr>
        <w:t>l BCE estudia cómo</w:t>
      </w:r>
      <w:r w:rsidRPr="00717E24">
        <w:rPr>
          <w:rFonts w:ascii="Times New Roman" w:eastAsia="Times New Roman" w:hAnsi="Times New Roman" w:cs="Times New Roman"/>
          <w:sz w:val="24"/>
          <w:szCs w:val="24"/>
          <w:u w:val="single"/>
          <w:lang w:eastAsia="es-ES"/>
        </w:rPr>
        <w:t xml:space="preserve"> sorber y so</w:t>
      </w:r>
      <w:r w:rsidR="00CC2D89">
        <w:rPr>
          <w:rFonts w:ascii="Times New Roman" w:eastAsia="Times New Roman" w:hAnsi="Times New Roman" w:cs="Times New Roman"/>
          <w:sz w:val="24"/>
          <w:szCs w:val="24"/>
          <w:u w:val="single"/>
          <w:lang w:eastAsia="es-ES"/>
        </w:rPr>
        <w:t>p</w:t>
      </w:r>
      <w:r w:rsidRPr="00717E24">
        <w:rPr>
          <w:rFonts w:ascii="Times New Roman" w:eastAsia="Times New Roman" w:hAnsi="Times New Roman" w:cs="Times New Roman"/>
          <w:sz w:val="24"/>
          <w:szCs w:val="24"/>
          <w:u w:val="single"/>
          <w:lang w:eastAsia="es-ES"/>
        </w:rPr>
        <w:t>lar a la vez</w:t>
      </w:r>
    </w:p>
    <w:p w:rsidR="00215613" w:rsidRPr="00717E24" w:rsidRDefault="00717082" w:rsidP="00717082">
      <w:pPr>
        <w:spacing w:after="360" w:line="240" w:lineRule="auto"/>
        <w:jc w:val="both"/>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 xml:space="preserve"> “</w:t>
      </w:r>
      <w:r w:rsidR="00215613" w:rsidRPr="00717E24">
        <w:rPr>
          <w:rFonts w:ascii="Times New Roman" w:eastAsia="Times New Roman" w:hAnsi="Times New Roman" w:cs="Times New Roman"/>
          <w:sz w:val="24"/>
          <w:szCs w:val="24"/>
          <w:lang w:eastAsia="es-ES"/>
        </w:rPr>
        <w:t>El BCE continúa sin dar detalles de cómo será la nueva herramienta que prepara para prevenir futuras crisis de deuda y que previsiblemente presente en la reunión del 21 de julio. La única certeza es su compromiso en evitar que se desmanden las primas de riesgo y su propósito de que ese nuevo instrumento no interfiera en la lucha contra la inflación, según afirmó ayer el vicepresidente del BCE, Luis de Guindos. ¿Pero cómo sorber y soplar a la vez? ¿Cómo enfriar la economía subiendo tipos y a la vez inyectar más liquidez con nuevas compras de deuda?</w:t>
      </w:r>
      <w:r w:rsidRPr="00717E24">
        <w:rPr>
          <w:rFonts w:ascii="Times New Roman" w:eastAsia="Times New Roman" w:hAnsi="Times New Roman" w:cs="Times New Roman"/>
          <w:sz w:val="24"/>
          <w:szCs w:val="24"/>
          <w:lang w:eastAsia="es-ES"/>
        </w:rPr>
        <w:t xml:space="preserve">”… (Cinco Días - </w:t>
      </w:r>
      <w:r w:rsidRPr="00717E24">
        <w:rPr>
          <w:rFonts w:ascii="Times New Roman" w:eastAsia="Times New Roman" w:hAnsi="Times New Roman" w:cs="Times New Roman"/>
          <w:b/>
          <w:sz w:val="24"/>
          <w:szCs w:val="24"/>
          <w:lang w:eastAsia="es-ES"/>
        </w:rPr>
        <w:t>23/6/22</w:t>
      </w:r>
      <w:r w:rsidRPr="00717E24">
        <w:rPr>
          <w:rFonts w:ascii="Times New Roman" w:eastAsia="Times New Roman" w:hAnsi="Times New Roman" w:cs="Times New Roman"/>
          <w:sz w:val="24"/>
          <w:szCs w:val="24"/>
          <w:lang w:eastAsia="es-ES"/>
        </w:rPr>
        <w:t>)</w:t>
      </w:r>
    </w:p>
    <w:p w:rsidR="00215613" w:rsidRPr="00F75456" w:rsidRDefault="00215613" w:rsidP="00215613">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Pr>
          <w:noProof/>
          <w:lang w:val="en-GB" w:eastAsia="zh-CN"/>
        </w:rPr>
        <w:drawing>
          <wp:inline distT="0" distB="0" distL="0" distR="0">
            <wp:extent cx="5727989" cy="3149600"/>
            <wp:effectExtent l="0" t="0" r="6350" b="0"/>
            <wp:docPr id="41" name="Imagen 41" descr="Liquidez ban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quidez banca"/>
                    <pic:cNvPicPr>
                      <a:picLocks noChangeAspect="1" noChangeArrowheads="1"/>
                    </pic:cNvPicPr>
                  </pic:nvPicPr>
                  <pic:blipFill>
                    <a:blip r:embed="rId1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51536"/>
                    </a:xfrm>
                    <a:prstGeom prst="rect">
                      <a:avLst/>
                    </a:prstGeom>
                    <a:noFill/>
                    <a:ln>
                      <a:noFill/>
                    </a:ln>
                  </pic:spPr>
                </pic:pic>
              </a:graphicData>
            </a:graphic>
          </wp:inline>
        </w:drawing>
      </w:r>
    </w:p>
    <w:p w:rsidR="00215613" w:rsidRPr="00717E24"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E24">
        <w:rPr>
          <w:rFonts w:ascii="Times New Roman" w:eastAsia="Times New Roman" w:hAnsi="Times New Roman" w:cs="Times New Roman"/>
          <w:sz w:val="24"/>
          <w:szCs w:val="24"/>
          <w:lang w:eastAsia="es-ES"/>
        </w:rPr>
        <w:t xml:space="preserve">La respuesta al dilema está en la esterilización de las compras de deuda, en el drenaje de la liquidez inyectada con esas adquisiciones, según señalan los expertos. Y el punto de partida no puede ser más desafiante: el exceso de liquidez de la banca europea ha alcanzado después de años de incesantes estímulos, y en especial a </w:t>
      </w:r>
      <w:r w:rsidR="00717E24" w:rsidRPr="00717E24">
        <w:rPr>
          <w:rFonts w:ascii="Times New Roman" w:eastAsia="Times New Roman" w:hAnsi="Times New Roman" w:cs="Times New Roman"/>
          <w:sz w:val="24"/>
          <w:szCs w:val="24"/>
          <w:lang w:eastAsia="es-ES"/>
        </w:rPr>
        <w:t>raíz</w:t>
      </w:r>
      <w:r w:rsidRPr="00717E24">
        <w:rPr>
          <w:rFonts w:ascii="Times New Roman" w:eastAsia="Times New Roman" w:hAnsi="Times New Roman" w:cs="Times New Roman"/>
          <w:sz w:val="24"/>
          <w:szCs w:val="24"/>
          <w:lang w:eastAsia="es-ES"/>
        </w:rPr>
        <w:t xml:space="preserve"> de la pandemia, el récord de 4,62 billones de euros alcanzado este mes de junio. Según el último dato diario, ahora se sitúa en los 4,48 billones de euros.</w:t>
      </w:r>
    </w:p>
    <w:p w:rsidR="00215613" w:rsidRPr="00717082"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Tan elevada cuantía es el sobrante de efectivo del que disponen las entidades financieras de la zona euro una vez cumplidas las reservas mínimas con las que garantizar la demanda de dinero de sus clientes. Una liquidez que está aparcada y que tendrá que empezar a descender dentro del proceso de normalización monetaria que va a iniciar el banco central.</w:t>
      </w:r>
    </w:p>
    <w:p w:rsidR="00215613" w:rsidRPr="00717082"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 xml:space="preserve">Por lo pronto, los bancos han decidido devolver de forma anticipada 75.000 millones de euros de la liquidez de las rondas TLTRO en la ventana de la que disponen a finales de este mes. De hecho, hoy 23 de junio finalizan las condiciones especiales aplicables a estas líneas de financiación TLTRO III, activadas con la pandemia y que han concedido una bonificación del 1% a los bancos que destinaran esa liquidez a la concesión de crédito. Esa lluvia de </w:t>
      </w:r>
      <w:r w:rsidRPr="00717082">
        <w:rPr>
          <w:rFonts w:ascii="Times New Roman" w:eastAsia="Times New Roman" w:hAnsi="Times New Roman" w:cs="Times New Roman"/>
          <w:sz w:val="24"/>
          <w:szCs w:val="24"/>
          <w:lang w:eastAsia="es-ES"/>
        </w:rPr>
        <w:lastRenderedPageBreak/>
        <w:t>financiación bonificada -con una petición récord de 1,3 billones en la subasta de junio de 2020- ha sido el germen imparable para llevar el exceso de liquidez del sistema a los actuales niveles.</w:t>
      </w:r>
    </w:p>
    <w:p w:rsidR="00215613" w:rsidRPr="00717082"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Según explica José Manuel Amor, analista de AFI, “en el momento en que se acaban las líneas TLTRO III, lo lógico es que los bancos devuelvan de forma anticipada la liquidez que no van a utilizar y que con la subida de tipos les va a costar más”. Así, la tasa de la facilidad de depósito, donde en la actualidad hay aparcados 593.273 millones de euros, subirá ya en julio desde el -0,5% al -0,25% y en septiembre es muy probable que esté al 0,25%.</w:t>
      </w:r>
    </w:p>
    <w:p w:rsidR="00215613" w:rsidRPr="00717082"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La amortización de las líneas de liquidez TLTRO será una de las vías del BCE para ir reduciendo su balance, según explica Amor. Una alternativa de drenar liquidez ante las eventuales compras que realice con la nueva herramienta antifragmentación. Para Frederick Ducrozet, director de análisis macroeconómico de Pictet WM, “es previsible la esterilización de compras de bonos, drenando liquidez de otras partes del sistema monetario en la misma cantidad. Esto último es “políticamente correcto”, aunque su aplicación real puede ser más difícil en un contexto de exceso de liquidez”.</w:t>
      </w:r>
    </w:p>
    <w:p w:rsidR="00215613" w:rsidRPr="00717082"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El BCE ya recurrió en el pasado a la esterilización de sus compras de deuda. Fue con el programa SMP (Securities Markets Programme), lanzado en mayo de 2010 y diseñado como una fórmula con la que actuar de forma puntual en el mercado sin elevar los niveles agregados de liquidez. Así, las compras de deuda quedaban neutralizadas con la emisión por parte del BCE de depósitos a corto plazo suscritos por los bancos. “El BCE puede encontrar la manera de ofrecer préstamos a los bancos a tipos de interés mayores o incluso emitir los certificados de deuda que sus estatutos le permiten”, apunta Ducrozet.</w:t>
      </w:r>
    </w:p>
    <w:p w:rsidR="00215613" w:rsidRPr="00717082"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Otra fórmula de drenar liquidez sería vender deuda de países sin tensión en sus bonos soberanos, aunque se trata de una medida más polémica y podría plantear agravios comparativos de difícil encaje político. “El BCE tiene que asustar, plantear algo que ni siquiera tenga que llegar a usar”, afirma Amor. Un instrumento que no tenga cuantía tope de entrada.</w:t>
      </w:r>
    </w:p>
    <w:p w:rsidR="00215613"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Ducrozet calcula que el BCE podría disponer de 10.000 millones de euros al mes para la compra de bonos de países periféricos con la reinversión de activos del programa PEPP. Sin embargo, la refinanciación de deuda italiana del resto del año ya es el doble de tal cantidad, con lo que en caso de fragmentación severa de la deuda, la reinversión del PEPP no sería de ningún modo suficiente y exige al banco central ir más allá. “Si el BCE presenta una herramienta creíble contra la fragmentación, es posible que al final no tenga que gastar un solo euro”, añade.</w:t>
      </w:r>
    </w:p>
    <w:p w:rsidR="00215613" w:rsidRPr="00717082"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 xml:space="preserve">- </w:t>
      </w:r>
      <w:r w:rsidRPr="00717082">
        <w:rPr>
          <w:rFonts w:ascii="Times New Roman" w:eastAsia="Times New Roman" w:hAnsi="Times New Roman" w:cs="Times New Roman"/>
          <w:sz w:val="24"/>
          <w:szCs w:val="24"/>
          <w:u w:val="single"/>
          <w:lang w:eastAsia="es-ES"/>
        </w:rPr>
        <w:t>Los seis dilemas del Banco Central Europeo</w:t>
      </w:r>
      <w:r w:rsidRPr="00717082">
        <w:rPr>
          <w:rFonts w:ascii="Times New Roman" w:eastAsia="Times New Roman" w:hAnsi="Times New Roman" w:cs="Times New Roman"/>
          <w:sz w:val="24"/>
          <w:szCs w:val="24"/>
          <w:lang w:eastAsia="es-ES"/>
        </w:rPr>
        <w:t xml:space="preserve"> (Vozpópuli - </w:t>
      </w:r>
      <w:r w:rsidRPr="00717082">
        <w:rPr>
          <w:rFonts w:ascii="Times New Roman" w:eastAsia="Times New Roman" w:hAnsi="Times New Roman" w:cs="Times New Roman"/>
          <w:b/>
          <w:sz w:val="24"/>
          <w:szCs w:val="24"/>
          <w:lang w:eastAsia="es-ES"/>
        </w:rPr>
        <w:t>23/6/22</w:t>
      </w:r>
      <w:r w:rsidRPr="00717082">
        <w:rPr>
          <w:rFonts w:ascii="Times New Roman" w:eastAsia="Times New Roman" w:hAnsi="Times New Roman" w:cs="Times New Roman"/>
          <w:sz w:val="24"/>
          <w:szCs w:val="24"/>
          <w:lang w:eastAsia="es-ES"/>
        </w:rPr>
        <w:t>)</w:t>
      </w:r>
    </w:p>
    <w:p w:rsidR="00215613" w:rsidRPr="00717082" w:rsidRDefault="00215613" w:rsidP="0021561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717082">
        <w:rPr>
          <w:rFonts w:ascii="Times New Roman" w:eastAsia="Times New Roman" w:hAnsi="Times New Roman" w:cs="Times New Roman"/>
          <w:sz w:val="24"/>
          <w:szCs w:val="24"/>
          <w:lang w:eastAsia="es-ES"/>
        </w:rPr>
        <w:t>El pasado 9 de junio el Banco Central Europeo (BCE) anunció una primera subida de tipos de 0,25 puntos para julio y confirmó el fin de las compras de deuda pública iniciadas con la pandemia. Esta decisión se enmarca en medio de una serie de dilemas a los que se viene enfrentando esta institución, tanto estructurales, como coyunturales.</w:t>
      </w:r>
    </w:p>
    <w:p w:rsidR="00215613" w:rsidRPr="007625AB" w:rsidRDefault="00215613" w:rsidP="00215613">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7625AB">
        <w:rPr>
          <w:rFonts w:ascii="Times New Roman" w:eastAsia="Times New Roman" w:hAnsi="Times New Roman" w:cs="Times New Roman"/>
          <w:color w:val="FF0000"/>
          <w:sz w:val="24"/>
          <w:szCs w:val="24"/>
          <w:u w:val="single"/>
          <w:lang w:eastAsia="es-ES"/>
        </w:rPr>
        <w:t xml:space="preserve">En primer lugar, un viejo dilema existencial. El BCE trata de comportarse como si fuera la Reserva Federal, pero es una institución muy distinta por varios motivos: es el banco central de una zona monetaria incompleta de 19 Estados soberanos, no de uno solo; su objetivo es exclusivamente la estabilidad de precios, no como la Fed, que incluye en su mandato el pleno empleo o la moderación de los tipos de interés a largo plazo; no puede operar con un único </w:t>
      </w:r>
      <w:r w:rsidRPr="007625AB">
        <w:rPr>
          <w:rFonts w:ascii="Times New Roman" w:eastAsia="Times New Roman" w:hAnsi="Times New Roman" w:cs="Times New Roman"/>
          <w:color w:val="FF0000"/>
          <w:sz w:val="24"/>
          <w:szCs w:val="24"/>
          <w:u w:val="single"/>
          <w:lang w:eastAsia="es-ES"/>
        </w:rPr>
        <w:lastRenderedPageBreak/>
        <w:t>activo seguro (más allá de la deuda europea del Next Generation EU), sino con deuda de países, lo que vincula riesgo bancario y riesgo soberano; y su propia existencia depende de la sostenibilidad del euro, lo que es incompatible con la quiebra de un país grande (algo impensable en Estados Unidos: si quiebra California nadie piensa que el dólar o la Fed vayan a desaparecer).</w:t>
      </w:r>
    </w:p>
    <w:p w:rsidR="00215613" w:rsidRPr="007625AB" w:rsidRDefault="00215613" w:rsidP="00215613">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7625AB">
        <w:rPr>
          <w:rFonts w:ascii="Times New Roman" w:eastAsia="Times New Roman" w:hAnsi="Times New Roman" w:cs="Times New Roman"/>
          <w:color w:val="FF0000"/>
          <w:sz w:val="24"/>
          <w:szCs w:val="24"/>
          <w:u w:val="single"/>
          <w:lang w:eastAsia="es-ES"/>
        </w:rPr>
        <w:t>En segundo lugar, un dilema económico. El BCE sabe bien que en la eurozona, a diferencia de lo que ocurre en Estados Unidos, el nivel de demanda</w:t>
      </w:r>
      <w:r w:rsidR="004A36AB">
        <w:rPr>
          <w:rFonts w:ascii="Times New Roman" w:eastAsia="Times New Roman" w:hAnsi="Times New Roman" w:cs="Times New Roman"/>
          <w:color w:val="FF0000"/>
          <w:sz w:val="24"/>
          <w:szCs w:val="24"/>
          <w:u w:val="single"/>
          <w:lang w:eastAsia="es-ES"/>
        </w:rPr>
        <w:t xml:space="preserve"> de consumo e inversión privada</w:t>
      </w:r>
      <w:r w:rsidRPr="007625AB">
        <w:rPr>
          <w:rFonts w:ascii="Times New Roman" w:eastAsia="Times New Roman" w:hAnsi="Times New Roman" w:cs="Times New Roman"/>
          <w:color w:val="FF0000"/>
          <w:sz w:val="24"/>
          <w:szCs w:val="24"/>
          <w:u w:val="single"/>
          <w:lang w:eastAsia="es-ES"/>
        </w:rPr>
        <w:t xml:space="preserve"> está todavía por debajo de los niveles prepandemia. Lo que pasa es que dicho nivel es ahora incompatible con una oferta encarecida y unas cadenas de suministro asfixiadas</w:t>
      </w:r>
      <w:r w:rsidRPr="00A43094">
        <w:rPr>
          <w:rFonts w:ascii="Times New Roman" w:eastAsia="Times New Roman" w:hAnsi="Times New Roman" w:cs="Times New Roman"/>
          <w:color w:val="333333"/>
          <w:sz w:val="24"/>
          <w:szCs w:val="24"/>
          <w:lang w:eastAsia="es-ES"/>
        </w:rPr>
        <w:t xml:space="preserve">. </w:t>
      </w:r>
      <w:r w:rsidRPr="00717082">
        <w:rPr>
          <w:rFonts w:ascii="Times New Roman" w:eastAsia="Times New Roman" w:hAnsi="Times New Roman" w:cs="Times New Roman"/>
          <w:sz w:val="24"/>
          <w:szCs w:val="24"/>
          <w:lang w:eastAsia="es-ES"/>
        </w:rPr>
        <w:t xml:space="preserve">Con independencia de las distorsiones que la abundante liquidez haya generado en los precios de los activos (ninguna medida extrema sale gratis), la realidad es que en la eurozona no hay un problema de gasto desbocado (como en Estados Unidos). </w:t>
      </w:r>
      <w:r w:rsidRPr="007625AB">
        <w:rPr>
          <w:rFonts w:ascii="Times New Roman" w:eastAsia="Times New Roman" w:hAnsi="Times New Roman" w:cs="Times New Roman"/>
          <w:color w:val="FF0000"/>
          <w:sz w:val="24"/>
          <w:szCs w:val="24"/>
          <w:u w:val="single"/>
          <w:lang w:eastAsia="es-ES"/>
        </w:rPr>
        <w:t>Pero da igual, por dos motivos. El primero es que, aunque la política monetaria sea una política de demanda y no actúe directamente sobre las causas últimas de esta inflación en Europa (la oferta), es la única herramienta de la que dispone el organismo responsable de velar por la estabilidad de precios.Por eso, para evitar que las expectativas de inflación se consoliden, el BCE se ve obligado a hundir la demanda hasta que se ajuste a la oferta, y eso será a niveles de gasto muy inferiores a los de 2019. El segundo motivo es que, en una economía globalizada, lo que hagan los demás te afecta: el comportamiento de la Fed obliga al BCE a reaccionar.</w:t>
      </w:r>
    </w:p>
    <w:p w:rsidR="00215613" w:rsidRPr="007625AB" w:rsidRDefault="00215613" w:rsidP="00215613">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7625AB">
        <w:rPr>
          <w:rFonts w:ascii="Times New Roman" w:eastAsia="Times New Roman" w:hAnsi="Times New Roman" w:cs="Times New Roman"/>
          <w:color w:val="FF0000"/>
          <w:sz w:val="24"/>
          <w:szCs w:val="24"/>
          <w:u w:val="single"/>
          <w:lang w:eastAsia="es-ES"/>
        </w:rPr>
        <w:t>Ese es precisamente el tercer dilema, un dilema cambiario. La subida de tipos de la Fed (0.75 puntos) hace más atractivos los activos estadounidenses y aprecia al dólar frente al euro. En teoría, un euro depreciado no debería ser un problema (si como hemos dicho la demanda europea no está recalentada). En la práctica, sin embargo, el BCE debe subir tipos para evitar la depreciación del euro por dos motivos: porque ahora no puede permitirse estímulos adicionales y porque un euro débil encarece aún más la factura energética europea (el precio en los contratos de petróleo y gas se denomina en dólares). Es lo malo de la dependencia energética externa de la UE: una moneda débil le hace importar inflación.</w:t>
      </w:r>
    </w:p>
    <w:p w:rsidR="00215613" w:rsidRPr="007708CF" w:rsidRDefault="00215613" w:rsidP="00215613">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7708CF">
        <w:rPr>
          <w:rFonts w:ascii="Times New Roman" w:eastAsia="Times New Roman" w:hAnsi="Times New Roman" w:cs="Times New Roman"/>
          <w:color w:val="FF0000"/>
          <w:sz w:val="24"/>
          <w:szCs w:val="24"/>
          <w:u w:val="single"/>
          <w:lang w:eastAsia="es-ES"/>
        </w:rPr>
        <w:t>El cuarto es un dilema de sostenibilidad. Por un lado, el BCE necesita combatir la inflación y para ello es imprescindible dejar de inyectar liquidez en el mercado. Seguir comprando deuda sin límite, como hasta ahora, equivale a dejar que la política fiscal y el excesivo endeudamiento de los Estados condicionen la política monetaria (lo que se conoce como “dominancia fiscal”). Por otro, dejar de comprar deuda sin más es una invitación a que las primas de riesgo se disparen (como ya ha comenzado a ocurrir), algo peligroso por dos motivos: porque niveles demasiado elevados pueden hundir a los países y porque no puede haber una política monetaria única con 19 tipos de interés distintos.</w:t>
      </w:r>
    </w:p>
    <w:p w:rsidR="00215613" w:rsidRPr="007708CF" w:rsidRDefault="00215613" w:rsidP="00215613">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7708CF">
        <w:rPr>
          <w:rFonts w:ascii="Times New Roman" w:eastAsia="Times New Roman" w:hAnsi="Times New Roman" w:cs="Times New Roman"/>
          <w:color w:val="FF0000"/>
          <w:sz w:val="24"/>
          <w:szCs w:val="24"/>
          <w:u w:val="single"/>
          <w:lang w:eastAsia="es-ES"/>
        </w:rPr>
        <w:t xml:space="preserve">Esto nos conduce al quinto dilema, un dilema legal. Desde que se anunció el fin de las nuevas compras de deuda, las primas de riesgo comenzaron a subir. Para evitarlo, el BCE anunció que sería flexible en la reinversión de los reembolsos vencidos (es decir, que sin aumentar las compras netas incrementaría en su cartera la proporción de deuda de países más débiles), pero eso quizás no sea suficiente, por lo que añadió que se crearía un nuevo instrumento de compra de deuda que evite la fragmentación de los mercados (evitar compras netas de deuda y controlar las primas de riesgo no parece fácil, lo cual hace pensar en una esterilización de dichas operaciones). En cualquier caso, al comprar deuda sin límite de forma incondicional, el BCE sabe que opera en el borde de la legalidad de los tratados (que prohíbe la financiación monetaria); y sabe también que el Tribunal de Justicia europeo salvó en 2018 el programa de compra de activos del sector público (PSPP) pero recordó el principio de proporcionalidad y la necesidad de condiciones para la compra de activos. Aunque el programa de compra de </w:t>
      </w:r>
      <w:r w:rsidRPr="007708CF">
        <w:rPr>
          <w:rFonts w:ascii="Times New Roman" w:eastAsia="Times New Roman" w:hAnsi="Times New Roman" w:cs="Times New Roman"/>
          <w:color w:val="FF0000"/>
          <w:sz w:val="24"/>
          <w:szCs w:val="24"/>
          <w:u w:val="single"/>
          <w:lang w:eastAsia="es-ES"/>
        </w:rPr>
        <w:lastRenderedPageBreak/>
        <w:t>deuda de la pandemia (PEPP) se hizo sin restricciones, eso se ha acabado: cualquier nuevo programa de compra de deuda va a requerir mecanismos de condicionalidad o corre el riesgo de ser anulado por la justicia europea.</w:t>
      </w:r>
    </w:p>
    <w:p w:rsidR="00215613" w:rsidRPr="007708CF" w:rsidRDefault="00215613" w:rsidP="00215613">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7708CF">
        <w:rPr>
          <w:rFonts w:ascii="Times New Roman" w:eastAsia="Times New Roman" w:hAnsi="Times New Roman" w:cs="Times New Roman"/>
          <w:color w:val="FF0000"/>
          <w:sz w:val="24"/>
          <w:szCs w:val="24"/>
          <w:u w:val="single"/>
          <w:lang w:eastAsia="es-ES"/>
        </w:rPr>
        <w:t>Y eso nos lleva al sexto y último dilema, un dilema político. Un mecanismo de compra de deuda con condicionalidad (como el de la OMT de Draghi, que nunca llegó a emplearse) supone meterse en un complicado berenjenal político. Si el diseño del anunciado mecanismo antifragmentación incluye, como se prevé, algún tipo de condicionalidad, lo lógico es que ésta no sea muy distinta de la establecida en los Programas de Recuperación y Resiliencia de los distintos Estados miembros. Ahora bien, si esa exigencia se convierte en “estricta”, lo que se viene a reconocer implícitamente es que los hitos fijados por la Comisión en los Planes de Recuperación y Resiliencia estaban definidos de una forma demasiado laxa, con un amplio margen de interpretación.</w:t>
      </w:r>
    </w:p>
    <w:p w:rsidR="00215613" w:rsidRPr="007708CF" w:rsidRDefault="00215613" w:rsidP="00215613">
      <w:pPr>
        <w:shd w:val="clear" w:color="auto" w:fill="FFFFFF"/>
        <w:spacing w:line="240" w:lineRule="auto"/>
        <w:jc w:val="both"/>
        <w:textAlignment w:val="baseline"/>
        <w:rPr>
          <w:rFonts w:ascii="Times New Roman" w:eastAsia="Times New Roman" w:hAnsi="Times New Roman" w:cs="Times New Roman"/>
          <w:b/>
          <w:color w:val="FF0000"/>
          <w:sz w:val="24"/>
          <w:szCs w:val="24"/>
          <w:u w:val="single"/>
          <w:lang w:eastAsia="es-ES"/>
        </w:rPr>
      </w:pPr>
      <w:r w:rsidRPr="007708CF">
        <w:rPr>
          <w:rFonts w:ascii="Times New Roman" w:eastAsia="Times New Roman" w:hAnsi="Times New Roman" w:cs="Times New Roman"/>
          <w:b/>
          <w:color w:val="FF0000"/>
          <w:sz w:val="24"/>
          <w:szCs w:val="24"/>
          <w:u w:val="single"/>
          <w:lang w:eastAsia="es-ES"/>
        </w:rPr>
        <w:t>Resolver estos seis dilemas no es tarea fácil, pero de su salida airosa depende el futuro de la economía y estabilidad financiera de la eurozona. El BCE debe hacer su trabajo, pero los Estados deben ayudarle. Quizá es hora de debatir de una vez una mayor integración de las políticas fiscales, lo que implica renunciar a parte de nuestra soberanía a la hora de definir el presupuesto a cambio de un menor riesgo. Pero que nadie se engañe: el viejo debate norte-sur ha vuelto, y a partir de ahora comenzaremos a oír lo de “¿por qué tenemos que financiar nosotros vuestras políticas de gasto?”. Y cuanto más se exija que el BCE resuelva todos nuestros problemas y se invoque la solidaridad ajena, más improbable se volverá la repetición o la consolidación del salto cualitativo que supuso el Next Generation EU.</w:t>
      </w:r>
    </w:p>
    <w:p w:rsidR="00306926" w:rsidRDefault="009447A0" w:rsidP="00F73809">
      <w:pPr>
        <w:spacing w:line="240" w:lineRule="auto"/>
        <w:jc w:val="both"/>
        <w:rPr>
          <w:rFonts w:ascii="Times New Roman" w:hAnsi="Times New Roman" w:cs="Times New Roman"/>
          <w:b/>
          <w:sz w:val="24"/>
          <w:szCs w:val="24"/>
        </w:rPr>
      </w:pPr>
      <w:r w:rsidRPr="009447A0">
        <w:rPr>
          <w:rFonts w:ascii="Times New Roman" w:hAnsi="Times New Roman" w:cs="Times New Roman"/>
          <w:b/>
          <w:sz w:val="24"/>
          <w:szCs w:val="24"/>
        </w:rPr>
        <w:t>Nota</w:t>
      </w:r>
      <w:r w:rsidR="00717082">
        <w:rPr>
          <w:rFonts w:ascii="Times New Roman" w:hAnsi="Times New Roman" w:cs="Times New Roman"/>
          <w:b/>
          <w:sz w:val="24"/>
          <w:szCs w:val="24"/>
        </w:rPr>
        <w:t xml:space="preserve">: </w:t>
      </w:r>
      <w:r>
        <w:rPr>
          <w:rFonts w:ascii="Times New Roman" w:hAnsi="Times New Roman" w:cs="Times New Roman"/>
          <w:b/>
          <w:sz w:val="24"/>
          <w:szCs w:val="24"/>
        </w:rPr>
        <w:t>Algunos comentarios escritos en octubre 2021 (cuando“</w:t>
      </w:r>
      <w:r w:rsidR="00520710">
        <w:rPr>
          <w:rFonts w:ascii="Times New Roman" w:hAnsi="Times New Roman" w:cs="Times New Roman"/>
          <w:b/>
          <w:sz w:val="24"/>
          <w:szCs w:val="24"/>
        </w:rPr>
        <w:t>estábamos</w:t>
      </w:r>
      <w:r>
        <w:rPr>
          <w:rFonts w:ascii="Times New Roman" w:hAnsi="Times New Roman" w:cs="Times New Roman"/>
          <w:b/>
          <w:sz w:val="24"/>
          <w:szCs w:val="24"/>
        </w:rPr>
        <w:t xml:space="preserve"> mal</w:t>
      </w:r>
      <w:r w:rsidR="00717082">
        <w:rPr>
          <w:rFonts w:ascii="Times New Roman" w:hAnsi="Times New Roman" w:cs="Times New Roman"/>
          <w:b/>
          <w:sz w:val="24"/>
          <w:szCs w:val="24"/>
        </w:rPr>
        <w:t>,</w:t>
      </w:r>
      <w:r>
        <w:rPr>
          <w:rFonts w:ascii="Times New Roman" w:hAnsi="Times New Roman" w:cs="Times New Roman"/>
          <w:b/>
          <w:sz w:val="24"/>
          <w:szCs w:val="24"/>
        </w:rPr>
        <w:t xml:space="preserve"> pero </w:t>
      </w:r>
      <w:r w:rsidR="00520710">
        <w:rPr>
          <w:rFonts w:ascii="Times New Roman" w:hAnsi="Times New Roman" w:cs="Times New Roman"/>
          <w:b/>
          <w:sz w:val="24"/>
          <w:szCs w:val="24"/>
        </w:rPr>
        <w:t>íbamos</w:t>
      </w:r>
      <w:r>
        <w:rPr>
          <w:rFonts w:ascii="Times New Roman" w:hAnsi="Times New Roman" w:cs="Times New Roman"/>
          <w:b/>
          <w:sz w:val="24"/>
          <w:szCs w:val="24"/>
        </w:rPr>
        <w:t xml:space="preserve"> mejor”</w:t>
      </w:r>
      <w:r w:rsidR="00520710">
        <w:rPr>
          <w:rFonts w:ascii="Times New Roman" w:hAnsi="Times New Roman" w:cs="Times New Roman"/>
          <w:b/>
          <w:sz w:val="24"/>
          <w:szCs w:val="24"/>
        </w:rPr>
        <w:t xml:space="preserve"> -sic-</w:t>
      </w:r>
      <w:r>
        <w:rPr>
          <w:rFonts w:ascii="Times New Roman" w:hAnsi="Times New Roman" w:cs="Times New Roman"/>
          <w:b/>
          <w:sz w:val="24"/>
          <w:szCs w:val="24"/>
        </w:rPr>
        <w:t>)</w:t>
      </w:r>
    </w:p>
    <w:p w:rsidR="009447A0" w:rsidRDefault="009447A0" w:rsidP="009447A0">
      <w:pPr>
        <w:spacing w:line="240" w:lineRule="auto"/>
        <w:jc w:val="both"/>
        <w:rPr>
          <w:rFonts w:ascii="Times New Roman" w:hAnsi="Times New Roman" w:cs="Times New Roman"/>
          <w:b/>
          <w:sz w:val="24"/>
          <w:szCs w:val="24"/>
        </w:rPr>
      </w:pPr>
      <w:r>
        <w:rPr>
          <w:rFonts w:ascii="Times New Roman" w:hAnsi="Times New Roman" w:cs="Times New Roman"/>
          <w:b/>
          <w:sz w:val="24"/>
          <w:szCs w:val="24"/>
        </w:rPr>
        <w:t>Las “plañideras” de los bancos centrales (ofrecen sus lágrimas a cambio de -nuestro- dinero, acudiendo al funeral de una economía, que no conocen, ni padecen)</w:t>
      </w:r>
    </w:p>
    <w:p w:rsidR="009447A0" w:rsidRPr="00AD7D5D" w:rsidRDefault="009447A0" w:rsidP="009447A0">
      <w:pPr>
        <w:spacing w:line="240" w:lineRule="auto"/>
        <w:jc w:val="both"/>
        <w:rPr>
          <w:rFonts w:ascii="Times New Roman" w:hAnsi="Times New Roman" w:cs="Times New Roman"/>
          <w:b/>
          <w:sz w:val="24"/>
          <w:szCs w:val="24"/>
        </w:rPr>
      </w:pPr>
      <w:r w:rsidRPr="00AD7D5D">
        <w:rPr>
          <w:rFonts w:ascii="Times New Roman" w:hAnsi="Times New Roman" w:cs="Times New Roman"/>
          <w:b/>
          <w:sz w:val="24"/>
          <w:szCs w:val="24"/>
        </w:rPr>
        <w:t>Los responsables de la formulación de políticas no deberían haber sido tomados por sorpresa por el aumento de los precios y la escasez de bienes y mano de obra. Prácticamente toda la agenda pospandémica se basa en políticas que avivan la demanda y desalientan el trabajo, lo que hace que las limitaciones del lado de la oferta sean completamente predecibles.</w:t>
      </w:r>
    </w:p>
    <w:p w:rsidR="009447A0" w:rsidRPr="00AD7D5D" w:rsidRDefault="009447A0" w:rsidP="009447A0">
      <w:pPr>
        <w:spacing w:line="240" w:lineRule="auto"/>
        <w:jc w:val="both"/>
        <w:rPr>
          <w:rFonts w:ascii="Times New Roman" w:hAnsi="Times New Roman" w:cs="Times New Roman"/>
          <w:b/>
          <w:sz w:val="24"/>
          <w:szCs w:val="24"/>
        </w:rPr>
      </w:pPr>
      <w:r w:rsidRPr="00AD7D5D">
        <w:rPr>
          <w:rFonts w:ascii="Times New Roman" w:hAnsi="Times New Roman" w:cs="Times New Roman"/>
          <w:b/>
          <w:sz w:val="24"/>
          <w:szCs w:val="24"/>
        </w:rPr>
        <w:t>Aumento de la inflación, aumento de los precios de la energía, cuellos de botella en la producción: la ortodoxia económica acaba de chocar contra una pared de la realidad llamada “oferta”.</w:t>
      </w:r>
    </w:p>
    <w:p w:rsidR="009447A0" w:rsidRPr="00AD7D5D" w:rsidRDefault="009447A0" w:rsidP="009447A0">
      <w:pPr>
        <w:spacing w:line="240" w:lineRule="auto"/>
        <w:jc w:val="both"/>
        <w:rPr>
          <w:rFonts w:ascii="Times New Roman" w:hAnsi="Times New Roman" w:cs="Times New Roman"/>
          <w:b/>
          <w:sz w:val="24"/>
          <w:szCs w:val="24"/>
        </w:rPr>
      </w:pPr>
      <w:r w:rsidRPr="00AD7D5D">
        <w:rPr>
          <w:rFonts w:ascii="Times New Roman" w:hAnsi="Times New Roman" w:cs="Times New Roman"/>
          <w:b/>
          <w:sz w:val="24"/>
          <w:szCs w:val="24"/>
        </w:rPr>
        <w:t>La demanda también importa, por supuesto. Si la gente quisiera comprar la mitad de lo que compra, los cuellos de botella y la escasez de hoy no se producirían. Pero la Reserva Federal y el Banco Central Europeo han impreso billones de dólares y euros nuevos, y han repartido fondos ¿“all over the world”?. La inflación no debería haber sido muy difícil de prever; y, sin embargo, ha tomado a la Fed y al BCE “aparentemente” por sorpresa.</w:t>
      </w:r>
    </w:p>
    <w:p w:rsidR="009447A0" w:rsidRPr="00CC2D89" w:rsidRDefault="009447A0" w:rsidP="009447A0">
      <w:pPr>
        <w:spacing w:line="240" w:lineRule="auto"/>
        <w:jc w:val="both"/>
        <w:rPr>
          <w:rFonts w:ascii="Times New Roman" w:hAnsi="Times New Roman" w:cs="Times New Roman"/>
          <w:sz w:val="24"/>
          <w:szCs w:val="24"/>
          <w:u w:val="single"/>
        </w:rPr>
      </w:pPr>
      <w:r w:rsidRPr="00AD7D5D">
        <w:rPr>
          <w:rFonts w:ascii="Times New Roman" w:hAnsi="Times New Roman" w:cs="Times New Roman"/>
          <w:b/>
          <w:sz w:val="24"/>
          <w:szCs w:val="24"/>
        </w:rPr>
        <w:t xml:space="preserve">“La excusa de la Fed y el BCE es que los shocks de oferta son síntomas transitorios de demanda reprimida. Pero el trabajo de los bancos centrales es, o al menos debería ser, calibrar cuánta oferta puede ofrecer la economía y luego ajustar la demanda a ese nivel y nada más. Ser sorprendido por un problema de suministro es como si el ejército se </w:t>
      </w:r>
      <w:r w:rsidRPr="00AD7D5D">
        <w:rPr>
          <w:rFonts w:ascii="Times New Roman" w:hAnsi="Times New Roman" w:cs="Times New Roman"/>
          <w:b/>
          <w:sz w:val="24"/>
          <w:szCs w:val="24"/>
        </w:rPr>
        <w:lastRenderedPageBreak/>
        <w:t xml:space="preserve">sorprendiera por una invasión”… </w:t>
      </w:r>
      <w:r w:rsidRPr="00CC2D89">
        <w:rPr>
          <w:rFonts w:ascii="Times New Roman" w:hAnsi="Times New Roman" w:cs="Times New Roman"/>
          <w:sz w:val="24"/>
          <w:szCs w:val="24"/>
        </w:rPr>
        <w:t xml:space="preserve">(John H. Cochrane, investigador principal de la Hoover Institution - Project Syndicate - </w:t>
      </w:r>
      <w:r w:rsidRPr="00CC2D89">
        <w:rPr>
          <w:rFonts w:ascii="Times New Roman" w:hAnsi="Times New Roman" w:cs="Times New Roman"/>
          <w:b/>
          <w:sz w:val="24"/>
          <w:szCs w:val="24"/>
        </w:rPr>
        <w:t>22/10/21</w:t>
      </w:r>
      <w:r w:rsidRPr="00CC2D89">
        <w:rPr>
          <w:rFonts w:ascii="Times New Roman" w:hAnsi="Times New Roman" w:cs="Times New Roman"/>
          <w:sz w:val="24"/>
          <w:szCs w:val="24"/>
        </w:rPr>
        <w:t>)</w:t>
      </w:r>
    </w:p>
    <w:p w:rsidR="009447A0" w:rsidRPr="00AD7D5D" w:rsidRDefault="009447A0" w:rsidP="009447A0">
      <w:pPr>
        <w:spacing w:line="240" w:lineRule="auto"/>
        <w:jc w:val="both"/>
        <w:rPr>
          <w:rFonts w:ascii="Times New Roman" w:hAnsi="Times New Roman" w:cs="Times New Roman"/>
          <w:b/>
          <w:sz w:val="24"/>
          <w:szCs w:val="24"/>
        </w:rPr>
      </w:pPr>
      <w:r w:rsidRPr="00AD7D5D">
        <w:rPr>
          <w:rFonts w:ascii="Times New Roman" w:hAnsi="Times New Roman" w:cs="Times New Roman"/>
          <w:b/>
          <w:sz w:val="24"/>
          <w:szCs w:val="24"/>
        </w:rPr>
        <w:t>Mientras “sigue la fiesta” en la bolsa, y nadie “retira la ponchera”, la idea dominante en los bancos centrales hasta el momento (octubre 2021) es que la combinación de estrangulamientos productivos asociados con la pandemia y el intenso aumento de los precios energéticos, junto con el carácter fuertemente expansivo de las políticas monetarias y fiscales, está impulsando temporalmente la inflación. Según esta visión, la gradual desaparición de los cuellos de botella y de las alzas de precios de la energía y demás materias primas terminará reorientando el ritmo de crecimiento de los precios hacia las expectativas de inflación a largo plazo consistentes con los objetivos de inflación de los bancos centrales.</w:t>
      </w:r>
    </w:p>
    <w:p w:rsidR="009447A0" w:rsidRPr="00AD7D5D" w:rsidRDefault="009447A0" w:rsidP="009447A0">
      <w:pPr>
        <w:spacing w:line="240" w:lineRule="auto"/>
        <w:jc w:val="both"/>
        <w:rPr>
          <w:rFonts w:ascii="Times New Roman" w:hAnsi="Times New Roman" w:cs="Times New Roman"/>
          <w:b/>
          <w:sz w:val="24"/>
          <w:szCs w:val="24"/>
        </w:rPr>
      </w:pPr>
      <w:r w:rsidRPr="00AD7D5D">
        <w:rPr>
          <w:rFonts w:ascii="Times New Roman" w:hAnsi="Times New Roman" w:cs="Times New Roman"/>
          <w:b/>
          <w:sz w:val="24"/>
          <w:szCs w:val="24"/>
        </w:rPr>
        <w:t>En mi humilde opinión, la visión de las autoridades monetarias, es excesivamente optimista. De todos modos, queda por saber cuál será el horizonte temporal, y cuándo el índice de inflación se considerará permanente, para que las autoridades monetarias actúen en consecuencia.</w:t>
      </w:r>
    </w:p>
    <w:p w:rsidR="009447A0" w:rsidRPr="00AD7D5D" w:rsidRDefault="009447A0" w:rsidP="009447A0">
      <w:pPr>
        <w:spacing w:line="240" w:lineRule="auto"/>
        <w:jc w:val="both"/>
        <w:rPr>
          <w:rFonts w:ascii="Times New Roman" w:hAnsi="Times New Roman" w:cs="Times New Roman"/>
          <w:b/>
          <w:sz w:val="24"/>
          <w:szCs w:val="24"/>
        </w:rPr>
      </w:pPr>
      <w:r w:rsidRPr="00AD7D5D">
        <w:rPr>
          <w:rFonts w:ascii="Times New Roman" w:hAnsi="Times New Roman" w:cs="Times New Roman"/>
          <w:b/>
          <w:sz w:val="24"/>
          <w:szCs w:val="24"/>
        </w:rPr>
        <w:t xml:space="preserve">¿Durante cuánto tiempo tienen que registrarse cifras elevadas de inflación para que dichas cifras no se consideren pasajeras? Por otro lado, se ha de considerar la cuestión del valor o rango de valores de la inflación cuya persistencia provocaría un cambio significativo de la política monetaria. No es lo mismo, por ejemplo, que el ritmo de inflación se estabilice alrededor de un punto por encima de los objetivos de los bancos centrales a que lo haga dos o más puntos por encima. Esto es, una inflación permanente en el entorno del 3% es menos preocupante que otra alrededor del 5%. </w:t>
      </w:r>
      <w:r w:rsidR="00AD7D5D" w:rsidRPr="00AD7D5D">
        <w:rPr>
          <w:rFonts w:ascii="Times New Roman" w:hAnsi="Times New Roman" w:cs="Times New Roman"/>
          <w:b/>
          <w:sz w:val="24"/>
          <w:szCs w:val="24"/>
        </w:rPr>
        <w:t>“</w:t>
      </w:r>
      <w:r w:rsidRPr="00AD7D5D">
        <w:rPr>
          <w:rFonts w:ascii="Times New Roman" w:hAnsi="Times New Roman" w:cs="Times New Roman"/>
          <w:b/>
          <w:sz w:val="24"/>
          <w:szCs w:val="24"/>
        </w:rPr>
        <w:t>Y más allá… la inundación</w:t>
      </w:r>
      <w:r w:rsidR="00AD7D5D" w:rsidRPr="00AD7D5D">
        <w:rPr>
          <w:rFonts w:ascii="Times New Roman" w:hAnsi="Times New Roman" w:cs="Times New Roman"/>
          <w:b/>
          <w:sz w:val="24"/>
          <w:szCs w:val="24"/>
        </w:rPr>
        <w:t>”</w:t>
      </w:r>
      <w:r w:rsidRPr="00AD7D5D">
        <w:rPr>
          <w:rFonts w:ascii="Times New Roman" w:hAnsi="Times New Roman" w:cs="Times New Roman"/>
          <w:b/>
          <w:sz w:val="24"/>
          <w:szCs w:val="24"/>
        </w:rPr>
        <w:t xml:space="preserve"> (como dice el tango).</w:t>
      </w:r>
    </w:p>
    <w:p w:rsidR="009447A0" w:rsidRDefault="009447A0" w:rsidP="009447A0">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cuestión interesante a dirimir no es si la inflación es pasajera o permanente sino cuándo y, sobre todo, cuánto tendrán que subir los tipos de interés para reconducir la inflación hasta niveles cercanos a los objetivos de los bancos centrales.</w:t>
      </w:r>
    </w:p>
    <w:p w:rsidR="00520710" w:rsidRDefault="009447A0" w:rsidP="009447A0">
      <w:pPr>
        <w:spacing w:line="240" w:lineRule="auto"/>
        <w:jc w:val="both"/>
        <w:rPr>
          <w:rFonts w:ascii="Times New Roman" w:hAnsi="Times New Roman" w:cs="Times New Roman"/>
          <w:b/>
          <w:sz w:val="24"/>
          <w:szCs w:val="24"/>
        </w:rPr>
      </w:pPr>
      <w:r>
        <w:rPr>
          <w:rFonts w:ascii="Times New Roman" w:hAnsi="Times New Roman" w:cs="Times New Roman"/>
          <w:b/>
          <w:sz w:val="24"/>
          <w:szCs w:val="24"/>
        </w:rPr>
        <w:t>¿Serán capaces de “retirar la ponchera” en la “fiesta de bolsa”? No lo hicieron en 1987, tampoco en  2008… ¿lo harán en 2022? Mirando por el “espejo retrovisor”, lo dudo.</w:t>
      </w:r>
    </w:p>
    <w:p w:rsidR="00520710" w:rsidRDefault="00520710" w:rsidP="00520710">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¿Sabrán los bancos centrales ayudar a la economía (real) a salir de la trampa, que ellos mismos le han montado? ¿Serán capaces de recuperar su independencia? ¿Harán bien su trabajo? ¿Podrán? ¿Querrán? ¿Les dejarán?... </w:t>
      </w:r>
    </w:p>
    <w:p w:rsidR="00520710" w:rsidRDefault="00520710" w:rsidP="00520710">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Hasta donde la vista alcanza, no se muestran muy dispuestos a “retirar la ponchera”…y avisar a los “ludópatas” de la “economía de casino”, que “se acabó la fiesta”.</w:t>
      </w:r>
    </w:p>
    <w:p w:rsidR="00511845" w:rsidRDefault="00FE2AF2" w:rsidP="00520710">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Nota (al 6/7/22), </w:t>
      </w:r>
      <w:r w:rsidR="00717082">
        <w:rPr>
          <w:rFonts w:ascii="Times New Roman" w:hAnsi="Times New Roman" w:cs="Times New Roman"/>
          <w:b/>
          <w:sz w:val="24"/>
          <w:szCs w:val="24"/>
          <w:shd w:val="clear" w:color="auto" w:fill="FFFFFF"/>
        </w:rPr>
        <w:t>dirigida a los “países frugales” (en los que creo) y al BCE (en el que no creo)</w:t>
      </w:r>
      <w:r>
        <w:rPr>
          <w:rFonts w:ascii="Times New Roman" w:hAnsi="Times New Roman" w:cs="Times New Roman"/>
          <w:b/>
          <w:sz w:val="24"/>
          <w:szCs w:val="24"/>
          <w:shd w:val="clear" w:color="auto" w:fill="FFFFFF"/>
        </w:rPr>
        <w:t>, si quieren ayudar realmente a España, “no le presten más dinero”. No le sigan financiando el gasto improductivo, descontrolado, populista, demagógico, y clientelar. Exijan a España el pronto cumplimiento de los objetivos económicos del Tratado de Maastricht</w:t>
      </w:r>
      <w:r w:rsidR="00511845">
        <w:rPr>
          <w:rFonts w:ascii="Times New Roman" w:hAnsi="Times New Roman" w:cs="Times New Roman"/>
          <w:b/>
          <w:sz w:val="24"/>
          <w:szCs w:val="24"/>
          <w:shd w:val="clear" w:color="auto" w:fill="FFFFFF"/>
        </w:rPr>
        <w:t>… “Que cada Santo aguante su vela”: es la única forma de acabar con los gobiernos “manirro</w:t>
      </w:r>
      <w:r w:rsidR="00A87879">
        <w:rPr>
          <w:rFonts w:ascii="Times New Roman" w:hAnsi="Times New Roman" w:cs="Times New Roman"/>
          <w:b/>
          <w:sz w:val="24"/>
          <w:szCs w:val="24"/>
          <w:shd w:val="clear" w:color="auto" w:fill="FFFFFF"/>
        </w:rPr>
        <w:t>tos”. Creo que el mismo “ruego”</w:t>
      </w:r>
      <w:r w:rsidR="00511845">
        <w:rPr>
          <w:rFonts w:ascii="Times New Roman" w:hAnsi="Times New Roman" w:cs="Times New Roman"/>
          <w:b/>
          <w:sz w:val="24"/>
          <w:szCs w:val="24"/>
          <w:shd w:val="clear" w:color="auto" w:fill="FFFFFF"/>
        </w:rPr>
        <w:t xml:space="preserve"> cabe, para el resto de los “pigs”.</w:t>
      </w:r>
    </w:p>
    <w:p w:rsidR="00AD7D5D" w:rsidRDefault="00AD7D5D" w:rsidP="00520710">
      <w:pPr>
        <w:spacing w:line="240" w:lineRule="auto"/>
        <w:jc w:val="both"/>
        <w:rPr>
          <w:rFonts w:ascii="Times New Roman" w:eastAsia="Times New Roman" w:hAnsi="Times New Roman" w:cs="Times New Roman"/>
          <w:b/>
          <w:color w:val="FF0000"/>
          <w:sz w:val="24"/>
          <w:szCs w:val="24"/>
          <w:lang w:eastAsia="es-ES"/>
        </w:rPr>
      </w:pPr>
    </w:p>
    <w:p w:rsidR="00AD7D5D" w:rsidRDefault="00AD7D5D" w:rsidP="00520710">
      <w:pPr>
        <w:spacing w:line="240" w:lineRule="auto"/>
        <w:jc w:val="both"/>
        <w:rPr>
          <w:rFonts w:ascii="Times New Roman" w:eastAsia="Times New Roman" w:hAnsi="Times New Roman" w:cs="Times New Roman"/>
          <w:b/>
          <w:color w:val="FF0000"/>
          <w:sz w:val="24"/>
          <w:szCs w:val="24"/>
          <w:lang w:eastAsia="es-ES"/>
        </w:rPr>
      </w:pPr>
    </w:p>
    <w:p w:rsidR="00AD7D5D" w:rsidRDefault="00AD7D5D" w:rsidP="00520710">
      <w:pPr>
        <w:spacing w:line="240" w:lineRule="auto"/>
        <w:jc w:val="both"/>
        <w:rPr>
          <w:rFonts w:ascii="Times New Roman" w:eastAsia="Times New Roman" w:hAnsi="Times New Roman" w:cs="Times New Roman"/>
          <w:b/>
          <w:color w:val="FF0000"/>
          <w:sz w:val="24"/>
          <w:szCs w:val="24"/>
          <w:lang w:eastAsia="es-ES"/>
        </w:rPr>
      </w:pPr>
    </w:p>
    <w:p w:rsidR="001C678E" w:rsidRPr="00511845" w:rsidRDefault="001C678E" w:rsidP="00520710">
      <w:pPr>
        <w:spacing w:line="240" w:lineRule="auto"/>
        <w:jc w:val="both"/>
        <w:rPr>
          <w:rFonts w:ascii="Times New Roman" w:hAnsi="Times New Roman" w:cs="Times New Roman"/>
          <w:b/>
          <w:sz w:val="24"/>
          <w:szCs w:val="24"/>
          <w:shd w:val="clear" w:color="auto" w:fill="FFFFFF"/>
        </w:rPr>
      </w:pPr>
      <w:r w:rsidRPr="00440577">
        <w:rPr>
          <w:rFonts w:ascii="Times New Roman" w:eastAsia="Times New Roman" w:hAnsi="Times New Roman" w:cs="Times New Roman"/>
          <w:b/>
          <w:color w:val="FF0000"/>
          <w:sz w:val="24"/>
          <w:szCs w:val="24"/>
          <w:lang w:eastAsia="es-ES"/>
        </w:rPr>
        <w:lastRenderedPageBreak/>
        <w:t xml:space="preserve">8 - Los dirigentes falsean la realidad (lo malo es despertar) </w:t>
      </w:r>
    </w:p>
    <w:p w:rsidR="005E59C2" w:rsidRDefault="001C678E"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004B6E">
        <w:rPr>
          <w:rFonts w:ascii="Times New Roman" w:hAnsi="Times New Roman" w:cs="Times New Roman"/>
          <w:b/>
          <w:sz w:val="24"/>
          <w:szCs w:val="24"/>
        </w:rPr>
        <w:t>Estamos en una economía de guerra y falta un discurso honesto de los gobiernos europeos explicando lo que está en juego</w:t>
      </w:r>
      <w:r>
        <w:rPr>
          <w:rFonts w:ascii="Times New Roman" w:hAnsi="Times New Roman" w:cs="Times New Roman"/>
          <w:b/>
          <w:sz w:val="24"/>
          <w:szCs w:val="24"/>
        </w:rPr>
        <w:t>.</w:t>
      </w:r>
      <w:r>
        <w:rPr>
          <w:rFonts w:ascii="Times New Roman" w:eastAsia="Times New Roman" w:hAnsi="Times New Roman" w:cs="Times New Roman"/>
          <w:b/>
          <w:sz w:val="24"/>
          <w:szCs w:val="24"/>
          <w:lang w:eastAsia="es-ES"/>
        </w:rPr>
        <w:t>Inexistente espíritu de sacrificio (“sangre, sudor y lágrimas”): habría que recortar</w:t>
      </w:r>
      <w:r w:rsidR="0081504A">
        <w:rPr>
          <w:rFonts w:ascii="Times New Roman" w:eastAsia="Times New Roman" w:hAnsi="Times New Roman" w:cs="Times New Roman"/>
          <w:b/>
          <w:sz w:val="24"/>
          <w:szCs w:val="24"/>
          <w:lang w:eastAsia="es-ES"/>
        </w:rPr>
        <w:t xml:space="preserve"> los</w:t>
      </w:r>
      <w:r>
        <w:rPr>
          <w:rFonts w:ascii="Times New Roman" w:eastAsia="Times New Roman" w:hAnsi="Times New Roman" w:cs="Times New Roman"/>
          <w:b/>
          <w:sz w:val="24"/>
          <w:szCs w:val="24"/>
          <w:lang w:eastAsia="es-ES"/>
        </w:rPr>
        <w:t xml:space="preserve"> consumos de petróleo y gas</w:t>
      </w:r>
    </w:p>
    <w:p w:rsidR="00320A1F" w:rsidRDefault="00320A1F" w:rsidP="00320A1F">
      <w:pPr>
        <w:pStyle w:val="yiv1590713332msonormal"/>
        <w:shd w:val="clear" w:color="auto" w:fill="FFFFFF"/>
        <w:spacing w:before="0" w:beforeAutospacing="0" w:after="200" w:afterAutospacing="0"/>
        <w:jc w:val="both"/>
        <w:rPr>
          <w:color w:val="222222"/>
        </w:rPr>
      </w:pPr>
      <w:r w:rsidRPr="003E788D">
        <w:rPr>
          <w:color w:val="222222"/>
        </w:rPr>
        <w:t>“El castigo por rehusarte a participar en política es ser gobernad</w:t>
      </w:r>
      <w:r>
        <w:rPr>
          <w:color w:val="222222"/>
        </w:rPr>
        <w:t>o por personas inferiores a ti”(</w:t>
      </w:r>
      <w:r w:rsidRPr="003E788D">
        <w:rPr>
          <w:color w:val="222222"/>
        </w:rPr>
        <w:t>Platón</w:t>
      </w:r>
      <w:r>
        <w:rPr>
          <w:color w:val="222222"/>
        </w:rPr>
        <w:t>).</w:t>
      </w:r>
    </w:p>
    <w:p w:rsidR="005E59C2" w:rsidRPr="00AD7D5D" w:rsidRDefault="005E59C2" w:rsidP="005E59C2">
      <w:pPr>
        <w:pStyle w:val="NormalWeb"/>
        <w:spacing w:after="360"/>
        <w:jc w:val="both"/>
        <w:rPr>
          <w:rFonts w:ascii="Sans" w:hAnsi="Sans"/>
          <w:shd w:val="clear" w:color="auto" w:fill="FFFFFF"/>
        </w:rPr>
      </w:pPr>
      <w:r w:rsidRPr="00AD7D5D">
        <w:rPr>
          <w:rFonts w:ascii="Sans" w:hAnsi="Sans"/>
          <w:shd w:val="clear" w:color="auto" w:fill="FFFFFF"/>
        </w:rPr>
        <w:t>Escribo estos párrafos decepcionado de la política, la economía, y los hombres y mujeres de la UE que manejaban los hilos de ambas. Tal vez porque sé que ellos lo saben y no les afecta.</w:t>
      </w:r>
    </w:p>
    <w:p w:rsidR="005E59C2" w:rsidRPr="00AD7D5D" w:rsidRDefault="005E59C2" w:rsidP="005E59C2">
      <w:pPr>
        <w:pStyle w:val="NormalWeb"/>
        <w:spacing w:after="360"/>
        <w:jc w:val="both"/>
        <w:rPr>
          <w:rFonts w:ascii="Sans" w:hAnsi="Sans"/>
          <w:shd w:val="clear" w:color="auto" w:fill="FFFFFF"/>
        </w:rPr>
      </w:pPr>
      <w:r w:rsidRPr="00AD7D5D">
        <w:rPr>
          <w:rFonts w:ascii="Sans" w:hAnsi="Sans"/>
          <w:shd w:val="clear" w:color="auto" w:fill="FFFFFF"/>
        </w:rPr>
        <w:t xml:space="preserve">(Los europeos) Nos pasamos la vida creyendo que nuestros esfuerzos, nuestro trabajo, lo que conseguimos a cambio de todo eso, son definitivos, </w:t>
      </w:r>
      <w:r w:rsidR="00C2689D">
        <w:rPr>
          <w:rFonts w:ascii="Sans" w:hAnsi="Sans"/>
          <w:shd w:val="clear" w:color="auto" w:fill="FFFFFF"/>
        </w:rPr>
        <w:t xml:space="preserve">y </w:t>
      </w:r>
      <w:r w:rsidRPr="00AD7D5D">
        <w:rPr>
          <w:rFonts w:ascii="Sans" w:hAnsi="Sans"/>
          <w:shd w:val="clear" w:color="auto" w:fill="FFFFFF"/>
        </w:rPr>
        <w:t>estables.</w:t>
      </w:r>
    </w:p>
    <w:p w:rsidR="005E59C2" w:rsidRPr="00AD7D5D" w:rsidRDefault="005E59C2" w:rsidP="005E59C2">
      <w:pPr>
        <w:pStyle w:val="NormalWeb"/>
        <w:spacing w:after="360"/>
        <w:jc w:val="both"/>
        <w:rPr>
          <w:rFonts w:ascii="Sans" w:hAnsi="Sans"/>
          <w:shd w:val="clear" w:color="auto" w:fill="FFFFFF"/>
        </w:rPr>
      </w:pPr>
      <w:r w:rsidRPr="00AD7D5D">
        <w:rPr>
          <w:rFonts w:ascii="Sans" w:hAnsi="Sans"/>
          <w:shd w:val="clear" w:color="auto" w:fill="FFFFFF"/>
        </w:rPr>
        <w:t xml:space="preserve">Creemos que van a durar; que nosotros vamos a durar. Y un día el cielo nos cae sobre la cabeza. Nada es tan frágil como lo que tienes (o creías tener). </w:t>
      </w:r>
    </w:p>
    <w:p w:rsidR="005E59C2" w:rsidRPr="00AD7D5D" w:rsidRDefault="00C2689D" w:rsidP="005E59C2">
      <w:pPr>
        <w:pStyle w:val="NormalWeb"/>
        <w:spacing w:after="360"/>
        <w:jc w:val="both"/>
        <w:rPr>
          <w:rFonts w:ascii="Sans" w:hAnsi="Sans"/>
          <w:shd w:val="clear" w:color="auto" w:fill="FFFFFF"/>
        </w:rPr>
      </w:pPr>
      <w:r>
        <w:rPr>
          <w:rFonts w:ascii="Sans" w:hAnsi="Sans"/>
          <w:shd w:val="clear" w:color="auto" w:fill="FFFFFF"/>
        </w:rPr>
        <w:t>No</w:t>
      </w:r>
      <w:r w:rsidR="005E59C2" w:rsidRPr="00AD7D5D">
        <w:rPr>
          <w:rFonts w:ascii="Sans" w:hAnsi="Sans"/>
          <w:shd w:val="clear" w:color="auto" w:fill="FFFFFF"/>
        </w:rPr>
        <w:t xml:space="preserve"> hay siglos de historia que resistan tanta estupidez, o tantos bárbaros, apalancados entre sus ruinas.</w:t>
      </w:r>
    </w:p>
    <w:p w:rsidR="005E59C2" w:rsidRPr="00AD7D5D" w:rsidRDefault="005E59C2" w:rsidP="005E59C2">
      <w:pPr>
        <w:autoSpaceDE w:val="0"/>
        <w:autoSpaceDN w:val="0"/>
        <w:adjustRightInd w:val="0"/>
        <w:spacing w:after="0" w:line="240" w:lineRule="auto"/>
        <w:jc w:val="both"/>
        <w:rPr>
          <w:rFonts w:ascii="Times New Roman" w:hAnsi="Times New Roman" w:cs="Times New Roman"/>
          <w:sz w:val="24"/>
          <w:szCs w:val="24"/>
        </w:rPr>
      </w:pPr>
      <w:r w:rsidRPr="00AD7D5D">
        <w:rPr>
          <w:rFonts w:ascii="Times New Roman" w:hAnsi="Times New Roman" w:cs="Times New Roman"/>
          <w:sz w:val="24"/>
          <w:szCs w:val="24"/>
        </w:rPr>
        <w:t xml:space="preserve">Cuando el análisis lo realizan burócratas de corbata, </w:t>
      </w:r>
      <w:r w:rsidR="00C2689D">
        <w:rPr>
          <w:rFonts w:ascii="Times New Roman" w:hAnsi="Times New Roman" w:cs="Times New Roman"/>
          <w:sz w:val="24"/>
          <w:szCs w:val="24"/>
        </w:rPr>
        <w:t xml:space="preserve">en sus burbujas de cristal, o </w:t>
      </w:r>
      <w:r w:rsidRPr="00AD7D5D">
        <w:rPr>
          <w:rFonts w:ascii="Times New Roman" w:hAnsi="Times New Roman" w:cs="Times New Roman"/>
          <w:sz w:val="24"/>
          <w:szCs w:val="24"/>
        </w:rPr>
        <w:t>los expertos que salen explicando factores geoestratégicos con gran</w:t>
      </w:r>
      <w:r w:rsidR="00C2689D">
        <w:rPr>
          <w:rFonts w:ascii="Times New Roman" w:hAnsi="Times New Roman" w:cs="Times New Roman"/>
          <w:sz w:val="24"/>
          <w:szCs w:val="24"/>
        </w:rPr>
        <w:t>des mapas coloreados como fondo,</w:t>
      </w:r>
      <w:r w:rsidRPr="00AD7D5D">
        <w:rPr>
          <w:rFonts w:ascii="Times New Roman" w:hAnsi="Times New Roman" w:cs="Times New Roman"/>
          <w:sz w:val="24"/>
          <w:szCs w:val="24"/>
        </w:rPr>
        <w:t xml:space="preserve"> o los ministros que asoman la sonrisa en el informativo de las tres, muy atareados en Bruselas, hablando siempre en plural: nosotros hemos, nosotros vamos a, nosotros no podemos tolerar. </w:t>
      </w:r>
    </w:p>
    <w:p w:rsidR="005E59C2" w:rsidRPr="00AD7D5D" w:rsidRDefault="005E59C2" w:rsidP="005E59C2">
      <w:pPr>
        <w:autoSpaceDE w:val="0"/>
        <w:autoSpaceDN w:val="0"/>
        <w:adjustRightInd w:val="0"/>
        <w:spacing w:after="0" w:line="240" w:lineRule="auto"/>
        <w:jc w:val="both"/>
        <w:rPr>
          <w:rFonts w:ascii="Times New Roman" w:hAnsi="Times New Roman" w:cs="Times New Roman"/>
          <w:sz w:val="24"/>
          <w:szCs w:val="24"/>
        </w:rPr>
      </w:pPr>
    </w:p>
    <w:p w:rsidR="005E59C2" w:rsidRPr="00AD7D5D" w:rsidRDefault="005E59C2" w:rsidP="005E59C2">
      <w:pPr>
        <w:autoSpaceDE w:val="0"/>
        <w:autoSpaceDN w:val="0"/>
        <w:adjustRightInd w:val="0"/>
        <w:spacing w:after="0" w:line="240" w:lineRule="auto"/>
        <w:jc w:val="both"/>
        <w:rPr>
          <w:rFonts w:ascii="Times New Roman" w:hAnsi="Times New Roman" w:cs="Times New Roman"/>
          <w:sz w:val="24"/>
          <w:szCs w:val="24"/>
        </w:rPr>
      </w:pPr>
      <w:r w:rsidRPr="00AD7D5D">
        <w:rPr>
          <w:rFonts w:ascii="Times New Roman" w:hAnsi="Times New Roman" w:cs="Times New Roman"/>
          <w:sz w:val="24"/>
          <w:szCs w:val="24"/>
        </w:rPr>
        <w:t>Unos cabrones con “pinta”, fumándose un puro en un despacho climatizado, muy lejos, q</w:t>
      </w:r>
      <w:r w:rsidR="00C2689D">
        <w:rPr>
          <w:rFonts w:ascii="Times New Roman" w:hAnsi="Times New Roman" w:cs="Times New Roman"/>
          <w:sz w:val="24"/>
          <w:szCs w:val="24"/>
        </w:rPr>
        <w:t xml:space="preserve">ue diseña modelos, </w:t>
      </w:r>
      <w:r w:rsidRPr="00AD7D5D">
        <w:rPr>
          <w:rFonts w:ascii="Times New Roman" w:hAnsi="Times New Roman" w:cs="Times New Roman"/>
          <w:sz w:val="24"/>
          <w:szCs w:val="24"/>
        </w:rPr>
        <w:t>mantras</w:t>
      </w:r>
      <w:r w:rsidR="00C2689D">
        <w:rPr>
          <w:rFonts w:ascii="Times New Roman" w:hAnsi="Times New Roman" w:cs="Times New Roman"/>
          <w:sz w:val="24"/>
          <w:szCs w:val="24"/>
        </w:rPr>
        <w:t xml:space="preserve"> o paradigmas,</w:t>
      </w:r>
      <w:r w:rsidRPr="00AD7D5D">
        <w:rPr>
          <w:rFonts w:ascii="Times New Roman" w:hAnsi="Times New Roman" w:cs="Times New Roman"/>
          <w:sz w:val="24"/>
          <w:szCs w:val="24"/>
        </w:rPr>
        <w:t xml:space="preserve"> mientras se forra con la miseria y el dolor de los demás. Han logrado que la UE sea un negocio de tenderos y burócratas. Y lo demás es filfa.</w:t>
      </w:r>
    </w:p>
    <w:p w:rsidR="005E59C2" w:rsidRPr="00AD7D5D" w:rsidRDefault="005E59C2" w:rsidP="005E59C2">
      <w:pPr>
        <w:autoSpaceDE w:val="0"/>
        <w:autoSpaceDN w:val="0"/>
        <w:adjustRightInd w:val="0"/>
        <w:spacing w:after="0" w:line="240" w:lineRule="auto"/>
        <w:jc w:val="both"/>
        <w:rPr>
          <w:rFonts w:ascii="Times New Roman" w:hAnsi="Times New Roman" w:cs="Times New Roman"/>
          <w:sz w:val="24"/>
          <w:szCs w:val="24"/>
        </w:rPr>
      </w:pPr>
    </w:p>
    <w:p w:rsidR="005E59C2" w:rsidRPr="00AD7D5D" w:rsidRDefault="005E59C2" w:rsidP="005E59C2">
      <w:pPr>
        <w:autoSpaceDE w:val="0"/>
        <w:autoSpaceDN w:val="0"/>
        <w:adjustRightInd w:val="0"/>
        <w:spacing w:after="0" w:line="240" w:lineRule="auto"/>
        <w:jc w:val="both"/>
        <w:rPr>
          <w:rFonts w:ascii="Times New Roman" w:hAnsi="Times New Roman" w:cs="Times New Roman"/>
          <w:sz w:val="24"/>
          <w:szCs w:val="24"/>
        </w:rPr>
      </w:pPr>
      <w:r w:rsidRPr="00AD7D5D">
        <w:rPr>
          <w:rFonts w:ascii="Times New Roman" w:hAnsi="Times New Roman" w:cs="Times New Roman"/>
          <w:sz w:val="24"/>
          <w:szCs w:val="24"/>
        </w:rPr>
        <w:t xml:space="preserve">Para este humilde corresponsal económico, el mundo se reduce a planteamientos más simples: aquí una empresa, aquí un parado, aquí un hijo de la gran puta. </w:t>
      </w:r>
    </w:p>
    <w:p w:rsidR="005E59C2" w:rsidRPr="00AD7D5D" w:rsidRDefault="005E59C2" w:rsidP="005E59C2">
      <w:pPr>
        <w:autoSpaceDE w:val="0"/>
        <w:autoSpaceDN w:val="0"/>
        <w:adjustRightInd w:val="0"/>
        <w:spacing w:after="0" w:line="240" w:lineRule="auto"/>
        <w:jc w:val="both"/>
        <w:rPr>
          <w:rFonts w:ascii="Times New Roman" w:hAnsi="Times New Roman" w:cs="Times New Roman"/>
          <w:sz w:val="24"/>
          <w:szCs w:val="24"/>
        </w:rPr>
      </w:pPr>
    </w:p>
    <w:p w:rsidR="005E59C2" w:rsidRDefault="00320A1F" w:rsidP="001C678E">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Luis Garicano Gabilondo, es</w:t>
      </w:r>
      <w:r w:rsidR="005E59C2" w:rsidRPr="005E59C2">
        <w:rPr>
          <w:rFonts w:ascii="Times New Roman" w:eastAsia="Times New Roman" w:hAnsi="Times New Roman" w:cs="Times New Roman"/>
          <w:sz w:val="24"/>
          <w:szCs w:val="24"/>
          <w:lang w:eastAsia="es-ES"/>
        </w:rPr>
        <w:t xml:space="preserve"> economista y miembro del Parla</w:t>
      </w:r>
      <w:r>
        <w:rPr>
          <w:rFonts w:ascii="Times New Roman" w:eastAsia="Times New Roman" w:hAnsi="Times New Roman" w:cs="Times New Roman"/>
          <w:sz w:val="24"/>
          <w:szCs w:val="24"/>
          <w:lang w:eastAsia="es-ES"/>
        </w:rPr>
        <w:t>mento Europeo por España. Lidera</w:t>
      </w:r>
      <w:r w:rsidR="005E59C2" w:rsidRPr="005E59C2">
        <w:rPr>
          <w:rFonts w:ascii="Times New Roman" w:eastAsia="Times New Roman" w:hAnsi="Times New Roman" w:cs="Times New Roman"/>
          <w:sz w:val="24"/>
          <w:szCs w:val="24"/>
          <w:lang w:eastAsia="es-ES"/>
        </w:rPr>
        <w:t xml:space="preserve"> la Delegación de Ciudadanos en el</w:t>
      </w:r>
      <w:r>
        <w:rPr>
          <w:rFonts w:ascii="Times New Roman" w:eastAsia="Times New Roman" w:hAnsi="Times New Roman" w:cs="Times New Roman"/>
          <w:sz w:val="24"/>
          <w:szCs w:val="24"/>
          <w:lang w:eastAsia="es-ES"/>
        </w:rPr>
        <w:t xml:space="preserve"> Parlamento Europeo. También es</w:t>
      </w:r>
      <w:r w:rsidR="005E59C2" w:rsidRPr="005E59C2">
        <w:rPr>
          <w:rFonts w:ascii="Times New Roman" w:eastAsia="Times New Roman" w:hAnsi="Times New Roman" w:cs="Times New Roman"/>
          <w:sz w:val="24"/>
          <w:szCs w:val="24"/>
          <w:lang w:eastAsia="es-ES"/>
        </w:rPr>
        <w:t xml:space="preserve"> vicepresidente del Grupo Renew Europe y vicepresiden</w:t>
      </w:r>
      <w:r>
        <w:rPr>
          <w:rFonts w:ascii="Times New Roman" w:eastAsia="Times New Roman" w:hAnsi="Times New Roman" w:cs="Times New Roman"/>
          <w:sz w:val="24"/>
          <w:szCs w:val="24"/>
          <w:lang w:eastAsia="es-ES"/>
        </w:rPr>
        <w:t>te del partido liberal europeo “</w:t>
      </w:r>
      <w:r w:rsidR="005E59C2" w:rsidRPr="005E59C2">
        <w:rPr>
          <w:rFonts w:ascii="Times New Roman" w:eastAsia="Times New Roman" w:hAnsi="Times New Roman" w:cs="Times New Roman"/>
          <w:sz w:val="24"/>
          <w:szCs w:val="24"/>
          <w:lang w:eastAsia="es-ES"/>
        </w:rPr>
        <w:t>Alianza de los Liberales y Demócratas por Europa</w:t>
      </w:r>
      <w:r>
        <w:rPr>
          <w:rFonts w:ascii="Times New Roman" w:eastAsia="Times New Roman" w:hAnsi="Times New Roman" w:cs="Times New Roman"/>
          <w:sz w:val="24"/>
          <w:szCs w:val="24"/>
          <w:lang w:eastAsia="es-ES"/>
        </w:rPr>
        <w:t>” (ALDE). Actualmente está</w:t>
      </w:r>
      <w:r w:rsidR="005E59C2" w:rsidRPr="005E59C2">
        <w:rPr>
          <w:rFonts w:ascii="Times New Roman" w:eastAsia="Times New Roman" w:hAnsi="Times New Roman" w:cs="Times New Roman"/>
          <w:sz w:val="24"/>
          <w:szCs w:val="24"/>
          <w:lang w:eastAsia="es-ES"/>
        </w:rPr>
        <w:t xml:space="preserve"> en excedencia del IE Business Sc</w:t>
      </w:r>
      <w:r>
        <w:rPr>
          <w:rFonts w:ascii="Times New Roman" w:eastAsia="Times New Roman" w:hAnsi="Times New Roman" w:cs="Times New Roman"/>
          <w:sz w:val="24"/>
          <w:szCs w:val="24"/>
          <w:lang w:eastAsia="es-ES"/>
        </w:rPr>
        <w:t>hool. Previamente, fue</w:t>
      </w:r>
      <w:r w:rsidR="005E59C2" w:rsidRPr="005E59C2">
        <w:rPr>
          <w:rFonts w:ascii="Times New Roman" w:eastAsia="Times New Roman" w:hAnsi="Times New Roman" w:cs="Times New Roman"/>
          <w:sz w:val="24"/>
          <w:szCs w:val="24"/>
          <w:lang w:eastAsia="es-ES"/>
        </w:rPr>
        <w:t xml:space="preserve"> catedrático de economía y estrategia en Chicago Booth Business School y en la London School of Economics.</w:t>
      </w:r>
    </w:p>
    <w:p w:rsidR="00320A1F" w:rsidRPr="005E59C2" w:rsidRDefault="00320A1F" w:rsidP="001C678E">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Creo que sus antecedentes ju</w:t>
      </w:r>
      <w:r w:rsidR="00C2689D">
        <w:rPr>
          <w:rFonts w:ascii="Times New Roman" w:eastAsia="Times New Roman" w:hAnsi="Times New Roman" w:cs="Times New Roman"/>
          <w:sz w:val="24"/>
          <w:szCs w:val="24"/>
          <w:lang w:eastAsia="es-ES"/>
        </w:rPr>
        <w:t>stifican la lectura parcial</w:t>
      </w:r>
      <w:r>
        <w:rPr>
          <w:rFonts w:ascii="Times New Roman" w:eastAsia="Times New Roman" w:hAnsi="Times New Roman" w:cs="Times New Roman"/>
          <w:sz w:val="24"/>
          <w:szCs w:val="24"/>
          <w:lang w:eastAsia="es-ES"/>
        </w:rPr>
        <w:t xml:space="preserve"> del artículo periodístico, en el que critica la falta de convocatoria a la ciudadanía europea a una economía de guerra vital. </w:t>
      </w:r>
    </w:p>
    <w:p w:rsidR="00320A1F" w:rsidRDefault="00F73809" w:rsidP="00320A1F">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hAnsi="Times New Roman" w:cs="Times New Roman"/>
          <w:sz w:val="24"/>
          <w:szCs w:val="24"/>
        </w:rPr>
        <w:t xml:space="preserve">- </w:t>
      </w:r>
      <w:r>
        <w:rPr>
          <w:rFonts w:ascii="Times New Roman" w:hAnsi="Times New Roman" w:cs="Times New Roman"/>
          <w:sz w:val="24"/>
          <w:szCs w:val="24"/>
          <w:u w:val="single"/>
        </w:rPr>
        <w:t>Luis Garicano: “</w:t>
      </w:r>
      <w:r w:rsidRPr="004A794D">
        <w:rPr>
          <w:rFonts w:ascii="Times New Roman" w:hAnsi="Times New Roman" w:cs="Times New Roman"/>
          <w:sz w:val="24"/>
          <w:szCs w:val="24"/>
          <w:u w:val="single"/>
        </w:rPr>
        <w:t>Estamos en una economía de guerra y falta un discurso honesto de los gobiernos europeos explicando lo que está en juego</w:t>
      </w:r>
      <w:r>
        <w:rPr>
          <w:rFonts w:ascii="Times New Roman" w:hAnsi="Times New Roman" w:cs="Times New Roman"/>
          <w:sz w:val="24"/>
          <w:szCs w:val="24"/>
        </w:rPr>
        <w:t xml:space="preserve">” (Cinco Días - </w:t>
      </w:r>
      <w:r w:rsidRPr="004A794D">
        <w:rPr>
          <w:rFonts w:ascii="Times New Roman" w:hAnsi="Times New Roman" w:cs="Times New Roman"/>
          <w:b/>
          <w:sz w:val="24"/>
          <w:szCs w:val="24"/>
        </w:rPr>
        <w:t>9/5/22</w:t>
      </w:r>
      <w:r>
        <w:rPr>
          <w:rFonts w:ascii="Times New Roman" w:hAnsi="Times New Roman" w:cs="Times New Roman"/>
          <w:sz w:val="24"/>
          <w:szCs w:val="24"/>
        </w:rPr>
        <w:t>)</w:t>
      </w:r>
    </w:p>
    <w:p w:rsidR="00F73809" w:rsidRPr="00320A1F" w:rsidRDefault="00F73809" w:rsidP="00320A1F">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hAnsi="Times New Roman" w:cs="Times New Roman"/>
          <w:sz w:val="24"/>
          <w:szCs w:val="24"/>
        </w:rPr>
        <w:t xml:space="preserve">(Por </w:t>
      </w:r>
      <w:r w:rsidRPr="002C3DDA">
        <w:rPr>
          <w:rFonts w:ascii="Times New Roman" w:hAnsi="Times New Roman" w:cs="Times New Roman"/>
          <w:sz w:val="24"/>
          <w:szCs w:val="24"/>
        </w:rPr>
        <w:t>Jesús García</w:t>
      </w:r>
      <w:r>
        <w:rPr>
          <w:rFonts w:ascii="Times New Roman" w:hAnsi="Times New Roman" w:cs="Times New Roman"/>
          <w:sz w:val="24"/>
          <w:szCs w:val="24"/>
        </w:rPr>
        <w:t>)</w:t>
      </w:r>
    </w:p>
    <w:p w:rsidR="00F73809" w:rsidRPr="002C3DDA" w:rsidRDefault="00F73809" w:rsidP="00F73809">
      <w:pPr>
        <w:spacing w:line="240" w:lineRule="auto"/>
        <w:jc w:val="both"/>
        <w:rPr>
          <w:rFonts w:ascii="Times New Roman" w:hAnsi="Times New Roman" w:cs="Times New Roman"/>
          <w:sz w:val="24"/>
          <w:szCs w:val="24"/>
        </w:rPr>
      </w:pPr>
      <w:r w:rsidRPr="009B5F7B">
        <w:rPr>
          <w:rFonts w:ascii="Times New Roman" w:hAnsi="Times New Roman" w:cs="Times New Roman"/>
          <w:sz w:val="24"/>
          <w:szCs w:val="24"/>
          <w:u w:val="single"/>
        </w:rPr>
        <w:t xml:space="preserve">Perfecto conocedor de la guerra de Ucrania, ha visitado recientemente Kiev, ofrece una visión ciertamente dramática de los problemas tanto sociales como económicos que puede tener para Europa este conflicto y en particular para España. Reconoce que Europa está ya en una economía de guerra. Este economista, ahora en el Parlamento Europeo representando a </w:t>
      </w:r>
      <w:r w:rsidRPr="009B5F7B">
        <w:rPr>
          <w:rFonts w:ascii="Times New Roman" w:hAnsi="Times New Roman" w:cs="Times New Roman"/>
          <w:sz w:val="24"/>
          <w:szCs w:val="24"/>
          <w:u w:val="single"/>
        </w:rPr>
        <w:lastRenderedPageBreak/>
        <w:t>Ciudadanos, se ha reunido con el equipo económico del presidente Zelenski y pese a que considera que la ofensiva rusa ha fracasado, el principal riesgo reside en que las hostilidades pasen a una fase de estancamiento “a la siria” por mucho tiempo, lo que generaría una frontera caliente en Europa, con el consiguiente coste en vidas humanas. Está poniendo todo su empeño en recortar la dependencia energética del Viejo Continente de Rusia, pero los países por el momento no están priorizando la guerra dentro de sus actuaciones</w:t>
      </w:r>
      <w:r w:rsidRPr="002C3DDA">
        <w:rPr>
          <w:rFonts w:ascii="Times New Roman" w:hAnsi="Times New Roman" w:cs="Times New Roman"/>
          <w:sz w:val="24"/>
          <w:szCs w:val="24"/>
        </w:rPr>
        <w:t>. En cuanto a la economía española ve que camina directamente hacia la estanflación y todo ello sin haber realizado las reformas estructurales que serían necesarias para superar el momento actual, ahora que el periodo de tip</w:t>
      </w:r>
      <w:r>
        <w:rPr>
          <w:rFonts w:ascii="Times New Roman" w:hAnsi="Times New Roman" w:cs="Times New Roman"/>
          <w:sz w:val="24"/>
          <w:szCs w:val="24"/>
        </w:rPr>
        <w:t>os bajos está llamado a su fin.</w:t>
      </w:r>
    </w:p>
    <w:p w:rsidR="00F73809" w:rsidRPr="009B5F7B" w:rsidRDefault="00F73809" w:rsidP="00F73809">
      <w:pPr>
        <w:spacing w:line="240" w:lineRule="auto"/>
        <w:jc w:val="both"/>
        <w:rPr>
          <w:rFonts w:ascii="Times New Roman" w:hAnsi="Times New Roman" w:cs="Times New Roman"/>
          <w:sz w:val="24"/>
          <w:szCs w:val="24"/>
          <w:u w:val="single"/>
        </w:rPr>
      </w:pPr>
      <w:r w:rsidRPr="009B5F7B">
        <w:rPr>
          <w:rFonts w:ascii="Times New Roman" w:hAnsi="Times New Roman" w:cs="Times New Roman"/>
          <w:sz w:val="24"/>
          <w:szCs w:val="24"/>
          <w:u w:val="single"/>
        </w:rPr>
        <w:t>Después de dos meses de guerra en Ucrania, las medidas adoptadas contra Rusia ¿están teniendo los efectos deseados?</w:t>
      </w:r>
    </w:p>
    <w:p w:rsidR="00F73809" w:rsidRPr="009B5F7B" w:rsidRDefault="00F73809" w:rsidP="00F73809">
      <w:pPr>
        <w:spacing w:line="240" w:lineRule="auto"/>
        <w:jc w:val="both"/>
        <w:rPr>
          <w:rFonts w:ascii="Times New Roman" w:hAnsi="Times New Roman" w:cs="Times New Roman"/>
          <w:sz w:val="24"/>
          <w:szCs w:val="24"/>
          <w:u w:val="single"/>
        </w:rPr>
      </w:pPr>
      <w:r w:rsidRPr="009B5F7B">
        <w:rPr>
          <w:rFonts w:ascii="Times New Roman" w:hAnsi="Times New Roman" w:cs="Times New Roman"/>
          <w:sz w:val="24"/>
          <w:szCs w:val="24"/>
          <w:u w:val="single"/>
        </w:rPr>
        <w:t>La realidad es que las sanciones adoptadas sobre la tecnología rusa si van a tener efectos, pero a medio plazo. Sin embargo, lo que pensábamos que íbamos a conseguir con las acciones para romper financieramente la economía rusa en el corto plazo, no han funcionado.</w:t>
      </w:r>
    </w:p>
    <w:p w:rsidR="00F73809" w:rsidRPr="002C3DDA" w:rsidRDefault="00F73809" w:rsidP="00F73809">
      <w:pPr>
        <w:spacing w:line="240" w:lineRule="auto"/>
        <w:jc w:val="both"/>
        <w:rPr>
          <w:rFonts w:ascii="Times New Roman" w:hAnsi="Times New Roman" w:cs="Times New Roman"/>
          <w:sz w:val="24"/>
          <w:szCs w:val="24"/>
        </w:rPr>
      </w:pPr>
      <w:r w:rsidRPr="002C3DDA">
        <w:rPr>
          <w:rFonts w:ascii="Times New Roman" w:hAnsi="Times New Roman" w:cs="Times New Roman"/>
          <w:sz w:val="24"/>
          <w:szCs w:val="24"/>
        </w:rPr>
        <w:t>¿Por qu</w:t>
      </w:r>
      <w:r>
        <w:rPr>
          <w:rFonts w:ascii="Times New Roman" w:hAnsi="Times New Roman" w:cs="Times New Roman"/>
          <w:sz w:val="24"/>
          <w:szCs w:val="24"/>
        </w:rPr>
        <w:t>é están fracasando las medidas?</w:t>
      </w:r>
    </w:p>
    <w:p w:rsidR="00F73809" w:rsidRPr="009B5F7B" w:rsidRDefault="00F73809" w:rsidP="00F73809">
      <w:pPr>
        <w:spacing w:line="240" w:lineRule="auto"/>
        <w:jc w:val="both"/>
        <w:rPr>
          <w:rFonts w:ascii="Times New Roman" w:hAnsi="Times New Roman" w:cs="Times New Roman"/>
          <w:sz w:val="24"/>
          <w:szCs w:val="24"/>
          <w:u w:val="single"/>
        </w:rPr>
      </w:pPr>
      <w:r w:rsidRPr="009B5F7B">
        <w:rPr>
          <w:rFonts w:ascii="Times New Roman" w:hAnsi="Times New Roman" w:cs="Times New Roman"/>
          <w:sz w:val="24"/>
          <w:szCs w:val="24"/>
          <w:u w:val="single"/>
        </w:rPr>
        <w:t>Las sanciones que pusimos al banco central ruso y a sus reservas están siendo contrarrestadas por las enormes ganancias económicas derivadas de las exportaciones energéticas rusas, que son prácticamente el doble de lo que ganaba el año pasado. La subida de precios ha sido tan enorme que han compensado las caídas de volumen de las exportaciones de petróleo y gas. Rusia está percibiendo diariamente 1.000 millones de euros por sus ventas energéticas. La UE ha dado 12.000 millones de euros de ayuda a Ucrania y llevamos unos 54.000 millones pagados a Putin, cuatro veces más.</w:t>
      </w:r>
    </w:p>
    <w:p w:rsidR="00F73809" w:rsidRPr="002C3DDA" w:rsidRDefault="00F73809" w:rsidP="00F73809">
      <w:pPr>
        <w:spacing w:line="240" w:lineRule="auto"/>
        <w:jc w:val="both"/>
        <w:rPr>
          <w:rFonts w:ascii="Times New Roman" w:hAnsi="Times New Roman" w:cs="Times New Roman"/>
          <w:sz w:val="24"/>
          <w:szCs w:val="24"/>
        </w:rPr>
      </w:pPr>
      <w:r w:rsidRPr="002C3DDA">
        <w:rPr>
          <w:rFonts w:ascii="Times New Roman" w:hAnsi="Times New Roman" w:cs="Times New Roman"/>
          <w:sz w:val="24"/>
          <w:szCs w:val="24"/>
        </w:rPr>
        <w:t>¿E</w:t>
      </w:r>
      <w:r>
        <w:rPr>
          <w:rFonts w:ascii="Times New Roman" w:hAnsi="Times New Roman" w:cs="Times New Roman"/>
          <w:sz w:val="24"/>
          <w:szCs w:val="24"/>
        </w:rPr>
        <w:t>ntonces qué más se puede hacer?</w:t>
      </w:r>
    </w:p>
    <w:p w:rsidR="00F73809" w:rsidRPr="009B5F7B" w:rsidRDefault="00F73809" w:rsidP="00F73809">
      <w:pPr>
        <w:spacing w:line="240" w:lineRule="auto"/>
        <w:jc w:val="both"/>
        <w:rPr>
          <w:rFonts w:ascii="Times New Roman" w:hAnsi="Times New Roman" w:cs="Times New Roman"/>
          <w:color w:val="FF0000"/>
          <w:sz w:val="24"/>
          <w:szCs w:val="24"/>
          <w:u w:val="single"/>
        </w:rPr>
      </w:pPr>
      <w:r w:rsidRPr="009B5F7B">
        <w:rPr>
          <w:rFonts w:ascii="Times New Roman" w:hAnsi="Times New Roman" w:cs="Times New Roman"/>
          <w:color w:val="FF0000"/>
          <w:sz w:val="24"/>
          <w:szCs w:val="24"/>
          <w:u w:val="single"/>
        </w:rPr>
        <w:t>Se ha hablado de prohibir completamente las exportaciones de petróleo y gas, pero en este tema los países europeos no están plenamente decididos.</w:t>
      </w:r>
    </w:p>
    <w:p w:rsidR="00F73809" w:rsidRPr="009B5F7B" w:rsidRDefault="00F73809" w:rsidP="00F73809">
      <w:pPr>
        <w:spacing w:line="240" w:lineRule="auto"/>
        <w:jc w:val="both"/>
        <w:rPr>
          <w:rFonts w:ascii="Times New Roman" w:hAnsi="Times New Roman" w:cs="Times New Roman"/>
          <w:sz w:val="24"/>
          <w:szCs w:val="24"/>
          <w:u w:val="single"/>
        </w:rPr>
      </w:pPr>
      <w:r w:rsidRPr="009B5F7B">
        <w:rPr>
          <w:rFonts w:ascii="Times New Roman" w:hAnsi="Times New Roman" w:cs="Times New Roman"/>
          <w:sz w:val="24"/>
          <w:szCs w:val="24"/>
          <w:u w:val="single"/>
        </w:rPr>
        <w:t xml:space="preserve">Recientemente usted ha lanzado una propuesta para aplicar un arancel a las importaciones procedentes de Rusia. ¿De </w:t>
      </w:r>
      <w:r w:rsidR="004A36AB" w:rsidRPr="009B5F7B">
        <w:rPr>
          <w:rFonts w:ascii="Times New Roman" w:hAnsi="Times New Roman" w:cs="Times New Roman"/>
          <w:sz w:val="24"/>
          <w:szCs w:val="24"/>
          <w:u w:val="single"/>
        </w:rPr>
        <w:t>qué</w:t>
      </w:r>
      <w:r w:rsidRPr="009B5F7B">
        <w:rPr>
          <w:rFonts w:ascii="Times New Roman" w:hAnsi="Times New Roman" w:cs="Times New Roman"/>
          <w:sz w:val="24"/>
          <w:szCs w:val="24"/>
          <w:u w:val="single"/>
        </w:rPr>
        <w:t xml:space="preserve"> manera funcionaría esta medida?</w:t>
      </w:r>
    </w:p>
    <w:p w:rsidR="00F73809" w:rsidRPr="009B5F7B" w:rsidRDefault="00F73809" w:rsidP="00F73809">
      <w:pPr>
        <w:spacing w:line="240" w:lineRule="auto"/>
        <w:jc w:val="both"/>
        <w:rPr>
          <w:rFonts w:ascii="Times New Roman" w:hAnsi="Times New Roman" w:cs="Times New Roman"/>
          <w:sz w:val="24"/>
          <w:szCs w:val="24"/>
          <w:u w:val="single"/>
        </w:rPr>
      </w:pPr>
      <w:r w:rsidRPr="009B5F7B">
        <w:rPr>
          <w:rFonts w:ascii="Times New Roman" w:hAnsi="Times New Roman" w:cs="Times New Roman"/>
          <w:sz w:val="24"/>
          <w:szCs w:val="24"/>
          <w:u w:val="single"/>
        </w:rPr>
        <w:t>Mientras que la prohibición completa se pone en marcha y se llega a un acuerdo entre los países europeos, la puesta en marcha de un arancel tiene la ventaja que aquellos países que realmente no pueden vivir sin el petróleo y el gas ruso, lo pueden seguir comprando mientras se va incentivando la sustitución. La ventaja del arancel es que nos permite transferir parte de las ganancias que está obteniendo Putin por los altos precios de la energía a los consumidores, recuperar parte de esas ganancias extraordinarias y dárselas a los consumidores europeos.</w:t>
      </w:r>
    </w:p>
    <w:p w:rsidR="00F73809" w:rsidRPr="009B5F7B" w:rsidRDefault="00F73809" w:rsidP="00F73809">
      <w:pPr>
        <w:spacing w:line="240" w:lineRule="auto"/>
        <w:jc w:val="both"/>
        <w:rPr>
          <w:rFonts w:ascii="Times New Roman" w:hAnsi="Times New Roman" w:cs="Times New Roman"/>
          <w:sz w:val="24"/>
          <w:szCs w:val="24"/>
          <w:u w:val="single"/>
        </w:rPr>
      </w:pPr>
      <w:r w:rsidRPr="009B5F7B">
        <w:rPr>
          <w:rFonts w:ascii="Times New Roman" w:hAnsi="Times New Roman" w:cs="Times New Roman"/>
          <w:sz w:val="24"/>
          <w:szCs w:val="24"/>
          <w:u w:val="single"/>
        </w:rPr>
        <w:t>Pero esta prohibición total va a ser difícil de alcanzar, debido a la gran dependencia energética que tiene Europa de Rusia.</w:t>
      </w:r>
    </w:p>
    <w:p w:rsidR="00F73809" w:rsidRPr="009B5F7B" w:rsidRDefault="00F73809" w:rsidP="00F73809">
      <w:pPr>
        <w:spacing w:line="240" w:lineRule="auto"/>
        <w:jc w:val="both"/>
        <w:rPr>
          <w:rFonts w:ascii="Times New Roman" w:hAnsi="Times New Roman" w:cs="Times New Roman"/>
          <w:sz w:val="24"/>
          <w:szCs w:val="24"/>
          <w:u w:val="single"/>
        </w:rPr>
      </w:pPr>
      <w:r w:rsidRPr="009B5F7B">
        <w:rPr>
          <w:rFonts w:ascii="Times New Roman" w:hAnsi="Times New Roman" w:cs="Times New Roman"/>
          <w:sz w:val="24"/>
          <w:szCs w:val="24"/>
          <w:u w:val="single"/>
        </w:rPr>
        <w:t>Europa tiene unas necesidades de crudo de 3,2 millones de barriles diarios. Un millón de ellos, viene por oleoducto, esta es la clave. Si Europa no compra esta cantidad, Rusia nos los puede vender ni en Asia ni en ninguna otra parte. Esta cantidad, precisamente es la que genera la dependencia. Chequia, Eslovaquia y Hungría no tienen mar y si no les llega por oleoducto, no tienen otra solución que depender de otros países europeos. Estos son los países más vulnerables y por eso la Unión Europea había ofrecido a Hungría y Eslovaquia la posibilidad de que ellos siguieran comprando.</w:t>
      </w:r>
    </w:p>
    <w:p w:rsidR="00F73809" w:rsidRPr="002C3DDA" w:rsidRDefault="00F73809" w:rsidP="00F73809">
      <w:pPr>
        <w:spacing w:line="240" w:lineRule="auto"/>
        <w:jc w:val="both"/>
        <w:rPr>
          <w:rFonts w:ascii="Times New Roman" w:hAnsi="Times New Roman" w:cs="Times New Roman"/>
          <w:sz w:val="24"/>
          <w:szCs w:val="24"/>
        </w:rPr>
      </w:pPr>
      <w:r w:rsidRPr="002C3DDA">
        <w:rPr>
          <w:rFonts w:ascii="Times New Roman" w:hAnsi="Times New Roman" w:cs="Times New Roman"/>
          <w:sz w:val="24"/>
          <w:szCs w:val="24"/>
        </w:rPr>
        <w:lastRenderedPageBreak/>
        <w:t>¿Pero esta cantidad que se compra a Rusia no podr</w:t>
      </w:r>
      <w:r>
        <w:rPr>
          <w:rFonts w:ascii="Times New Roman" w:hAnsi="Times New Roman" w:cs="Times New Roman"/>
          <w:sz w:val="24"/>
          <w:szCs w:val="24"/>
        </w:rPr>
        <w:t>ía sustituirse en otro mercado?</w:t>
      </w:r>
    </w:p>
    <w:p w:rsidR="00F73809" w:rsidRDefault="00F73809" w:rsidP="00F73809">
      <w:pPr>
        <w:spacing w:line="240" w:lineRule="auto"/>
        <w:jc w:val="both"/>
        <w:rPr>
          <w:rFonts w:ascii="Times New Roman" w:hAnsi="Times New Roman" w:cs="Times New Roman"/>
          <w:sz w:val="24"/>
          <w:szCs w:val="24"/>
        </w:rPr>
      </w:pPr>
      <w:r w:rsidRPr="002C3DDA">
        <w:rPr>
          <w:rFonts w:ascii="Times New Roman" w:hAnsi="Times New Roman" w:cs="Times New Roman"/>
          <w:sz w:val="24"/>
          <w:szCs w:val="24"/>
        </w:rPr>
        <w:t>La realidad es que ahora mismo hay mucha capacidad sin utilizar. Pero proviene de países poco simpáticos como Venezuela, Irán y la OPEP, que cuentan con otros 4 millones de barriles. Hay más capacidad sin usar que l</w:t>
      </w:r>
      <w:r>
        <w:rPr>
          <w:rFonts w:ascii="Times New Roman" w:hAnsi="Times New Roman" w:cs="Times New Roman"/>
          <w:sz w:val="24"/>
          <w:szCs w:val="24"/>
        </w:rPr>
        <w:t>a que se podría cortar a Putin.</w:t>
      </w:r>
    </w:p>
    <w:p w:rsidR="00F73809" w:rsidRPr="009B5F7B" w:rsidRDefault="00F73809" w:rsidP="00F73809">
      <w:pPr>
        <w:spacing w:line="240" w:lineRule="auto"/>
        <w:jc w:val="both"/>
        <w:rPr>
          <w:rFonts w:ascii="Times New Roman" w:hAnsi="Times New Roman" w:cs="Times New Roman"/>
          <w:sz w:val="24"/>
          <w:szCs w:val="24"/>
          <w:u w:val="single"/>
        </w:rPr>
      </w:pPr>
      <w:r w:rsidRPr="009B5F7B">
        <w:rPr>
          <w:rFonts w:ascii="Times New Roman" w:hAnsi="Times New Roman" w:cs="Times New Roman"/>
          <w:sz w:val="24"/>
          <w:szCs w:val="24"/>
          <w:u w:val="single"/>
        </w:rPr>
        <w:t>¿Y en cuanto al gas, de qué cifras hablamos?</w:t>
      </w:r>
    </w:p>
    <w:p w:rsidR="00F73809" w:rsidRPr="009B5F7B" w:rsidRDefault="00F73809" w:rsidP="00F73809">
      <w:pPr>
        <w:spacing w:line="240" w:lineRule="auto"/>
        <w:jc w:val="both"/>
        <w:rPr>
          <w:rFonts w:ascii="Times New Roman" w:hAnsi="Times New Roman" w:cs="Times New Roman"/>
          <w:sz w:val="24"/>
          <w:szCs w:val="24"/>
          <w:u w:val="single"/>
        </w:rPr>
      </w:pPr>
      <w:r w:rsidRPr="009B5F7B">
        <w:rPr>
          <w:rFonts w:ascii="Times New Roman" w:hAnsi="Times New Roman" w:cs="Times New Roman"/>
          <w:sz w:val="24"/>
          <w:szCs w:val="24"/>
          <w:u w:val="single"/>
        </w:rPr>
        <w:t>Aquí los números son de unas importaciones procedentes de Rusia de 150.000 millones de metros cúbicos de gas natural, de los cuales estamos ahora mismo compensando dos tercios con gas licuado adicional. Importamos 2.000 millones de metros cúbicos a la semana de gas licuado. Si se multiplica por cincuenta estamos en una tasa de unos 100.000 millones de metros cúbicos, los dos tercios de los 150.000 que importamos.</w:t>
      </w:r>
    </w:p>
    <w:p w:rsidR="00F73809" w:rsidRPr="002C3DDA" w:rsidRDefault="00F73809" w:rsidP="00F73809">
      <w:pPr>
        <w:spacing w:line="240" w:lineRule="auto"/>
        <w:jc w:val="both"/>
        <w:rPr>
          <w:rFonts w:ascii="Times New Roman" w:hAnsi="Times New Roman" w:cs="Times New Roman"/>
          <w:sz w:val="24"/>
          <w:szCs w:val="24"/>
        </w:rPr>
      </w:pPr>
      <w:r w:rsidRPr="002C3DDA">
        <w:rPr>
          <w:rFonts w:ascii="Times New Roman" w:hAnsi="Times New Roman" w:cs="Times New Roman"/>
          <w:sz w:val="24"/>
          <w:szCs w:val="24"/>
        </w:rPr>
        <w:t>Aparte de un tensionamiento de los precios energéticos y el drama social, ¿la guerra está calando ser</w:t>
      </w:r>
      <w:r>
        <w:rPr>
          <w:rFonts w:ascii="Times New Roman" w:hAnsi="Times New Roman" w:cs="Times New Roman"/>
          <w:sz w:val="24"/>
          <w:szCs w:val="24"/>
        </w:rPr>
        <w:t>iamente en la sociedad europea?</w:t>
      </w:r>
    </w:p>
    <w:p w:rsidR="00F73809" w:rsidRPr="002C3DDA" w:rsidRDefault="00F73809" w:rsidP="00F73809">
      <w:pPr>
        <w:spacing w:line="240" w:lineRule="auto"/>
        <w:jc w:val="both"/>
        <w:rPr>
          <w:rFonts w:ascii="Times New Roman" w:hAnsi="Times New Roman" w:cs="Times New Roman"/>
          <w:sz w:val="24"/>
          <w:szCs w:val="24"/>
        </w:rPr>
      </w:pPr>
      <w:r w:rsidRPr="002C3DDA">
        <w:rPr>
          <w:rFonts w:ascii="Times New Roman" w:hAnsi="Times New Roman" w:cs="Times New Roman"/>
          <w:sz w:val="24"/>
          <w:szCs w:val="24"/>
        </w:rPr>
        <w:t>Los precios son la señal que marca y hace cambiar los comportamientos. La política de los gobiernos europeos y entre ellos el español, ha sido anestesiar lo más posible la subida y eso te lleva a un gasto presupuestario enorme. Estamos dando patadas adelante y no estamos creando solucione</w:t>
      </w:r>
      <w:r>
        <w:rPr>
          <w:rFonts w:ascii="Times New Roman" w:hAnsi="Times New Roman" w:cs="Times New Roman"/>
          <w:sz w:val="24"/>
          <w:szCs w:val="24"/>
        </w:rPr>
        <w:t>s sostenibles para la economía.</w:t>
      </w:r>
    </w:p>
    <w:p w:rsidR="00F73809" w:rsidRPr="009B5F7B" w:rsidRDefault="00F73809" w:rsidP="00F73809">
      <w:pPr>
        <w:spacing w:line="240" w:lineRule="auto"/>
        <w:jc w:val="both"/>
        <w:rPr>
          <w:rFonts w:ascii="Times New Roman" w:hAnsi="Times New Roman" w:cs="Times New Roman"/>
          <w:color w:val="FF0000"/>
          <w:sz w:val="24"/>
          <w:szCs w:val="24"/>
          <w:u w:val="single"/>
        </w:rPr>
      </w:pPr>
      <w:r w:rsidRPr="009B5F7B">
        <w:rPr>
          <w:rFonts w:ascii="Times New Roman" w:hAnsi="Times New Roman" w:cs="Times New Roman"/>
          <w:color w:val="FF0000"/>
          <w:sz w:val="24"/>
          <w:szCs w:val="24"/>
          <w:u w:val="single"/>
        </w:rPr>
        <w:t>¿Y la energía nuclear, qué papel juega en medio de esta crisis energética que vive Europa?</w:t>
      </w:r>
    </w:p>
    <w:p w:rsidR="00F73809" w:rsidRPr="009B5F7B" w:rsidRDefault="00F73809" w:rsidP="00F73809">
      <w:pPr>
        <w:spacing w:line="240" w:lineRule="auto"/>
        <w:jc w:val="both"/>
        <w:rPr>
          <w:rFonts w:ascii="Times New Roman" w:hAnsi="Times New Roman" w:cs="Times New Roman"/>
          <w:color w:val="FF0000"/>
          <w:sz w:val="24"/>
          <w:szCs w:val="24"/>
          <w:u w:val="single"/>
        </w:rPr>
      </w:pPr>
      <w:r w:rsidRPr="009B5F7B">
        <w:rPr>
          <w:rFonts w:ascii="Times New Roman" w:hAnsi="Times New Roman" w:cs="Times New Roman"/>
          <w:color w:val="FF0000"/>
          <w:sz w:val="24"/>
          <w:szCs w:val="24"/>
          <w:u w:val="single"/>
        </w:rPr>
        <w:t>Parece una frivolidad para un país como España con el problema energético que tiene y sin independencia energética, eliminar una de las soluciones que es la energía nuclear. No hemos hablado de la oferta de energía, ni hemos hablado de demanda y se están poniendo parches. En la oferta, la clave es la nuclear, tenemos plantas, habría que realizar nuevas inversiones y no cerrarlas. España no se puede permitir esa frivolidad de cerrar nuestras fuentes de energía cuando estamos con el agua al cuello.</w:t>
      </w:r>
    </w:p>
    <w:p w:rsidR="00F73809" w:rsidRPr="002C3DDA" w:rsidRDefault="00F73809" w:rsidP="00F73809">
      <w:pPr>
        <w:spacing w:line="240" w:lineRule="auto"/>
        <w:jc w:val="both"/>
        <w:rPr>
          <w:rFonts w:ascii="Times New Roman" w:hAnsi="Times New Roman" w:cs="Times New Roman"/>
          <w:sz w:val="24"/>
          <w:szCs w:val="24"/>
        </w:rPr>
      </w:pPr>
      <w:r w:rsidRPr="002C3DDA">
        <w:rPr>
          <w:rFonts w:ascii="Times New Roman" w:hAnsi="Times New Roman" w:cs="Times New Roman"/>
          <w:sz w:val="24"/>
          <w:szCs w:val="24"/>
        </w:rPr>
        <w:t xml:space="preserve">¿Pero las energías renovables </w:t>
      </w:r>
      <w:r>
        <w:rPr>
          <w:rFonts w:ascii="Times New Roman" w:hAnsi="Times New Roman" w:cs="Times New Roman"/>
          <w:sz w:val="24"/>
          <w:szCs w:val="24"/>
        </w:rPr>
        <w:t>no son la solución al problema?</w:t>
      </w:r>
    </w:p>
    <w:p w:rsidR="00F73809" w:rsidRPr="002C3DDA" w:rsidRDefault="00F73809" w:rsidP="00F73809">
      <w:pPr>
        <w:spacing w:line="240" w:lineRule="auto"/>
        <w:jc w:val="both"/>
        <w:rPr>
          <w:rFonts w:ascii="Times New Roman" w:hAnsi="Times New Roman" w:cs="Times New Roman"/>
          <w:sz w:val="24"/>
          <w:szCs w:val="24"/>
        </w:rPr>
      </w:pPr>
      <w:r w:rsidRPr="002C3DDA">
        <w:rPr>
          <w:rFonts w:ascii="Times New Roman" w:hAnsi="Times New Roman" w:cs="Times New Roman"/>
          <w:sz w:val="24"/>
          <w:szCs w:val="24"/>
        </w:rPr>
        <w:t xml:space="preserve">El mensaje para la gente tiene que ser muy claro, las renovables no nos pueden resolver el problema mientras no se pueda almacenar la energía. Puedes tener todo el sol que quieras a las tres de la tarde, pero si una noche de agosto a las 3 de mañana no hay viento y todo el mundo está en casa con su aire acondicionado, </w:t>
      </w:r>
      <w:r>
        <w:rPr>
          <w:rFonts w:ascii="Times New Roman" w:hAnsi="Times New Roman" w:cs="Times New Roman"/>
          <w:sz w:val="24"/>
          <w:szCs w:val="24"/>
        </w:rPr>
        <w:t>se generaría un grave problema.</w:t>
      </w:r>
    </w:p>
    <w:p w:rsidR="00F73809" w:rsidRPr="002C3DDA" w:rsidRDefault="00F73809" w:rsidP="00F73809">
      <w:pPr>
        <w:spacing w:line="240" w:lineRule="auto"/>
        <w:jc w:val="both"/>
        <w:rPr>
          <w:rFonts w:ascii="Times New Roman" w:hAnsi="Times New Roman" w:cs="Times New Roman"/>
          <w:sz w:val="24"/>
          <w:szCs w:val="24"/>
        </w:rPr>
      </w:pPr>
      <w:r w:rsidRPr="002C3DDA">
        <w:rPr>
          <w:rFonts w:ascii="Times New Roman" w:hAnsi="Times New Roman" w:cs="Times New Roman"/>
          <w:sz w:val="24"/>
          <w:szCs w:val="24"/>
        </w:rPr>
        <w:t>Como conocedor del conflicto, ¿podemos vaticinar cuándo podría darse por finalizada la guerra?</w:t>
      </w:r>
    </w:p>
    <w:p w:rsidR="00F73809" w:rsidRPr="009B5F7B" w:rsidRDefault="00F73809" w:rsidP="00F73809">
      <w:pPr>
        <w:spacing w:line="240" w:lineRule="auto"/>
        <w:jc w:val="both"/>
        <w:rPr>
          <w:rFonts w:ascii="Times New Roman" w:hAnsi="Times New Roman" w:cs="Times New Roman"/>
          <w:b/>
          <w:color w:val="FF0000"/>
          <w:sz w:val="24"/>
          <w:szCs w:val="24"/>
          <w:u w:val="single"/>
        </w:rPr>
      </w:pPr>
      <w:r w:rsidRPr="002C3DDA">
        <w:rPr>
          <w:rFonts w:ascii="Times New Roman" w:hAnsi="Times New Roman" w:cs="Times New Roman"/>
          <w:sz w:val="24"/>
          <w:szCs w:val="24"/>
        </w:rPr>
        <w:t xml:space="preserve">Recientemente he estado en Kiev y tengo contacto con el equipo económico del presidente Zelenski, pero no tenemos ni idea del marco temporal de la guerra. La ofensiva rusa en el este ha fracasado, pero hace falta una superioridad muy fuerte para hacer una gran ofensiva que no tienen ni rusos ni ucranianos. Por ello, </w:t>
      </w:r>
      <w:r w:rsidRPr="009B5F7B">
        <w:rPr>
          <w:rFonts w:ascii="Times New Roman" w:hAnsi="Times New Roman" w:cs="Times New Roman"/>
          <w:sz w:val="24"/>
          <w:szCs w:val="24"/>
          <w:u w:val="single"/>
        </w:rPr>
        <w:t xml:space="preserve">la guerra podría ir a una fase de estancamiento a la siria, en la que a base de artillería se mantiene una frontera caliente en Europa durante mucho tiempo y con mucho desgaste para los dos países, con una fuerte hemorragia de vidas y de dinero e incertidumbre para todos. Las perspectivas para la guerra son malas en general. </w:t>
      </w:r>
      <w:r w:rsidRPr="009B5F7B">
        <w:rPr>
          <w:rFonts w:ascii="Times New Roman" w:hAnsi="Times New Roman" w:cs="Times New Roman"/>
          <w:b/>
          <w:color w:val="FF0000"/>
          <w:sz w:val="24"/>
          <w:szCs w:val="24"/>
          <w:u w:val="single"/>
        </w:rPr>
        <w:t>Lo que falta es un discurso honesto de los gobiernos europeos, explicando lo que está en juego. Hay que reconocer que estamos en una economía de guerra.</w:t>
      </w:r>
    </w:p>
    <w:p w:rsidR="00F73809" w:rsidRPr="002C3DDA" w:rsidRDefault="00F73809" w:rsidP="00F73809">
      <w:pPr>
        <w:spacing w:line="240" w:lineRule="auto"/>
        <w:jc w:val="both"/>
        <w:rPr>
          <w:rFonts w:ascii="Times New Roman" w:hAnsi="Times New Roman" w:cs="Times New Roman"/>
          <w:sz w:val="24"/>
          <w:szCs w:val="24"/>
        </w:rPr>
      </w:pPr>
      <w:r w:rsidRPr="002C3DDA">
        <w:rPr>
          <w:rFonts w:ascii="Times New Roman" w:hAnsi="Times New Roman" w:cs="Times New Roman"/>
          <w:sz w:val="24"/>
          <w:szCs w:val="24"/>
        </w:rPr>
        <w:t>¿Cuánto puede costar reconstruir Ucrania,</w:t>
      </w:r>
      <w:r>
        <w:rPr>
          <w:rFonts w:ascii="Times New Roman" w:hAnsi="Times New Roman" w:cs="Times New Roman"/>
          <w:sz w:val="24"/>
          <w:szCs w:val="24"/>
        </w:rPr>
        <w:t xml:space="preserve"> una vez finalice el conflicto?</w:t>
      </w:r>
    </w:p>
    <w:p w:rsidR="00F73809" w:rsidRPr="009B5F7B" w:rsidRDefault="00F73809" w:rsidP="00F73809">
      <w:pPr>
        <w:spacing w:line="240" w:lineRule="auto"/>
        <w:jc w:val="both"/>
        <w:rPr>
          <w:rFonts w:ascii="Times New Roman" w:hAnsi="Times New Roman" w:cs="Times New Roman"/>
          <w:sz w:val="24"/>
          <w:szCs w:val="24"/>
          <w:u w:val="single"/>
        </w:rPr>
      </w:pPr>
      <w:r w:rsidRPr="009B5F7B">
        <w:rPr>
          <w:rFonts w:ascii="Times New Roman" w:hAnsi="Times New Roman" w:cs="Times New Roman"/>
          <w:sz w:val="24"/>
          <w:szCs w:val="24"/>
          <w:u w:val="single"/>
        </w:rPr>
        <w:lastRenderedPageBreak/>
        <w:t>Las previsiones que conozco de la Escuela de Economía de Kiev, eran que llevaban más de 500.000 millones de euros destruidos en infraestructuras y edificios.</w:t>
      </w:r>
    </w:p>
    <w:p w:rsidR="00F73809" w:rsidRPr="002C3DDA" w:rsidRDefault="00F73809" w:rsidP="00F73809">
      <w:pPr>
        <w:spacing w:line="240" w:lineRule="auto"/>
        <w:jc w:val="both"/>
        <w:rPr>
          <w:rFonts w:ascii="Times New Roman" w:hAnsi="Times New Roman" w:cs="Times New Roman"/>
          <w:sz w:val="24"/>
          <w:szCs w:val="24"/>
        </w:rPr>
      </w:pPr>
      <w:r w:rsidRPr="002C3DDA">
        <w:rPr>
          <w:rFonts w:ascii="Times New Roman" w:hAnsi="Times New Roman" w:cs="Times New Roman"/>
          <w:sz w:val="24"/>
          <w:szCs w:val="24"/>
        </w:rPr>
        <w:t>¿Qué es necesario para q</w:t>
      </w:r>
      <w:r>
        <w:rPr>
          <w:rFonts w:ascii="Times New Roman" w:hAnsi="Times New Roman" w:cs="Times New Roman"/>
          <w:sz w:val="24"/>
          <w:szCs w:val="24"/>
        </w:rPr>
        <w:t>ue pueda reconstruirse el país?</w:t>
      </w:r>
    </w:p>
    <w:p w:rsidR="00F73809" w:rsidRPr="002C3DDA" w:rsidRDefault="00F73809" w:rsidP="00F73809">
      <w:pPr>
        <w:spacing w:line="240" w:lineRule="auto"/>
        <w:jc w:val="both"/>
        <w:rPr>
          <w:rFonts w:ascii="Times New Roman" w:hAnsi="Times New Roman" w:cs="Times New Roman"/>
          <w:sz w:val="24"/>
          <w:szCs w:val="24"/>
        </w:rPr>
      </w:pPr>
      <w:r w:rsidRPr="002C3DDA">
        <w:rPr>
          <w:rFonts w:ascii="Times New Roman" w:hAnsi="Times New Roman" w:cs="Times New Roman"/>
          <w:sz w:val="24"/>
          <w:szCs w:val="24"/>
        </w:rPr>
        <w:t>Que haya capital humano. El problema de Ucrania no es la destrucción física, el problema es que se han ido 7 millones de personas que son los jóvenes y cuando más tiempo pase, será más difícil que quieran volver a las zonas destruidas para empezar de</w:t>
      </w:r>
      <w:r>
        <w:rPr>
          <w:rFonts w:ascii="Times New Roman" w:hAnsi="Times New Roman" w:cs="Times New Roman"/>
          <w:sz w:val="24"/>
          <w:szCs w:val="24"/>
        </w:rPr>
        <w:t xml:space="preserve"> la nada con su reconstrucción</w:t>
      </w:r>
      <w:r w:rsidR="00320A1F">
        <w:rPr>
          <w:rFonts w:ascii="Times New Roman" w:hAnsi="Times New Roman" w:cs="Times New Roman"/>
          <w:sz w:val="24"/>
          <w:szCs w:val="24"/>
        </w:rPr>
        <w:t>…</w:t>
      </w:r>
    </w:p>
    <w:p w:rsidR="00C96793" w:rsidRPr="00320A1F" w:rsidRDefault="00C96793" w:rsidP="00320A1F">
      <w:pPr>
        <w:pStyle w:val="NormalWeb"/>
        <w:spacing w:after="360"/>
        <w:jc w:val="both"/>
        <w:rPr>
          <w:b/>
          <w:color w:val="222222"/>
          <w:shd w:val="clear" w:color="auto" w:fill="FFFFFF"/>
        </w:rPr>
      </w:pPr>
      <w:r w:rsidRPr="00320A1F">
        <w:rPr>
          <w:b/>
        </w:rPr>
        <w:t>Nota</w:t>
      </w:r>
      <w:r w:rsidR="00320A1F">
        <w:rPr>
          <w:b/>
        </w:rPr>
        <w:t xml:space="preserve"> (I)</w:t>
      </w:r>
      <w:r w:rsidR="0081504A" w:rsidRPr="00320A1F">
        <w:rPr>
          <w:b/>
        </w:rPr>
        <w:t xml:space="preserve">: </w:t>
      </w:r>
      <w:r w:rsidRPr="00320A1F">
        <w:rPr>
          <w:b/>
        </w:rPr>
        <w:t>Hasta donde la vista alcanza… (el éxito nunca es definitivo)</w:t>
      </w:r>
    </w:p>
    <w:p w:rsidR="00C96793" w:rsidRPr="00857B04" w:rsidRDefault="00C96793" w:rsidP="00C96793">
      <w:pPr>
        <w:pStyle w:val="Estndar"/>
        <w:jc w:val="both"/>
        <w:rPr>
          <w:b/>
          <w:color w:val="auto"/>
        </w:rPr>
      </w:pPr>
      <w:r w:rsidRPr="00857B04">
        <w:rPr>
          <w:b/>
          <w:color w:val="auto"/>
        </w:rPr>
        <w:t>Los poderes económicos (y políticos) son por su propia naturaleza insaciables. Siempre quieren más. Ignoran el punto culminante de la victoria. Pretenden la incesante explotación del éxito de la que acaba derivando el desastre seguro. Se sienten desequilibrados por la duda y procuran ahuyentarla.</w:t>
      </w:r>
    </w:p>
    <w:p w:rsidR="00C96793" w:rsidRPr="00857B04" w:rsidRDefault="00C96793" w:rsidP="00C96793">
      <w:pPr>
        <w:pStyle w:val="Estndar"/>
        <w:jc w:val="both"/>
        <w:rPr>
          <w:b/>
          <w:color w:val="auto"/>
        </w:rPr>
      </w:pPr>
    </w:p>
    <w:p w:rsidR="00C96793" w:rsidRPr="00857B04" w:rsidRDefault="00C96793" w:rsidP="00C96793">
      <w:pPr>
        <w:pStyle w:val="Estndar"/>
        <w:jc w:val="both"/>
        <w:rPr>
          <w:b/>
          <w:color w:val="auto"/>
        </w:rPr>
      </w:pPr>
      <w:r w:rsidRPr="00857B04">
        <w:rPr>
          <w:b/>
          <w:color w:val="auto"/>
        </w:rPr>
        <w:t>Evitan cuestionarse los propios logros. Intentan disipar la niebla de la incertidumbre. Buscan perpetuarse, como si la perennidad les hiciera impunes. Abominan de los desafectos. Sospechan de las adhesiones al uso. Prefieren las inquebrantables, procedentes de inasequibles al desaliento. Toda crítica es excesiva y todo elogio, insuficiente.</w:t>
      </w:r>
    </w:p>
    <w:p w:rsidR="00C96793" w:rsidRPr="00857B04" w:rsidRDefault="00C96793" w:rsidP="00C96793">
      <w:pPr>
        <w:pStyle w:val="Estndar"/>
        <w:jc w:val="both"/>
        <w:rPr>
          <w:b/>
          <w:color w:val="auto"/>
        </w:rPr>
      </w:pPr>
    </w:p>
    <w:p w:rsidR="00C96793" w:rsidRPr="00857B04" w:rsidRDefault="00C96793" w:rsidP="00C96793">
      <w:pPr>
        <w:pStyle w:val="Estndar"/>
        <w:jc w:val="both"/>
        <w:rPr>
          <w:b/>
          <w:color w:val="auto"/>
        </w:rPr>
      </w:pPr>
      <w:r w:rsidRPr="00857B04">
        <w:rPr>
          <w:b/>
          <w:color w:val="auto"/>
        </w:rPr>
        <w:t>-los vigilantes de la ortodoxia, los sargentos de la pureza, los capitanes que reparten certificados de buena conducta y multas por herejía, los tenientes que distribuyen bulas y canonjías. Tienes que pensar así. Tienes que escribir así. Tienes que informar de esta manera.</w:t>
      </w:r>
    </w:p>
    <w:p w:rsidR="00C96793" w:rsidRPr="00857B04" w:rsidRDefault="00C96793" w:rsidP="00C96793">
      <w:pPr>
        <w:pStyle w:val="Estndar"/>
        <w:jc w:val="both"/>
        <w:rPr>
          <w:b/>
          <w:color w:val="auto"/>
        </w:rPr>
      </w:pPr>
    </w:p>
    <w:p w:rsidR="00C96793" w:rsidRPr="00857B04" w:rsidRDefault="00C96793" w:rsidP="00C96793">
      <w:pPr>
        <w:pStyle w:val="Estndar"/>
        <w:jc w:val="both"/>
        <w:rPr>
          <w:b/>
          <w:color w:val="auto"/>
        </w:rPr>
      </w:pPr>
      <w:r w:rsidRPr="00857B04">
        <w:rPr>
          <w:b/>
          <w:color w:val="auto"/>
        </w:rPr>
        <w:t>-la policía del pensamiento. Antes circulaban en las milicias de la red, ahora también hacen la ronda por los pasillos del sistema. Llevan uniformes más caros y van también mejor armados.</w:t>
      </w:r>
    </w:p>
    <w:p w:rsidR="00C96793" w:rsidRPr="00857B04" w:rsidRDefault="00C96793" w:rsidP="00C96793">
      <w:pPr>
        <w:pStyle w:val="Estndar"/>
        <w:jc w:val="both"/>
        <w:rPr>
          <w:b/>
          <w:color w:val="auto"/>
        </w:rPr>
      </w:pPr>
    </w:p>
    <w:p w:rsidR="00C96793" w:rsidRPr="00857B04" w:rsidRDefault="00C96793" w:rsidP="00C96793">
      <w:pPr>
        <w:pStyle w:val="Estndar"/>
        <w:jc w:val="both"/>
        <w:rPr>
          <w:b/>
          <w:color w:val="auto"/>
        </w:rPr>
      </w:pPr>
      <w:r w:rsidRPr="00857B04">
        <w:rPr>
          <w:b/>
          <w:color w:val="auto"/>
        </w:rPr>
        <w:t>-los administradores de la moral ajena tutelan la verdad política y social como hace siglos se velaba por la verdad religiosa. Sin margen a la interpretación, a los matices, a las dudas. Pero con total hipocresía, porque su comportamiento privado encaja mal con su discurso público.</w:t>
      </w:r>
    </w:p>
    <w:p w:rsidR="00C96793" w:rsidRPr="00857B04" w:rsidRDefault="00C96793" w:rsidP="00C96793">
      <w:pPr>
        <w:pStyle w:val="Estndar"/>
        <w:jc w:val="both"/>
        <w:rPr>
          <w:b/>
          <w:color w:val="auto"/>
        </w:rPr>
      </w:pPr>
    </w:p>
    <w:p w:rsidR="00C96793" w:rsidRPr="00857B04" w:rsidRDefault="00C96793" w:rsidP="00C96793">
      <w:pPr>
        <w:pStyle w:val="Estndar"/>
        <w:jc w:val="both"/>
        <w:rPr>
          <w:b/>
          <w:color w:val="auto"/>
        </w:rPr>
      </w:pPr>
      <w:r w:rsidRPr="00857B04">
        <w:rPr>
          <w:b/>
          <w:color w:val="auto"/>
        </w:rPr>
        <w:t>Los propieta</w:t>
      </w:r>
      <w:r w:rsidR="00C2689D">
        <w:rPr>
          <w:b/>
          <w:color w:val="auto"/>
        </w:rPr>
        <w:t>rios del dogma de este progresismo disecado, vaciado</w:t>
      </w:r>
      <w:r w:rsidRPr="00857B04">
        <w:rPr>
          <w:b/>
          <w:color w:val="auto"/>
        </w:rPr>
        <w:t>, transforman la cima de su vertedero ético en una atalaya de superioridad moral. Y desde allí vigilan al sospechoso de pensamiento crítico, tratan de controlar la información y el conocimiento. Y cuando cae la noche, señalan. Antes se levantaban antorchas para las cazas de brujas, ahora la jauría humana se ilumina con las luces de los teléfonos móviles.</w:t>
      </w:r>
    </w:p>
    <w:p w:rsidR="00C96793" w:rsidRPr="00857B04" w:rsidRDefault="00C96793" w:rsidP="00C96793">
      <w:pPr>
        <w:pStyle w:val="Estndar"/>
        <w:jc w:val="both"/>
        <w:rPr>
          <w:b/>
          <w:color w:val="auto"/>
        </w:rPr>
      </w:pPr>
    </w:p>
    <w:p w:rsidR="00C96793" w:rsidRPr="00857B04" w:rsidRDefault="00C96793" w:rsidP="00C96793">
      <w:pPr>
        <w:pStyle w:val="Estndar"/>
        <w:jc w:val="both"/>
        <w:rPr>
          <w:b/>
          <w:color w:val="auto"/>
        </w:rPr>
      </w:pPr>
      <w:r w:rsidRPr="00857B04">
        <w:rPr>
          <w:b/>
          <w:color w:val="auto"/>
        </w:rPr>
        <w:t>Los que ahora callan, la gran mayoría, como ocurre entre los que contamos las mismas décadas, no levantan la cabeza porque tienen miedo o porque están subvencionados. Miedo al discurso políticamente incorrecto. Subvenciones a precio de tertulia o de factura en la universidad.</w:t>
      </w:r>
    </w:p>
    <w:p w:rsidR="00C96793" w:rsidRPr="00857B04" w:rsidRDefault="00C96793" w:rsidP="00C96793">
      <w:pPr>
        <w:pStyle w:val="Estndar"/>
        <w:jc w:val="both"/>
        <w:rPr>
          <w:b/>
          <w:color w:val="auto"/>
        </w:rPr>
      </w:pPr>
    </w:p>
    <w:p w:rsidR="00C96793" w:rsidRPr="00857B04" w:rsidRDefault="00C96793" w:rsidP="00C96793">
      <w:pPr>
        <w:pStyle w:val="Estndar"/>
        <w:jc w:val="both"/>
        <w:rPr>
          <w:b/>
          <w:color w:val="auto"/>
        </w:rPr>
      </w:pPr>
      <w:r w:rsidRPr="00857B04">
        <w:rPr>
          <w:b/>
          <w:color w:val="auto"/>
        </w:rPr>
        <w:t>En términos históricos, gran parte de lo que defendió la cultura liberal está siendo ideológicamente derrotado po</w:t>
      </w:r>
      <w:r w:rsidR="00320A1F" w:rsidRPr="00857B04">
        <w:rPr>
          <w:b/>
          <w:color w:val="auto"/>
        </w:rPr>
        <w:t>r el populismo,mientras los intelectuales consentidores se lavan las manos.</w:t>
      </w:r>
    </w:p>
    <w:p w:rsidR="00320A1F" w:rsidRDefault="00320A1F" w:rsidP="00320A1F">
      <w:pPr>
        <w:pStyle w:val="NormalWeb"/>
        <w:spacing w:after="360"/>
        <w:jc w:val="both"/>
        <w:rPr>
          <w:b/>
        </w:rPr>
      </w:pPr>
      <w:r w:rsidRPr="00320A1F">
        <w:rPr>
          <w:b/>
        </w:rPr>
        <w:lastRenderedPageBreak/>
        <w:t>Nota</w:t>
      </w:r>
      <w:r>
        <w:rPr>
          <w:b/>
        </w:rPr>
        <w:t xml:space="preserve"> (II)</w:t>
      </w:r>
      <w:r w:rsidRPr="00320A1F">
        <w:rPr>
          <w:b/>
        </w:rPr>
        <w:t>: Hasta donde la vista alcanz</w:t>
      </w:r>
      <w:r>
        <w:rPr>
          <w:b/>
        </w:rPr>
        <w:t>a… (poniendo un poco de “cara de guerra”</w:t>
      </w:r>
      <w:r w:rsidRPr="00320A1F">
        <w:rPr>
          <w:b/>
        </w:rPr>
        <w:t xml:space="preserve">) </w:t>
      </w:r>
    </w:p>
    <w:p w:rsidR="009B3DB8" w:rsidRPr="00857B04" w:rsidRDefault="00320A1F" w:rsidP="00320A1F">
      <w:pPr>
        <w:pStyle w:val="NormalWeb"/>
        <w:spacing w:after="360"/>
        <w:jc w:val="both"/>
        <w:rPr>
          <w:b/>
        </w:rPr>
      </w:pPr>
      <w:r w:rsidRPr="00857B04">
        <w:rPr>
          <w:b/>
        </w:rPr>
        <w:t>Algunos “planteamientos simples” de este humilde corresponsal económico, a la hora de “ir templando gaitas”</w:t>
      </w:r>
      <w:r w:rsidR="009B3DB8" w:rsidRPr="00857B04">
        <w:rPr>
          <w:b/>
        </w:rPr>
        <w:t xml:space="preserve"> para acostumbrar la </w:t>
      </w:r>
      <w:r w:rsidRPr="00857B04">
        <w:rPr>
          <w:b/>
        </w:rPr>
        <w:t>población europea a una economía de guerra, que no solo es imprescindible (visto lo vi</w:t>
      </w:r>
      <w:r w:rsidR="009B3DB8" w:rsidRPr="00857B04">
        <w:rPr>
          <w:b/>
        </w:rPr>
        <w:t>sto, e imaginando lo que está po</w:t>
      </w:r>
      <w:r w:rsidRPr="00857B04">
        <w:rPr>
          <w:b/>
        </w:rPr>
        <w:t>r venir)</w:t>
      </w:r>
      <w:r w:rsidR="009B3DB8" w:rsidRPr="00857B04">
        <w:rPr>
          <w:b/>
        </w:rPr>
        <w:t>, sino que hasta puede resultar útil para bajar el colesterol, el sobre peso, cierta banalidad, hedonismo, consumismo, pérdida de</w:t>
      </w:r>
      <w:r w:rsidR="009A5AC5">
        <w:rPr>
          <w:b/>
        </w:rPr>
        <w:t>l</w:t>
      </w:r>
      <w:r w:rsidR="009B3DB8" w:rsidRPr="00857B04">
        <w:rPr>
          <w:b/>
        </w:rPr>
        <w:t xml:space="preserve"> es</w:t>
      </w:r>
      <w:r w:rsidR="00184EDE" w:rsidRPr="00857B04">
        <w:rPr>
          <w:b/>
        </w:rPr>
        <w:t>píritu de sacrificio y de propensión al</w:t>
      </w:r>
      <w:r w:rsidR="009B3DB8" w:rsidRPr="00857B04">
        <w:rPr>
          <w:b/>
        </w:rPr>
        <w:t xml:space="preserve"> ahorro</w:t>
      </w:r>
      <w:r w:rsidR="00184EDE" w:rsidRPr="00857B04">
        <w:rPr>
          <w:b/>
        </w:rPr>
        <w:t>,</w:t>
      </w:r>
      <w:r w:rsidR="009B3DB8" w:rsidRPr="00857B04">
        <w:rPr>
          <w:b/>
        </w:rPr>
        <w:t xml:space="preserve"> de los ciudadanos.</w:t>
      </w:r>
    </w:p>
    <w:p w:rsidR="009B3DB8" w:rsidRPr="00857B04" w:rsidRDefault="009B3DB8" w:rsidP="00320A1F">
      <w:pPr>
        <w:pStyle w:val="NormalWeb"/>
        <w:spacing w:after="360"/>
        <w:jc w:val="both"/>
        <w:rPr>
          <w:b/>
        </w:rPr>
      </w:pPr>
      <w:r w:rsidRPr="00857B04">
        <w:rPr>
          <w:b/>
        </w:rPr>
        <w:t>En el andar</w:t>
      </w:r>
      <w:r w:rsidR="004A36AB">
        <w:rPr>
          <w:b/>
        </w:rPr>
        <w:t>,</w:t>
      </w:r>
      <w:r w:rsidRPr="00857B04">
        <w:rPr>
          <w:b/>
        </w:rPr>
        <w:t xml:space="preserve"> andar</w:t>
      </w:r>
      <w:r w:rsidR="004A36AB">
        <w:rPr>
          <w:b/>
        </w:rPr>
        <w:t>,</w:t>
      </w:r>
      <w:r w:rsidRPr="00857B04">
        <w:rPr>
          <w:b/>
        </w:rPr>
        <w:t xml:space="preserve"> de la vida cotidiana se me ocurren algunas “ideicas”:</w:t>
      </w:r>
    </w:p>
    <w:p w:rsidR="00327593" w:rsidRPr="00857B04" w:rsidRDefault="00327593" w:rsidP="00320A1F">
      <w:pPr>
        <w:pStyle w:val="NormalWeb"/>
        <w:spacing w:after="360"/>
        <w:jc w:val="both"/>
      </w:pPr>
      <w:r w:rsidRPr="00857B04">
        <w:t>- poner en funcionamiento toda la capacidad de producir energía de cada país, sin límites</w:t>
      </w:r>
    </w:p>
    <w:p w:rsidR="009B3DB8" w:rsidRPr="00857B04" w:rsidRDefault="009B3DB8" w:rsidP="009B3DB8">
      <w:pPr>
        <w:pStyle w:val="NormalWeb"/>
        <w:spacing w:after="360"/>
        <w:jc w:val="both"/>
      </w:pPr>
      <w:r w:rsidRPr="00857B04">
        <w:t>- apagar la mitad del alumbrado público</w:t>
      </w:r>
      <w:r w:rsidR="00840B3B" w:rsidRPr="00857B04">
        <w:t xml:space="preserve"> (</w:t>
      </w:r>
      <w:r w:rsidR="00126F8C" w:rsidRPr="00857B04">
        <w:t>el 100% en las autopistas</w:t>
      </w:r>
      <w:r w:rsidR="00840B3B" w:rsidRPr="00857B04">
        <w:t xml:space="preserve"> y vallas publicitarias</w:t>
      </w:r>
      <w:r w:rsidR="00126F8C" w:rsidRPr="00857B04">
        <w:t>)</w:t>
      </w:r>
    </w:p>
    <w:p w:rsidR="000C197A" w:rsidRPr="00857B04" w:rsidRDefault="000C197A" w:rsidP="009B3DB8">
      <w:pPr>
        <w:pStyle w:val="NormalWeb"/>
        <w:spacing w:after="360"/>
        <w:jc w:val="both"/>
      </w:pPr>
      <w:r w:rsidRPr="00857B04">
        <w:t xml:space="preserve">- no iluminar de noche </w:t>
      </w:r>
      <w:r w:rsidR="00840B3B" w:rsidRPr="00857B04">
        <w:t xml:space="preserve">edificios públicos, </w:t>
      </w:r>
      <w:r w:rsidRPr="00857B04">
        <w:t>y monumentos</w:t>
      </w:r>
      <w:r w:rsidR="00840B3B" w:rsidRPr="00857B04">
        <w:t xml:space="preserve">; reducir horario comercial y ocio </w:t>
      </w:r>
    </w:p>
    <w:p w:rsidR="009B3DB8" w:rsidRPr="00857B04" w:rsidRDefault="00840B3B" w:rsidP="009B3DB8">
      <w:pPr>
        <w:pStyle w:val="NormalWeb"/>
        <w:spacing w:after="360"/>
        <w:jc w:val="both"/>
      </w:pPr>
      <w:r w:rsidRPr="00857B04">
        <w:t>- reducir 2 / 3</w:t>
      </w:r>
      <w:r w:rsidR="009B3DB8" w:rsidRPr="00857B04">
        <w:t xml:space="preserve"> grados centígrados la calefacción de las oficinas públicas</w:t>
      </w:r>
    </w:p>
    <w:p w:rsidR="009B3DB8" w:rsidRPr="00857B04" w:rsidRDefault="009B3DB8" w:rsidP="009B3DB8">
      <w:pPr>
        <w:pStyle w:val="NormalWeb"/>
        <w:spacing w:after="360"/>
        <w:jc w:val="both"/>
      </w:pPr>
      <w:r w:rsidRPr="00857B04">
        <w:t>- aumentar 2</w:t>
      </w:r>
      <w:r w:rsidR="00840B3B" w:rsidRPr="00857B04">
        <w:t xml:space="preserve"> / 3</w:t>
      </w:r>
      <w:r w:rsidRPr="00857B04">
        <w:t xml:space="preserve"> grados centígrados la refrigeración de las oficinas públicas</w:t>
      </w:r>
    </w:p>
    <w:p w:rsidR="000C197A" w:rsidRPr="00857B04" w:rsidRDefault="009B3DB8" w:rsidP="009B3DB8">
      <w:pPr>
        <w:pStyle w:val="NormalWeb"/>
        <w:spacing w:after="360"/>
        <w:jc w:val="both"/>
      </w:pPr>
      <w:r w:rsidRPr="00857B04">
        <w:t>- limitar el tránsito de vehículos pa</w:t>
      </w:r>
      <w:r w:rsidR="00860CA6" w:rsidRPr="00857B04">
        <w:t>rticulares (no comerciales) a los</w:t>
      </w:r>
      <w:r w:rsidR="000C197A" w:rsidRPr="00857B04">
        <w:t xml:space="preserve"> díaspares o impares</w:t>
      </w:r>
    </w:p>
    <w:p w:rsidR="000C197A" w:rsidRPr="00857B04" w:rsidRDefault="000C197A" w:rsidP="009B3DB8">
      <w:pPr>
        <w:pStyle w:val="NormalWeb"/>
        <w:spacing w:after="360"/>
        <w:jc w:val="both"/>
      </w:pPr>
      <w:r w:rsidRPr="00857B04">
        <w:t>- reducir el tráfico ferroviario y de metro</w:t>
      </w:r>
      <w:r w:rsidR="00327593" w:rsidRPr="00857B04">
        <w:t>,</w:t>
      </w:r>
      <w:r w:rsidRPr="00857B04">
        <w:t xml:space="preserve"> en las horas de menor movimiento de pasajeros</w:t>
      </w:r>
    </w:p>
    <w:p w:rsidR="000C197A" w:rsidRPr="00857B04" w:rsidRDefault="000C197A" w:rsidP="009B3DB8">
      <w:pPr>
        <w:pStyle w:val="NormalWeb"/>
        <w:spacing w:after="360"/>
        <w:jc w:val="both"/>
      </w:pPr>
      <w:r w:rsidRPr="00857B04">
        <w:t>- reducir a la mitad el uso de la flota de vehículos oficiales, no sanitarios</w:t>
      </w:r>
      <w:r w:rsidR="009A5AC5">
        <w:t>,</w:t>
      </w:r>
      <w:r w:rsidRPr="00857B04">
        <w:t xml:space="preserve"> o de seguridad</w:t>
      </w:r>
    </w:p>
    <w:p w:rsidR="000C197A" w:rsidRPr="00857B04" w:rsidRDefault="00840B3B" w:rsidP="009B3DB8">
      <w:pPr>
        <w:pStyle w:val="NormalWeb"/>
        <w:spacing w:after="360"/>
        <w:jc w:val="both"/>
      </w:pPr>
      <w:r w:rsidRPr="00857B04">
        <w:t>- hacer</w:t>
      </w:r>
      <w:r w:rsidR="000C197A" w:rsidRPr="00857B04">
        <w:t xml:space="preserve"> campaña de comunicación solicitando a la población ahorrar energía</w:t>
      </w:r>
      <w:r w:rsidRPr="00857B04">
        <w:t xml:space="preserve"> y combustible</w:t>
      </w:r>
    </w:p>
    <w:p w:rsidR="00320A1F" w:rsidRPr="00857B04" w:rsidRDefault="00840B3B" w:rsidP="009B3DB8">
      <w:pPr>
        <w:pStyle w:val="NormalWeb"/>
        <w:spacing w:after="360"/>
        <w:jc w:val="both"/>
      </w:pPr>
      <w:r w:rsidRPr="00857B04">
        <w:t xml:space="preserve">- </w:t>
      </w:r>
      <w:r w:rsidR="000C197A" w:rsidRPr="00857B04">
        <w:t>limitar el impacto del incremen</w:t>
      </w:r>
      <w:r w:rsidRPr="00857B04">
        <w:t>to de costos energéticos reduciendo</w:t>
      </w:r>
      <w:r w:rsidR="000C197A" w:rsidRPr="00857B04">
        <w:t xml:space="preserve"> la factura fiscal</w:t>
      </w:r>
    </w:p>
    <w:p w:rsidR="00327593" w:rsidRPr="00857B04" w:rsidRDefault="00186D0A" w:rsidP="009B3DB8">
      <w:pPr>
        <w:pStyle w:val="NormalWeb"/>
        <w:spacing w:after="360"/>
        <w:jc w:val="both"/>
        <w:rPr>
          <w:b/>
          <w:shd w:val="clear" w:color="auto" w:fill="FFFFFF"/>
        </w:rPr>
      </w:pPr>
      <w:r w:rsidRPr="00857B04">
        <w:rPr>
          <w:b/>
          <w:shd w:val="clear" w:color="auto" w:fill="FFFFFF"/>
        </w:rPr>
        <w:t>Son medidas rápidas</w:t>
      </w:r>
      <w:r w:rsidR="00327593" w:rsidRPr="00857B04">
        <w:rPr>
          <w:b/>
          <w:shd w:val="clear" w:color="auto" w:fill="FFFFFF"/>
        </w:rPr>
        <w:t xml:space="preserve"> (coyunturales), fáciles de aplicar, solidarias, que reducirían la factura energética de forma inmediata, y que, aunque con cierto costo electoral (es el tipo de noticias / medidas de las que los políticos huyen como “gatos escaldados”</w:t>
      </w:r>
      <w:r w:rsidRPr="00857B04">
        <w:rPr>
          <w:b/>
          <w:shd w:val="clear" w:color="auto" w:fill="FFFFFF"/>
        </w:rPr>
        <w:t>)</w:t>
      </w:r>
      <w:r w:rsidR="00327593" w:rsidRPr="00857B04">
        <w:rPr>
          <w:b/>
          <w:shd w:val="clear" w:color="auto" w:fill="FFFFFF"/>
        </w:rPr>
        <w:t>, permitirían a esos mismos políticos demostrar a los chantajistas (energéticos)</w:t>
      </w:r>
      <w:r w:rsidRPr="00857B04">
        <w:rPr>
          <w:b/>
          <w:shd w:val="clear" w:color="auto" w:fill="FFFFFF"/>
        </w:rPr>
        <w:t xml:space="preserve"> la seriedad de sus propósitos, mej</w:t>
      </w:r>
      <w:r w:rsidR="00184EDE" w:rsidRPr="00857B04">
        <w:rPr>
          <w:b/>
          <w:shd w:val="clear" w:color="auto" w:fill="FFFFFF"/>
        </w:rPr>
        <w:t xml:space="preserve">orando su posición negociadora. </w:t>
      </w:r>
      <w:r w:rsidRPr="00857B04">
        <w:rPr>
          <w:b/>
          <w:shd w:val="clear" w:color="auto" w:fill="FFFFFF"/>
        </w:rPr>
        <w:t xml:space="preserve">Creo que a las autoridades europeas una actitud más decidida, rigurosa y expeditiva, podría terminar favoreciéndolas de cara al electorado, y a la población podría servirle para hacer una dieta de austeridad, voluntad, disciplina, espíritu de sacrificio, solidaridad y madurez. </w:t>
      </w:r>
    </w:p>
    <w:p w:rsidR="001C678E" w:rsidRDefault="001C678E"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Falta de una política de cohesión y desarrollo de infraestructuras (ferrocarril, energía)</w:t>
      </w:r>
    </w:p>
    <w:p w:rsidR="00186D0A" w:rsidRPr="00857B04" w:rsidRDefault="00186D0A" w:rsidP="00216A85">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857B04">
        <w:rPr>
          <w:rFonts w:ascii="Times New Roman" w:eastAsia="Times New Roman" w:hAnsi="Times New Roman" w:cs="Times New Roman"/>
          <w:b/>
          <w:sz w:val="24"/>
          <w:szCs w:val="24"/>
          <w:lang w:eastAsia="es-ES"/>
        </w:rPr>
        <w:t xml:space="preserve">Aunque la Unión Europea tiene innumerables planes, </w:t>
      </w:r>
      <w:r w:rsidR="00184EDE" w:rsidRPr="00857B04">
        <w:rPr>
          <w:rFonts w:ascii="Times New Roman" w:eastAsia="Times New Roman" w:hAnsi="Times New Roman" w:cs="Times New Roman"/>
          <w:b/>
          <w:sz w:val="24"/>
          <w:szCs w:val="24"/>
          <w:lang w:eastAsia="es-ES"/>
        </w:rPr>
        <w:t xml:space="preserve">y programas de </w:t>
      </w:r>
      <w:r w:rsidRPr="00857B04">
        <w:rPr>
          <w:rFonts w:ascii="Times New Roman" w:eastAsia="Times New Roman" w:hAnsi="Times New Roman" w:cs="Times New Roman"/>
          <w:b/>
          <w:sz w:val="24"/>
          <w:szCs w:val="24"/>
          <w:lang w:eastAsia="es-ES"/>
        </w:rPr>
        <w:t>desarrollo:</w:t>
      </w:r>
      <w:r w:rsidR="00805A26" w:rsidRPr="00857B04">
        <w:rPr>
          <w:rFonts w:ascii="Times New Roman" w:eastAsia="Times New Roman" w:hAnsi="Times New Roman" w:cs="Times New Roman"/>
          <w:b/>
          <w:sz w:val="24"/>
          <w:szCs w:val="24"/>
          <w:lang w:eastAsia="es-ES"/>
        </w:rPr>
        <w:t xml:space="preserve"> fondos</w:t>
      </w:r>
      <w:r w:rsidRPr="00857B04">
        <w:rPr>
          <w:rFonts w:ascii="Times New Roman" w:eastAsia="Times New Roman" w:hAnsi="Times New Roman" w:cs="Times New Roman"/>
          <w:b/>
          <w:sz w:val="24"/>
          <w:szCs w:val="24"/>
          <w:lang w:eastAsia="es-ES"/>
        </w:rPr>
        <w:t xml:space="preserve"> estruc</w:t>
      </w:r>
      <w:r w:rsidR="00184EDE" w:rsidRPr="00857B04">
        <w:rPr>
          <w:rFonts w:ascii="Times New Roman" w:eastAsia="Times New Roman" w:hAnsi="Times New Roman" w:cs="Times New Roman"/>
          <w:b/>
          <w:sz w:val="24"/>
          <w:szCs w:val="24"/>
          <w:lang w:eastAsia="es-ES"/>
        </w:rPr>
        <w:t>turales, de cohesión</w:t>
      </w:r>
      <w:r w:rsidRPr="00857B04">
        <w:rPr>
          <w:rFonts w:ascii="Times New Roman" w:eastAsia="Times New Roman" w:hAnsi="Times New Roman" w:cs="Times New Roman"/>
          <w:b/>
          <w:sz w:val="24"/>
          <w:szCs w:val="24"/>
          <w:lang w:eastAsia="es-ES"/>
        </w:rPr>
        <w:t>,</w:t>
      </w:r>
      <w:r w:rsidR="00805A26" w:rsidRPr="00857B04">
        <w:rPr>
          <w:rFonts w:ascii="Times New Roman" w:eastAsia="Times New Roman" w:hAnsi="Times New Roman" w:cs="Times New Roman"/>
          <w:b/>
          <w:sz w:val="24"/>
          <w:szCs w:val="24"/>
          <w:lang w:eastAsia="es-ES"/>
        </w:rPr>
        <w:t xml:space="preserve"> sociales, de empleo, educativos,</w:t>
      </w:r>
      <w:r w:rsidRPr="00857B04">
        <w:rPr>
          <w:rFonts w:ascii="Times New Roman" w:eastAsia="Times New Roman" w:hAnsi="Times New Roman" w:cs="Times New Roman"/>
          <w:b/>
          <w:sz w:val="24"/>
          <w:szCs w:val="24"/>
          <w:lang w:eastAsia="es-ES"/>
        </w:rPr>
        <w:t xml:space="preserve"> políticas comunes</w:t>
      </w:r>
      <w:r w:rsidR="00805A26" w:rsidRPr="00857B04">
        <w:rPr>
          <w:rFonts w:ascii="Times New Roman" w:eastAsia="Times New Roman" w:hAnsi="Times New Roman" w:cs="Times New Roman"/>
          <w:b/>
          <w:sz w:val="24"/>
          <w:szCs w:val="24"/>
          <w:lang w:eastAsia="es-ES"/>
        </w:rPr>
        <w:t>, financiación, subvenciones,</w:t>
      </w:r>
      <w:r w:rsidR="00840B3B" w:rsidRPr="00857B04">
        <w:rPr>
          <w:rFonts w:ascii="Times New Roman" w:eastAsia="Times New Roman" w:hAnsi="Times New Roman" w:cs="Times New Roman"/>
          <w:b/>
          <w:sz w:val="24"/>
          <w:szCs w:val="24"/>
          <w:lang w:eastAsia="es-ES"/>
        </w:rPr>
        <w:t xml:space="preserve"> FEDER, FSE, FEADER, FEMP, </w:t>
      </w:r>
      <w:r w:rsidR="00216A85" w:rsidRPr="00857B04">
        <w:rPr>
          <w:rFonts w:ascii="Times New Roman" w:eastAsia="Times New Roman" w:hAnsi="Times New Roman" w:cs="Times New Roman"/>
          <w:b/>
          <w:sz w:val="24"/>
          <w:szCs w:val="24"/>
          <w:lang w:eastAsia="es-ES"/>
        </w:rPr>
        <w:t xml:space="preserve">Programa LIFE, Horizonte 2020, Erasmus, FEIE, </w:t>
      </w:r>
      <w:r w:rsidR="00840B3B" w:rsidRPr="00857B04">
        <w:rPr>
          <w:rFonts w:ascii="Times New Roman" w:eastAsia="Times New Roman" w:hAnsi="Times New Roman" w:cs="Times New Roman"/>
          <w:b/>
          <w:sz w:val="24"/>
          <w:szCs w:val="24"/>
          <w:lang w:eastAsia="es-ES"/>
        </w:rPr>
        <w:t xml:space="preserve">Green Deal (de la granja a la mesa), </w:t>
      </w:r>
      <w:r w:rsidR="00805A26" w:rsidRPr="00857B04">
        <w:rPr>
          <w:rFonts w:ascii="Times New Roman" w:eastAsia="Times New Roman" w:hAnsi="Times New Roman" w:cs="Times New Roman"/>
          <w:b/>
          <w:sz w:val="24"/>
          <w:szCs w:val="24"/>
          <w:lang w:eastAsia="es-ES"/>
        </w:rPr>
        <w:t>NextGenerationEU, R</w:t>
      </w:r>
      <w:r w:rsidR="009A5AC5">
        <w:rPr>
          <w:rFonts w:ascii="Times New Roman" w:eastAsia="Times New Roman" w:hAnsi="Times New Roman" w:cs="Times New Roman"/>
          <w:b/>
          <w:sz w:val="24"/>
          <w:szCs w:val="24"/>
          <w:lang w:eastAsia="es-ES"/>
        </w:rPr>
        <w:t xml:space="preserve">EPowerEU… (la lista de la </w:t>
      </w:r>
      <w:r w:rsidR="00184EDE" w:rsidRPr="00857B04">
        <w:rPr>
          <w:rFonts w:ascii="Times New Roman" w:eastAsia="Times New Roman" w:hAnsi="Times New Roman" w:cs="Times New Roman"/>
          <w:b/>
          <w:sz w:val="24"/>
          <w:szCs w:val="24"/>
          <w:lang w:eastAsia="es-ES"/>
        </w:rPr>
        <w:t>“sopa de letras” es</w:t>
      </w:r>
      <w:r w:rsidR="00216A85" w:rsidRPr="00857B04">
        <w:rPr>
          <w:rFonts w:ascii="Times New Roman" w:eastAsia="Times New Roman" w:hAnsi="Times New Roman" w:cs="Times New Roman"/>
          <w:b/>
          <w:sz w:val="24"/>
          <w:szCs w:val="24"/>
          <w:lang w:eastAsia="es-ES"/>
        </w:rPr>
        <w:t xml:space="preserve"> interminable</w:t>
      </w:r>
      <w:r w:rsidR="00805A26" w:rsidRPr="00857B04">
        <w:rPr>
          <w:rFonts w:ascii="Times New Roman" w:eastAsia="Times New Roman" w:hAnsi="Times New Roman" w:cs="Times New Roman"/>
          <w:b/>
          <w:sz w:val="24"/>
          <w:szCs w:val="24"/>
          <w:lang w:eastAsia="es-ES"/>
        </w:rPr>
        <w:t>), aún no he tenido oportunidad de leer nada sobre un plan de unidad ferroviaria</w:t>
      </w:r>
      <w:r w:rsidR="00E35F0C" w:rsidRPr="00857B04">
        <w:rPr>
          <w:rFonts w:ascii="Times New Roman" w:eastAsia="Times New Roman" w:hAnsi="Times New Roman" w:cs="Times New Roman"/>
          <w:b/>
          <w:sz w:val="24"/>
          <w:szCs w:val="24"/>
          <w:lang w:eastAsia="es-ES"/>
        </w:rPr>
        <w:t xml:space="preserve"> europea (un ferrocarril único europeo), o sobre una política de producción, interconexión y distribución de energía a nivel regional europeo, o sobre una unidad de explotación de </w:t>
      </w:r>
      <w:r w:rsidR="00E35F0C" w:rsidRPr="00857B04">
        <w:rPr>
          <w:rFonts w:ascii="Times New Roman" w:eastAsia="Times New Roman" w:hAnsi="Times New Roman" w:cs="Times New Roman"/>
          <w:b/>
          <w:sz w:val="24"/>
          <w:szCs w:val="24"/>
          <w:lang w:eastAsia="es-ES"/>
        </w:rPr>
        <w:lastRenderedPageBreak/>
        <w:t xml:space="preserve">materias primas básicas, una política común de compra de insumos estratégicos… (la lista de los </w:t>
      </w:r>
      <w:r w:rsidR="00184EDE" w:rsidRPr="00857B04">
        <w:rPr>
          <w:rFonts w:ascii="Times New Roman" w:eastAsia="Times New Roman" w:hAnsi="Times New Roman" w:cs="Times New Roman"/>
          <w:b/>
          <w:sz w:val="24"/>
          <w:szCs w:val="24"/>
          <w:lang w:eastAsia="es-ES"/>
        </w:rPr>
        <w:t>“</w:t>
      </w:r>
      <w:r w:rsidR="00E35F0C" w:rsidRPr="00857B04">
        <w:rPr>
          <w:rFonts w:ascii="Times New Roman" w:eastAsia="Times New Roman" w:hAnsi="Times New Roman" w:cs="Times New Roman"/>
          <w:b/>
          <w:sz w:val="24"/>
          <w:szCs w:val="24"/>
          <w:lang w:eastAsia="es-ES"/>
        </w:rPr>
        <w:t>misterios insondables</w:t>
      </w:r>
      <w:r w:rsidR="00184EDE" w:rsidRPr="00857B04">
        <w:rPr>
          <w:rFonts w:ascii="Times New Roman" w:eastAsia="Times New Roman" w:hAnsi="Times New Roman" w:cs="Times New Roman"/>
          <w:b/>
          <w:sz w:val="24"/>
          <w:szCs w:val="24"/>
          <w:lang w:eastAsia="es-ES"/>
        </w:rPr>
        <w:t>”</w:t>
      </w:r>
      <w:r w:rsidR="00E35F0C" w:rsidRPr="00857B04">
        <w:rPr>
          <w:rFonts w:ascii="Times New Roman" w:eastAsia="Times New Roman" w:hAnsi="Times New Roman" w:cs="Times New Roman"/>
          <w:b/>
          <w:sz w:val="24"/>
          <w:szCs w:val="24"/>
          <w:lang w:eastAsia="es-ES"/>
        </w:rPr>
        <w:t xml:space="preserve"> podría continuarse).</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u w:val="single"/>
          <w:lang w:eastAsia="es-ES"/>
        </w:rPr>
      </w:pPr>
      <w:r w:rsidRPr="00E35F0C">
        <w:rPr>
          <w:rFonts w:ascii="Times New Roman" w:eastAsia="Times New Roman" w:hAnsi="Times New Roman" w:cs="Times New Roman"/>
          <w:sz w:val="24"/>
          <w:szCs w:val="24"/>
          <w:u w:val="single"/>
          <w:lang w:eastAsia="es-ES"/>
        </w:rPr>
        <w:t>Parole, parole, parole: Creación del espacio ferroviario europeo único</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La política común de transporte ferroviario de la UE</w:t>
      </w:r>
      <w:r w:rsidR="00C42CF5">
        <w:rPr>
          <w:rFonts w:ascii="Times New Roman" w:eastAsia="Times New Roman" w:hAnsi="Times New Roman" w:cs="Times New Roman"/>
          <w:sz w:val="24"/>
          <w:szCs w:val="24"/>
          <w:lang w:eastAsia="es-ES"/>
        </w:rPr>
        <w:t xml:space="preserve"> (Fuente: Consejo Europeo - </w:t>
      </w:r>
      <w:r w:rsidR="00C42CF5" w:rsidRPr="009A5AC5">
        <w:rPr>
          <w:rFonts w:ascii="Times New Roman" w:eastAsia="Times New Roman" w:hAnsi="Times New Roman" w:cs="Times New Roman"/>
          <w:b/>
          <w:sz w:val="24"/>
          <w:szCs w:val="24"/>
          <w:lang w:eastAsia="es-ES"/>
        </w:rPr>
        <w:t>J</w:t>
      </w:r>
      <w:r w:rsidRPr="009A5AC5">
        <w:rPr>
          <w:rFonts w:ascii="Times New Roman" w:eastAsia="Times New Roman" w:hAnsi="Times New Roman" w:cs="Times New Roman"/>
          <w:b/>
          <w:sz w:val="24"/>
          <w:szCs w:val="24"/>
          <w:lang w:eastAsia="es-ES"/>
        </w:rPr>
        <w:t>ulio 2022</w:t>
      </w:r>
      <w:r>
        <w:rPr>
          <w:rFonts w:ascii="Times New Roman" w:eastAsia="Times New Roman" w:hAnsi="Times New Roman" w:cs="Times New Roman"/>
          <w:sz w:val="24"/>
          <w:szCs w:val="24"/>
          <w:lang w:eastAsia="es-ES"/>
        </w:rPr>
        <w:t>)</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En los últimos treinta años, la UE y sus Estados miembros han colaborado para desarrollar una política c</w:t>
      </w:r>
      <w:r w:rsidR="00C42CF5">
        <w:rPr>
          <w:rFonts w:ascii="Times New Roman" w:eastAsia="Times New Roman" w:hAnsi="Times New Roman" w:cs="Times New Roman"/>
          <w:sz w:val="24"/>
          <w:szCs w:val="24"/>
          <w:lang w:eastAsia="es-ES"/>
        </w:rPr>
        <w:t>omún de transporte ferroviario.</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La política ferroviaria de la UE contribuye a los objetivos estratégicos más amplios del sector de los transportes en general, que consisten en lograr una movilidad conectada, sostenible, inclusiva, segu</w:t>
      </w:r>
      <w:r w:rsidR="00C42CF5">
        <w:rPr>
          <w:rFonts w:ascii="Times New Roman" w:eastAsia="Times New Roman" w:hAnsi="Times New Roman" w:cs="Times New Roman"/>
          <w:sz w:val="24"/>
          <w:szCs w:val="24"/>
          <w:lang w:eastAsia="es-ES"/>
        </w:rPr>
        <w:t>ra y protegida dentro de la UE.</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Un elemento clave de la política de transportes de la UE es la creación de nueve corredores de la red básica en toda la UE. La red transeuropea de transporte (RTE-T) tiene por objeto crear una red de líneas ferroviarias, carreteras, vías navegables interiores, rutas marítimas, puertos y aeropuertos para conectar los países de la UE y facilitar el transporte transfronte</w:t>
      </w:r>
      <w:r w:rsidR="00C42CF5">
        <w:rPr>
          <w:rFonts w:ascii="Times New Roman" w:eastAsia="Times New Roman" w:hAnsi="Times New Roman" w:cs="Times New Roman"/>
          <w:sz w:val="24"/>
          <w:szCs w:val="24"/>
          <w:lang w:eastAsia="es-ES"/>
        </w:rPr>
        <w:t>rizo de personas y suministros.</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Red transeuropea de transporte: el Consejo da luz verde a la aceleración de los procedimientos de concesión de autorizaciones (comunicado de prensa, 14.6.2021)</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Red transeuropea de transporte (Comisión Europea)</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 xml:space="preserve">En el sector ferroviario, la política de la UE se centra en el objetivo principal de establecer un espacio ferroviario europeo único, un sistema de redes ferroviarias a escala de la UE que permita la expansión del sector ferroviario basada en la competencia, la armonización técnica y el desarrollo conjunto </w:t>
      </w:r>
      <w:r w:rsidR="00C42CF5">
        <w:rPr>
          <w:rFonts w:ascii="Times New Roman" w:eastAsia="Times New Roman" w:hAnsi="Times New Roman" w:cs="Times New Roman"/>
          <w:sz w:val="24"/>
          <w:szCs w:val="24"/>
          <w:lang w:eastAsia="es-ES"/>
        </w:rPr>
        <w:t>de conexiones transfronterizas.</w:t>
      </w:r>
    </w:p>
    <w:p w:rsidR="00E35F0C" w:rsidRPr="00E35F0C" w:rsidRDefault="00C42CF5"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Para ello, la UE pretende:</w:t>
      </w:r>
    </w:p>
    <w:p w:rsidR="00E35F0C" w:rsidRPr="00E35F0C" w:rsidRDefault="00C42CF5"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35F0C" w:rsidRPr="00E35F0C">
        <w:rPr>
          <w:rFonts w:ascii="Times New Roman" w:eastAsia="Times New Roman" w:hAnsi="Times New Roman" w:cs="Times New Roman"/>
          <w:sz w:val="24"/>
          <w:szCs w:val="24"/>
          <w:lang w:eastAsia="es-ES"/>
        </w:rPr>
        <w:t>abrir y reestructurar el mercado ferroviario;</w:t>
      </w:r>
    </w:p>
    <w:p w:rsidR="00E35F0C" w:rsidRPr="00E35F0C" w:rsidRDefault="00C42CF5"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35F0C" w:rsidRPr="00E35F0C">
        <w:rPr>
          <w:rFonts w:ascii="Times New Roman" w:eastAsia="Times New Roman" w:hAnsi="Times New Roman" w:cs="Times New Roman"/>
          <w:sz w:val="24"/>
          <w:szCs w:val="24"/>
          <w:lang w:eastAsia="es-ES"/>
        </w:rPr>
        <w:t>aumentar la competitividad creando unas condiciones de competencia equitativas para las empresas;</w:t>
      </w:r>
    </w:p>
    <w:p w:rsidR="00E35F0C" w:rsidRPr="00E35F0C" w:rsidRDefault="00C42CF5"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35F0C" w:rsidRPr="00E35F0C">
        <w:rPr>
          <w:rFonts w:ascii="Times New Roman" w:eastAsia="Times New Roman" w:hAnsi="Times New Roman" w:cs="Times New Roman"/>
          <w:sz w:val="24"/>
          <w:szCs w:val="24"/>
          <w:lang w:eastAsia="es-ES"/>
        </w:rPr>
        <w:t>desarrollar infraestructuras para garantizar la interoperabilidad;</w:t>
      </w:r>
    </w:p>
    <w:p w:rsidR="00E35F0C" w:rsidRPr="00E35F0C" w:rsidRDefault="00C42CF5"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35F0C" w:rsidRPr="00E35F0C">
        <w:rPr>
          <w:rFonts w:ascii="Times New Roman" w:eastAsia="Times New Roman" w:hAnsi="Times New Roman" w:cs="Times New Roman"/>
          <w:sz w:val="24"/>
          <w:szCs w:val="24"/>
          <w:lang w:eastAsia="es-ES"/>
        </w:rPr>
        <w:t>mejorar la eficiencia en el uso de las infraestructuras y la seguridad;</w:t>
      </w:r>
    </w:p>
    <w:p w:rsidR="00E35F0C" w:rsidRPr="00E35F0C" w:rsidRDefault="00C42CF5"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35F0C" w:rsidRPr="00E35F0C">
        <w:rPr>
          <w:rFonts w:ascii="Times New Roman" w:eastAsia="Times New Roman" w:hAnsi="Times New Roman" w:cs="Times New Roman"/>
          <w:sz w:val="24"/>
          <w:szCs w:val="24"/>
          <w:lang w:eastAsia="es-ES"/>
        </w:rPr>
        <w:t>garantizar precios justos para los consumidores.</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Como parte del Pacto Verde Europeo, la Comisión Europea presentó en diciembre de 2020 su Estrategia de Movilidad Sostenible e Inteligente. La Estrategia traza los objetivos de la UE para el sector del transporte para los próximos decenios: hacer que la movilidad sea ecológica, inteligente y resiliente. Para el sector ferroviario, la Estrategia pretende que el tráfico ferroviario de alta velocidad se du</w:t>
      </w:r>
      <w:r w:rsidR="00C42CF5">
        <w:rPr>
          <w:rFonts w:ascii="Times New Roman" w:eastAsia="Times New Roman" w:hAnsi="Times New Roman" w:cs="Times New Roman"/>
          <w:sz w:val="24"/>
          <w:szCs w:val="24"/>
          <w:lang w:eastAsia="es-ES"/>
        </w:rPr>
        <w:t>plique de aquí a 2030 en la UE.</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 xml:space="preserve">En junio de 2021, el Consejo adoptó unas Conclusiones sobre este tema. El Consejo acogió favorablemente la Estrategia de la Comisión y suscribió su ambiciosa visión para el sector del transporte y su contribución a la sostenibilidad en los próximos años y </w:t>
      </w:r>
      <w:r w:rsidR="00C42CF5">
        <w:rPr>
          <w:rFonts w:ascii="Times New Roman" w:eastAsia="Times New Roman" w:hAnsi="Times New Roman" w:cs="Times New Roman"/>
          <w:sz w:val="24"/>
          <w:szCs w:val="24"/>
          <w:lang w:eastAsia="es-ES"/>
        </w:rPr>
        <w:t>decenios.</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Estrategia de Movilidad Sostenible e Inteligente: el Consejo adopta unas Conclusiones (comunicado de prensa, 3.6.2021)</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lastRenderedPageBreak/>
        <w:t>Estrategia de Movilidad (Comisión Europea)</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Legislación: los paquetes ferroviarios de la UE</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La expansión y la armonización del sector ferroviario de la UE se han enfrentado a una serie de obstáculos que han ralentizado el p</w:t>
      </w:r>
      <w:r w:rsidR="00C42CF5">
        <w:rPr>
          <w:rFonts w:ascii="Times New Roman" w:eastAsia="Times New Roman" w:hAnsi="Times New Roman" w:cs="Times New Roman"/>
          <w:sz w:val="24"/>
          <w:szCs w:val="24"/>
          <w:lang w:eastAsia="es-ES"/>
        </w:rPr>
        <w:t>roceso de integración en la UE:</w:t>
      </w:r>
    </w:p>
    <w:p w:rsidR="00E35F0C" w:rsidRPr="009D5ECE" w:rsidRDefault="009D5ECE" w:rsidP="009D5ECE">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35F0C" w:rsidRPr="009D5ECE">
        <w:rPr>
          <w:rFonts w:ascii="Times New Roman" w:eastAsia="Times New Roman" w:hAnsi="Times New Roman" w:cs="Times New Roman"/>
          <w:sz w:val="24"/>
          <w:szCs w:val="24"/>
          <w:lang w:eastAsia="es-ES"/>
        </w:rPr>
        <w:t>la fragmentación tradicional de los ferrocarriles europeos debido a la complejidad de unos sistemas nacionales independientes;</w:t>
      </w:r>
    </w:p>
    <w:p w:rsidR="00E35F0C" w:rsidRPr="009D5ECE" w:rsidRDefault="009D5ECE" w:rsidP="009D5ECE">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35F0C" w:rsidRPr="009D5ECE">
        <w:rPr>
          <w:rFonts w:ascii="Times New Roman" w:eastAsia="Times New Roman" w:hAnsi="Times New Roman" w:cs="Times New Roman"/>
          <w:sz w:val="24"/>
          <w:szCs w:val="24"/>
          <w:lang w:eastAsia="es-ES"/>
        </w:rPr>
        <w:t>la escasa eficiencia, flexibilidad y fiabilidad del servicio, en particular del transporte de mercancías.</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Estos obstáculos han impedido un mayor crecimiento de la cuota correspondiente al sector ferroviario en el panorama de la movilidad en Europa, a pesar de la demanda de los consumidores y del potencial que ofrece el transporte ferroviario como so</w:t>
      </w:r>
      <w:r w:rsidR="009D5ECE">
        <w:rPr>
          <w:rFonts w:ascii="Times New Roman" w:eastAsia="Times New Roman" w:hAnsi="Times New Roman" w:cs="Times New Roman"/>
          <w:sz w:val="24"/>
          <w:szCs w:val="24"/>
          <w:lang w:eastAsia="es-ES"/>
        </w:rPr>
        <w:t>lución respetuosa con el clima.</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El 6,9 % de la movilidad de los viajeros en la UE la ofrecen los ferrocarriles. Este porcentaje se ha mantenido estable entre 19</w:t>
      </w:r>
      <w:r w:rsidR="009D5ECE">
        <w:rPr>
          <w:rFonts w:ascii="Times New Roman" w:eastAsia="Times New Roman" w:hAnsi="Times New Roman" w:cs="Times New Roman"/>
          <w:sz w:val="24"/>
          <w:szCs w:val="24"/>
          <w:lang w:eastAsia="es-ES"/>
        </w:rPr>
        <w:t>95 y 2018 (Comisión Europea).</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La satisfacción de los consumidores con el transporte ferroviario es bastante elevada en toda la UE</w:t>
      </w:r>
      <w:r w:rsidR="009D5ECE">
        <w:rPr>
          <w:rFonts w:ascii="Times New Roman" w:eastAsia="Times New Roman" w:hAnsi="Times New Roman" w:cs="Times New Roman"/>
          <w:sz w:val="24"/>
          <w:szCs w:val="24"/>
          <w:lang w:eastAsia="es-ES"/>
        </w:rPr>
        <w:t>: una media del 74,9 % en 2017.</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La principal legislación de la UE que apoya el desarrollo de su política ferroviaria consiste en cuatro paquetes legislativos adoptados por el Consejo y el Parlamento Europeo entre 2001 y 2016. Incluy</w:t>
      </w:r>
      <w:r w:rsidR="009D5ECE">
        <w:rPr>
          <w:rFonts w:ascii="Times New Roman" w:eastAsia="Times New Roman" w:hAnsi="Times New Roman" w:cs="Times New Roman"/>
          <w:sz w:val="24"/>
          <w:szCs w:val="24"/>
          <w:lang w:eastAsia="es-ES"/>
        </w:rPr>
        <w:t>en disposiciones comunes sobre:</w:t>
      </w:r>
    </w:p>
    <w:p w:rsidR="00E35F0C" w:rsidRPr="00E35F0C" w:rsidRDefault="009D5ECE"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35F0C" w:rsidRPr="00E35F0C">
        <w:rPr>
          <w:rFonts w:ascii="Times New Roman" w:eastAsia="Times New Roman" w:hAnsi="Times New Roman" w:cs="Times New Roman"/>
          <w:sz w:val="24"/>
          <w:szCs w:val="24"/>
          <w:lang w:eastAsia="es-ES"/>
        </w:rPr>
        <w:t>la liberalización del mercado ferroviario,</w:t>
      </w:r>
    </w:p>
    <w:p w:rsidR="00E35F0C" w:rsidRPr="00E35F0C" w:rsidRDefault="009D5ECE"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35F0C" w:rsidRPr="00E35F0C">
        <w:rPr>
          <w:rFonts w:ascii="Times New Roman" w:eastAsia="Times New Roman" w:hAnsi="Times New Roman" w:cs="Times New Roman"/>
          <w:sz w:val="24"/>
          <w:szCs w:val="24"/>
          <w:lang w:eastAsia="es-ES"/>
        </w:rPr>
        <w:t>la concesión de licencias a las empresas ferroviarias y la certificación de los maquinistas,</w:t>
      </w:r>
    </w:p>
    <w:p w:rsidR="00E35F0C" w:rsidRPr="00E35F0C" w:rsidRDefault="009D5ECE"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35F0C" w:rsidRPr="00E35F0C">
        <w:rPr>
          <w:rFonts w:ascii="Times New Roman" w:eastAsia="Times New Roman" w:hAnsi="Times New Roman" w:cs="Times New Roman"/>
          <w:sz w:val="24"/>
          <w:szCs w:val="24"/>
          <w:lang w:eastAsia="es-ES"/>
        </w:rPr>
        <w:t>los requisitos en materia de seguridad,</w:t>
      </w:r>
    </w:p>
    <w:p w:rsidR="00E35F0C" w:rsidRPr="00E35F0C" w:rsidRDefault="009D5ECE"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35F0C" w:rsidRPr="00E35F0C">
        <w:rPr>
          <w:rFonts w:ascii="Times New Roman" w:eastAsia="Times New Roman" w:hAnsi="Times New Roman" w:cs="Times New Roman"/>
          <w:sz w:val="24"/>
          <w:szCs w:val="24"/>
          <w:lang w:eastAsia="es-ES"/>
        </w:rPr>
        <w:t>la creación de la Agencia Ferroviaria Europea y de organismos reguladores ferroviarios en cada Estado miembro,</w:t>
      </w:r>
    </w:p>
    <w:p w:rsidR="00E35F0C" w:rsidRPr="00E35F0C" w:rsidRDefault="009D5ECE"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35F0C" w:rsidRPr="00E35F0C">
        <w:rPr>
          <w:rFonts w:ascii="Times New Roman" w:eastAsia="Times New Roman" w:hAnsi="Times New Roman" w:cs="Times New Roman"/>
          <w:sz w:val="24"/>
          <w:szCs w:val="24"/>
          <w:lang w:eastAsia="es-ES"/>
        </w:rPr>
        <w:t>los derechos de los viajeros de ferrocarril.</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El cuarto y último paquete ferroviario, compuesto por seis actos legislativos</w:t>
      </w:r>
      <w:r w:rsidR="004A36AB">
        <w:rPr>
          <w:rFonts w:ascii="Times New Roman" w:eastAsia="Times New Roman" w:hAnsi="Times New Roman" w:cs="Times New Roman"/>
          <w:sz w:val="24"/>
          <w:szCs w:val="24"/>
          <w:lang w:eastAsia="es-ES"/>
        </w:rPr>
        <w:t>,</w:t>
      </w:r>
      <w:r w:rsidRPr="00E35F0C">
        <w:rPr>
          <w:rFonts w:ascii="Times New Roman" w:eastAsia="Times New Roman" w:hAnsi="Times New Roman" w:cs="Times New Roman"/>
          <w:sz w:val="24"/>
          <w:szCs w:val="24"/>
          <w:lang w:eastAsia="es-ES"/>
        </w:rPr>
        <w:t xml:space="preserve"> y centrado en los elementos finales relativos a la apertura del mercado ferroviario y al refuerzo de su competit</w:t>
      </w:r>
      <w:r w:rsidR="009D5ECE">
        <w:rPr>
          <w:rFonts w:ascii="Times New Roman" w:eastAsia="Times New Roman" w:hAnsi="Times New Roman" w:cs="Times New Roman"/>
          <w:sz w:val="24"/>
          <w:szCs w:val="24"/>
          <w:lang w:eastAsia="es-ES"/>
        </w:rPr>
        <w:t>ividad, entró en vigor en 2021.</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Mejores servicios ferroviarios: el Consejo adopta el pilar de mercado del cuarto paquete ferroviario (comunicado de prensa, 17.10.2016)</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El Consejo adopta la mejora de los derechos de los viajeros de ferrocarril (comunicado de prensa, 25.1.2021)</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Paquetes ferroviarios (Comisión Europea)</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 xml:space="preserve">Además, por medio del Sistema Europeo de Gestión del Tráfico Ferroviario (ERTMS), la UE quiere contribuir a la creación de un espacio ferroviario seguro y eficiente. El ERTMS garantiza la seguridad del tráfico ferroviario en toda la UE gracias al cumplimiento de las </w:t>
      </w:r>
      <w:r w:rsidRPr="00E35F0C">
        <w:rPr>
          <w:rFonts w:ascii="Times New Roman" w:eastAsia="Times New Roman" w:hAnsi="Times New Roman" w:cs="Times New Roman"/>
          <w:sz w:val="24"/>
          <w:szCs w:val="24"/>
          <w:lang w:eastAsia="es-ES"/>
        </w:rPr>
        <w:lastRenderedPageBreak/>
        <w:t>restricciones de velocidad y de la señalización, al tiempo que consigue la armonización técnica de los principales enlaces.</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La política ferroviaria de la UE está respaldada por una serie de programas de financia</w:t>
      </w:r>
      <w:r w:rsidR="009D5ECE">
        <w:rPr>
          <w:rFonts w:ascii="Times New Roman" w:eastAsia="Times New Roman" w:hAnsi="Times New Roman" w:cs="Times New Roman"/>
          <w:sz w:val="24"/>
          <w:szCs w:val="24"/>
          <w:lang w:eastAsia="es-ES"/>
        </w:rPr>
        <w:t>ción, entre ellos el Mecanismo “Conectar Europa”</w:t>
      </w:r>
      <w:r w:rsidRPr="00E35F0C">
        <w:rPr>
          <w:rFonts w:ascii="Times New Roman" w:eastAsia="Times New Roman" w:hAnsi="Times New Roman" w:cs="Times New Roman"/>
          <w:sz w:val="24"/>
          <w:szCs w:val="24"/>
          <w:lang w:eastAsia="es-ES"/>
        </w:rPr>
        <w:t>, que financia proyectos estratégicos de inversión en los ámbitos del transporte, la tecnología digital y la energía. Tras el acuerdo provisional entre el Consejo y el Parlamento, el nuevo programa para el periodo 2021-2027 fue adoptado en primer lugar por el Consejo en junio de 2021 y posteriormente por el Parlamento en julio. Una vez publicado en el Diario Oficial de la UE, el Reglamento se aplica con carácter retroactivo a partir del 1 de enero de 2021. El sector del transporte recibirá el grueso de la financiación (alrededor de 25 000 millones de euros de un total de 33 000 millones), de los cuales la mayor parte, con diferenc</w:t>
      </w:r>
      <w:r w:rsidR="009D5ECE">
        <w:rPr>
          <w:rFonts w:ascii="Times New Roman" w:eastAsia="Times New Roman" w:hAnsi="Times New Roman" w:cs="Times New Roman"/>
          <w:sz w:val="24"/>
          <w:szCs w:val="24"/>
          <w:lang w:eastAsia="es-ES"/>
        </w:rPr>
        <w:t>ia, se dedicará al ferrocarril.</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El Consejo adopta el emblemáti</w:t>
      </w:r>
      <w:r w:rsidR="009D5ECE">
        <w:rPr>
          <w:rFonts w:ascii="Times New Roman" w:eastAsia="Times New Roman" w:hAnsi="Times New Roman" w:cs="Times New Roman"/>
          <w:sz w:val="24"/>
          <w:szCs w:val="24"/>
          <w:lang w:eastAsia="es-ES"/>
        </w:rPr>
        <w:t>co programa de la UE Mecanismo “Conectar Europa”</w:t>
      </w:r>
      <w:r w:rsidRPr="00E35F0C">
        <w:rPr>
          <w:rFonts w:ascii="Times New Roman" w:eastAsia="Times New Roman" w:hAnsi="Times New Roman" w:cs="Times New Roman"/>
          <w:sz w:val="24"/>
          <w:szCs w:val="24"/>
          <w:lang w:eastAsia="es-ES"/>
        </w:rPr>
        <w:t xml:space="preserve"> 2.0 (comunicado de prensa, 14.6.2021)</w:t>
      </w:r>
    </w:p>
    <w:p w:rsidR="00E35F0C" w:rsidRP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Transporte ferroviario de mercancías</w:t>
      </w:r>
    </w:p>
    <w:p w:rsidR="00E35F0C" w:rsidRDefault="00E35F0C" w:rsidP="00E35F0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E35F0C">
        <w:rPr>
          <w:rFonts w:ascii="Times New Roman" w:eastAsia="Times New Roman" w:hAnsi="Times New Roman" w:cs="Times New Roman"/>
          <w:sz w:val="24"/>
          <w:szCs w:val="24"/>
          <w:lang w:eastAsia="es-ES"/>
        </w:rPr>
        <w:t>La UE está invirtiendo en el desarrollo de infraestructuras que permitan conectar mejor a los Estados miembros para el transporte transfronterizo de mercancías. Hoy en día, once corredores ferroviarios de mercancías atraviesan el continente. Contribuyen a aumentar la cuota correspondiente al sector ferroviario en el transporte de mercancías, que actualmente cubre alrededor del 19 % del total (más de la mitad está cubierta por el transporte por carretera, que tiene una mayor incidencia en las emisiones de carbono y es menos respetuoso con el medio ambiente).</w:t>
      </w:r>
    </w:p>
    <w:p w:rsidR="009D5ECE" w:rsidRPr="009D5ECE" w:rsidRDefault="009D5ECE" w:rsidP="00E35F0C">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9D5ECE">
        <w:rPr>
          <w:rFonts w:ascii="Times New Roman" w:eastAsia="Times New Roman" w:hAnsi="Times New Roman" w:cs="Times New Roman"/>
          <w:b/>
          <w:sz w:val="24"/>
          <w:szCs w:val="24"/>
          <w:lang w:eastAsia="es-ES"/>
        </w:rPr>
        <w:t xml:space="preserve">Nota: mientras esperamos el “éxito” del emblemático programa de la UE Mecanismo “Conectar Europa” 2.0, me entran ganas de decir: </w:t>
      </w:r>
      <w:r>
        <w:rPr>
          <w:rFonts w:ascii="Times New Roman" w:eastAsia="Times New Roman" w:hAnsi="Times New Roman" w:cs="Times New Roman"/>
          <w:b/>
          <w:sz w:val="24"/>
          <w:szCs w:val="24"/>
          <w:lang w:eastAsia="es-ES"/>
        </w:rPr>
        <w:t>¡</w:t>
      </w:r>
      <w:r w:rsidRPr="009D5ECE">
        <w:rPr>
          <w:rFonts w:ascii="Times New Roman" w:eastAsia="Times New Roman" w:hAnsi="Times New Roman" w:cs="Times New Roman"/>
          <w:b/>
          <w:sz w:val="24"/>
          <w:szCs w:val="24"/>
          <w:lang w:eastAsia="es-ES"/>
        </w:rPr>
        <w:t>Lázaro, levántate y anda</w:t>
      </w:r>
      <w:r>
        <w:rPr>
          <w:rFonts w:ascii="Times New Roman" w:eastAsia="Times New Roman" w:hAnsi="Times New Roman" w:cs="Times New Roman"/>
          <w:b/>
          <w:sz w:val="24"/>
          <w:szCs w:val="24"/>
          <w:lang w:eastAsia="es-ES"/>
        </w:rPr>
        <w:t>!</w:t>
      </w:r>
    </w:p>
    <w:p w:rsidR="001C678E" w:rsidRDefault="001C678E"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Falta de una política </w:t>
      </w:r>
      <w:r w:rsidR="00F73809">
        <w:rPr>
          <w:rFonts w:ascii="Times New Roman" w:eastAsia="Times New Roman" w:hAnsi="Times New Roman" w:cs="Times New Roman"/>
          <w:b/>
          <w:sz w:val="24"/>
          <w:szCs w:val="24"/>
          <w:lang w:eastAsia="es-ES"/>
        </w:rPr>
        <w:t xml:space="preserve">de aprovechamiento común </w:t>
      </w:r>
      <w:r>
        <w:rPr>
          <w:rFonts w:ascii="Times New Roman" w:eastAsia="Times New Roman" w:hAnsi="Times New Roman" w:cs="Times New Roman"/>
          <w:b/>
          <w:sz w:val="24"/>
          <w:szCs w:val="24"/>
          <w:lang w:eastAsia="es-ES"/>
        </w:rPr>
        <w:t>recursos</w:t>
      </w:r>
      <w:r w:rsidR="00F73809">
        <w:rPr>
          <w:rFonts w:ascii="Times New Roman" w:eastAsia="Times New Roman" w:hAnsi="Times New Roman" w:cs="Times New Roman"/>
          <w:b/>
          <w:sz w:val="24"/>
          <w:szCs w:val="24"/>
          <w:lang w:eastAsia="es-ES"/>
        </w:rPr>
        <w:t xml:space="preserve"> básicos</w:t>
      </w:r>
      <w:r>
        <w:rPr>
          <w:rFonts w:ascii="Times New Roman" w:eastAsia="Times New Roman" w:hAnsi="Times New Roman" w:cs="Times New Roman"/>
          <w:b/>
          <w:sz w:val="24"/>
          <w:szCs w:val="24"/>
          <w:lang w:eastAsia="es-ES"/>
        </w:rPr>
        <w:t xml:space="preserve"> (agua</w:t>
      </w:r>
      <w:r w:rsidR="00F73809">
        <w:rPr>
          <w:rFonts w:ascii="Times New Roman" w:eastAsia="Times New Roman" w:hAnsi="Times New Roman" w:cs="Times New Roman"/>
          <w:b/>
          <w:sz w:val="24"/>
          <w:szCs w:val="24"/>
          <w:lang w:eastAsia="es-ES"/>
        </w:rPr>
        <w:t>, trasvases</w:t>
      </w:r>
      <w:r>
        <w:rPr>
          <w:rFonts w:ascii="Times New Roman" w:eastAsia="Times New Roman" w:hAnsi="Times New Roman" w:cs="Times New Roman"/>
          <w:b/>
          <w:sz w:val="24"/>
          <w:szCs w:val="24"/>
          <w:lang w:eastAsia="es-ES"/>
        </w:rPr>
        <w:t>)</w:t>
      </w:r>
    </w:p>
    <w:p w:rsidR="009D5ECE" w:rsidRDefault="00FD3383" w:rsidP="00FD338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FD3383">
        <w:rPr>
          <w:rFonts w:ascii="Times New Roman" w:eastAsia="Times New Roman" w:hAnsi="Times New Roman" w:cs="Times New Roman"/>
          <w:sz w:val="24"/>
          <w:szCs w:val="24"/>
          <w:u w:val="single"/>
          <w:lang w:eastAsia="es-ES"/>
        </w:rPr>
        <w:t>La política de la Unión Europea en materia de aguas</w:t>
      </w:r>
      <w:r w:rsidRPr="00FD3383">
        <w:rPr>
          <w:rFonts w:ascii="Times New Roman" w:eastAsia="Times New Roman" w:hAnsi="Times New Roman" w:cs="Times New Roman"/>
          <w:sz w:val="24"/>
          <w:szCs w:val="24"/>
          <w:lang w:eastAsia="es-ES"/>
        </w:rPr>
        <w:t xml:space="preserve">(Fuente: </w:t>
      </w:r>
      <w:r>
        <w:rPr>
          <w:rFonts w:ascii="Times New Roman" w:eastAsia="Times New Roman" w:hAnsi="Times New Roman" w:cs="Times New Roman"/>
          <w:sz w:val="24"/>
          <w:szCs w:val="24"/>
          <w:lang w:eastAsia="es-ES"/>
        </w:rPr>
        <w:t xml:space="preserve">Comisión Europea - </w:t>
      </w:r>
      <w:r w:rsidRPr="009A5AC5">
        <w:rPr>
          <w:rFonts w:ascii="Times New Roman" w:eastAsia="Times New Roman" w:hAnsi="Times New Roman" w:cs="Times New Roman"/>
          <w:b/>
          <w:sz w:val="24"/>
          <w:szCs w:val="24"/>
          <w:lang w:eastAsia="es-ES"/>
        </w:rPr>
        <w:t>Octubre 2019</w:t>
      </w:r>
      <w:r>
        <w:rPr>
          <w:rFonts w:ascii="Times New Roman" w:eastAsia="Times New Roman" w:hAnsi="Times New Roman" w:cs="Times New Roman"/>
          <w:sz w:val="24"/>
          <w:szCs w:val="24"/>
          <w:lang w:eastAsia="es-ES"/>
        </w:rPr>
        <w:t>)</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Evolución de la política de aguas UE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Importancia del agua para el ser humano, la economía, la sociedad y el medio ambiente.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Primeras Directivas ya en los años 70 (calidad de las aguas de baño, sustancias peligrosas en el medio acuático, calidad de las aguas para la vida de los peces y cría de moluscos).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Décadas de los 80 y 90 (calidad de las aguas destinadas al consumo humano, aguas subterráneas, lodos depuradora en agricultura, nitratos, aguas urbanas residuales).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Comunicación Comisión en 1996 sobre política de aguas. </w:t>
      </w:r>
    </w:p>
    <w:p w:rsid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Hasta llegar a la Directiva Marco del Agua en el año 2000 y su desarrollo posterior.</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La Directiva Marco del Agua (I)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Directiva 2000/60/CE del Parlamento Europeo y del Consejo, de 23 de octubre de 2000, por la que se establece un marco comunitario de actuación en el ámbito de la política de aguas.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Piedra angular de la política de aguas de la UE. </w:t>
      </w:r>
    </w:p>
    <w:p w:rsidR="00216A85"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lastRenderedPageBreak/>
        <w:t xml:space="preserve">• Planteamiento novedoso y medioambiental.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Considerando 1: El agua no es un bien comercial como los demás, sino un patrimonio que hay que proteger, defender y tratar como tal.</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La Directiva Marco del Agua (II)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Calendario progresivo de aplicación.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Establece objetivos medioambientales ambiciosos: una gestión sostenible de los recursos hídricos, alcanzar el buen estado ecológico de las masas de agua en 2015.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Ciclos de planificación hidrológica. Fomenta el proceso de participación pública. </w:t>
      </w:r>
    </w:p>
    <w:p w:rsid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Incorpora los aspectos económicos en la planificación y gestión de las aguas. Principio de recuperación de costes.</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Year 2000: EU Water Framework Directive (WFD)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Ámbito de aplicación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Protección y gestión de todas las masas de aguas: continentales (superficiales y subterráneas), de transición y costeras.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Cubre todos los impactos en las masas de agua.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Alcance ampliado: Directiva Aguas Subterráneas, Sustancias Prioritarias, Directiva Inundaciones, Intercalibración, Directiva Estrategia Marina, Escasez de Agua y Sequías...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Objetivos - Proteger y mejorar las masas de agua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Alcanzar un buen estado ecológico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No deterioro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Excepciones bajo ciertas condiciones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Instrumentos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Planificación: Demarcaciones Hidrográficas, Planes Hidrológicos y Programas de Medidas.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Normativa relacionada: aguas urbanas residuales, agua consume humano, aguas de baño, nitratos de la agricultura, hábitats, etc.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Participación pública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El concepto de Cuenca Hidrográfica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El Plan Hidrológico de la Demarcación Hidrográfica es el instrumento básico para implementar la DMA.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Ciclos de planificación hidrológica: 2009-2015, 2015-2021, 2021-2027.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Unidad de gestión y un enfoque integral para proteger la cuenca hidrográfica.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60% de las aguas de la UE son transfronterizas.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lastRenderedPageBreak/>
        <w:t>• Cubre todas las presiones e impactos en las aguas concernidas</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Desarrollo de la política de aguas UE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DMA: Estrategia común de implementación, “WFD, Common Implementation Strategy” (CIS).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También para las “daughter Directives” (aguas subterráneas y sustancias prioritarias). Así como la Directiva de Gestión de Inundaciones. </w:t>
      </w:r>
    </w:p>
    <w:p w:rsidR="00FD3383" w:rsidRP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xml:space="preserve">• El “Water Blue Print” en 2012, el Plan para salvaguardar los recursos hídricos de Europa. </w:t>
      </w:r>
    </w:p>
    <w:p w:rsidR="00FD3383" w:rsidRDefault="00FD3383" w:rsidP="00FD3383">
      <w:pPr>
        <w:shd w:val="clear" w:color="auto" w:fill="FFFFFF"/>
        <w:spacing w:line="240" w:lineRule="auto"/>
        <w:jc w:val="both"/>
        <w:textAlignment w:val="baseline"/>
        <w:rPr>
          <w:rFonts w:ascii="Times New Roman" w:hAnsi="Times New Roman" w:cs="Times New Roman"/>
          <w:sz w:val="24"/>
          <w:szCs w:val="24"/>
        </w:rPr>
      </w:pPr>
      <w:r w:rsidRPr="00FD3383">
        <w:rPr>
          <w:rFonts w:ascii="Times New Roman" w:hAnsi="Times New Roman" w:cs="Times New Roman"/>
          <w:sz w:val="24"/>
          <w:szCs w:val="24"/>
        </w:rPr>
        <w:t>• La Comisión realiza Informes periódicos sobre la aplicación de la DMA por los Estados miembros.</w:t>
      </w:r>
    </w:p>
    <w:p w:rsidR="00C93329" w:rsidRPr="00C93329" w:rsidRDefault="00FD3383" w:rsidP="00FD3383">
      <w:pPr>
        <w:shd w:val="clear" w:color="auto" w:fill="FFFFFF"/>
        <w:spacing w:line="240" w:lineRule="auto"/>
        <w:jc w:val="both"/>
        <w:textAlignment w:val="baseline"/>
        <w:rPr>
          <w:rFonts w:ascii="Times New Roman" w:hAnsi="Times New Roman" w:cs="Times New Roman"/>
          <w:sz w:val="24"/>
          <w:szCs w:val="24"/>
        </w:rPr>
      </w:pPr>
      <w:r w:rsidRPr="00C93329">
        <w:rPr>
          <w:rFonts w:ascii="Times New Roman" w:hAnsi="Times New Roman" w:cs="Times New Roman"/>
          <w:sz w:val="24"/>
          <w:szCs w:val="24"/>
        </w:rPr>
        <w:t xml:space="preserve">Principales retos de la política de aguas de la UE </w:t>
      </w:r>
    </w:p>
    <w:p w:rsidR="00C93329" w:rsidRPr="00C93329" w:rsidRDefault="00FD3383" w:rsidP="00FD3383">
      <w:pPr>
        <w:shd w:val="clear" w:color="auto" w:fill="FFFFFF"/>
        <w:spacing w:line="240" w:lineRule="auto"/>
        <w:jc w:val="both"/>
        <w:textAlignment w:val="baseline"/>
        <w:rPr>
          <w:rFonts w:ascii="Times New Roman" w:hAnsi="Times New Roman" w:cs="Times New Roman"/>
          <w:sz w:val="24"/>
          <w:szCs w:val="24"/>
        </w:rPr>
      </w:pPr>
      <w:r w:rsidRPr="00C93329">
        <w:rPr>
          <w:rFonts w:ascii="Times New Roman" w:hAnsi="Times New Roman" w:cs="Times New Roman"/>
          <w:sz w:val="24"/>
          <w:szCs w:val="24"/>
        </w:rPr>
        <w:t xml:space="preserve">• Mejorar la aplicación de la normativa existente. </w:t>
      </w:r>
    </w:p>
    <w:p w:rsidR="00C93329" w:rsidRPr="00C93329" w:rsidRDefault="00FD3383" w:rsidP="00FD3383">
      <w:pPr>
        <w:shd w:val="clear" w:color="auto" w:fill="FFFFFF"/>
        <w:spacing w:line="240" w:lineRule="auto"/>
        <w:jc w:val="both"/>
        <w:textAlignment w:val="baseline"/>
        <w:rPr>
          <w:rFonts w:ascii="Times New Roman" w:hAnsi="Times New Roman" w:cs="Times New Roman"/>
          <w:sz w:val="24"/>
          <w:szCs w:val="24"/>
        </w:rPr>
      </w:pPr>
      <w:r w:rsidRPr="00C93329">
        <w:rPr>
          <w:rFonts w:ascii="Times New Roman" w:hAnsi="Times New Roman" w:cs="Times New Roman"/>
          <w:sz w:val="24"/>
          <w:szCs w:val="24"/>
        </w:rPr>
        <w:t xml:space="preserve">• Mejorar la integración en otras políticas: agricultura, industria, energía, turismo, etc. </w:t>
      </w:r>
    </w:p>
    <w:p w:rsidR="00C93329" w:rsidRPr="00C93329" w:rsidRDefault="00FD3383" w:rsidP="00FD3383">
      <w:pPr>
        <w:shd w:val="clear" w:color="auto" w:fill="FFFFFF"/>
        <w:spacing w:line="240" w:lineRule="auto"/>
        <w:jc w:val="both"/>
        <w:textAlignment w:val="baseline"/>
        <w:rPr>
          <w:rFonts w:ascii="Times New Roman" w:hAnsi="Times New Roman" w:cs="Times New Roman"/>
          <w:sz w:val="24"/>
          <w:szCs w:val="24"/>
        </w:rPr>
      </w:pPr>
      <w:r w:rsidRPr="00C93329">
        <w:rPr>
          <w:rFonts w:ascii="Times New Roman" w:hAnsi="Times New Roman" w:cs="Times New Roman"/>
          <w:sz w:val="24"/>
          <w:szCs w:val="24"/>
        </w:rPr>
        <w:t xml:space="preserve">• La necesaria adaptación al cambio climático. </w:t>
      </w:r>
    </w:p>
    <w:p w:rsidR="00C93329" w:rsidRPr="00C93329" w:rsidRDefault="00FD3383" w:rsidP="00FD3383">
      <w:pPr>
        <w:shd w:val="clear" w:color="auto" w:fill="FFFFFF"/>
        <w:spacing w:line="240" w:lineRule="auto"/>
        <w:jc w:val="both"/>
        <w:textAlignment w:val="baseline"/>
        <w:rPr>
          <w:rFonts w:ascii="Times New Roman" w:hAnsi="Times New Roman" w:cs="Times New Roman"/>
          <w:sz w:val="24"/>
          <w:szCs w:val="24"/>
        </w:rPr>
      </w:pPr>
      <w:r w:rsidRPr="00C93329">
        <w:rPr>
          <w:rFonts w:ascii="Times New Roman" w:hAnsi="Times New Roman" w:cs="Times New Roman"/>
          <w:sz w:val="24"/>
          <w:szCs w:val="24"/>
        </w:rPr>
        <w:t xml:space="preserve">• Aumentar la financiación para realizar las infraestructuras hidráulicas necesarias. </w:t>
      </w:r>
    </w:p>
    <w:p w:rsidR="00FD3383" w:rsidRPr="00C93329" w:rsidRDefault="00FD3383" w:rsidP="00FD3383">
      <w:pPr>
        <w:shd w:val="clear" w:color="auto" w:fill="FFFFFF"/>
        <w:spacing w:line="240" w:lineRule="auto"/>
        <w:jc w:val="both"/>
        <w:textAlignment w:val="baseline"/>
        <w:rPr>
          <w:rFonts w:ascii="Times New Roman" w:hAnsi="Times New Roman" w:cs="Times New Roman"/>
          <w:sz w:val="24"/>
          <w:szCs w:val="24"/>
        </w:rPr>
      </w:pPr>
      <w:r w:rsidRPr="00C93329">
        <w:rPr>
          <w:rFonts w:ascii="Times New Roman" w:hAnsi="Times New Roman" w:cs="Times New Roman"/>
          <w:sz w:val="24"/>
          <w:szCs w:val="24"/>
        </w:rPr>
        <w:t>• La dimensión internacional de la política de aguas, también en el medio marino.</w:t>
      </w:r>
    </w:p>
    <w:p w:rsidR="00C93329" w:rsidRDefault="00C93329" w:rsidP="00FD3383">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C93329">
        <w:rPr>
          <w:rFonts w:ascii="Times New Roman" w:eastAsia="Times New Roman" w:hAnsi="Times New Roman" w:cs="Times New Roman"/>
          <w:noProof/>
          <w:sz w:val="24"/>
          <w:szCs w:val="24"/>
          <w:lang w:val="en-GB" w:eastAsia="zh-CN"/>
        </w:rPr>
        <w:drawing>
          <wp:inline distT="0" distB="0" distL="0" distR="0">
            <wp:extent cx="5727700" cy="3524250"/>
            <wp:effectExtent l="0" t="0" r="635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31510" cy="3526594"/>
                    </a:xfrm>
                    <a:prstGeom prst="rect">
                      <a:avLst/>
                    </a:prstGeom>
                  </pic:spPr>
                </pic:pic>
              </a:graphicData>
            </a:graphic>
          </wp:inline>
        </w:drawing>
      </w:r>
    </w:p>
    <w:p w:rsidR="00C93329" w:rsidRDefault="00C93329" w:rsidP="00FD338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C93329">
        <w:rPr>
          <w:rFonts w:ascii="Times New Roman" w:eastAsia="Times New Roman" w:hAnsi="Times New Roman" w:cs="Times New Roman"/>
          <w:b/>
          <w:sz w:val="24"/>
          <w:szCs w:val="24"/>
          <w:lang w:eastAsia="es-ES"/>
        </w:rPr>
        <w:t xml:space="preserve">Nota: </w:t>
      </w:r>
      <w:r>
        <w:rPr>
          <w:rFonts w:ascii="Times New Roman" w:eastAsia="Times New Roman" w:hAnsi="Times New Roman" w:cs="Times New Roman"/>
          <w:b/>
          <w:sz w:val="24"/>
          <w:szCs w:val="24"/>
          <w:lang w:eastAsia="es-ES"/>
        </w:rPr>
        <w:t>nunca llueve a gusto de todos</w:t>
      </w:r>
      <w:r w:rsidR="00612CC4">
        <w:rPr>
          <w:rFonts w:ascii="Times New Roman" w:eastAsia="Times New Roman" w:hAnsi="Times New Roman" w:cs="Times New Roman"/>
          <w:b/>
          <w:sz w:val="24"/>
          <w:szCs w:val="24"/>
          <w:lang w:eastAsia="es-ES"/>
        </w:rPr>
        <w:t xml:space="preserve"> (todo resiliente, ecosostenible, y la casa sin barrer</w:t>
      </w:r>
      <w:r>
        <w:rPr>
          <w:rFonts w:ascii="Times New Roman" w:eastAsia="Times New Roman" w:hAnsi="Times New Roman" w:cs="Times New Roman"/>
          <w:b/>
          <w:sz w:val="24"/>
          <w:szCs w:val="24"/>
          <w:lang w:eastAsia="es-ES"/>
        </w:rPr>
        <w:t>)</w:t>
      </w:r>
    </w:p>
    <w:p w:rsidR="00C93329" w:rsidRPr="00857B04" w:rsidRDefault="00C93329" w:rsidP="00FD338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857B04">
        <w:rPr>
          <w:rFonts w:ascii="Times New Roman" w:eastAsia="Times New Roman" w:hAnsi="Times New Roman" w:cs="Times New Roman"/>
          <w:b/>
          <w:sz w:val="24"/>
          <w:szCs w:val="24"/>
          <w:lang w:eastAsia="es-ES"/>
        </w:rPr>
        <w:t>Se echa en falta una política de mejora</w:t>
      </w:r>
      <w:r w:rsidR="00216A85" w:rsidRPr="00857B04">
        <w:rPr>
          <w:rFonts w:ascii="Times New Roman" w:eastAsia="Times New Roman" w:hAnsi="Times New Roman" w:cs="Times New Roman"/>
          <w:b/>
          <w:sz w:val="24"/>
          <w:szCs w:val="24"/>
          <w:lang w:eastAsia="es-ES"/>
        </w:rPr>
        <w:t xml:space="preserve"> de</w:t>
      </w:r>
      <w:r w:rsidRPr="00857B04">
        <w:rPr>
          <w:rFonts w:ascii="Times New Roman" w:eastAsia="Times New Roman" w:hAnsi="Times New Roman" w:cs="Times New Roman"/>
          <w:b/>
          <w:sz w:val="24"/>
          <w:szCs w:val="24"/>
          <w:lang w:eastAsia="es-ES"/>
        </w:rPr>
        <w:t xml:space="preserve"> la gestión del agua, a nivel europeo. </w:t>
      </w:r>
    </w:p>
    <w:p w:rsidR="00C93329" w:rsidRPr="00857B04" w:rsidRDefault="00C93329" w:rsidP="00FD338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857B04">
        <w:rPr>
          <w:rFonts w:ascii="Times New Roman" w:eastAsia="Times New Roman" w:hAnsi="Times New Roman" w:cs="Times New Roman"/>
          <w:b/>
          <w:sz w:val="24"/>
          <w:szCs w:val="24"/>
          <w:lang w:eastAsia="es-ES"/>
        </w:rPr>
        <w:t>Se echa en falta una política de tratamiento de aguas residuales, a nivel europeo.</w:t>
      </w:r>
    </w:p>
    <w:p w:rsidR="00216A85" w:rsidRPr="00857B04" w:rsidRDefault="00216A85" w:rsidP="00216A85">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857B04">
        <w:rPr>
          <w:rFonts w:ascii="Times New Roman" w:eastAsia="Times New Roman" w:hAnsi="Times New Roman" w:cs="Times New Roman"/>
          <w:b/>
          <w:sz w:val="24"/>
          <w:szCs w:val="24"/>
          <w:lang w:eastAsia="es-ES"/>
        </w:rPr>
        <w:lastRenderedPageBreak/>
        <w:t>Siguen existiendo importantes deficiencias en cuanto a la inversión en el ámbito de la gestión de los recursos naturales para garantizar un modelo de desarrol</w:t>
      </w:r>
      <w:r w:rsidR="00857B04">
        <w:rPr>
          <w:rFonts w:ascii="Times New Roman" w:eastAsia="Times New Roman" w:hAnsi="Times New Roman" w:cs="Times New Roman"/>
          <w:b/>
          <w:sz w:val="24"/>
          <w:szCs w:val="24"/>
          <w:lang w:eastAsia="es-ES"/>
        </w:rPr>
        <w:t>lo más sostenible (</w:t>
      </w:r>
      <w:r w:rsidRPr="00857B04">
        <w:rPr>
          <w:rFonts w:ascii="Times New Roman" w:eastAsia="Times New Roman" w:hAnsi="Times New Roman" w:cs="Times New Roman"/>
          <w:b/>
          <w:sz w:val="24"/>
          <w:szCs w:val="24"/>
          <w:lang w:eastAsia="es-ES"/>
        </w:rPr>
        <w:t>infraestructura para mejorar la gestión del agua, depuración de aguas residuales,  filtraciones en las redes de distribución d</w:t>
      </w:r>
      <w:r w:rsidR="00612CC4" w:rsidRPr="00857B04">
        <w:rPr>
          <w:rFonts w:ascii="Times New Roman" w:eastAsia="Times New Roman" w:hAnsi="Times New Roman" w:cs="Times New Roman"/>
          <w:b/>
          <w:sz w:val="24"/>
          <w:szCs w:val="24"/>
          <w:lang w:eastAsia="es-ES"/>
        </w:rPr>
        <w:t>el agua y el suministro de agua).</w:t>
      </w:r>
    </w:p>
    <w:p w:rsidR="00612CC4" w:rsidRPr="00857B04" w:rsidRDefault="00612CC4" w:rsidP="00216A85">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857B04">
        <w:rPr>
          <w:rFonts w:ascii="Times New Roman" w:eastAsia="Times New Roman" w:hAnsi="Times New Roman" w:cs="Times New Roman"/>
          <w:b/>
          <w:sz w:val="24"/>
          <w:szCs w:val="24"/>
          <w:lang w:eastAsia="es-ES"/>
        </w:rPr>
        <w:t>Falta una política de trasvases y aprovechamiento de recursos hídricos a nivel europeo.</w:t>
      </w:r>
    </w:p>
    <w:p w:rsidR="001F7020" w:rsidRPr="001F7020" w:rsidRDefault="001F7020" w:rsidP="00216A85">
      <w:pPr>
        <w:shd w:val="clear" w:color="auto" w:fill="FFFFFF"/>
        <w:spacing w:line="240" w:lineRule="auto"/>
        <w:jc w:val="both"/>
        <w:textAlignment w:val="baseline"/>
        <w:rPr>
          <w:rFonts w:ascii="Times New Roman" w:hAnsi="Times New Roman" w:cs="Times New Roman"/>
          <w:sz w:val="24"/>
          <w:szCs w:val="24"/>
        </w:rPr>
      </w:pPr>
      <w:r w:rsidRPr="001F7020">
        <w:rPr>
          <w:rFonts w:ascii="Times New Roman" w:hAnsi="Times New Roman" w:cs="Times New Roman"/>
          <w:sz w:val="24"/>
          <w:szCs w:val="24"/>
        </w:rPr>
        <w:t xml:space="preserve">Dentro de este enfoque general, es preciso diferenciar la gestión de las aguas superficiales y la de las aguas subterráneas. Por razones históricas se han desarrollado dos modelos de gestión diferentes: una para las aguas superficiales y otra para las subterráneas. Las aguas superficiales han quedado bajo dominio público, mientras que las aguas subterráneas han sido apropiadas por el dueño del terreno en el que se perfora el correspondiente pozo. </w:t>
      </w:r>
    </w:p>
    <w:p w:rsidR="001F7020" w:rsidRPr="001F7020" w:rsidRDefault="001F7020" w:rsidP="001F7020">
      <w:pPr>
        <w:shd w:val="clear" w:color="auto" w:fill="FFFFFF"/>
        <w:spacing w:line="240" w:lineRule="auto"/>
        <w:jc w:val="both"/>
        <w:textAlignment w:val="baseline"/>
        <w:rPr>
          <w:rFonts w:ascii="Times New Roman" w:hAnsi="Times New Roman" w:cs="Times New Roman"/>
          <w:sz w:val="24"/>
          <w:szCs w:val="24"/>
        </w:rPr>
      </w:pPr>
      <w:r w:rsidRPr="001F7020">
        <w:rPr>
          <w:rFonts w:ascii="Times New Roman" w:hAnsi="Times New Roman" w:cs="Times New Roman"/>
          <w:sz w:val="24"/>
          <w:szCs w:val="24"/>
        </w:rPr>
        <w:t>Según los enfoques más modernos, debería ser el Estado, quien desde sus amplias capacidades recaudatorias y financieras asumiera el reto de “dominar los ríos”, en nombre del “interés general”, para poner sus caudales, una vez regulados, al servicio del desarrollo socioeconómico del país.</w:t>
      </w:r>
    </w:p>
    <w:p w:rsidR="001F7020" w:rsidRPr="001F7020" w:rsidRDefault="001F7020" w:rsidP="001F7020">
      <w:pPr>
        <w:shd w:val="clear" w:color="auto" w:fill="FFFFFF"/>
        <w:spacing w:line="240" w:lineRule="auto"/>
        <w:jc w:val="both"/>
        <w:textAlignment w:val="baseline"/>
        <w:rPr>
          <w:rFonts w:ascii="Times New Roman" w:hAnsi="Times New Roman" w:cs="Times New Roman"/>
          <w:sz w:val="24"/>
          <w:szCs w:val="24"/>
        </w:rPr>
      </w:pPr>
      <w:r w:rsidRPr="001F7020">
        <w:rPr>
          <w:rFonts w:ascii="Times New Roman" w:hAnsi="Times New Roman" w:cs="Times New Roman"/>
          <w:sz w:val="24"/>
          <w:szCs w:val="24"/>
        </w:rPr>
        <w:t>Es importante resaltar que, tanto en el ámbito de la gestión de las aguas superficiales como en el de las aguas subterráneas, desde modelos de gestión bien diferentes, se ha desembocado en graves problemas de “irracionalidad económica”. Resulta paradójico que, aunque en ambos casos domine un enfoque de “gestión de recurso”, en el que el agua es considerada esencialmente como un bien económico, se hayan desarrollado tales problemas de irracionalidad económica.</w:t>
      </w:r>
    </w:p>
    <w:p w:rsidR="001F7020" w:rsidRDefault="001F7020" w:rsidP="001F7020">
      <w:pPr>
        <w:shd w:val="clear" w:color="auto" w:fill="FFFFFF"/>
        <w:spacing w:line="240" w:lineRule="auto"/>
        <w:jc w:val="both"/>
        <w:textAlignment w:val="baseline"/>
        <w:rPr>
          <w:rFonts w:ascii="Times New Roman" w:hAnsi="Times New Roman" w:cs="Times New Roman"/>
          <w:sz w:val="24"/>
          <w:szCs w:val="24"/>
        </w:rPr>
      </w:pPr>
      <w:r w:rsidRPr="001F7020">
        <w:rPr>
          <w:rFonts w:ascii="Times New Roman" w:hAnsi="Times New Roman" w:cs="Times New Roman"/>
          <w:sz w:val="24"/>
          <w:szCs w:val="24"/>
        </w:rPr>
        <w:t>En lo que se refiere a las aguas subterráneas, el modelo individualista vigente ha acabado por minar los incentivos de racionalidad económica que, en principio, había inducido la gestión privada. Al ignorarse, no sólo el sentido público de esas masas de agua, sino incluso el carácter común del patrimonio que representa un acuífero para sus usuarios, el “desgobierno” en la perforación de pozos y en la extracción de caudales, ha acabado por quebrar el derecho privativo de sus propios usuarios. En estas condiciones, ha desaparecido la tensión económica generada por la escasez física del recurso, con lo que se ha desactivado lo que se conoce como el coste de oportunidad (es decir su valor de escasez).</w:t>
      </w:r>
    </w:p>
    <w:p w:rsidR="001F7020" w:rsidRDefault="001F7020" w:rsidP="001F7020">
      <w:pPr>
        <w:shd w:val="clear" w:color="auto" w:fill="FFFFFF"/>
        <w:spacing w:line="240" w:lineRule="auto"/>
        <w:jc w:val="both"/>
        <w:textAlignment w:val="baseline"/>
        <w:rPr>
          <w:rFonts w:ascii="Times New Roman" w:hAnsi="Times New Roman" w:cs="Times New Roman"/>
          <w:sz w:val="24"/>
          <w:szCs w:val="24"/>
        </w:rPr>
      </w:pPr>
      <w:r w:rsidRPr="00EE46C6">
        <w:rPr>
          <w:rFonts w:ascii="Times New Roman" w:hAnsi="Times New Roman" w:cs="Times New Roman"/>
          <w:sz w:val="24"/>
          <w:szCs w:val="24"/>
        </w:rPr>
        <w:t>Otro concepto pendient</w:t>
      </w:r>
      <w:r w:rsidR="00EE46C6">
        <w:rPr>
          <w:rFonts w:ascii="Times New Roman" w:hAnsi="Times New Roman" w:cs="Times New Roman"/>
          <w:sz w:val="24"/>
          <w:szCs w:val="24"/>
        </w:rPr>
        <w:t>e de resolver a nivel europeo podría ser</w:t>
      </w:r>
      <w:r w:rsidRPr="00EE46C6">
        <w:rPr>
          <w:rFonts w:ascii="Times New Roman" w:hAnsi="Times New Roman" w:cs="Times New Roman"/>
          <w:sz w:val="24"/>
          <w:szCs w:val="24"/>
        </w:rPr>
        <w:t xml:space="preserve"> el de desequilibrio hidrol</w:t>
      </w:r>
      <w:r w:rsidR="00EE46C6">
        <w:rPr>
          <w:rFonts w:ascii="Times New Roman" w:hAnsi="Times New Roman" w:cs="Times New Roman"/>
          <w:sz w:val="24"/>
          <w:szCs w:val="24"/>
        </w:rPr>
        <w:t>ógico, basado en un sentido de “injusticia de la naturaleza”</w:t>
      </w:r>
      <w:r w:rsidRPr="00EE46C6">
        <w:rPr>
          <w:rFonts w:ascii="Times New Roman" w:hAnsi="Times New Roman" w:cs="Times New Roman"/>
          <w:sz w:val="24"/>
          <w:szCs w:val="24"/>
        </w:rPr>
        <w:t xml:space="preserve"> para con los pueblos y territorios con climas de menor pluviometría, cuya discriminación respecto a los de zo</w:t>
      </w:r>
      <w:r w:rsidR="00EE46C6" w:rsidRPr="00EE46C6">
        <w:rPr>
          <w:rFonts w:ascii="Times New Roman" w:hAnsi="Times New Roman" w:cs="Times New Roman"/>
          <w:sz w:val="24"/>
          <w:szCs w:val="24"/>
        </w:rPr>
        <w:t>nas húmedas, exigiría a las instituciones europeas</w:t>
      </w:r>
      <w:r w:rsidRPr="00EE46C6">
        <w:rPr>
          <w:rFonts w:ascii="Times New Roman" w:hAnsi="Times New Roman" w:cs="Times New Roman"/>
          <w:sz w:val="24"/>
          <w:szCs w:val="24"/>
        </w:rPr>
        <w:t xml:space="preserve"> la pe</w:t>
      </w:r>
      <w:r w:rsidR="00EE46C6">
        <w:rPr>
          <w:rFonts w:ascii="Times New Roman" w:hAnsi="Times New Roman" w:cs="Times New Roman"/>
          <w:sz w:val="24"/>
          <w:szCs w:val="24"/>
        </w:rPr>
        <w:t>rtinente rectificación de este “desorden”</w:t>
      </w:r>
      <w:r w:rsidRPr="00EE46C6">
        <w:rPr>
          <w:rFonts w:ascii="Times New Roman" w:hAnsi="Times New Roman" w:cs="Times New Roman"/>
          <w:sz w:val="24"/>
          <w:szCs w:val="24"/>
        </w:rPr>
        <w:t xml:space="preserve"> natural.</w:t>
      </w:r>
    </w:p>
    <w:p w:rsidR="00EE46C6" w:rsidRDefault="00EE46C6" w:rsidP="001F7020">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Habrá que hacer una adecuada y comunitaria, gestión de la oferta (disponibilidad de recursos hídricos), para hacer una racional gestión de la demanda (utilización de los recursos hídricos).</w:t>
      </w:r>
    </w:p>
    <w:p w:rsidR="00612CC4" w:rsidRPr="009A5AC5" w:rsidRDefault="00046B0C" w:rsidP="00216A85">
      <w:pPr>
        <w:shd w:val="clear" w:color="auto" w:fill="FFFFFF"/>
        <w:spacing w:line="240" w:lineRule="auto"/>
        <w:jc w:val="both"/>
        <w:textAlignment w:val="baseline"/>
        <w:rPr>
          <w:rFonts w:ascii="Times New Roman" w:hAnsi="Times New Roman" w:cs="Times New Roman"/>
          <w:b/>
          <w:sz w:val="24"/>
          <w:szCs w:val="24"/>
        </w:rPr>
      </w:pPr>
      <w:r w:rsidRPr="009A5AC5">
        <w:rPr>
          <w:rFonts w:ascii="Times New Roman" w:hAnsi="Times New Roman" w:cs="Times New Roman"/>
          <w:b/>
          <w:sz w:val="24"/>
          <w:szCs w:val="24"/>
        </w:rPr>
        <w:t>Habrá que homogeneizar los criterios técnico</w:t>
      </w:r>
      <w:r w:rsidR="009A5AC5">
        <w:rPr>
          <w:rFonts w:ascii="Times New Roman" w:hAnsi="Times New Roman" w:cs="Times New Roman"/>
          <w:b/>
          <w:sz w:val="24"/>
          <w:szCs w:val="24"/>
        </w:rPr>
        <w:t>s</w:t>
      </w:r>
      <w:r w:rsidRPr="009A5AC5">
        <w:rPr>
          <w:rFonts w:ascii="Times New Roman" w:hAnsi="Times New Roman" w:cs="Times New Roman"/>
          <w:b/>
          <w:sz w:val="24"/>
          <w:szCs w:val="24"/>
        </w:rPr>
        <w:t>, optimizando, y repartiendo, los recursos disponibles, para alcanzar los objetivos prioritarios: e</w:t>
      </w:r>
      <w:r w:rsidR="00EE46C6" w:rsidRPr="009A5AC5">
        <w:rPr>
          <w:rFonts w:ascii="Times New Roman" w:hAnsi="Times New Roman" w:cs="Times New Roman"/>
          <w:b/>
          <w:sz w:val="24"/>
          <w:szCs w:val="24"/>
        </w:rPr>
        <w:t xml:space="preserve">l agua-vida, en funciones básicas de supervivencia, tanto de los seres humanos, como de los demás seres vivos; </w:t>
      </w:r>
      <w:r w:rsidRPr="009A5AC5">
        <w:rPr>
          <w:rFonts w:ascii="Times New Roman" w:hAnsi="Times New Roman" w:cs="Times New Roman"/>
          <w:b/>
          <w:sz w:val="24"/>
          <w:szCs w:val="24"/>
        </w:rPr>
        <w:t>e</w:t>
      </w:r>
      <w:r w:rsidR="00EE46C6" w:rsidRPr="009A5AC5">
        <w:rPr>
          <w:rFonts w:ascii="Times New Roman" w:hAnsi="Times New Roman" w:cs="Times New Roman"/>
          <w:b/>
          <w:sz w:val="24"/>
          <w:szCs w:val="24"/>
        </w:rPr>
        <w:t>l agua-ciudadanía, en actividades de interés general de la sociedad en su conjunto; garantizando funciones de salud y de cohesión social (como los servicios urba</w:t>
      </w:r>
      <w:r w:rsidRPr="009A5AC5">
        <w:rPr>
          <w:rFonts w:ascii="Times New Roman" w:hAnsi="Times New Roman" w:cs="Times New Roman"/>
          <w:b/>
          <w:sz w:val="24"/>
          <w:szCs w:val="24"/>
        </w:rPr>
        <w:t>nos de agua y saneamiento); e</w:t>
      </w:r>
      <w:r w:rsidR="00EE46C6" w:rsidRPr="009A5AC5">
        <w:rPr>
          <w:rFonts w:ascii="Times New Roman" w:hAnsi="Times New Roman" w:cs="Times New Roman"/>
          <w:b/>
          <w:sz w:val="24"/>
          <w:szCs w:val="24"/>
        </w:rPr>
        <w:t>l agua-crecimiento, en funciones económicas de c</w:t>
      </w:r>
      <w:r w:rsidRPr="009A5AC5">
        <w:rPr>
          <w:rFonts w:ascii="Times New Roman" w:hAnsi="Times New Roman" w:cs="Times New Roman"/>
          <w:b/>
          <w:sz w:val="24"/>
          <w:szCs w:val="24"/>
        </w:rPr>
        <w:t>arácter productivo; e</w:t>
      </w:r>
      <w:r w:rsidR="00EE46C6" w:rsidRPr="009A5AC5">
        <w:rPr>
          <w:rFonts w:ascii="Times New Roman" w:hAnsi="Times New Roman" w:cs="Times New Roman"/>
          <w:b/>
          <w:sz w:val="24"/>
          <w:szCs w:val="24"/>
        </w:rPr>
        <w:t xml:space="preserve">l agua-delito: en usos productivos ilegítimos, cuando no ilegales (vertidos contaminantes, extracciones abusivas…) que lesionan el interés general de la </w:t>
      </w:r>
      <w:r w:rsidRPr="009A5AC5">
        <w:rPr>
          <w:rFonts w:ascii="Times New Roman" w:hAnsi="Times New Roman" w:cs="Times New Roman"/>
          <w:b/>
          <w:sz w:val="24"/>
          <w:szCs w:val="24"/>
        </w:rPr>
        <w:t xml:space="preserve">sociedad. </w:t>
      </w:r>
    </w:p>
    <w:p w:rsidR="009A5AC5" w:rsidRPr="00046B0C" w:rsidRDefault="009A5AC5" w:rsidP="00216A85">
      <w:pPr>
        <w:shd w:val="clear" w:color="auto" w:fill="FFFFFF"/>
        <w:spacing w:line="240" w:lineRule="auto"/>
        <w:jc w:val="both"/>
        <w:textAlignment w:val="baseline"/>
        <w:rPr>
          <w:rFonts w:ascii="Times New Roman" w:hAnsi="Times New Roman" w:cs="Times New Roman"/>
          <w:sz w:val="24"/>
          <w:szCs w:val="24"/>
        </w:rPr>
      </w:pPr>
    </w:p>
    <w:p w:rsidR="001C678E" w:rsidRDefault="001C678E" w:rsidP="001C678E">
      <w:pPr>
        <w:shd w:val="clear" w:color="auto" w:fill="FFFFFF"/>
        <w:spacing w:line="240" w:lineRule="auto"/>
        <w:jc w:val="both"/>
        <w:textAlignment w:val="baseline"/>
        <w:rPr>
          <w:rFonts w:ascii="Times New Roman" w:eastAsia="Times New Roman" w:hAnsi="Times New Roman" w:cs="Times New Roman"/>
          <w:b/>
          <w:color w:val="FF0000"/>
          <w:sz w:val="24"/>
          <w:szCs w:val="24"/>
          <w:lang w:eastAsia="es-ES"/>
        </w:rPr>
      </w:pPr>
      <w:r w:rsidRPr="00440577">
        <w:rPr>
          <w:rFonts w:ascii="Times New Roman" w:eastAsia="Times New Roman" w:hAnsi="Times New Roman" w:cs="Times New Roman"/>
          <w:b/>
          <w:color w:val="FF0000"/>
          <w:sz w:val="24"/>
          <w:szCs w:val="24"/>
          <w:lang w:eastAsia="es-ES"/>
        </w:rPr>
        <w:lastRenderedPageBreak/>
        <w:t>9 - El fracaso de los creadores de reglas</w:t>
      </w:r>
      <w:r>
        <w:rPr>
          <w:rFonts w:ascii="Times New Roman" w:eastAsia="Times New Roman" w:hAnsi="Times New Roman" w:cs="Times New Roman"/>
          <w:b/>
          <w:color w:val="FF0000"/>
          <w:sz w:val="24"/>
          <w:szCs w:val="24"/>
          <w:lang w:eastAsia="es-ES"/>
        </w:rPr>
        <w:t xml:space="preserve"> (el Hundimiento del establishment - I)</w:t>
      </w:r>
    </w:p>
    <w:p w:rsidR="001C678E" w:rsidRDefault="001C678E"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D65A2B">
        <w:rPr>
          <w:rFonts w:ascii="Times New Roman" w:eastAsia="Times New Roman" w:hAnsi="Times New Roman" w:cs="Times New Roman"/>
          <w:b/>
          <w:sz w:val="24"/>
          <w:szCs w:val="24"/>
          <w:lang w:eastAsia="es-ES"/>
        </w:rPr>
        <w:t>Entre la burocracia de burbuja y la procrastinación permanente</w:t>
      </w:r>
    </w:p>
    <w:p w:rsidR="001D7570" w:rsidRPr="00802BD6" w:rsidRDefault="001D7570" w:rsidP="001D7570">
      <w:pPr>
        <w:pStyle w:val="NormalWeb"/>
        <w:spacing w:after="360"/>
        <w:jc w:val="both"/>
        <w:rPr>
          <w:b/>
        </w:rPr>
      </w:pPr>
      <w:r w:rsidRPr="00802BD6">
        <w:rPr>
          <w:b/>
        </w:rPr>
        <w:t>Los principales bancos centrales (Fed, BCE, BoE, BOJ...) que hicieron funcionar el “metaverso” mon</w:t>
      </w:r>
      <w:r>
        <w:rPr>
          <w:b/>
        </w:rPr>
        <w:t>etario, no saben cómo detenerlo</w:t>
      </w:r>
    </w:p>
    <w:p w:rsidR="001D7570" w:rsidRPr="00482C1B" w:rsidRDefault="001D7570" w:rsidP="001D7570">
      <w:pPr>
        <w:pStyle w:val="NormalWeb"/>
        <w:spacing w:after="360"/>
        <w:jc w:val="both"/>
      </w:pPr>
      <w:r>
        <w:t xml:space="preserve">Sienten miedo de decir adiós al “paraíso” del gas de la risa. </w:t>
      </w:r>
      <w:r w:rsidRPr="00482C1B">
        <w:t xml:space="preserve">Pero la “monetización” pinta mal.  </w:t>
      </w:r>
    </w:p>
    <w:p w:rsidR="001D7570" w:rsidRDefault="001D7570" w:rsidP="001D7570">
      <w:pPr>
        <w:pStyle w:val="NormalWeb"/>
        <w:spacing w:after="360"/>
        <w:jc w:val="both"/>
      </w:pPr>
      <w:r w:rsidRPr="00DB66B1">
        <w:t>La alta inflación lo ha trastocado todo. También, como no podía ser de otra manera, las relaciones laborales. La conflictividad ha vuelto a crecer en demanda de más salarios y mejores condiciones de trabajo</w:t>
      </w:r>
      <w:r>
        <w:t>.</w:t>
      </w:r>
    </w:p>
    <w:p w:rsidR="001D7570" w:rsidRDefault="001D7570" w:rsidP="001D7570">
      <w:pPr>
        <w:pStyle w:val="NormalWeb"/>
        <w:spacing w:after="360"/>
        <w:jc w:val="both"/>
      </w:pPr>
      <w:r w:rsidRPr="00C66A85">
        <w:t>Algo está cambiando en las relaciones laborales en los países avanzados. Y no es otra cosa que una conflictividad creciente a medida que la inflación ha ido escalando (9,6% en los países de la OCDE en mayo). Reino Unido, Francia, EEUU, los países escandinavos y hasta Corea del Sur, donde tradicionalmente las empresas han vivido en la paz social, viven hoy periodos de litigiosidad laboral desconocidos en mucho tiempo. Hasta el punto de que se divisa un escenario muy distinto al de las últimas décadas.</w:t>
      </w:r>
    </w:p>
    <w:p w:rsidR="001D7570" w:rsidRDefault="001D7570" w:rsidP="001D7570">
      <w:pPr>
        <w:pStyle w:val="NormalWeb"/>
        <w:spacing w:after="360"/>
        <w:jc w:val="both"/>
      </w:pPr>
      <w:r>
        <w:t xml:space="preserve">Las “instituciones europeas” son </w:t>
      </w:r>
      <w:r w:rsidRPr="00AE0F95">
        <w:t xml:space="preserve">ahora un escenario en ruinas. Apenas hay planes o propuestas, proyectos u objetivos. Andan desesperados, despistados, cariacontecidos y algunos, </w:t>
      </w:r>
      <w:r>
        <w:t xml:space="preserve">hasta puede que </w:t>
      </w:r>
      <w:r w:rsidRPr="00AE0F95">
        <w:t>muy cabreados</w:t>
      </w:r>
      <w:r>
        <w:t xml:space="preserve"> (o al menos intentan aparentarlo)</w:t>
      </w:r>
      <w:r w:rsidRPr="00AE0F95">
        <w:t>.</w:t>
      </w:r>
    </w:p>
    <w:p w:rsidR="001D7570" w:rsidRDefault="001D7570" w:rsidP="001D7570">
      <w:pPr>
        <w:pStyle w:val="NormalWeb"/>
        <w:spacing w:after="360"/>
        <w:jc w:val="both"/>
      </w:pPr>
      <w:r>
        <w:t>H</w:t>
      </w:r>
      <w:r w:rsidRPr="00AE0F95">
        <w:t>a</w:t>
      </w:r>
      <w:r>
        <w:t>n</w:t>
      </w:r>
      <w:r w:rsidRPr="00AE0F95">
        <w:t xml:space="preserve"> superado ya su nivel de incompetencia</w:t>
      </w:r>
      <w:r>
        <w:t xml:space="preserve">, tienen sus cerebros vacíos, practican el pensamiento cero, confirmando </w:t>
      </w:r>
      <w:r w:rsidRPr="008F2AFE">
        <w:t>lo inadecuado de su p</w:t>
      </w:r>
      <w:r>
        <w:t>ermanencia al frente del negociado</w:t>
      </w:r>
      <w:r w:rsidRPr="008F2AFE">
        <w:t>.</w:t>
      </w:r>
    </w:p>
    <w:p w:rsidR="001D7570" w:rsidRDefault="001D7570" w:rsidP="001D7570">
      <w:pPr>
        <w:pStyle w:val="NormalWeb"/>
        <w:spacing w:after="360"/>
        <w:jc w:val="both"/>
      </w:pPr>
      <w:r w:rsidRPr="008F2AFE">
        <w:t>Ni una decisión unánime, ni un proyecto acompa</w:t>
      </w:r>
      <w:r>
        <w:t>sado, ni un acorde armónico. Todo es puro teatro y mensajes de Twitter.La UE</w:t>
      </w:r>
      <w:r w:rsidRPr="00751208">
        <w:t xml:space="preserve"> es un galimatías, un foco de conflictos, un barullo.</w:t>
      </w:r>
    </w:p>
    <w:p w:rsidR="001D7570" w:rsidRDefault="001D7570" w:rsidP="001D7570">
      <w:pPr>
        <w:pStyle w:val="NormalWeb"/>
        <w:spacing w:after="360"/>
        <w:jc w:val="both"/>
      </w:pPr>
      <w:r w:rsidRPr="00751208">
        <w:t>La inflación ar</w:t>
      </w:r>
      <w:r>
        <w:t>rasa con todo. Las autoridades</w:t>
      </w:r>
      <w:r w:rsidRPr="00751208">
        <w:t xml:space="preserve"> económica</w:t>
      </w:r>
      <w:r>
        <w:t>s</w:t>
      </w:r>
      <w:r w:rsidRPr="00751208">
        <w:t>, después de fal</w:t>
      </w:r>
      <w:r>
        <w:t>tar a la verdad durante meses (“coyuntural”, “pasajera”, “anecdótica”</w:t>
      </w:r>
      <w:r w:rsidRPr="00751208">
        <w:t>) acaba</w:t>
      </w:r>
      <w:r>
        <w:t>n por</w:t>
      </w:r>
      <w:r w:rsidRPr="00751208">
        <w:t xml:space="preserve"> reconocer que vienen ¡trimestres! de furia y do</w:t>
      </w:r>
      <w:r>
        <w:t>lor, aunque los “masajistas” habituales, los llamen… “complicados”</w:t>
      </w:r>
      <w:r w:rsidRPr="00751208">
        <w:t>.</w:t>
      </w:r>
    </w:p>
    <w:p w:rsidR="001D7570" w:rsidRDefault="001D7570" w:rsidP="001D7570">
      <w:pPr>
        <w:pStyle w:val="NormalWeb"/>
        <w:spacing w:after="360"/>
        <w:jc w:val="both"/>
      </w:pPr>
      <w:r>
        <w:t>Hasta algún miembro de la Comisión Europea (en un “lapsus” amateur)</w:t>
      </w:r>
      <w:r w:rsidRPr="00751208">
        <w:t xml:space="preserve"> ha apuntado</w:t>
      </w:r>
      <w:r>
        <w:t xml:space="preserve"> que tenemos la crisis “a las puertas de Europa”</w:t>
      </w:r>
      <w:r w:rsidRPr="00751208">
        <w:t>. Por no decir que se nos ha colado ya hasta la cocina.</w:t>
      </w:r>
    </w:p>
    <w:p w:rsidR="001D7570" w:rsidRDefault="001D7570" w:rsidP="001D7570">
      <w:pPr>
        <w:pStyle w:val="NormalWeb"/>
        <w:spacing w:after="360"/>
        <w:jc w:val="both"/>
      </w:pPr>
      <w:r>
        <w:t>Pero c</w:t>
      </w:r>
      <w:r w:rsidRPr="00476A98">
        <w:t>ontra la inflación no hay parapeto alguno. Ni control de</w:t>
      </w:r>
      <w:r>
        <w:t>l</w:t>
      </w:r>
      <w:r w:rsidRPr="00476A98">
        <w:t xml:space="preserve"> gasto</w:t>
      </w:r>
      <w:r>
        <w:t xml:space="preserve"> público, ni rebaja fiscal, </w:t>
      </w:r>
      <w:r w:rsidRPr="00476A98">
        <w:t>ni apoyo a la</w:t>
      </w:r>
      <w:r>
        <w:t>s familias</w:t>
      </w:r>
      <w:r w:rsidRPr="00476A98">
        <w:t>, ni ayuda a autónomos, a empresarios, al ah</w:t>
      </w:r>
      <w:r>
        <w:t>orro, a los jóvenes..</w:t>
      </w:r>
      <w:r w:rsidRPr="00476A98">
        <w:t>. Ni una idea en positivo, ni un paso en la dirección adecuada. La gasolina, la cesta de la compra, la luz, el gas, todo será peor en otoño. La opinión pública oscila entre la desesperación y</w:t>
      </w:r>
      <w:r>
        <w:t xml:space="preserve"> la ira, mientras la “burocracia bruselense”, incapaz de reaccionar,es arrastrada por la marea. </w:t>
      </w:r>
    </w:p>
    <w:p w:rsidR="007A417F" w:rsidRPr="007A417F" w:rsidRDefault="007A417F" w:rsidP="001C678E">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Las autoridades de los principales bancos centrales</w:t>
      </w:r>
      <w:r w:rsidRPr="007A417F">
        <w:rPr>
          <w:rFonts w:ascii="Times New Roman" w:eastAsia="Times New Roman" w:hAnsi="Times New Roman" w:cs="Times New Roman"/>
          <w:sz w:val="24"/>
          <w:szCs w:val="24"/>
          <w:lang w:eastAsia="es-ES"/>
        </w:rPr>
        <w:t xml:space="preserve"> se enfrentan a un reto mayúsculo: deben contener este repunte inflacionista a base de endurecer su política monetaria, al mismo tiempo que intentan evitar que la economía se hunda en una recesión, una tarea que cada vez más analistas dudan que vaya a ser posible.</w:t>
      </w:r>
      <w:r w:rsidR="00710A21" w:rsidRPr="00710A21">
        <w:rPr>
          <w:rFonts w:ascii="Times New Roman" w:hAnsi="Times New Roman" w:cs="Times New Roman"/>
          <w:sz w:val="24"/>
          <w:szCs w:val="24"/>
        </w:rPr>
        <w:t>¿Aceptarán la casi inevitable recesión que comportará la reducción de la demanda hasta ajustarla a la oferta disponible? ¿Darán la cara con todos los riesgos que ello comporta?</w:t>
      </w:r>
    </w:p>
    <w:p w:rsidR="005E59C2" w:rsidRPr="00126F8C" w:rsidRDefault="005E59C2" w:rsidP="005E59C2">
      <w:pPr>
        <w:pStyle w:val="NormalWeb"/>
        <w:spacing w:after="360"/>
        <w:jc w:val="both"/>
        <w:rPr>
          <w:b/>
        </w:rPr>
      </w:pPr>
      <w:r w:rsidRPr="00126F8C">
        <w:rPr>
          <w:b/>
        </w:rPr>
        <w:lastRenderedPageBreak/>
        <w:t>¿Cómo hemos llegado hasta aquí? (algunas reflexiones molestas)</w:t>
      </w:r>
    </w:p>
    <w:p w:rsidR="005E59C2" w:rsidRPr="00857B04" w:rsidRDefault="005E59C2" w:rsidP="005E59C2">
      <w:pPr>
        <w:pStyle w:val="NormalWeb"/>
        <w:spacing w:after="360"/>
        <w:jc w:val="both"/>
        <w:rPr>
          <w:b/>
        </w:rPr>
      </w:pPr>
      <w:r w:rsidRPr="00857B04">
        <w:rPr>
          <w:b/>
        </w:rPr>
        <w:t>Primera respuesta: repitiendo los errores del pasado (chapoteando en la oscuridad)</w:t>
      </w:r>
    </w:p>
    <w:p w:rsidR="005E59C2" w:rsidRPr="00857B04" w:rsidRDefault="005E59C2" w:rsidP="005E59C2">
      <w:pPr>
        <w:pStyle w:val="NormalWeb"/>
        <w:spacing w:after="360"/>
        <w:jc w:val="both"/>
        <w:rPr>
          <w:b/>
        </w:rPr>
      </w:pPr>
      <w:r w:rsidRPr="00857B04">
        <w:rPr>
          <w:b/>
        </w:rPr>
        <w:t>Segunda respuesta: aumentando el estatismo y la intervención de la economía</w:t>
      </w:r>
    </w:p>
    <w:p w:rsidR="005E59C2" w:rsidRPr="00857B04" w:rsidRDefault="005E59C2" w:rsidP="005E59C2">
      <w:pPr>
        <w:pStyle w:val="NormalWeb"/>
        <w:spacing w:after="360"/>
        <w:jc w:val="both"/>
        <w:rPr>
          <w:b/>
        </w:rPr>
      </w:pPr>
      <w:r w:rsidRPr="00857B04">
        <w:rPr>
          <w:b/>
        </w:rPr>
        <w:t>Tercera respuesta: expoliando al contribuyente (déficit, deuda, represión financiera)</w:t>
      </w:r>
    </w:p>
    <w:p w:rsidR="005E59C2" w:rsidRPr="00857B04" w:rsidRDefault="005E59C2" w:rsidP="005E59C2">
      <w:pPr>
        <w:pStyle w:val="NormalWeb"/>
        <w:spacing w:after="360"/>
        <w:jc w:val="both"/>
        <w:rPr>
          <w:b/>
        </w:rPr>
      </w:pPr>
      <w:r w:rsidRPr="00857B04">
        <w:rPr>
          <w:b/>
        </w:rPr>
        <w:t>Cuarta respuesta: aplicando una política medioambiental extrema, no proporcional</w:t>
      </w:r>
    </w:p>
    <w:p w:rsidR="005E59C2" w:rsidRPr="00857B04" w:rsidRDefault="005E59C2" w:rsidP="005E59C2">
      <w:pPr>
        <w:pStyle w:val="NormalWeb"/>
        <w:spacing w:after="360"/>
        <w:jc w:val="both"/>
        <w:rPr>
          <w:b/>
        </w:rPr>
      </w:pPr>
      <w:r w:rsidRPr="00857B04">
        <w:rPr>
          <w:b/>
        </w:rPr>
        <w:t>Quinta respuesta: sometiéndose a la ideología de género del movimiento LGTBIQ+</w:t>
      </w:r>
    </w:p>
    <w:p w:rsidR="005E59C2" w:rsidRPr="00857B04" w:rsidRDefault="005E59C2" w:rsidP="005E59C2">
      <w:pPr>
        <w:pStyle w:val="NormalWeb"/>
        <w:spacing w:after="360"/>
        <w:jc w:val="both"/>
        <w:rPr>
          <w:b/>
        </w:rPr>
      </w:pPr>
      <w:r w:rsidRPr="00857B04">
        <w:rPr>
          <w:b/>
        </w:rPr>
        <w:t>Sexta respuesta: claudicando ante los intereses de los EEUU o China (globalización)</w:t>
      </w:r>
    </w:p>
    <w:p w:rsidR="005E59C2" w:rsidRPr="00857B04" w:rsidRDefault="005E59C2" w:rsidP="005E59C2">
      <w:pPr>
        <w:pStyle w:val="NormalWeb"/>
        <w:spacing w:after="360"/>
        <w:jc w:val="both"/>
        <w:rPr>
          <w:b/>
        </w:rPr>
      </w:pPr>
      <w:r w:rsidRPr="00857B04">
        <w:rPr>
          <w:b/>
        </w:rPr>
        <w:t>Séptima respuesta: cediendo el aprovisionamiento de bienes estratégicos a dictadores</w:t>
      </w:r>
    </w:p>
    <w:p w:rsidR="005E59C2" w:rsidRPr="00857B04" w:rsidRDefault="005E59C2" w:rsidP="005E59C2">
      <w:pPr>
        <w:pStyle w:val="NormalWeb"/>
        <w:spacing w:after="360"/>
        <w:jc w:val="both"/>
        <w:rPr>
          <w:b/>
        </w:rPr>
      </w:pPr>
      <w:r w:rsidRPr="00857B04">
        <w:rPr>
          <w:b/>
        </w:rPr>
        <w:t>Octava respuesta: desconfiando de la capacidad del ciudadano para elegir su destino</w:t>
      </w:r>
    </w:p>
    <w:p w:rsidR="005E59C2" w:rsidRPr="00857B04" w:rsidRDefault="005E59C2" w:rsidP="005E59C2">
      <w:pPr>
        <w:pStyle w:val="NormalWeb"/>
        <w:spacing w:after="360"/>
        <w:jc w:val="both"/>
        <w:rPr>
          <w:b/>
        </w:rPr>
      </w:pPr>
      <w:r w:rsidRPr="00857B04">
        <w:rPr>
          <w:b/>
        </w:rPr>
        <w:t>Novena respuesta: creando una burocracia excesiva, intrusiva, y poco realista</w:t>
      </w:r>
    </w:p>
    <w:p w:rsidR="005E59C2" w:rsidRPr="00857B04" w:rsidRDefault="005E59C2" w:rsidP="005E59C2">
      <w:pPr>
        <w:pStyle w:val="NormalWeb"/>
        <w:spacing w:after="360"/>
        <w:jc w:val="both"/>
        <w:rPr>
          <w:b/>
        </w:rPr>
      </w:pPr>
      <w:r w:rsidRPr="00857B04">
        <w:rPr>
          <w:b/>
        </w:rPr>
        <w:t xml:space="preserve">Décima respuesta: mintiendo, manipulando, controlando, y estafando, a los europeos </w:t>
      </w:r>
    </w:p>
    <w:p w:rsidR="001C678E" w:rsidRDefault="001C678E" w:rsidP="001C678E">
      <w:pPr>
        <w:shd w:val="clear" w:color="auto" w:fill="FFFFFF"/>
        <w:spacing w:line="240" w:lineRule="auto"/>
        <w:jc w:val="both"/>
        <w:textAlignment w:val="baseline"/>
        <w:rPr>
          <w:rFonts w:ascii="Times New Roman" w:hAnsi="Times New Roman" w:cs="Times New Roman"/>
          <w:b/>
          <w:sz w:val="24"/>
          <w:szCs w:val="24"/>
        </w:rPr>
      </w:pPr>
      <w:r w:rsidRPr="00D65A2B">
        <w:rPr>
          <w:rFonts w:ascii="Times New Roman" w:hAnsi="Times New Roman" w:cs="Times New Roman"/>
          <w:b/>
          <w:sz w:val="24"/>
          <w:szCs w:val="24"/>
        </w:rPr>
        <w:t>El coste geopolítico de postergar a mañana las decisiones de hoy</w:t>
      </w:r>
    </w:p>
    <w:p w:rsidR="00CE0CC2" w:rsidRPr="00857B04" w:rsidRDefault="00CE0CC2" w:rsidP="00CE0CC2">
      <w:pPr>
        <w:pStyle w:val="NormalWeb"/>
        <w:spacing w:after="360"/>
        <w:jc w:val="both"/>
        <w:rPr>
          <w:b/>
        </w:rPr>
      </w:pPr>
      <w:r w:rsidRPr="00857B04">
        <w:rPr>
          <w:b/>
        </w:rPr>
        <w:t>Algún burócrata de la Comisión Europea o el Banco Central Europeo, se anima a explicar a los contribuyentes que, si la oferta monetaria permanece constante, no existe dinero adicional para que los individuos y las empresas puedan adquirir el mismo volumen de bienes y servicios que compraban antes del shock.</w:t>
      </w:r>
    </w:p>
    <w:p w:rsidR="00CE0CC2" w:rsidRPr="00857B04" w:rsidRDefault="00CE0CC2" w:rsidP="00CE0CC2">
      <w:pPr>
        <w:pStyle w:val="NormalWeb"/>
        <w:spacing w:after="360"/>
        <w:jc w:val="both"/>
        <w:rPr>
          <w:b/>
        </w:rPr>
      </w:pPr>
      <w:r w:rsidRPr="00857B04">
        <w:rPr>
          <w:b/>
        </w:rPr>
        <w:t>Algún burócrata de la Comisión Europea o el Banco Central Europeo  se anima a decir a los contribuyentes que, el problema principal es la inflación, que afecta a todos, no una recesión que alivia la inflación y afecta principalmente a una parte.</w:t>
      </w:r>
    </w:p>
    <w:p w:rsidR="00CE0CC2" w:rsidRPr="00857B04" w:rsidRDefault="00CE0CC2" w:rsidP="00CE0CC2">
      <w:pPr>
        <w:pStyle w:val="NormalWeb"/>
        <w:spacing w:after="360"/>
        <w:jc w:val="both"/>
        <w:rPr>
          <w:b/>
        </w:rPr>
      </w:pPr>
      <w:r w:rsidRPr="00857B04">
        <w:rPr>
          <w:b/>
        </w:rPr>
        <w:t>Europa está en una situación ciertamente complicada, ya que el covid y la guerra de Ucrania han añadido a la corrección monetaria y fiscal una masa de ahorro réco</w:t>
      </w:r>
      <w:r w:rsidR="00482C1B" w:rsidRPr="00857B04">
        <w:rPr>
          <w:b/>
        </w:rPr>
        <w:t>rd en su</w:t>
      </w:r>
      <w:r w:rsidRPr="00857B04">
        <w:rPr>
          <w:b/>
        </w:rPr>
        <w:t xml:space="preserve"> historia</w:t>
      </w:r>
      <w:r w:rsidR="00482C1B" w:rsidRPr="00857B04">
        <w:rPr>
          <w:b/>
        </w:rPr>
        <w:t>, es decir, una demanda adicional a la prevista por el sistema y, por tanto, un empujón de consumo potenciado por la “liberación” fin de covid, un efecto psicológico de “revancha”.</w:t>
      </w:r>
    </w:p>
    <w:p w:rsidR="00CE0CC2" w:rsidRDefault="00CE0CC2" w:rsidP="00CE0CC2">
      <w:pPr>
        <w:pStyle w:val="NormalWeb"/>
        <w:spacing w:after="360"/>
        <w:jc w:val="both"/>
      </w:pPr>
      <w:r>
        <w:t xml:space="preserve">“En un mundo ideal, querrías estimular la economía, pero al mismo tiempo reducir la inflación”, ha dicho Klaas Knot, gobernador del Banco de Países Bajos, en una entrevista en la televisión holandesa. “Desafortunadamente, eso no lo podemos hacer, tenemos que tomar una decisión y en este caso, nuestro mandato es muy claro: tenemos que elegir reducir la inflación”… </w:t>
      </w:r>
      <w:r w:rsidRPr="00EC5426">
        <w:rPr>
          <w:u w:val="single"/>
        </w:rPr>
        <w:t>El gran halcón del BCE pide sacrificar el crecimiento</w:t>
      </w:r>
      <w:r>
        <w:t xml:space="preserve"> (El Economista - </w:t>
      </w:r>
      <w:r w:rsidRPr="00EC5426">
        <w:rPr>
          <w:b/>
        </w:rPr>
        <w:t>8/7/22</w:t>
      </w:r>
      <w:r>
        <w:t>)</w:t>
      </w:r>
    </w:p>
    <w:p w:rsidR="00482C1B" w:rsidRDefault="00CE0CC2" w:rsidP="00482C1B">
      <w:pPr>
        <w:pStyle w:val="NormalWeb"/>
        <w:spacing w:after="360"/>
        <w:jc w:val="both"/>
      </w:pPr>
      <w:r>
        <w:t>El banquero holandés fue el primero en abrir la puerta a que el BCE subiera tipos en 50 puntos básicos de una tacada. Ahora, ante las sombrías perspectivas de crecimiento; tiene claro que el banco central tiene que aumentar el precio del dinero, aunque haya frenazo para la economía. “Mientras la economía se desacelera en los próximos meses y trimestres, aumentaremos las tasas de interés”, ha dicho.</w:t>
      </w:r>
    </w:p>
    <w:p w:rsidR="007A417F" w:rsidRDefault="00662B03" w:rsidP="00482C1B">
      <w:pPr>
        <w:pStyle w:val="NormalWeb"/>
        <w:spacing w:after="360"/>
        <w:jc w:val="both"/>
        <w:rPr>
          <w:b/>
        </w:rPr>
      </w:pPr>
      <w:r>
        <w:rPr>
          <w:b/>
        </w:rPr>
        <w:lastRenderedPageBreak/>
        <w:t>Unión Europea (cuesta abajo)</w:t>
      </w:r>
      <w:r w:rsidR="00A83D16">
        <w:rPr>
          <w:b/>
        </w:rPr>
        <w:t>: “l</w:t>
      </w:r>
      <w:r w:rsidR="001C678E">
        <w:rPr>
          <w:b/>
        </w:rPr>
        <w:t>a vergüenza de haber sido y el dolor de ya no ser</w:t>
      </w:r>
      <w:r w:rsidR="00A83D16">
        <w:rPr>
          <w:b/>
        </w:rPr>
        <w:t>”</w:t>
      </w:r>
    </w:p>
    <w:p w:rsidR="00A83D16" w:rsidRPr="00857B04" w:rsidRDefault="00A83D16" w:rsidP="00A83D16">
      <w:pPr>
        <w:pStyle w:val="NormalWeb"/>
        <w:spacing w:after="360"/>
        <w:jc w:val="both"/>
        <w:rPr>
          <w:b/>
        </w:rPr>
      </w:pPr>
      <w:r w:rsidRPr="00857B04">
        <w:rPr>
          <w:b/>
        </w:rPr>
        <w:t xml:space="preserve">Tiempo de silencio (¿puede haber “transparencia” detrás de un vidrio oscuro?) </w:t>
      </w:r>
    </w:p>
    <w:p w:rsidR="00A83D16" w:rsidRPr="00857B04" w:rsidRDefault="00A83D16" w:rsidP="00A83D16">
      <w:pPr>
        <w:pStyle w:val="NormalWeb"/>
        <w:spacing w:after="360"/>
        <w:jc w:val="both"/>
        <w:rPr>
          <w:b/>
        </w:rPr>
      </w:pPr>
      <w:r w:rsidRPr="00857B04">
        <w:rPr>
          <w:b/>
        </w:rPr>
        <w:t>Estos ladronazos no buscan el Estado de Bienestar, sino su bienestar a través del Estado. Por eso quieren (neces</w:t>
      </w:r>
      <w:r w:rsidR="002B27DE">
        <w:rPr>
          <w:b/>
        </w:rPr>
        <w:t>itan) planificar e intervenir, p</w:t>
      </w:r>
      <w:r w:rsidRPr="00857B04">
        <w:rPr>
          <w:b/>
        </w:rPr>
        <w:t>ara manejar los recursos. Fomentan el pobri</w:t>
      </w:r>
      <w:r w:rsidR="00BA798A">
        <w:rPr>
          <w:b/>
        </w:rPr>
        <w:t>smo (</w:t>
      </w:r>
      <w:proofErr w:type="spellStart"/>
      <w:r w:rsidR="00BA798A">
        <w:rPr>
          <w:b/>
        </w:rPr>
        <w:t>apesebrados</w:t>
      </w:r>
      <w:proofErr w:type="spellEnd"/>
      <w:r w:rsidR="00BA798A">
        <w:rPr>
          <w:b/>
        </w:rPr>
        <w:t xml:space="preserve"> y mantenidos) como abrevaderod</w:t>
      </w:r>
      <w:bookmarkStart w:id="0" w:name="_GoBack"/>
      <w:bookmarkEnd w:id="0"/>
      <w:r w:rsidR="002B27DE">
        <w:rPr>
          <w:b/>
        </w:rPr>
        <w:t>el clientelismo</w:t>
      </w:r>
      <w:r w:rsidRPr="00857B04">
        <w:rPr>
          <w:b/>
        </w:rPr>
        <w:t>.</w:t>
      </w:r>
    </w:p>
    <w:p w:rsidR="00A83D16" w:rsidRPr="00857B04" w:rsidRDefault="00A83D16" w:rsidP="00A83D16">
      <w:pPr>
        <w:pStyle w:val="NormalWeb"/>
        <w:spacing w:after="360"/>
        <w:jc w:val="both"/>
        <w:rPr>
          <w:b/>
        </w:rPr>
      </w:pPr>
      <w:r w:rsidRPr="00857B04">
        <w:rPr>
          <w:b/>
        </w:rPr>
        <w:t xml:space="preserve">De esta forma, ante el silencio pasmado de una sociedad ahogada por la crisis y a dos pasos de la ruina, van escribiendo el guion, procurando acelerar el tránsito de la  democracia (UE de los ciudadanos), a la dictadura del establishment (Gran Hermano).  </w:t>
      </w:r>
    </w:p>
    <w:p w:rsidR="00A83D16" w:rsidRPr="00857B04" w:rsidRDefault="00A83D16" w:rsidP="00A83D16">
      <w:pPr>
        <w:pStyle w:val="NormalWeb"/>
        <w:spacing w:after="360"/>
        <w:jc w:val="both"/>
        <w:rPr>
          <w:b/>
        </w:rPr>
      </w:pPr>
      <w:r w:rsidRPr="00857B04">
        <w:rPr>
          <w:b/>
        </w:rPr>
        <w:t>El asco que provocan, en medio de la crisis que padece la población, puede tener un efecto demoledor sobre la “confianza” en el futuro del proyecto comunitario.</w:t>
      </w:r>
    </w:p>
    <w:p w:rsidR="00A83D16" w:rsidRPr="00857B04" w:rsidRDefault="00A83D16" w:rsidP="00A83D16">
      <w:pPr>
        <w:pStyle w:val="NormalWeb"/>
        <w:spacing w:after="360"/>
        <w:jc w:val="both"/>
        <w:rPr>
          <w:b/>
        </w:rPr>
      </w:pPr>
      <w:r w:rsidRPr="00857B04">
        <w:rPr>
          <w:b/>
        </w:rPr>
        <w:t>Espero y deseo que una pronta “rebelión cívica” los ponga en su lugar. Por ahora, y hasta entonces, hay que ir “organizando la resistencia”. Es el propósito de mi denuncia.</w:t>
      </w:r>
    </w:p>
    <w:p w:rsidR="00A83D16" w:rsidRPr="00857B04" w:rsidRDefault="00A83D16" w:rsidP="00A83D16">
      <w:pPr>
        <w:pStyle w:val="NormalWeb"/>
        <w:spacing w:after="360"/>
        <w:jc w:val="both"/>
      </w:pPr>
      <w:r w:rsidRPr="00857B04">
        <w:t>Les presento algunos ejemplos de triquiñuelas económicas, o secretismo, con el que estos “gamers” (endiablados “precarios mentales”) pretenden desarmar a la opinión pública, para que califiquen su nivel de maldad:</w:t>
      </w:r>
    </w:p>
    <w:p w:rsidR="00A83D16" w:rsidRPr="00857B04" w:rsidRDefault="00A83D16" w:rsidP="00A83D16">
      <w:pPr>
        <w:pStyle w:val="NormalWeb"/>
        <w:spacing w:after="360"/>
        <w:jc w:val="both"/>
        <w:rPr>
          <w:u w:val="single"/>
        </w:rPr>
      </w:pPr>
      <w:r w:rsidRPr="00857B04">
        <w:rPr>
          <w:u w:val="single"/>
        </w:rPr>
        <w:t>Ya ni Alemania es lo que era (“que otro haga las leyes y nos deje hacer los reglamentos”)</w:t>
      </w:r>
    </w:p>
    <w:p w:rsidR="00A83D16" w:rsidRPr="00857B04" w:rsidRDefault="00A83D16" w:rsidP="00A83D16">
      <w:pPr>
        <w:pStyle w:val="NormalWeb"/>
        <w:spacing w:after="360"/>
        <w:jc w:val="both"/>
      </w:pPr>
      <w:r w:rsidRPr="00857B04">
        <w:t>(Proyecto Recovery File)</w:t>
      </w:r>
    </w:p>
    <w:p w:rsidR="00A83D16" w:rsidRPr="000F3BEC" w:rsidRDefault="00A83D16" w:rsidP="00A83D16">
      <w:pPr>
        <w:pStyle w:val="Ttulo1"/>
        <w:spacing w:before="0" w:beforeAutospacing="0" w:after="360" w:afterAutospacing="0"/>
        <w:jc w:val="both"/>
        <w:rPr>
          <w:b w:val="0"/>
          <w:bCs w:val="0"/>
          <w:sz w:val="24"/>
          <w:szCs w:val="24"/>
        </w:rPr>
      </w:pPr>
      <w:r>
        <w:rPr>
          <w:b w:val="0"/>
          <w:bCs w:val="0"/>
          <w:sz w:val="24"/>
          <w:szCs w:val="24"/>
        </w:rPr>
        <w:t xml:space="preserve">- </w:t>
      </w:r>
      <w:r w:rsidRPr="000F3BEC">
        <w:rPr>
          <w:b w:val="0"/>
          <w:bCs w:val="0"/>
          <w:sz w:val="24"/>
          <w:szCs w:val="24"/>
          <w:u w:val="single"/>
        </w:rPr>
        <w:t>Sabotaje alemán al fondo de recuperación: así se ocultó quiénes reciben el dinero</w:t>
      </w:r>
      <w:r>
        <w:rPr>
          <w:b w:val="0"/>
          <w:bCs w:val="0"/>
          <w:sz w:val="24"/>
          <w:szCs w:val="24"/>
        </w:rPr>
        <w:t xml:space="preserve"> (El Confidencial - </w:t>
      </w:r>
      <w:r w:rsidRPr="000F3BEC">
        <w:rPr>
          <w:bCs w:val="0"/>
          <w:sz w:val="24"/>
          <w:szCs w:val="24"/>
        </w:rPr>
        <w:t>29/6/22</w:t>
      </w:r>
      <w:r>
        <w:rPr>
          <w:b w:val="0"/>
          <w:bCs w:val="0"/>
          <w:sz w:val="24"/>
          <w:szCs w:val="24"/>
        </w:rPr>
        <w:t>)</w:t>
      </w:r>
    </w:p>
    <w:p w:rsidR="00A83D16" w:rsidRPr="00A83D16" w:rsidRDefault="00A83D16" w:rsidP="00A83D16">
      <w:pPr>
        <w:pStyle w:val="Ttulo2"/>
        <w:spacing w:before="0"/>
        <w:jc w:val="both"/>
        <w:rPr>
          <w:rFonts w:ascii="Times New Roman" w:hAnsi="Times New Roman" w:cs="Times New Roman"/>
          <w:b w:val="0"/>
          <w:color w:val="FF0000"/>
          <w:sz w:val="24"/>
          <w:szCs w:val="24"/>
        </w:rPr>
      </w:pPr>
      <w:r w:rsidRPr="00A83D16">
        <w:rPr>
          <w:rFonts w:ascii="Times New Roman" w:hAnsi="Times New Roman" w:cs="Times New Roman"/>
          <w:b w:val="0"/>
          <w:bCs w:val="0"/>
          <w:color w:val="FF0000"/>
          <w:sz w:val="24"/>
          <w:szCs w:val="24"/>
        </w:rPr>
        <w:t>A pesar de aprobarse hace dos años, en muchos países las ayudas Next Generation no cuentan con ningún sistema de transparencia ni fiscalización para saber adónde va el dinero</w:t>
      </w:r>
      <w:r w:rsidRPr="00A83D16">
        <w:rPr>
          <w:rFonts w:ascii="Times New Roman" w:hAnsi="Times New Roman" w:cs="Times New Roman"/>
          <w:b w:val="0"/>
          <w:color w:val="FF0000"/>
          <w:sz w:val="24"/>
          <w:szCs w:val="24"/>
        </w:rPr>
        <w:t>.</w:t>
      </w:r>
    </w:p>
    <w:p w:rsidR="00A83D16" w:rsidRPr="00A83D16" w:rsidRDefault="00A83D16" w:rsidP="00A83D16">
      <w:pPr>
        <w:pStyle w:val="Ttulo2"/>
        <w:spacing w:before="0"/>
        <w:jc w:val="both"/>
        <w:rPr>
          <w:rFonts w:ascii="Times New Roman" w:hAnsi="Times New Roman" w:cs="Times New Roman"/>
          <w:b w:val="0"/>
          <w:bCs w:val="0"/>
          <w:color w:val="FF0000"/>
          <w:sz w:val="24"/>
          <w:szCs w:val="24"/>
        </w:rPr>
      </w:pPr>
    </w:p>
    <w:p w:rsidR="00A83D16" w:rsidRPr="00A83D16" w:rsidRDefault="00A83D16" w:rsidP="00A83D16">
      <w:pPr>
        <w:spacing w:line="240" w:lineRule="auto"/>
        <w:jc w:val="both"/>
        <w:rPr>
          <w:rFonts w:ascii="Times New Roman" w:hAnsi="Times New Roman" w:cs="Times New Roman"/>
          <w:sz w:val="24"/>
          <w:szCs w:val="24"/>
        </w:rPr>
      </w:pPr>
      <w:r w:rsidRPr="00A83D16">
        <w:rPr>
          <w:rFonts w:ascii="Times New Roman" w:hAnsi="Times New Roman" w:cs="Times New Roman"/>
          <w:sz w:val="24"/>
          <w:szCs w:val="24"/>
        </w:rPr>
        <w:t>(Por </w:t>
      </w:r>
      <w:hyperlink r:id="rId166" w:history="1">
        <w:r w:rsidRPr="00A83D16">
          <w:rPr>
            <w:rStyle w:val="Hipervnculo"/>
            <w:rFonts w:ascii="Times New Roman" w:hAnsi="Times New Roman" w:cs="Times New Roman"/>
            <w:bCs/>
            <w:color w:val="auto"/>
            <w:sz w:val="24"/>
            <w:szCs w:val="24"/>
            <w:u w:val="none"/>
          </w:rPr>
          <w:t>J. G. Jorrín</w:t>
        </w:r>
      </w:hyperlink>
      <w:r w:rsidRPr="00A83D16">
        <w:rPr>
          <w:rFonts w:ascii="Times New Roman" w:hAnsi="Times New Roman" w:cs="Times New Roman"/>
          <w:sz w:val="24"/>
          <w:szCs w:val="24"/>
        </w:rPr>
        <w:t xml:space="preserve">, </w:t>
      </w:r>
      <w:hyperlink r:id="rId167" w:history="1">
        <w:r w:rsidRPr="00A83D16">
          <w:rPr>
            <w:rStyle w:val="Hipervnculo"/>
            <w:rFonts w:ascii="Times New Roman" w:hAnsi="Times New Roman" w:cs="Times New Roman"/>
            <w:bCs/>
            <w:color w:val="auto"/>
            <w:sz w:val="24"/>
            <w:szCs w:val="24"/>
            <w:u w:val="none"/>
          </w:rPr>
          <w:t>M. Ley</w:t>
        </w:r>
      </w:hyperlink>
      <w:r w:rsidRPr="00A83D16">
        <w:rPr>
          <w:rFonts w:ascii="Times New Roman" w:hAnsi="Times New Roman" w:cs="Times New Roman"/>
          <w:sz w:val="24"/>
          <w:szCs w:val="24"/>
        </w:rPr>
        <w:t xml:space="preserve">, y </w:t>
      </w:r>
      <w:hyperlink r:id="rId168" w:history="1">
        <w:r w:rsidRPr="00A83D16">
          <w:rPr>
            <w:rStyle w:val="Hipervnculo"/>
            <w:rFonts w:ascii="Times New Roman" w:hAnsi="Times New Roman" w:cs="Times New Roman"/>
            <w:bCs/>
            <w:color w:val="auto"/>
            <w:sz w:val="24"/>
            <w:szCs w:val="24"/>
            <w:u w:val="none"/>
          </w:rPr>
          <w:t>M. Zuil</w:t>
        </w:r>
      </w:hyperlink>
      <w:r w:rsidRPr="00A83D16">
        <w:rPr>
          <w:rFonts w:ascii="Times New Roman" w:hAnsi="Times New Roman" w:cs="Times New Roman"/>
          <w:sz w:val="24"/>
          <w:szCs w:val="24"/>
        </w:rPr>
        <w:t>)</w:t>
      </w:r>
    </w:p>
    <w:p w:rsidR="00A83D16" w:rsidRPr="00A83D16" w:rsidRDefault="00A83D16" w:rsidP="00A83D16">
      <w:pPr>
        <w:pStyle w:val="NormalWeb"/>
        <w:spacing w:before="0" w:beforeAutospacing="0" w:after="360" w:afterAutospacing="0"/>
        <w:jc w:val="both"/>
        <w:rPr>
          <w:u w:val="single"/>
        </w:rPr>
      </w:pPr>
      <w:r w:rsidRPr="00A83D16">
        <w:t>Hace unos días, Bruselas </w:t>
      </w:r>
      <w:hyperlink r:id="rId169" w:tgtFrame="_self" w:history="1">
        <w:r w:rsidRPr="00A83D16">
          <w:rPr>
            <w:rStyle w:val="Hipervnculo"/>
            <w:bCs/>
            <w:color w:val="auto"/>
            <w:u w:val="none"/>
          </w:rPr>
          <w:t>aprobaba el pago de la segunda ronda</w:t>
        </w:r>
      </w:hyperlink>
      <w:r w:rsidRPr="00A83D16">
        <w:t xml:space="preserve"> del fondo de recuperación de la crisis del coronavirus. Sin embargo, </w:t>
      </w:r>
      <w:r w:rsidRPr="00A83D16">
        <w:rPr>
          <w:u w:val="single"/>
        </w:rPr>
        <w:t>los Estados miembros europeos siguen haciendo que sea prácticamente imposible </w:t>
      </w:r>
      <w:r w:rsidRPr="00A83D16">
        <w:rPr>
          <w:rStyle w:val="Textoennegrita"/>
          <w:b w:val="0"/>
          <w:u w:val="single"/>
        </w:rPr>
        <w:t>controlar quién se beneficia de ellos,</w:t>
      </w:r>
      <w:r w:rsidRPr="00A83D16">
        <w:rPr>
          <w:u w:val="single"/>
        </w:rPr>
        <w:t> dos años después de ponerse en marcha el plan. </w:t>
      </w:r>
    </w:p>
    <w:p w:rsidR="00A83D16" w:rsidRPr="00C544B4" w:rsidRDefault="00A83D16" w:rsidP="00A83D16">
      <w:pPr>
        <w:pStyle w:val="NormalWeb"/>
        <w:spacing w:before="0" w:beforeAutospacing="0" w:after="360" w:afterAutospacing="0"/>
        <w:jc w:val="both"/>
        <w:rPr>
          <w:color w:val="FF0000"/>
          <w:u w:val="single"/>
        </w:rPr>
      </w:pPr>
      <w:r w:rsidRPr="00C544B4">
        <w:rPr>
          <w:color w:val="FF0000"/>
          <w:u w:val="single"/>
        </w:rPr>
        <w:t>A pesar de que el riesgo de</w:t>
      </w:r>
      <w:r w:rsidRPr="00C544B4">
        <w:rPr>
          <w:rStyle w:val="Textoennegrita"/>
          <w:b w:val="0"/>
          <w:color w:val="FF0000"/>
          <w:u w:val="single"/>
        </w:rPr>
        <w:t> fraude y corrupción </w:t>
      </w:r>
      <w:r w:rsidRPr="00C544B4">
        <w:rPr>
          <w:color w:val="FF0000"/>
          <w:u w:val="single"/>
        </w:rPr>
        <w:t>con </w:t>
      </w:r>
      <w:hyperlink r:id="rId170" w:tgtFrame="_self" w:history="1">
        <w:r w:rsidRPr="00C544B4">
          <w:rPr>
            <w:rStyle w:val="Hipervnculo"/>
            <w:bCs/>
            <w:color w:val="FF0000"/>
          </w:rPr>
          <w:t>los fondos de la Unión Europea</w:t>
        </w:r>
      </w:hyperlink>
      <w:r w:rsidRPr="00C544B4">
        <w:rPr>
          <w:color w:val="FF0000"/>
          <w:u w:val="single"/>
        </w:rPr>
        <w:t> está por encima del promedio, varios países siguen ocultando deliberadamente al escrutinio público miles de millones destinados a ayudar a Europa a recuperarse después de la devastadora epidemia de covid, en línea con las ambiciones ecológicas y digitales de la Unión Europea.</w:t>
      </w:r>
    </w:p>
    <w:p w:rsidR="00A83D16" w:rsidRPr="00C544B4" w:rsidRDefault="00A83D16" w:rsidP="00A83D16">
      <w:pPr>
        <w:pStyle w:val="NormalWeb"/>
        <w:spacing w:before="0" w:beforeAutospacing="0" w:after="360" w:afterAutospacing="0"/>
        <w:jc w:val="both"/>
        <w:rPr>
          <w:color w:val="FF0000"/>
          <w:u w:val="single"/>
        </w:rPr>
      </w:pPr>
      <w:r w:rsidRPr="00C544B4">
        <w:rPr>
          <w:color w:val="FF0000"/>
          <w:u w:val="single"/>
        </w:rPr>
        <w:t>Por este motivo, nace el proyecto </w:t>
      </w:r>
      <w:hyperlink r:id="rId171" w:tgtFrame="_blank" w:history="1">
        <w:r w:rsidRPr="00C544B4">
          <w:rPr>
            <w:rStyle w:val="Hipervnculo"/>
            <w:bCs/>
            <w:color w:val="FF0000"/>
          </w:rPr>
          <w:t>The Recovery Files</w:t>
        </w:r>
      </w:hyperlink>
      <w:r w:rsidRPr="00C544B4">
        <w:rPr>
          <w:color w:val="FF0000"/>
          <w:u w:val="single"/>
        </w:rPr>
        <w:t xml:space="preserve">, liderado por </w:t>
      </w:r>
      <w:r w:rsidRPr="00A83D16">
        <w:rPr>
          <w:color w:val="FF0000"/>
          <w:u w:val="single"/>
        </w:rPr>
        <w:t>Follow the Money</w:t>
      </w:r>
      <w:r w:rsidRPr="00C544B4">
        <w:rPr>
          <w:color w:val="FF0000"/>
          <w:u w:val="single"/>
        </w:rPr>
        <w:t>, en el que participan medios y periodistas de más de 15 Estados miembros, entre ellos El Confidencial. Para investigar cómo es posible que más de</w:t>
      </w:r>
      <w:r w:rsidRPr="00C544B4">
        <w:rPr>
          <w:rStyle w:val="Textoennegrita"/>
          <w:b w:val="0"/>
          <w:color w:val="FF0000"/>
          <w:u w:val="single"/>
        </w:rPr>
        <w:t> 723.000 millones de euros</w:t>
      </w:r>
      <w:r w:rsidRPr="00C544B4">
        <w:rPr>
          <w:color w:val="FF0000"/>
          <w:u w:val="single"/>
        </w:rPr>
        <w:t> de dinero público queden excluidos del escrutinio público.</w:t>
      </w:r>
    </w:p>
    <w:p w:rsidR="00A83D16" w:rsidRPr="00A83D16" w:rsidRDefault="00A83D16" w:rsidP="00A83D16">
      <w:pPr>
        <w:pStyle w:val="Ttulo2"/>
        <w:spacing w:before="240" w:after="240"/>
        <w:jc w:val="both"/>
        <w:rPr>
          <w:rFonts w:ascii="Times New Roman" w:hAnsi="Times New Roman" w:cs="Times New Roman"/>
          <w:b w:val="0"/>
          <w:color w:val="auto"/>
          <w:sz w:val="24"/>
          <w:szCs w:val="24"/>
        </w:rPr>
      </w:pPr>
      <w:r w:rsidRPr="00A83D16">
        <w:rPr>
          <w:rFonts w:ascii="Times New Roman" w:hAnsi="Times New Roman" w:cs="Times New Roman"/>
          <w:b w:val="0"/>
          <w:color w:val="auto"/>
          <w:sz w:val="24"/>
          <w:szCs w:val="24"/>
        </w:rPr>
        <w:lastRenderedPageBreak/>
        <w:t>El papel de Alemania en las negociaciones</w:t>
      </w:r>
    </w:p>
    <w:p w:rsidR="00A83D16" w:rsidRPr="00C544B4" w:rsidRDefault="00A83D16" w:rsidP="00A83D16">
      <w:pPr>
        <w:pStyle w:val="NormalWeb"/>
        <w:spacing w:before="0" w:beforeAutospacing="0" w:after="360" w:afterAutospacing="0"/>
        <w:jc w:val="both"/>
        <w:rPr>
          <w:u w:val="single"/>
        </w:rPr>
      </w:pPr>
      <w:r w:rsidRPr="000F3BEC">
        <w:t>En el verano de 2020, estalló la alegría en Bruselas con el acuerdo para la </w:t>
      </w:r>
      <w:hyperlink r:id="rId172" w:tgtFrame="_self" w:history="1">
        <w:r w:rsidRPr="00A83D16">
          <w:rPr>
            <w:rStyle w:val="Hipervnculo"/>
            <w:bCs/>
            <w:color w:val="auto"/>
          </w:rPr>
          <w:t>creación del fondo de recuperación del coronavirus</w:t>
        </w:r>
      </w:hyperlink>
      <w:r w:rsidRPr="000F3BEC">
        <w:t>, pero la letra pequeña estaba por definirse. Los Estados miembros estaban ansiosos por gastar los miles de millones en sus economías destrozadas por la crisis, pero el Parlamento Europeo, en particular, estaba </w:t>
      </w:r>
      <w:r w:rsidRPr="000F3BEC">
        <w:rPr>
          <w:rStyle w:val="Textoennegrita"/>
          <w:b w:val="0"/>
        </w:rPr>
        <w:t>preocupado por el fraude y la corrupción</w:t>
      </w:r>
      <w:r>
        <w:t xml:space="preserve">. </w:t>
      </w:r>
      <w:r w:rsidRPr="00C544B4">
        <w:rPr>
          <w:u w:val="single"/>
        </w:rPr>
        <w:t>“Nuestro objetivo era crear una base de datos única en la que se recogiera toda la información sobre los beneficiarios”, cuenta Tana Foarfă, asesora política del eurodiputado liberal rumano Dragoș Pîslaru (Renew Europe).</w:t>
      </w:r>
    </w:p>
    <w:p w:rsidR="00A83D16" w:rsidRPr="000F3BEC" w:rsidRDefault="00A83D16" w:rsidP="00A83D16">
      <w:pPr>
        <w:pStyle w:val="NormalWeb"/>
        <w:spacing w:before="0" w:beforeAutospacing="0" w:after="360" w:afterAutospacing="0"/>
        <w:jc w:val="both"/>
      </w:pPr>
      <w:r w:rsidRPr="000F3BEC">
        <w:t>La propia Foarfă estuvo presente en las negociaciones con los Estados miembros, unidos en el Consejo de la UE, y la Comisión Europea en otoño de 2020. A pesar del covid, las conversaciones entre los negociadores tuvieron lugar físicamente, con las mascarillas puestas y en los espacios más amplios posible.</w:t>
      </w:r>
      <w:r w:rsidRPr="000F3BEC">
        <w:rPr>
          <w:rStyle w:val="Textoennegrita"/>
          <w:b w:val="0"/>
        </w:rPr>
        <w:t> Las videollamadas no eran una opción</w:t>
      </w:r>
      <w:r>
        <w:t>: “</w:t>
      </w:r>
      <w:r w:rsidRPr="000F3BEC">
        <w:t>No servían, porque teníamos que poder consultar con nuestros colegas l</w:t>
      </w:r>
      <w:r>
        <w:t>a última hora de la negociación”</w:t>
      </w:r>
      <w:r w:rsidRPr="000F3BEC">
        <w:t>.</w:t>
      </w:r>
    </w:p>
    <w:p w:rsidR="00A83D16" w:rsidRPr="00A83D16" w:rsidRDefault="00A83D16" w:rsidP="00A83D16">
      <w:pPr>
        <w:pStyle w:val="NormalWeb"/>
        <w:spacing w:before="0" w:beforeAutospacing="0" w:after="360" w:afterAutospacing="0"/>
        <w:jc w:val="both"/>
        <w:rPr>
          <w:u w:val="single"/>
        </w:rPr>
      </w:pPr>
      <w:r w:rsidRPr="00A83D16">
        <w:rPr>
          <w:u w:val="single"/>
        </w:rPr>
        <w:t>A pesar de los esfuerzos del Parlamento Europeo, pronto quedó claro que los Estados miembros </w:t>
      </w:r>
      <w:r w:rsidRPr="00A83D16">
        <w:rPr>
          <w:rStyle w:val="Textoennegrita"/>
          <w:b w:val="0"/>
          <w:u w:val="single"/>
        </w:rPr>
        <w:t>no eran muy partidarios de la transparencia</w:t>
      </w:r>
      <w:r w:rsidRPr="00A83D16">
        <w:rPr>
          <w:u w:val="single"/>
        </w:rPr>
        <w:t>. Allí estaban representados por </w:t>
      </w:r>
      <w:r w:rsidRPr="00A83D16">
        <w:rPr>
          <w:rStyle w:val="Textoennegrita"/>
          <w:b w:val="0"/>
          <w:u w:val="single"/>
        </w:rPr>
        <w:t>Alemania</w:t>
      </w:r>
      <w:r w:rsidRPr="00A83D16">
        <w:rPr>
          <w:u w:val="single"/>
        </w:rPr>
        <w:t>, que presidía el Consejo durante ese semestre. De las conversaciones con diversas fuentes se desprende que, en la práctica, era sobre todo la propia </w:t>
      </w:r>
      <w:hyperlink r:id="rId173" w:tgtFrame="_self" w:history="1">
        <w:r w:rsidRPr="00A83D16">
          <w:rPr>
            <w:rStyle w:val="Hipervnculo"/>
            <w:bCs/>
            <w:color w:val="auto"/>
          </w:rPr>
          <w:t>Alemania la que no toleraba</w:t>
        </w:r>
      </w:hyperlink>
      <w:r w:rsidRPr="00A83D16">
        <w:rPr>
          <w:u w:val="single"/>
        </w:rPr>
        <w:t> ningún margen de maniobra en este tema. </w:t>
      </w:r>
    </w:p>
    <w:p w:rsidR="00A83D16" w:rsidRPr="000F3BEC" w:rsidRDefault="00A83D16" w:rsidP="00A83D16">
      <w:pPr>
        <w:pStyle w:val="NormalWeb"/>
        <w:spacing w:before="0" w:beforeAutospacing="0" w:after="360" w:afterAutospacing="0"/>
        <w:jc w:val="both"/>
      </w:pPr>
      <w:r>
        <w:t>Foarfă lo recuerda así: “</w:t>
      </w:r>
      <w:r w:rsidRPr="000F3BEC">
        <w:t>La discusión fue principalmente </w:t>
      </w:r>
      <w:r w:rsidRPr="000F3BEC">
        <w:rPr>
          <w:rStyle w:val="Textoennegrita"/>
          <w:b w:val="0"/>
        </w:rPr>
        <w:t>entre el Parlamento Europeo y el Consejo</w:t>
      </w:r>
      <w:r w:rsidRPr="000F3BEC">
        <w:t>. La Comisión apoyó abiertamente nuestro enfoque, ya que habría llevado a una uniformización de los datos proporcionados por los Estados miembros. El equipo de negociación del Parlamento realmente actuó como uno solo: habíamos comprobado a nivel técnico si nuestros deseos eran técnicamente factibles, y lo eran. Pero la presidencia alemana de la UE bloqueó toda la discusión sobre tal herramienta, no era un tema para ellos. La Comisión estuvo de nuestro lado, pero el único resultado fue un memorando de entendimiento firmado por el Parlamento y la Comisión al final de las negociaciones en el que ambas instituciones exponíamos nuestra posición y animábamos a los Estados miembros a proceder al tratamiento y recogida de información en un</w:t>
      </w:r>
      <w:r w:rsidRPr="000F3BEC">
        <w:rPr>
          <w:rStyle w:val="Textoennegrita"/>
          <w:b w:val="0"/>
        </w:rPr>
        <w:t> único formato interoperable</w:t>
      </w:r>
      <w:r w:rsidRPr="000F3BEC">
        <w:t>. Lo intentamos hasta las últimas reuniones. No había más tiempo, de lo contrario habría sido la UE la que bloquease el fondo de recuperación que tanto necesitaban muchos países. No sabemos qué Estados miembr</w:t>
      </w:r>
      <w:r>
        <w:t>os se opusieron específicamente”</w:t>
      </w:r>
      <w:r w:rsidRPr="000F3BEC">
        <w:t>.</w:t>
      </w:r>
    </w:p>
    <w:p w:rsidR="00A83D16" w:rsidRPr="00A83D16" w:rsidRDefault="00A83D16" w:rsidP="00A83D16">
      <w:pPr>
        <w:pStyle w:val="NormalWeb"/>
        <w:spacing w:before="0" w:beforeAutospacing="0" w:after="360" w:afterAutospacing="0"/>
        <w:jc w:val="both"/>
        <w:rPr>
          <w:u w:val="single"/>
        </w:rPr>
      </w:pPr>
      <w:r w:rsidRPr="000F3BEC">
        <w:t>Un alto funcionario del departamento financiero de la Comisión Europea afirma, bajo condición de anonimato, que el Gobierno alemán no estaba en absoluto interesado en la obligación de recopilar información en</w:t>
      </w:r>
      <w:r w:rsidRPr="000F3BEC">
        <w:rPr>
          <w:rStyle w:val="Textoennegrita"/>
          <w:b w:val="0"/>
        </w:rPr>
        <w:t> bases de datos centralizadas y ponerla a disposición del público</w:t>
      </w:r>
      <w:r>
        <w:t xml:space="preserve">. Tampoco el Gobierno sueco: </w:t>
      </w:r>
      <w:r w:rsidRPr="00A83D16">
        <w:rPr>
          <w:u w:val="single"/>
        </w:rPr>
        <w:t>“Queríamos que todos los Estados miembros usaran Arachne (un sistema de evaluación del riesgo de los proyectos), eso haría la información sobre los beneficiarios disponible para la Comisión Europea. Pero nos dimos cuenta de que la mayoría de Alemania y </w:t>
      </w:r>
      <w:hyperlink r:id="rId174" w:tgtFrame="_self" w:history="1">
        <w:r w:rsidRPr="00A83D16">
          <w:rPr>
            <w:rStyle w:val="Hipervnculo"/>
            <w:bCs/>
            <w:color w:val="auto"/>
          </w:rPr>
          <w:t>Suecia</w:t>
        </w:r>
      </w:hyperlink>
      <w:r w:rsidRPr="00A83D16">
        <w:rPr>
          <w:u w:val="single"/>
        </w:rPr>
        <w:t> tenía reservas. Suecia simplemente piensa que no hay corrupción en su país”.</w:t>
      </w:r>
    </w:p>
    <w:p w:rsidR="00A83D16" w:rsidRPr="00C544B4" w:rsidRDefault="00A83D16" w:rsidP="00A83D16">
      <w:pPr>
        <w:spacing w:line="240" w:lineRule="auto"/>
        <w:jc w:val="both"/>
        <w:rPr>
          <w:rFonts w:ascii="Times New Roman" w:hAnsi="Times New Roman" w:cs="Times New Roman"/>
          <w:color w:val="FF0000"/>
          <w:sz w:val="24"/>
          <w:szCs w:val="24"/>
          <w:u w:val="single"/>
        </w:rPr>
      </w:pPr>
      <w:r w:rsidRPr="00C544B4">
        <w:rPr>
          <w:rFonts w:ascii="Times New Roman" w:hAnsi="Times New Roman" w:cs="Times New Roman"/>
          <w:color w:val="FF0000"/>
          <w:sz w:val="24"/>
          <w:szCs w:val="24"/>
          <w:u w:val="single"/>
        </w:rPr>
        <w:t>El eurodiputado alemán </w:t>
      </w:r>
      <w:r w:rsidRPr="00C544B4">
        <w:rPr>
          <w:rStyle w:val="Textoennegrita"/>
          <w:rFonts w:ascii="Times New Roman" w:hAnsi="Times New Roman" w:cs="Times New Roman"/>
          <w:b w:val="0"/>
          <w:color w:val="FF0000"/>
          <w:sz w:val="24"/>
          <w:szCs w:val="24"/>
          <w:u w:val="single"/>
        </w:rPr>
        <w:t>Damian Boeselager </w:t>
      </w:r>
      <w:r w:rsidRPr="00C544B4">
        <w:rPr>
          <w:rFonts w:ascii="Times New Roman" w:hAnsi="Times New Roman" w:cs="Times New Roman"/>
          <w:color w:val="FF0000"/>
          <w:sz w:val="24"/>
          <w:szCs w:val="24"/>
          <w:u w:val="single"/>
        </w:rPr>
        <w:t>(Verdes), que también participó en las negociaciones, confirma esta lectura: “Los representantes del Gobierno alemán estaban en contra de la publicación de los nombres de los beneficiarios e incluso de la obligación de utilizar sistemas de datos que se vinculen entre sí”.</w:t>
      </w:r>
    </w:p>
    <w:p w:rsidR="00A83D16" w:rsidRPr="00C544B4" w:rsidRDefault="0038402B" w:rsidP="00A83D16">
      <w:pPr>
        <w:pStyle w:val="NormalWeb"/>
        <w:spacing w:before="0" w:beforeAutospacing="0" w:after="360" w:afterAutospacing="0"/>
        <w:jc w:val="both"/>
        <w:rPr>
          <w:color w:val="FF0000"/>
          <w:u w:val="single"/>
        </w:rPr>
      </w:pPr>
      <w:hyperlink r:id="rId175" w:tgtFrame="_self" w:history="1">
        <w:r w:rsidR="00A83D16" w:rsidRPr="00C544B4">
          <w:rPr>
            <w:rStyle w:val="Hipervnculo"/>
            <w:bCs/>
            <w:color w:val="FF0000"/>
          </w:rPr>
          <w:t>Alemania no solo frenó la apertura</w:t>
        </w:r>
      </w:hyperlink>
      <w:r w:rsidR="00A83D16" w:rsidRPr="00C544B4">
        <w:rPr>
          <w:color w:val="FF0000"/>
          <w:u w:val="single"/>
        </w:rPr>
        <w:t>, sino que </w:t>
      </w:r>
      <w:r w:rsidR="00A83D16" w:rsidRPr="00C544B4">
        <w:rPr>
          <w:rStyle w:val="Textoennegrita"/>
          <w:b w:val="0"/>
          <w:color w:val="FF0000"/>
          <w:u w:val="single"/>
        </w:rPr>
        <w:t>se ha negado a responder a las preguntas</w:t>
      </w:r>
      <w:r w:rsidR="00A83D16" w:rsidRPr="00C544B4">
        <w:rPr>
          <w:color w:val="FF0000"/>
          <w:u w:val="single"/>
        </w:rPr>
        <w:t xml:space="preserve"> de este consorcio de medios sobre el porqué. Pero el resto de Estados miembros tampoco se esforzaron por </w:t>
      </w:r>
      <w:r w:rsidR="004A36AB" w:rsidRPr="00C544B4">
        <w:rPr>
          <w:color w:val="FF0000"/>
          <w:u w:val="single"/>
        </w:rPr>
        <w:t>qué</w:t>
      </w:r>
      <w:r w:rsidR="00A83D16" w:rsidRPr="00C544B4">
        <w:rPr>
          <w:color w:val="FF0000"/>
          <w:u w:val="single"/>
        </w:rPr>
        <w:t xml:space="preserve"> se adoptase una postura diferente. Para Boeselager, es un claro error. “Se trata de un principio: si tú no me vigilas, yo no te vigilo. De hecho, aceptas que habrá corrupción”.</w:t>
      </w:r>
    </w:p>
    <w:p w:rsidR="00A83D16" w:rsidRPr="000F3BEC" w:rsidRDefault="00A83D16" w:rsidP="00A83D16">
      <w:pPr>
        <w:pStyle w:val="NormalWeb"/>
        <w:spacing w:before="0" w:beforeAutospacing="0" w:after="360" w:afterAutospacing="0"/>
        <w:jc w:val="both"/>
      </w:pPr>
      <w:r w:rsidRPr="000F3BEC">
        <w:t>En España, la </w:t>
      </w:r>
      <w:r w:rsidRPr="000F3BEC">
        <w:rPr>
          <w:rStyle w:val="Textoennegrita"/>
          <w:b w:val="0"/>
        </w:rPr>
        <w:t>transparencia de las convocatorias</w:t>
      </w:r>
      <w:r w:rsidRPr="000F3BEC">
        <w:t> no está siendo un problema tan relevante como en otros países europeos. El portal de contratación estatal aglutina la mayor parte de las convocatorias a medida que se van publicando y posteriormente se detallan las empresas beneficiarias. </w:t>
      </w:r>
      <w:hyperlink r:id="rId176" w:tgtFrame="_self" w:history="1">
        <w:r w:rsidRPr="00A83D16">
          <w:rPr>
            <w:rStyle w:val="Hipervnculo"/>
            <w:bCs/>
            <w:color w:val="auto"/>
          </w:rPr>
          <w:t>El Consejo de Estado fue especialmente cauteloso</w:t>
        </w:r>
      </w:hyperlink>
      <w:r w:rsidRPr="00A83D16">
        <w:t> </w:t>
      </w:r>
      <w:r w:rsidRPr="000F3BEC">
        <w:t>con la ejecución de los fondos europeos para asegurar que todo el dinero público siguiese los controles previos establecidos para los contratos ordinarios.</w:t>
      </w:r>
    </w:p>
    <w:p w:rsidR="00A83D16" w:rsidRPr="000F3BEC" w:rsidRDefault="00A83D16" w:rsidP="00A83D16">
      <w:pPr>
        <w:pStyle w:val="NormalWeb"/>
        <w:spacing w:before="0" w:beforeAutospacing="0" w:after="360" w:afterAutospacing="0"/>
        <w:jc w:val="both"/>
      </w:pPr>
      <w:r w:rsidRPr="000F3BEC">
        <w:t>El problema de España llega cuando lo que se quiere </w:t>
      </w:r>
      <w:r w:rsidRPr="000F3BEC">
        <w:rPr>
          <w:rStyle w:val="Textoennegrita"/>
          <w:b w:val="0"/>
        </w:rPr>
        <w:t>conocer es la ejecución del dinero público.</w:t>
      </w:r>
      <w:r w:rsidRPr="000F3BEC">
        <w:t> Tanto el Banco de España como </w:t>
      </w:r>
      <w:hyperlink r:id="rId177" w:tgtFrame="_self" w:history="1">
        <w:r w:rsidRPr="00A83D16">
          <w:rPr>
            <w:rStyle w:val="Hipervnculo"/>
            <w:bCs/>
            <w:color w:val="auto"/>
          </w:rPr>
          <w:t>la Autoridad Independiente de Responsabilidad Fiscal</w:t>
        </w:r>
      </w:hyperlink>
      <w:r w:rsidRPr="000F3BEC">
        <w:t> han reclamado en numerosas ocasiones al Gobierno que publique, a través de la Intervención General (IGAE), información sobre el desembolso de los fondos. Porque no es lo mismo la publicación de un contrato o su adjudicación que el gasto realizado.</w:t>
      </w:r>
    </w:p>
    <w:p w:rsidR="00A83D16" w:rsidRPr="000F3BEC" w:rsidRDefault="00A83D16" w:rsidP="00A83D16">
      <w:pPr>
        <w:pStyle w:val="NormalWeb"/>
        <w:spacing w:before="0" w:beforeAutospacing="0" w:after="360" w:afterAutospacing="0"/>
        <w:jc w:val="both"/>
      </w:pPr>
      <w:r w:rsidRPr="000F3BEC">
        <w:t>La IGAE publicó un primer informe sobre el ritmo de ejecución de los fondos al inicio del plan, en el mes de agosto de 2021. Sin embargo, </w:t>
      </w:r>
      <w:r w:rsidRPr="000F3BEC">
        <w:rPr>
          <w:rStyle w:val="Textoennegrita"/>
          <w:b w:val="0"/>
        </w:rPr>
        <w:t>esta información desapareció en los informes de ejecución posteriores y todavía no ha vuelto</w:t>
      </w:r>
      <w:r w:rsidRPr="000F3BEC">
        <w:t>. De hecho, los datos públicos de España de ejecución real de los fondos no los publicó el Gobierno, sino que fue la Comisión Europea a partir de la información remitida por España.</w:t>
      </w:r>
    </w:p>
    <w:p w:rsidR="00A83D16" w:rsidRPr="000F3BEC" w:rsidRDefault="00A83D16" w:rsidP="00A83D16">
      <w:pPr>
        <w:pStyle w:val="NormalWeb"/>
        <w:spacing w:before="0" w:beforeAutospacing="0" w:after="360" w:afterAutospacing="0"/>
        <w:jc w:val="both"/>
      </w:pPr>
      <w:r w:rsidRPr="000F3BEC">
        <w:t>Esta opacidad con el </w:t>
      </w:r>
      <w:hyperlink r:id="rId178" w:tgtFrame="_self" w:history="1">
        <w:r w:rsidRPr="00A83D16">
          <w:rPr>
            <w:rStyle w:val="Hipervnculo"/>
            <w:bCs/>
            <w:color w:val="auto"/>
          </w:rPr>
          <w:t>ritmo de gasto del dinero europeo</w:t>
        </w:r>
      </w:hyperlink>
      <w:r w:rsidRPr="000F3BEC">
        <w:t> está directamente relacionada con las </w:t>
      </w:r>
      <w:r w:rsidRPr="000F3BEC">
        <w:rPr>
          <w:rStyle w:val="Textoennegrita"/>
          <w:b w:val="0"/>
        </w:rPr>
        <w:t>dificultades del Gobierno para poner en marcha el plan</w:t>
      </w:r>
      <w:r w:rsidRPr="000F3BEC">
        <w:t>. En el año 2021, el gasto realizado apenas fue del 0,2% del PIB, cifra que contrasta con los casi dos puntos de gasto que anticipó el Ejecutivo. La dificultad para acelerar el gasto se deriva del reparto de competencias entre los distintos niveles de la Administración, lo que requiere que una parte significativa de la inversión sea realizada por comunidades autónomas o ayuntamientos.</w:t>
      </w:r>
    </w:p>
    <w:p w:rsidR="00A83D16" w:rsidRPr="000F3BEC" w:rsidRDefault="00A83D16" w:rsidP="00A83D16">
      <w:pPr>
        <w:pStyle w:val="NormalWeb"/>
        <w:spacing w:before="0" w:beforeAutospacing="0" w:after="360" w:afterAutospacing="0"/>
        <w:jc w:val="both"/>
      </w:pPr>
      <w:r w:rsidRPr="000F3BEC">
        <w:t>Los datos de ejecución fueron </w:t>
      </w:r>
      <w:r w:rsidRPr="000F3BEC">
        <w:rPr>
          <w:rStyle w:val="Textoennegrita"/>
          <w:b w:val="0"/>
        </w:rPr>
        <w:t>muy inferiores a los que esperaba el Gobierno</w:t>
      </w:r>
      <w:r w:rsidRPr="000F3BEC">
        <w:t> desde el primer momento. Y esto coincide con el momento en que el Ministerio de Hacienda optó por ocultar esta información (se ofrece agregada con toda la inversión pública). Esto imposibilita que las instituciones que supervisan la economía española puedan analizar cuál es el impacto de los fondos sobre la recuperación económica.</w:t>
      </w:r>
    </w:p>
    <w:p w:rsidR="00A83D16" w:rsidRPr="000F3BEC" w:rsidRDefault="00A83D16" w:rsidP="00A83D16">
      <w:pPr>
        <w:pStyle w:val="NormalWeb"/>
        <w:spacing w:before="0" w:beforeAutospacing="0" w:after="360" w:afterAutospacing="0"/>
        <w:jc w:val="both"/>
      </w:pPr>
      <w:r w:rsidRPr="000F3BEC">
        <w:t>Además, aunque </w:t>
      </w:r>
      <w:hyperlink r:id="rId179" w:tgtFrame="_self" w:history="1">
        <w:r w:rsidRPr="00A83D16">
          <w:rPr>
            <w:rStyle w:val="Hipervnculo"/>
            <w:bCs/>
            <w:color w:val="auto"/>
          </w:rPr>
          <w:t>los adjudicatarios de estos fondos</w:t>
        </w:r>
      </w:hyperlink>
      <w:r w:rsidRPr="000F3BEC">
        <w:t> sí son consultables en portales de transparencia, </w:t>
      </w:r>
      <w:r w:rsidRPr="000F3BEC">
        <w:rPr>
          <w:rStyle w:val="Textoennegrita"/>
          <w:b w:val="0"/>
        </w:rPr>
        <w:t>no están unificados y centralizados en uno solo,</w:t>
      </w:r>
      <w:r w:rsidRPr="000F3BEC">
        <w:t> y muchas veces depende de la voluntad de cada comunidad autónoma hacerlos más o menos accesibles.</w:t>
      </w:r>
    </w:p>
    <w:p w:rsidR="00A83D16" w:rsidRPr="002C599F" w:rsidRDefault="00A83D16" w:rsidP="00A83D16">
      <w:pPr>
        <w:pStyle w:val="NormalWeb"/>
        <w:spacing w:before="0" w:beforeAutospacing="0" w:after="360" w:afterAutospacing="0"/>
        <w:jc w:val="both"/>
        <w:rPr>
          <w:u w:val="single"/>
        </w:rPr>
      </w:pPr>
      <w:r w:rsidRPr="002C599F">
        <w:rPr>
          <w:u w:val="single"/>
        </w:rPr>
        <w:t>“No hemos acordado publicar quiénes son los beneficiarios en la base legal del fondo de recuperación”, explica </w:t>
      </w:r>
      <w:r w:rsidRPr="002C599F">
        <w:rPr>
          <w:rStyle w:val="Textoennegrita"/>
          <w:b w:val="0"/>
          <w:u w:val="single"/>
        </w:rPr>
        <w:t>Celine Gauer,</w:t>
      </w:r>
      <w:r w:rsidRPr="002C599F">
        <w:rPr>
          <w:u w:val="single"/>
        </w:rPr>
        <w:t> alta funcionaria de la Comisión Europea, a la pregunta de unos periodistas sobre la transparencia en la publicación de quién se lleva los contratos y subvenciones del nuevo gran fondo europeo. “Puede que se incluya o no,</w:t>
      </w:r>
      <w:r w:rsidRPr="002C599F">
        <w:rPr>
          <w:rStyle w:val="Textoennegrita"/>
          <w:b w:val="0"/>
          <w:u w:val="single"/>
        </w:rPr>
        <w:t> simplemente no está previsto</w:t>
      </w:r>
      <w:r w:rsidRPr="002C599F">
        <w:rPr>
          <w:u w:val="single"/>
        </w:rPr>
        <w:t>”. </w:t>
      </w:r>
    </w:p>
    <w:p w:rsidR="00A83D16" w:rsidRPr="002C599F" w:rsidRDefault="00A83D16" w:rsidP="00A83D16">
      <w:pPr>
        <w:pStyle w:val="NormalWeb"/>
        <w:spacing w:before="0" w:beforeAutospacing="0" w:after="360" w:afterAutospacing="0"/>
        <w:jc w:val="both"/>
        <w:rPr>
          <w:color w:val="FF0000"/>
          <w:u w:val="single"/>
        </w:rPr>
      </w:pPr>
      <w:r w:rsidRPr="002C599F">
        <w:rPr>
          <w:color w:val="FF0000"/>
          <w:u w:val="single"/>
        </w:rPr>
        <w:lastRenderedPageBreak/>
        <w:t>El pasado ha demostrado hasta qué punto el reparto de estos fondos no es ajeno a la</w:t>
      </w:r>
      <w:r w:rsidRPr="002C599F">
        <w:rPr>
          <w:rStyle w:val="Textoennegrita"/>
          <w:b w:val="0"/>
          <w:color w:val="FF0000"/>
          <w:u w:val="single"/>
        </w:rPr>
        <w:t> corrupción y el fraude</w:t>
      </w:r>
      <w:r w:rsidRPr="002C599F">
        <w:rPr>
          <w:color w:val="FF0000"/>
          <w:u w:val="single"/>
        </w:rPr>
        <w:t>, incluso en los círculos más altos de los gobiernos europeos. El primer ministro húngaro, </w:t>
      </w:r>
      <w:r w:rsidRPr="002C599F">
        <w:rPr>
          <w:rStyle w:val="Textoennegrita"/>
          <w:b w:val="0"/>
          <w:color w:val="FF0000"/>
          <w:u w:val="single"/>
        </w:rPr>
        <w:t>Viktor Orbán</w:t>
      </w:r>
      <w:r w:rsidRPr="002C599F">
        <w:rPr>
          <w:color w:val="FF0000"/>
          <w:u w:val="single"/>
        </w:rPr>
        <w:t>, se lleva la palma: logró canalizar fondos de la UE a amigos poderosos que son dueños de los medios, ayudándolo a mantenerse en el poder. O, en el caso del ex primer ministro checo </w:t>
      </w:r>
      <w:r w:rsidRPr="002C599F">
        <w:rPr>
          <w:rStyle w:val="Textoennegrita"/>
          <w:b w:val="0"/>
          <w:color w:val="FF0000"/>
          <w:u w:val="single"/>
        </w:rPr>
        <w:t>Andrej Babis</w:t>
      </w:r>
      <w:r w:rsidRPr="002C599F">
        <w:rPr>
          <w:color w:val="FF0000"/>
          <w:u w:val="single"/>
        </w:rPr>
        <w:t>, un documental de televisión reveló cómo logró canalizar </w:t>
      </w:r>
      <w:hyperlink r:id="rId180" w:tgtFrame="_self" w:history="1">
        <w:r w:rsidRPr="002C599F">
          <w:rPr>
            <w:rStyle w:val="Hipervnculo"/>
            <w:bCs/>
            <w:color w:val="FF0000"/>
          </w:rPr>
          <w:t>los subsidios agrícolas de la UE</w:t>
        </w:r>
      </w:hyperlink>
      <w:r w:rsidRPr="002C599F">
        <w:rPr>
          <w:color w:val="FF0000"/>
          <w:u w:val="single"/>
        </w:rPr>
        <w:t> a sus propias empresas.</w:t>
      </w:r>
    </w:p>
    <w:p w:rsidR="00A83D16" w:rsidRPr="002C599F" w:rsidRDefault="00A83D16" w:rsidP="00A83D16">
      <w:pPr>
        <w:pStyle w:val="NormalWeb"/>
        <w:spacing w:before="0" w:beforeAutospacing="0" w:after="360" w:afterAutospacing="0"/>
        <w:jc w:val="both"/>
        <w:rPr>
          <w:b/>
          <w:color w:val="FF0000"/>
          <w:u w:val="single"/>
        </w:rPr>
      </w:pPr>
      <w:r w:rsidRPr="002C599F">
        <w:rPr>
          <w:b/>
          <w:color w:val="FF0000"/>
          <w:u w:val="single"/>
        </w:rPr>
        <w:t xml:space="preserve">De manera más general, la UE ha reconocido que la contratación pública sigue siendo </w:t>
      </w:r>
      <w:r w:rsidRPr="002C599F">
        <w:rPr>
          <w:color w:val="FF0000"/>
          <w:u w:val="single"/>
        </w:rPr>
        <w:t>el</w:t>
      </w:r>
      <w:r w:rsidRPr="002C599F">
        <w:rPr>
          <w:rStyle w:val="Textoennegrita"/>
          <w:color w:val="FF0000"/>
          <w:u w:val="single"/>
        </w:rPr>
        <w:t> principal riesgo de corrupción para los Estados miembros</w:t>
      </w:r>
      <w:r w:rsidRPr="002C599F">
        <w:rPr>
          <w:rStyle w:val="Textoennegrita"/>
          <w:b w:val="0"/>
          <w:color w:val="FF0000"/>
          <w:u w:val="single"/>
        </w:rPr>
        <w:t> </w:t>
      </w:r>
      <w:r w:rsidRPr="002C599F">
        <w:rPr>
          <w:b/>
          <w:color w:val="FF0000"/>
          <w:u w:val="single"/>
        </w:rPr>
        <w:t>y le preocupa que se pierdan hasta 5.000 millones de euros cada año debido a la corrupción.</w:t>
      </w:r>
    </w:p>
    <w:p w:rsidR="00A83D16" w:rsidRPr="002C599F" w:rsidRDefault="00A83D16" w:rsidP="00A83D16">
      <w:pPr>
        <w:pStyle w:val="NormalWeb"/>
        <w:spacing w:before="0" w:beforeAutospacing="0" w:after="360" w:afterAutospacing="0"/>
        <w:jc w:val="both"/>
        <w:rPr>
          <w:u w:val="single"/>
        </w:rPr>
      </w:pPr>
      <w:r w:rsidRPr="002C599F">
        <w:rPr>
          <w:color w:val="FF0000"/>
          <w:u w:val="single"/>
        </w:rPr>
        <w:t>Una </w:t>
      </w:r>
      <w:hyperlink r:id="rId181" w:tgtFrame="_self" w:history="1">
        <w:r w:rsidRPr="002C599F">
          <w:rPr>
            <w:rStyle w:val="Hipervnculo"/>
            <w:bCs/>
            <w:color w:val="FF0000"/>
          </w:rPr>
          <w:t>investigación mostró</w:t>
        </w:r>
      </w:hyperlink>
      <w:r w:rsidRPr="002C599F">
        <w:rPr>
          <w:color w:val="FF0000"/>
          <w:u w:val="single"/>
        </w:rPr>
        <w:t> que los riesgos de fraude y corrupción son especialmente elevados en el caso de los fondos de la UE, en comparación con las subvenciones de los presupuestos nacionales</w:t>
      </w:r>
      <w:r w:rsidRPr="000F3BEC">
        <w:t xml:space="preserve">. El académico húngaro Mihaly Fazekas, que durante años vio con tristeza cómo se despilfarraban miles de millones en su país, se doctoró en esta cuestión. </w:t>
      </w:r>
      <w:r w:rsidRPr="002C599F">
        <w:rPr>
          <w:color w:val="FF0000"/>
          <w:u w:val="single"/>
        </w:rPr>
        <w:t>El experto ha llegado a la conclusión de que con estos fondos existe la sensación de que es</w:t>
      </w:r>
      <w:r w:rsidRPr="002C599F">
        <w:rPr>
          <w:rStyle w:val="Textoennegrita"/>
          <w:b w:val="0"/>
          <w:color w:val="FF0000"/>
          <w:u w:val="single"/>
        </w:rPr>
        <w:t> dinero “gratis”.</w:t>
      </w:r>
      <w:r w:rsidRPr="002C599F">
        <w:rPr>
          <w:color w:val="FF0000"/>
        </w:rPr>
        <w:t> </w:t>
      </w:r>
      <w:r w:rsidRPr="000F3BEC">
        <w:t>Y a ello se suma que el tipo de proyectos a los que se destinan las subvenciones contribuye a que la probabilidad de que el dinero de Brusela</w:t>
      </w:r>
      <w:r>
        <w:t xml:space="preserve">s se malgaste sea mucho mayor. </w:t>
      </w:r>
      <w:r w:rsidRPr="002C599F">
        <w:rPr>
          <w:u w:val="single"/>
        </w:rPr>
        <w:t>“Lo normal sería que el fondo de recuperación del covid abordara esos riesgos con </w:t>
      </w:r>
      <w:r w:rsidRPr="002C599F">
        <w:rPr>
          <w:rStyle w:val="Textoennegrita"/>
          <w:b w:val="0"/>
          <w:u w:val="single"/>
        </w:rPr>
        <w:t>controles adicionales</w:t>
      </w:r>
      <w:r w:rsidRPr="002C599F">
        <w:rPr>
          <w:u w:val="single"/>
        </w:rPr>
        <w:t>”, dice Fazekas. “Pero no está resuelto. No se han establecido requisitos adicionales para la licitación de proyectos”, añade.</w:t>
      </w:r>
    </w:p>
    <w:p w:rsidR="00A83D16" w:rsidRPr="002C599F" w:rsidRDefault="00A83D16" w:rsidP="00A83D16">
      <w:pPr>
        <w:pStyle w:val="NormalWeb"/>
        <w:spacing w:before="0" w:beforeAutospacing="0" w:after="360" w:afterAutospacing="0"/>
        <w:jc w:val="both"/>
        <w:rPr>
          <w:color w:val="FF0000"/>
          <w:u w:val="single"/>
        </w:rPr>
      </w:pPr>
      <w:r w:rsidRPr="002C599F">
        <w:rPr>
          <w:color w:val="FF0000"/>
          <w:u w:val="single"/>
        </w:rPr>
        <w:t>Sin embargo, desde la creación del fondo de recuperación </w:t>
      </w:r>
      <w:hyperlink r:id="rId182" w:tgtFrame="_self" w:history="1">
        <w:r w:rsidRPr="002C599F">
          <w:rPr>
            <w:rStyle w:val="Hipervnculo"/>
            <w:bCs/>
            <w:color w:val="FF0000"/>
          </w:rPr>
          <w:t>se hizo hincapié en que la transparencia sería óptima</w:t>
        </w:r>
      </w:hyperlink>
      <w:r w:rsidRPr="002C599F">
        <w:rPr>
          <w:color w:val="FF0000"/>
          <w:u w:val="single"/>
        </w:rPr>
        <w:t>. En septiembre de 2020, cuando aún no se habían negociado las reglas del juego, el presidente francés, </w:t>
      </w:r>
      <w:r w:rsidRPr="002C599F">
        <w:rPr>
          <w:rStyle w:val="Textoennegrita"/>
          <w:b w:val="0"/>
          <w:color w:val="FF0000"/>
          <w:u w:val="single"/>
        </w:rPr>
        <w:t>Emmanuel Macron,</w:t>
      </w:r>
      <w:r w:rsidRPr="002C599F">
        <w:rPr>
          <w:color w:val="FF0000"/>
          <w:u w:val="single"/>
        </w:rPr>
        <w:t> señaló que todas las ayudas debían estar disponibles en sistemas abiertos para que los ciudadanos pudieran seguir el rastro del dinero y para evitar el despilfarro y la corrupción.</w:t>
      </w:r>
    </w:p>
    <w:p w:rsidR="00A83D16" w:rsidRPr="002C599F" w:rsidRDefault="00A83D16" w:rsidP="00A83D16">
      <w:pPr>
        <w:pStyle w:val="NormalWeb"/>
        <w:spacing w:before="0" w:beforeAutospacing="0" w:after="360" w:afterAutospacing="0"/>
        <w:jc w:val="both"/>
        <w:rPr>
          <w:color w:val="FF0000"/>
          <w:u w:val="single"/>
        </w:rPr>
      </w:pPr>
      <w:r w:rsidRPr="002C599F">
        <w:rPr>
          <w:color w:val="FF0000"/>
          <w:u w:val="single"/>
        </w:rPr>
        <w:t>Ese llamamiento a la apertura coincidió con fuertes debates en Europa sobre los países menos transparentes. La Comisión Europea y el Parlamento Europeo querían impedir que esos Estados miembros, </w:t>
      </w:r>
      <w:r w:rsidRPr="002C599F">
        <w:rPr>
          <w:rStyle w:val="Textoennegrita"/>
          <w:b w:val="0"/>
          <w:color w:val="FF0000"/>
          <w:u w:val="single"/>
        </w:rPr>
        <w:t>especialmente Polonia y Hungría</w:t>
      </w:r>
      <w:r w:rsidRPr="002C599F">
        <w:rPr>
          <w:color w:val="FF0000"/>
          <w:u w:val="single"/>
        </w:rPr>
        <w:t>, pudieran recibir dinero de la UE si no se establecían mecanismos de control. La disputa quedó resuelta a favor de la Comisión</w:t>
      </w:r>
      <w:hyperlink r:id="rId183" w:tgtFrame="_self" w:history="1">
        <w:r w:rsidRPr="002C599F">
          <w:rPr>
            <w:rStyle w:val="Hipervnculo"/>
            <w:bCs/>
            <w:color w:val="FF0000"/>
          </w:rPr>
          <w:t> el pasado mes de febrero</w:t>
        </w:r>
      </w:hyperlink>
      <w:r w:rsidRPr="002C599F">
        <w:rPr>
          <w:color w:val="FF0000"/>
          <w:u w:val="single"/>
        </w:rPr>
        <w:t>.</w:t>
      </w:r>
    </w:p>
    <w:p w:rsidR="00A83D16" w:rsidRPr="002C599F" w:rsidRDefault="00A83D16" w:rsidP="00A83D16">
      <w:pPr>
        <w:pStyle w:val="NormalWeb"/>
        <w:spacing w:before="0" w:beforeAutospacing="0" w:after="360" w:afterAutospacing="0"/>
        <w:jc w:val="both"/>
        <w:rPr>
          <w:color w:val="FF0000"/>
          <w:u w:val="single"/>
        </w:rPr>
      </w:pPr>
      <w:r w:rsidRPr="002C599F">
        <w:rPr>
          <w:color w:val="FF0000"/>
          <w:u w:val="single"/>
        </w:rPr>
        <w:t>Pero, a pesar de los acalorados debates y las buenas intenciones, al final </w:t>
      </w:r>
      <w:r w:rsidRPr="002C599F">
        <w:rPr>
          <w:rStyle w:val="Textoennegrita"/>
          <w:b w:val="0"/>
          <w:color w:val="FF0000"/>
          <w:u w:val="single"/>
        </w:rPr>
        <w:t>no se incluyó ninguna obligación de transparencia</w:t>
      </w:r>
      <w:r w:rsidRPr="002C599F">
        <w:rPr>
          <w:color w:val="FF0000"/>
          <w:u w:val="single"/>
        </w:rPr>
        <w:t> sobre el destino del dinero para controlar los fondos Next Generation. Y ahora se están viendo las consecuencias de aquella decisión.</w:t>
      </w:r>
    </w:p>
    <w:p w:rsidR="00A83D16" w:rsidRPr="002C599F" w:rsidRDefault="00A83D16" w:rsidP="00A83D16">
      <w:pPr>
        <w:pStyle w:val="NormalWeb"/>
        <w:spacing w:before="0" w:beforeAutospacing="0" w:after="360" w:afterAutospacing="0"/>
        <w:jc w:val="both"/>
        <w:rPr>
          <w:color w:val="FF0000"/>
          <w:u w:val="single"/>
        </w:rPr>
      </w:pPr>
      <w:r w:rsidRPr="002C599F">
        <w:rPr>
          <w:color w:val="FF0000"/>
          <w:u w:val="single"/>
        </w:rPr>
        <w:t>Incluso la mayoría del Parlamento Europeo </w:t>
      </w:r>
      <w:hyperlink r:id="rId184" w:tgtFrame="_self" w:history="1">
        <w:r w:rsidRPr="002C599F">
          <w:rPr>
            <w:rStyle w:val="Hipervnculo"/>
            <w:bCs/>
            <w:color w:val="FF0000"/>
          </w:rPr>
          <w:t>ha pedido una mejor auditoría</w:t>
        </w:r>
      </w:hyperlink>
      <w:r w:rsidRPr="002C599F">
        <w:rPr>
          <w:color w:val="FF0000"/>
          <w:u w:val="single"/>
        </w:rPr>
        <w:t> de los beneficiarios de estos fondos, con </w:t>
      </w:r>
      <w:r w:rsidRPr="002C599F">
        <w:rPr>
          <w:rStyle w:val="Textoennegrita"/>
          <w:b w:val="0"/>
          <w:color w:val="FF0000"/>
          <w:u w:val="single"/>
        </w:rPr>
        <w:t>una votación la semana pasada </w:t>
      </w:r>
      <w:r w:rsidRPr="002C599F">
        <w:rPr>
          <w:color w:val="FF0000"/>
          <w:u w:val="single"/>
        </w:rPr>
        <w:t>que se saldó con 420 diputados a favor, 90 en contra y 83 abstenciones.</w:t>
      </w:r>
    </w:p>
    <w:p w:rsidR="00A83D16" w:rsidRPr="00A83D16" w:rsidRDefault="00A83D16" w:rsidP="00A83D16">
      <w:pPr>
        <w:pStyle w:val="Ttulo2"/>
        <w:spacing w:before="240" w:after="240"/>
        <w:jc w:val="both"/>
        <w:rPr>
          <w:b w:val="0"/>
          <w:color w:val="auto"/>
          <w:sz w:val="24"/>
          <w:szCs w:val="24"/>
        </w:rPr>
      </w:pPr>
      <w:r w:rsidRPr="00A83D16">
        <w:rPr>
          <w:b w:val="0"/>
          <w:color w:val="auto"/>
          <w:sz w:val="24"/>
          <w:szCs w:val="24"/>
        </w:rPr>
        <w:t>Promesa rota</w:t>
      </w:r>
    </w:p>
    <w:p w:rsidR="00A83D16" w:rsidRPr="002C599F" w:rsidRDefault="00A83D16" w:rsidP="00A83D16">
      <w:pPr>
        <w:pStyle w:val="NormalWeb"/>
        <w:spacing w:before="0" w:beforeAutospacing="0" w:after="360" w:afterAutospacing="0"/>
        <w:jc w:val="both"/>
        <w:rPr>
          <w:b/>
          <w:color w:val="FF0000"/>
          <w:u w:val="single"/>
        </w:rPr>
      </w:pPr>
      <w:r w:rsidRPr="002C599F">
        <w:rPr>
          <w:b/>
          <w:color w:val="FF0000"/>
          <w:u w:val="single"/>
        </w:rPr>
        <w:t>Mientras tanto, las primeras decenas de miles de millones de euros han sido distribuidas por Bruselas a los Estados miembros. </w:t>
      </w:r>
      <w:r w:rsidRPr="002C599F">
        <w:rPr>
          <w:rStyle w:val="Textoennegrita"/>
          <w:b w:val="0"/>
          <w:color w:val="FF0000"/>
          <w:u w:val="single"/>
        </w:rPr>
        <w:t>66.000 millones de euros en subvenciones y 33.000 millones</w:t>
      </w:r>
      <w:r w:rsidRPr="002C599F">
        <w:rPr>
          <w:b/>
          <w:color w:val="FF0000"/>
          <w:u w:val="single"/>
        </w:rPr>
        <w:t> de euros en préstamos blandos. Pero, de momento, gracias a la obstinación de los Estados miembros, sigue siendo un gran misterio a quién ha ido a parar el dinero.</w:t>
      </w:r>
    </w:p>
    <w:p w:rsidR="00A83D16" w:rsidRPr="002C599F" w:rsidRDefault="00A83D16" w:rsidP="00A83D16">
      <w:pPr>
        <w:pStyle w:val="NormalWeb"/>
        <w:spacing w:before="0" w:beforeAutospacing="0" w:after="360" w:afterAutospacing="0"/>
        <w:jc w:val="both"/>
        <w:rPr>
          <w:color w:val="FF0000"/>
          <w:u w:val="single"/>
        </w:rPr>
      </w:pPr>
      <w:r w:rsidRPr="002C599F">
        <w:rPr>
          <w:color w:val="FF0000"/>
          <w:u w:val="single"/>
        </w:rPr>
        <w:lastRenderedPageBreak/>
        <w:t>La información recopilada por los medios de Recovery Files muestra que</w:t>
      </w:r>
      <w:r w:rsidRPr="002C599F">
        <w:rPr>
          <w:rStyle w:val="Textoennegrita"/>
          <w:b w:val="0"/>
          <w:color w:val="FF0000"/>
          <w:u w:val="single"/>
        </w:rPr>
        <w:t> solo unos pocos países, como Eslovaquia o Lituania</w:t>
      </w:r>
      <w:r w:rsidRPr="002C599F">
        <w:rPr>
          <w:color w:val="FF0000"/>
          <w:u w:val="single"/>
        </w:rPr>
        <w:t>, están dispuestos a revelar todos los beneficiarios del fondo a través de una página web. Alemania barajó esta idea el año pasado, según documentos internos conocidos por Recovery Files. Pero cuando el Gobierno consultó a varios ministerios al respecto, la buena intención murió. ¿Por qué? De nuevo, el Gobierno alemán elude responder. </w:t>
      </w:r>
    </w:p>
    <w:p w:rsidR="00A83D16" w:rsidRPr="000F3BEC" w:rsidRDefault="00A83D16" w:rsidP="00A83D16">
      <w:pPr>
        <w:pStyle w:val="NormalWeb"/>
        <w:spacing w:before="0" w:beforeAutospacing="0" w:after="360" w:afterAutospacing="0"/>
        <w:jc w:val="both"/>
      </w:pPr>
      <w:r w:rsidRPr="000F3BEC">
        <w:t xml:space="preserve">El presidente francés, Emmanuel Macron, que habló tan fervientemente a favor de la transparencia, tampoco ha cumplido </w:t>
      </w:r>
      <w:r>
        <w:t>su promesa. A las preguntas de “Le Monde”</w:t>
      </w:r>
      <w:r w:rsidRPr="000F3BEC">
        <w:t xml:space="preserve"> sobre dónde está la información de los beneficiarios de las ayudas, se obtiene la callada por respuesta. Al final, el Ministerio de Economía dice que no se va a crear una base de datos única, sino que los datos pueden encontrarse </w:t>
      </w:r>
      <w:r w:rsidRPr="000F3BEC">
        <w:rPr>
          <w:rStyle w:val="Textoennegrita"/>
          <w:b w:val="0"/>
        </w:rPr>
        <w:t>repartidos en al menos 25 departamentos</w:t>
      </w:r>
      <w:r w:rsidRPr="000F3BEC">
        <w:t> que se ocupan de las 400 partes distintas del plan nacional francés. Hasta ahora, ninguno de ellos ha querido</w:t>
      </w:r>
      <w:r>
        <w:t xml:space="preserve"> compartir esa información con “Le Monde”</w:t>
      </w:r>
      <w:r w:rsidRPr="000F3BEC">
        <w:t>, miembro de esta investigación, cuando se ha pedido.</w:t>
      </w:r>
    </w:p>
    <w:p w:rsidR="00A83D16" w:rsidRPr="002C599F" w:rsidRDefault="00A83D16" w:rsidP="00A83D16">
      <w:pPr>
        <w:pStyle w:val="NormalWeb"/>
        <w:spacing w:before="0" w:beforeAutospacing="0" w:after="360" w:afterAutospacing="0"/>
        <w:jc w:val="both"/>
        <w:rPr>
          <w:color w:val="FF0000"/>
          <w:u w:val="single"/>
        </w:rPr>
      </w:pPr>
      <w:r w:rsidRPr="002C599F">
        <w:rPr>
          <w:color w:val="FF0000"/>
          <w:u w:val="single"/>
        </w:rPr>
        <w:t>El año pasado, la OLAF europea de lucha contra el fraude advirtió de los grandes riesgos de corrupción si los Estados miembros se niegan a cooperar en la recopilación de información sin ambigüedades. Y el Tribunal de Cuentas Europeo dice, cuando se le pregunta, que </w:t>
      </w:r>
      <w:r w:rsidRPr="002C599F">
        <w:rPr>
          <w:rStyle w:val="Textoennegrita"/>
          <w:b w:val="0"/>
          <w:color w:val="FF0000"/>
          <w:u w:val="single"/>
        </w:rPr>
        <w:t>aún no sabe cómo se van a auditar las cuentas en el futuro</w:t>
      </w:r>
      <w:r w:rsidRPr="002C599F">
        <w:rPr>
          <w:color w:val="FF0000"/>
          <w:u w:val="single"/>
        </w:rPr>
        <w:t>. “Nos encontramos en un terreno un tanto incierto en lo que respecta a los detalles técnicos de estas auditorías”, dijo el portavoz. “Los Estados miembro probablemente tendrán que entregarnos los datos. Dependiendo del tema concreto, es posible que también tengamos que consultar a las autoridades de los distintos niveles de gobierno”.</w:t>
      </w:r>
    </w:p>
    <w:p w:rsidR="00A83D16" w:rsidRPr="000F3BEC" w:rsidRDefault="00A83D16" w:rsidP="00A83D16">
      <w:pPr>
        <w:pStyle w:val="NormalWeb"/>
        <w:spacing w:before="0" w:beforeAutospacing="0" w:after="360" w:afterAutospacing="0"/>
        <w:jc w:val="both"/>
      </w:pPr>
      <w:r w:rsidRPr="000F3BEC">
        <w:t>Por ello, el activista de la transparencia Krzysztof Izdebski, de la coalición Open Spending EU, insiste en que los países deben ser más abiertos a la hora de investigar la corrupción, los conflictos de intereses y otras manipulaciones del dinero público. Por ejemplo, un estudio ha demostrado que </w:t>
      </w:r>
      <w:r w:rsidRPr="000F3BEC">
        <w:rPr>
          <w:rStyle w:val="Textoennegrita"/>
          <w:b w:val="0"/>
        </w:rPr>
        <w:t>cuanta más información se haga pública sobre una licitación, menos probabilidades hay de que se malgaste el dinero.</w:t>
      </w:r>
    </w:p>
    <w:p w:rsidR="00A83D16" w:rsidRPr="000F3BEC" w:rsidRDefault="00A83D16" w:rsidP="00A83D16">
      <w:pPr>
        <w:pStyle w:val="NormalWeb"/>
        <w:spacing w:before="0" w:beforeAutospacing="0" w:after="0" w:afterAutospacing="0"/>
        <w:jc w:val="both"/>
      </w:pPr>
      <w:r w:rsidRPr="000F3BEC">
        <w:t>En vistas a esta falta de transparencia, varios medios de Europa coordinados por el medio holandés Follow the Money han decidido retomar la tarea que Bruselas ha dejado de lado. El objetivo es</w:t>
      </w:r>
      <w:r w:rsidRPr="000F3BEC">
        <w:rPr>
          <w:rStyle w:val="Textoennegrita"/>
          <w:b w:val="0"/>
        </w:rPr>
        <w:t> continuar y ampliar la investigación</w:t>
      </w:r>
      <w:r w:rsidRPr="000F3BEC">
        <w:t> de </w:t>
      </w:r>
      <w:hyperlink r:id="rId185" w:tgtFrame="_blank" w:history="1">
        <w:r w:rsidRPr="00A83D16">
          <w:rPr>
            <w:rStyle w:val="Hipervnculo"/>
            <w:bCs/>
            <w:color w:val="auto"/>
          </w:rPr>
          <w:t>The Recovery Files</w:t>
        </w:r>
      </w:hyperlink>
      <w:r w:rsidRPr="000F3BEC">
        <w:t> los próximos meses para sacar a la luz todos los datos posibles y destapar los abusos.</w:t>
      </w:r>
    </w:p>
    <w:p w:rsidR="00A83D16" w:rsidRPr="00595EF7" w:rsidRDefault="00A83D16" w:rsidP="00A83D16">
      <w:pPr>
        <w:pStyle w:val="NormalWeb"/>
        <w:spacing w:after="360"/>
        <w:jc w:val="both"/>
        <w:rPr>
          <w:u w:val="single"/>
        </w:rPr>
      </w:pPr>
      <w:r w:rsidRPr="00595EF7">
        <w:rPr>
          <w:u w:val="single"/>
        </w:rPr>
        <w:t>De los “PIGS” (más “pigs” que nunca) poco se puede esperar</w:t>
      </w:r>
    </w:p>
    <w:p w:rsidR="00A83D16" w:rsidRPr="00595EF7" w:rsidRDefault="00A83D16" w:rsidP="00A83D16">
      <w:pPr>
        <w:pStyle w:val="NormalWeb"/>
        <w:spacing w:after="360"/>
        <w:jc w:val="both"/>
        <w:rPr>
          <w:u w:val="single"/>
        </w:rPr>
      </w:pPr>
      <w:r w:rsidRPr="00595EF7">
        <w:rPr>
          <w:u w:val="single"/>
        </w:rPr>
        <w:t>España (dónde vivo y padezco, desde hace 35 años): “el festín de los corruptos”</w:t>
      </w:r>
    </w:p>
    <w:p w:rsidR="00A83D16" w:rsidRDefault="00A83D16" w:rsidP="00A83D16">
      <w:pPr>
        <w:pStyle w:val="NormalWeb"/>
        <w:spacing w:after="360"/>
        <w:jc w:val="both"/>
      </w:pPr>
      <w:r>
        <w:t xml:space="preserve">- </w:t>
      </w:r>
      <w:r w:rsidRPr="00A83D16">
        <w:rPr>
          <w:u w:val="single"/>
        </w:rPr>
        <w:t>La consultora de José Blanco asesorará a empresas para lograr los fondos europeos que repartirá Moncloa</w:t>
      </w:r>
      <w:r>
        <w:t xml:space="preserve"> (El Independiente - </w:t>
      </w:r>
      <w:r w:rsidRPr="00A83D16">
        <w:rPr>
          <w:b/>
        </w:rPr>
        <w:t>25/11/20</w:t>
      </w:r>
      <w:r>
        <w:t>)</w:t>
      </w:r>
    </w:p>
    <w:p w:rsidR="00A83D16" w:rsidRDefault="00A83D16" w:rsidP="00A83D16">
      <w:pPr>
        <w:pStyle w:val="NormalWeb"/>
        <w:spacing w:after="360"/>
        <w:jc w:val="both"/>
      </w:pPr>
      <w:r>
        <w:t>La agencia de asuntos públicos fundada por el ex ministro socialista, especializada en el diseño de “agendas institucionales” y de estrategia, firma una alianza con la firma holandesa YGroup y ofrecerá asesoramiento a los clientes que demanden este servicio</w:t>
      </w:r>
    </w:p>
    <w:p w:rsidR="00A83D16" w:rsidRDefault="00A83D16" w:rsidP="00A83D16">
      <w:pPr>
        <w:pStyle w:val="NormalWeb"/>
        <w:spacing w:after="360"/>
        <w:jc w:val="both"/>
      </w:pPr>
      <w:r>
        <w:t xml:space="preserve">Acento Public Affairs, la consultora que fundaron hace un año el ex ministro socialista José Blanco y el ex portavoz del PSOE en el Congreso Antonio Hernando, se prepara ante la </w:t>
      </w:r>
      <w:r>
        <w:lastRenderedPageBreak/>
        <w:t>posibilidad de negocio que se abre con los fondos que concederá la Comisión Europea para favorecer la recuperación tras el impacto económico que está suponiendo la pandemia de coronavirus y que repartirá Moncloa en los próximos meses. El plan movilizará en España unos 72.000 millones entre los años 2021 y 2023.</w:t>
      </w:r>
    </w:p>
    <w:p w:rsidR="00A83D16" w:rsidRDefault="00A83D16" w:rsidP="00A83D16">
      <w:pPr>
        <w:pStyle w:val="NormalWeb"/>
        <w:spacing w:after="360"/>
        <w:jc w:val="both"/>
      </w:pPr>
      <w:r>
        <w:t>Blanco ha confirmado a este diario que su empresa ha cerrado una alianza con una “consultora tradicional” especializada en asuntos económicos para acompañarla y prestar asesoramiento sobre cómo presentar proyectos que se quieran acoger a esa línea de financiación en caso de que sus clientes así lo demanden, si bien asegura que se desconoce aún cómo será el procedimiento para la tramitación de las propuestas que se presenten y la asignación de los fondos. “Nadie sabe aún cuál es la hoja de ruta”, subraya.</w:t>
      </w:r>
    </w:p>
    <w:p w:rsidR="00A83D16" w:rsidRDefault="00A83D16" w:rsidP="00A83D16">
      <w:pPr>
        <w:pStyle w:val="NormalWeb"/>
        <w:spacing w:after="360"/>
        <w:jc w:val="both"/>
      </w:pPr>
      <w:r>
        <w:t>El acuerdo de Acento es con YGroup, la compañía holandesa que fue contratada en agosto de 2019 para buscar un socio para Duro Felguera ante la situación financiera en la que se encontraba el fabricante de bienes de equipo y que ha intervenido en otras recientes crisis industriales en España, caso de la planta de Alcoa en Avilés (Asturias). La consultora de Blanco, cuyo eslogan comercial es “Tu solución en gestión de asuntos públicos”, también prestará servicio a sus “clientes habituales” que eventualmente puedan demandar ese asesoramiento.</w:t>
      </w:r>
    </w:p>
    <w:p w:rsidR="00A83D16" w:rsidRDefault="00A83D16" w:rsidP="00A83D16">
      <w:pPr>
        <w:pStyle w:val="NormalWeb"/>
        <w:spacing w:after="360"/>
        <w:jc w:val="both"/>
      </w:pPr>
      <w:r>
        <w:t>“Hay una oportunidad. Todo el mundo está en eso, sobre todo las grandes consultoras como Deloitte, PricewaterhouseCoopers (PwC), KPMG, Llorente y Cuenca… Todas están haciendo propuestas”, señala el vicesecretario general del PSOE durante la etapa de José Luis Rodríguez Zapatero y ex ministro de Fomento.</w:t>
      </w:r>
    </w:p>
    <w:p w:rsidR="00A83D16" w:rsidRDefault="00A83D16" w:rsidP="00A83D16">
      <w:pPr>
        <w:pStyle w:val="NormalWeb"/>
        <w:spacing w:after="360"/>
        <w:jc w:val="both"/>
      </w:pPr>
      <w:r>
        <w:t>Acento ha elegido la fórmula de la alianza con otras compañías en vez de crear unidades de negocio para prestar asesoramiento en la canalización de las ayudas del plan de recuperación, como sí ha hecho -por ejemplo- Llorente y Cuenca. Esta firma anunció a principios de octubre la creación de una nueva área en la que figuran varios destacados ex altos cargos de gobiernos tanto del PSOE como del PP: José Luis Ayllón, ex director de gabinete de la Presidencia de Mariano Rajoy; el ex ministro Jordi Sevilla, la ex secretaria de Estado de Trabajo e Inmigración Luz Rodríguez, el ex secretario de Estado de Defensa Constantino Méndez y el ex secretario general de Sanidad José Martínez Olmos, entre otros.</w:t>
      </w:r>
    </w:p>
    <w:p w:rsidR="00A83D16" w:rsidRDefault="00A83D16" w:rsidP="00A83D16">
      <w:pPr>
        <w:pStyle w:val="NormalWeb"/>
        <w:spacing w:after="360"/>
        <w:jc w:val="both"/>
      </w:pPr>
      <w:r>
        <w:t>Con José Blanco como CEO, el equipo de la consultora también está integrado por otros antiguos políticos de primera línea. Así, la dirección general corre a cargo de Antonio Hernando, portavoz del PSOE en el Congreso entre 2014 y 2017, y la presidencia la ocupa Alfonso Alonso, ex ministro de Sanidad con Rajoy y ex líder del PP en el País Vasco.</w:t>
      </w:r>
    </w:p>
    <w:p w:rsidR="00A83D16" w:rsidRDefault="00A83D16" w:rsidP="00A83D16">
      <w:pPr>
        <w:pStyle w:val="NormalWeb"/>
        <w:spacing w:after="360"/>
        <w:jc w:val="both"/>
      </w:pPr>
      <w:r>
        <w:t>Elena Valenciano, ex eurodiputada y mano derecha de Alfredo Pérez Rubalcaba en la etapa de éste como secretario general del Partido Socialista, ejerce como asesora. Y un hijo del eurodiputado del PP Esteban González Pons está al frente de la Dirección Jurídica y de Operaciones.</w:t>
      </w:r>
    </w:p>
    <w:p w:rsidR="00A83D16" w:rsidRDefault="00A83D16" w:rsidP="00A83D16">
      <w:pPr>
        <w:pStyle w:val="NormalWeb"/>
        <w:spacing w:after="360"/>
        <w:jc w:val="both"/>
      </w:pPr>
      <w:r>
        <w:t xml:space="preserve">Alfonso Alonso insiste en que, como agencia de asuntos públicos, el asesoramiento que presta Acento es fundamentalmente en materia de “diseño de agencias institucionales y de estrategia” por la experiencia que acumula el equipo. “No trabajamos específicamente para el proyecto de la Unión Europea, pero ahora hay mucha gente que, a la hora de diseñar un proyecto, necesita conocer muy bien cómo es la regulación, cómo se presenta… Y eso es lo </w:t>
      </w:r>
      <w:r>
        <w:lastRenderedPageBreak/>
        <w:t>que nosotros aportamos</w:t>
      </w:r>
      <w:r w:rsidR="00662B03">
        <w:t xml:space="preserve">. Hemos estado muchos años </w:t>
      </w:r>
      <w:r>
        <w:t>en el otro lado y conocemos la mentalidad del que decide y cómo plantear los temas”, señala.</w:t>
      </w:r>
    </w:p>
    <w:p w:rsidR="00A83D16" w:rsidRDefault="00A83D16" w:rsidP="00A83D16">
      <w:pPr>
        <w:pStyle w:val="NormalWeb"/>
        <w:spacing w:after="360"/>
        <w:jc w:val="both"/>
      </w:pPr>
      <w:r>
        <w:t>El pasado mes de julio, eldiario.es informó de que Blanco ofrecía a empresas que cotizan en el Ibex-35 la relación directa que mantienen él y Hernando con varios ministros del gabinete de Pedro Sánchez como valor añadido de los servicios que Acento proporciona. Según el citado medio, entre esos interlocutores se encontrarían José Luis Ábalos (Transportes, Movilidad y Agenda Urbana), Reyes Maroto (Industria, Comercio y Turismo) y Teresa Ribera (Transición Ecológica y Reto Demográfico), si bien algunos de éstos negaron que den trato de favor a la empresa del ex titular de Fomento.</w:t>
      </w:r>
    </w:p>
    <w:p w:rsidR="00A83D16" w:rsidRDefault="00A83D16" w:rsidP="00A83D16">
      <w:pPr>
        <w:pStyle w:val="NormalWeb"/>
        <w:spacing w:after="360"/>
        <w:jc w:val="both"/>
      </w:pPr>
      <w:r>
        <w:t>72.000 millones hasta 2023</w:t>
      </w:r>
    </w:p>
    <w:p w:rsidR="00A83D16" w:rsidRDefault="00A83D16" w:rsidP="00A83D16">
      <w:pPr>
        <w:pStyle w:val="NormalWeb"/>
        <w:spacing w:after="360"/>
        <w:jc w:val="both"/>
      </w:pPr>
      <w:r>
        <w:t>Conocido como “Next Generation EU”, el Fondo de Recuperación y Resiliencia que los estados miembros aprobaron el pasado mes de octubre supondrá una oportunidad para muchas empresas españolas, que obtendrán recursos para financiar sus proyectos, y para las firmas de consultoría, a las que se abre sobre el papel una nueva vía de negocio con el asesoramiento a compañías que opten a los fondos.</w:t>
      </w:r>
    </w:p>
    <w:p w:rsidR="00A83D16" w:rsidRDefault="00A83D16" w:rsidP="00A83D16">
      <w:pPr>
        <w:pStyle w:val="NormalWeb"/>
        <w:spacing w:after="360"/>
        <w:jc w:val="both"/>
      </w:pPr>
      <w:r>
        <w:t>Con una dotación financiera global de 750.000 millones, a España le corresponderán transferencias y préstamos por importe de 140.000 millones de euros en los próximos seis años. De esa cantidad, 72.000 millones corresponden al trienio 2021-2023. El Gobierno ha incluido 27.000 millones en el anteproyecto de Presupuestos que ha enviado al Parlamento para acelerar la ejecución del plan y tratar de mitigar el impacto que está provocando en la economía la covid-19.</w:t>
      </w:r>
    </w:p>
    <w:p w:rsidR="00A83D16" w:rsidRDefault="00A83D16" w:rsidP="00A83D16">
      <w:pPr>
        <w:pStyle w:val="NormalWeb"/>
        <w:spacing w:after="360"/>
        <w:jc w:val="both"/>
      </w:pPr>
      <w:r>
        <w:t>Acento inició su andadura en octubre de 2019, tres meses después de que José Blanco dejara la política tras expirar su etapa como diputado en el Parlamento europeo. El ex número dos del PSOE puso en marcha la consultora con Antonio Hernando, el otro administrador solidario de la sociedad. Elena Valenciano y Alfonso Alonso se incorporaron a la firma el pasado mes de julio, la primera tras quedar apartada de las listas al Parlamento europeo y el segundo después de dimitir como presidente del PP vasco tras ser descabalgado como candidato a lehendakari por la dirección nacional en las últimas elecciones autonómicas.</w:t>
      </w:r>
    </w:p>
    <w:p w:rsidR="00A83D16" w:rsidRDefault="00A83D16" w:rsidP="00A83D16">
      <w:pPr>
        <w:pStyle w:val="NormalWeb"/>
        <w:spacing w:after="360"/>
        <w:jc w:val="both"/>
      </w:pPr>
      <w:r>
        <w:t>Constituida a finales de diciembre de 2018 con la denominación inicial de Extreme Unit SL, Blanco y Hernando compraron la empresa casi un año después a una gestoría barcelonesa especializada en la venta de sociedades ya creadas y cambiaron tanto el nombre como el objeto social. La consultora tiene su sede en una oficina de 121 metros cuadrados ubicada en un edificio construido a mediados de los años sesenta en la madrileña calle de Recoletos, en pleno Barrio de Salamanca.</w:t>
      </w:r>
    </w:p>
    <w:p w:rsidR="00A83D16" w:rsidRDefault="00A83D16" w:rsidP="00A83D16">
      <w:pPr>
        <w:pStyle w:val="NormalWeb"/>
        <w:spacing w:after="360"/>
        <w:jc w:val="both"/>
      </w:pPr>
      <w:r>
        <w:t xml:space="preserve">- </w:t>
      </w:r>
      <w:r w:rsidRPr="00B32BAF">
        <w:rPr>
          <w:u w:val="single"/>
        </w:rPr>
        <w:t>Moncloa deberá explicar si la consultora de Blanco influye en el reparto de los fondos UE</w:t>
      </w:r>
      <w:r>
        <w:t xml:space="preserve"> (Vozpópuli - </w:t>
      </w:r>
      <w:r w:rsidRPr="00B32BAF">
        <w:rPr>
          <w:b/>
        </w:rPr>
        <w:t>11/1/22</w:t>
      </w:r>
      <w:r>
        <w:t>)</w:t>
      </w:r>
    </w:p>
    <w:p w:rsidR="00A83D16" w:rsidRDefault="00A83D16" w:rsidP="00A83D16">
      <w:pPr>
        <w:pStyle w:val="NormalWeb"/>
        <w:spacing w:after="360"/>
        <w:jc w:val="both"/>
      </w:pPr>
      <w:r>
        <w:t>El Gobierno tendrá que responder sobre sus vínculos con Acento tras el fichaje de Antonio Hernando y la ejecución de las ayudas europeas</w:t>
      </w:r>
    </w:p>
    <w:p w:rsidR="00A83D16" w:rsidRDefault="00A83D16" w:rsidP="00A83D16">
      <w:pPr>
        <w:pStyle w:val="NormalWeb"/>
        <w:spacing w:after="360"/>
        <w:jc w:val="both"/>
      </w:pPr>
      <w:r>
        <w:t xml:space="preserve">Acento, la consultora fundada por José Blanco, se convirtió en noticia el pasado mes de octubre cuando su director general, el exportavoz socialista Antonio Hernando, se incorporó al gabinete de Pedro Sánchez en Moncloa. Ahora, el Gobierno tendrá que explicar sus </w:t>
      </w:r>
      <w:r>
        <w:lastRenderedPageBreak/>
        <w:t>vínculos con esta compañía, que a finales de 2020 empezó a ofrecerse como mediadora de grandes empresas para la gestión de los fondos europeos.</w:t>
      </w:r>
    </w:p>
    <w:p w:rsidR="00A83D16" w:rsidRDefault="00A83D16" w:rsidP="00A83D16">
      <w:pPr>
        <w:pStyle w:val="NormalWeb"/>
        <w:spacing w:after="360"/>
        <w:jc w:val="both"/>
      </w:pPr>
      <w:r>
        <w:t>Ya en su día, cuando se anunció el fichaje de Hernando, desde Acento reivindicaron su “máxima independencia” respecto al Gobierno, conscientes de las suspicacias que podía provocar esa incorporación. No obstante, ahora el Ejecutivo tendrá que responder a dos preguntas por escrito sobre esta cuestión.</w:t>
      </w:r>
    </w:p>
    <w:p w:rsidR="00A83D16" w:rsidRDefault="00A83D16" w:rsidP="00A83D16">
      <w:pPr>
        <w:pStyle w:val="NormalWeb"/>
        <w:spacing w:after="360"/>
        <w:jc w:val="both"/>
      </w:pPr>
      <w:r>
        <w:t>Las dos cuestiones, a las que ha tenido acceso Vozpópuli, fueron presentadas el pasado 2 de enero por Pablo Cambronero, perteneciente al Grupo Mixto del Congreso de los Diputados tras su salida de Ciudadanos.</w:t>
      </w:r>
    </w:p>
    <w:p w:rsidR="00A83D16" w:rsidRDefault="00A83D16" w:rsidP="00A83D16">
      <w:pPr>
        <w:pStyle w:val="NormalWeb"/>
        <w:spacing w:after="360"/>
        <w:jc w:val="both"/>
      </w:pPr>
      <w:r>
        <w:t>En la exposición de motivos, el diputado recuerda que la consultora Acento, creada por el exministro José Blanco y el Director adjunto del Gabinete de la Presidencia del Gobierno Antonio Hernando, cuenta entre sus filas con multitud de ex dirigentes socialistas y de otros partidos políticos.</w:t>
      </w:r>
    </w:p>
    <w:p w:rsidR="00A83D16" w:rsidRDefault="00A83D16" w:rsidP="00A83D16">
      <w:pPr>
        <w:pStyle w:val="NormalWeb"/>
        <w:spacing w:after="360"/>
        <w:jc w:val="both"/>
      </w:pPr>
      <w:r>
        <w:t>Acento y los fondos europeos</w:t>
      </w:r>
    </w:p>
    <w:p w:rsidR="00A83D16" w:rsidRDefault="00A83D16" w:rsidP="00A83D16">
      <w:pPr>
        <w:pStyle w:val="NormalWeb"/>
        <w:spacing w:after="360"/>
        <w:jc w:val="both"/>
      </w:pPr>
      <w:r>
        <w:t>Añade, además, que “según varias publicaciones esta Consultora está asesorando al Gobierno en asuntos de tanta relevancia como el reparto de los fondos europeos”, por lo que “sería interesante conocer cuál va ser el sistema o estrategia que va a establecer el Gobierno para el reparto de estos fondos”.</w:t>
      </w:r>
    </w:p>
    <w:p w:rsidR="00A83D16" w:rsidRDefault="00A83D16" w:rsidP="00A83D16">
      <w:pPr>
        <w:pStyle w:val="NormalWeb"/>
        <w:spacing w:after="360"/>
        <w:jc w:val="both"/>
      </w:pPr>
      <w:r>
        <w:t>Cambronero destaca que a día de hoy no se conoce cómo va a ser este reparto, ni quiénes van a ser los receptores de estos fondos, en lo que considera “una total y absoluta falta de transparencia”. Por todo ello, pregunta al Gobierno qué vinculación tiene con la Consultora Acento.</w:t>
      </w:r>
    </w:p>
    <w:p w:rsidR="00A83D16" w:rsidRDefault="00A83D16" w:rsidP="00A83D16">
      <w:pPr>
        <w:pStyle w:val="NormalWeb"/>
        <w:spacing w:after="360"/>
        <w:jc w:val="both"/>
      </w:pPr>
      <w:r>
        <w:t>En una segunda pregunta, el diputado del Grupo Mixto quiere saber si el Gobierno va a publicar cómo se van a ejecutar los fondos europeos que ya se están recibiendo. Vea, a continuación, el escrito presentado por Pablo Cambronero:</w:t>
      </w:r>
    </w:p>
    <w:p w:rsidR="00595EF7" w:rsidRDefault="00595EF7" w:rsidP="00A83D16">
      <w:pPr>
        <w:pStyle w:val="NormalWeb"/>
        <w:spacing w:after="360"/>
        <w:jc w:val="both"/>
      </w:pPr>
      <w:r w:rsidRPr="00595EF7">
        <w:rPr>
          <w:noProof/>
          <w:lang w:val="en-GB" w:eastAsia="zh-CN"/>
        </w:rPr>
        <w:drawing>
          <wp:inline distT="0" distB="0" distL="0" distR="0">
            <wp:extent cx="5732886" cy="3048000"/>
            <wp:effectExtent l="0" t="0" r="127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731510" cy="3047268"/>
                    </a:xfrm>
                    <a:prstGeom prst="rect">
                      <a:avLst/>
                    </a:prstGeom>
                  </pic:spPr>
                </pic:pic>
              </a:graphicData>
            </a:graphic>
          </wp:inline>
        </w:drawing>
      </w:r>
    </w:p>
    <w:p w:rsidR="00595EF7" w:rsidRDefault="00595EF7" w:rsidP="00A83D16">
      <w:pPr>
        <w:pStyle w:val="NormalWeb"/>
        <w:spacing w:after="360"/>
        <w:jc w:val="both"/>
      </w:pPr>
      <w:r w:rsidRPr="00595EF7">
        <w:rPr>
          <w:noProof/>
          <w:lang w:val="en-GB" w:eastAsia="zh-CN"/>
        </w:rPr>
        <w:lastRenderedPageBreak/>
        <w:drawing>
          <wp:inline distT="0" distB="0" distL="0" distR="0">
            <wp:extent cx="5727700" cy="3054350"/>
            <wp:effectExtent l="0" t="0" r="635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731510" cy="3056382"/>
                    </a:xfrm>
                    <a:prstGeom prst="rect">
                      <a:avLst/>
                    </a:prstGeom>
                  </pic:spPr>
                </pic:pic>
              </a:graphicData>
            </a:graphic>
          </wp:inline>
        </w:drawing>
      </w:r>
    </w:p>
    <w:p w:rsidR="00662B03" w:rsidRDefault="00662B03" w:rsidP="00A83D16">
      <w:pPr>
        <w:pStyle w:val="NormalWeb"/>
        <w:spacing w:after="360"/>
        <w:jc w:val="both"/>
      </w:pPr>
    </w:p>
    <w:p w:rsidR="00A83D16" w:rsidRDefault="00A83D16" w:rsidP="00A83D16">
      <w:pPr>
        <w:pStyle w:val="NormalWeb"/>
        <w:spacing w:after="360"/>
        <w:jc w:val="both"/>
      </w:pPr>
      <w:r>
        <w:t xml:space="preserve">- </w:t>
      </w:r>
      <w:r w:rsidRPr="000C7E5D">
        <w:rPr>
          <w:u w:val="single"/>
        </w:rPr>
        <w:t>El marido de Calviño es directivo de una empresa que gestiona fondos UE a pymes</w:t>
      </w:r>
      <w:r>
        <w:t xml:space="preserve"> (Vozpópuli - </w:t>
      </w:r>
      <w:r w:rsidRPr="000C7E5D">
        <w:rPr>
          <w:b/>
        </w:rPr>
        <w:t>1/2/22</w:t>
      </w:r>
      <w:r>
        <w:t>)</w:t>
      </w:r>
    </w:p>
    <w:p w:rsidR="00A83D16" w:rsidRDefault="00A83D16" w:rsidP="00A83D16">
      <w:pPr>
        <w:pStyle w:val="NormalWeb"/>
        <w:spacing w:after="360"/>
        <w:jc w:val="both"/>
      </w:pPr>
      <w:r>
        <w:t>Ignacio Manrique de Lara es director de marketing de Beedigital, una empresa que ejerce de intermediaria entre el Estado y las pymes para la solicitud de fondos europeos</w:t>
      </w:r>
    </w:p>
    <w:p w:rsidR="00A83D16" w:rsidRDefault="00A83D16" w:rsidP="00A83D16">
      <w:pPr>
        <w:pStyle w:val="NormalWeb"/>
        <w:spacing w:after="360"/>
        <w:jc w:val="both"/>
      </w:pPr>
      <w:r>
        <w:t>El marido de la ministra de Asuntos Económicos y Transformación Digital, Nadia Calviño, es director de marketing de una empresa dedicada a gestionar fondos europeos a pequeñas y medianas empresas (pymes). Ignacio Manrique de Lara ejerce como “agente digitalizador adherido”, lo que le permite tramitar la ayuda ante Asuntos Económicos, tal y como ha avanzado Esdiario.</w:t>
      </w:r>
    </w:p>
    <w:p w:rsidR="00A83D16" w:rsidRDefault="00A83D16" w:rsidP="00A83D16">
      <w:pPr>
        <w:pStyle w:val="NormalWeb"/>
        <w:spacing w:after="360"/>
        <w:jc w:val="both"/>
      </w:pPr>
      <w:r>
        <w:t>La empresa, denominada Beedigital, fue creada hace 15 años como una reconversión de Páginas Amarillas y facturó 58 millones de euros en 2020. Ofrece soluciones a pymes y autónomos relacionadas con el marketing online, como la presencia digital en internet, el desarrollo web y gestión de perfiles de redes sociales, o promoción digital en buscadores.</w:t>
      </w:r>
    </w:p>
    <w:p w:rsidR="00A83D16" w:rsidRDefault="00A83D16" w:rsidP="00A83D16">
      <w:pPr>
        <w:pStyle w:val="NormalWeb"/>
        <w:spacing w:after="360"/>
        <w:jc w:val="both"/>
      </w:pPr>
      <w:r>
        <w:t>Además, ahora se ha focalizado en solicitar y tramitar las subvenciones que el Ministerio de Calviño ofrece, precisamente, para la digitalización. Estas ayudas, denominadas como Kit Digital, pretenden invertir más de 3.000 millones de euros de los Next Generation en la digitalización de pymes y autónomos. Por su parte, Beedigital ofrece sus servicios para solicitar las ayudas en este primer trimestre de 2022.</w:t>
      </w:r>
    </w:p>
    <w:p w:rsidR="00A83D16" w:rsidRDefault="00595EF7" w:rsidP="00A83D16">
      <w:pPr>
        <w:pStyle w:val="NormalWeb"/>
        <w:spacing w:after="360"/>
        <w:jc w:val="both"/>
      </w:pPr>
      <w:r>
        <w:t>“</w:t>
      </w:r>
      <w:r w:rsidR="00A83D16">
        <w:t>Cualquier negocio en la actualidad necesita tener una presencia digital porque en internet es donde están los consumidores y donde cotejan la información y las opiniones relevantes e</w:t>
      </w:r>
      <w:r>
        <w:t>n su toma de decisión de compra”</w:t>
      </w:r>
      <w:r w:rsidR="00A83D16">
        <w:t>, asegura en s</w:t>
      </w:r>
      <w:r>
        <w:t>u página web. En este sentido, “</w:t>
      </w:r>
      <w:r w:rsidR="00A83D16">
        <w:t xml:space="preserve">el programa Kit Digital, financiado con los fondos europeos, ofrece muchas oportunidades para las pymes y autónomos </w:t>
      </w:r>
      <w:r>
        <w:t>de las que te puedes beneficiar”</w:t>
      </w:r>
      <w:r w:rsidR="00A83D16">
        <w:t>, añade.</w:t>
      </w:r>
    </w:p>
    <w:p w:rsidR="00662B03" w:rsidRDefault="00662B03" w:rsidP="00A83D16">
      <w:pPr>
        <w:pStyle w:val="NormalWeb"/>
        <w:spacing w:after="360"/>
        <w:jc w:val="both"/>
      </w:pPr>
    </w:p>
    <w:p w:rsidR="00A83D16" w:rsidRDefault="00A83D16" w:rsidP="00A83D16">
      <w:pPr>
        <w:pStyle w:val="NormalWeb"/>
        <w:spacing w:after="360"/>
        <w:jc w:val="both"/>
      </w:pPr>
      <w:r>
        <w:lastRenderedPageBreak/>
        <w:t>Hasta 12.000 euros por empresa</w:t>
      </w:r>
    </w:p>
    <w:p w:rsidR="00A83D16" w:rsidRDefault="00A83D16" w:rsidP="00A83D16">
      <w:pPr>
        <w:pStyle w:val="NormalWeb"/>
        <w:spacing w:after="360"/>
        <w:jc w:val="both"/>
      </w:pPr>
      <w:r>
        <w:t>La empresa en la que trabaja el marido de Calviño explica que el programa establece tres segmentos de beneficiarios, según el número de empleados. Las ayudas oscilan entre los 2.000 y los 12.000 euros. “Beedigital puede ayudarte en todo el proceso para solicitar el bono digital ya que formaremos parte del programa como agente digitalizador”, aseguran.</w:t>
      </w:r>
    </w:p>
    <w:p w:rsidR="00A83D16" w:rsidRDefault="00A83D16" w:rsidP="00A83D16">
      <w:pPr>
        <w:pStyle w:val="NormalWeb"/>
        <w:spacing w:after="360"/>
        <w:jc w:val="both"/>
      </w:pPr>
      <w:r>
        <w:t>“Realizaremos, en tu nombre, toda la gestión administrativa para que puedas solicitar el bono y te olvides de todo el papeleo. Una vez que lo consigas, te ayudaremos a elegir el servicio o herramienta que mejor se adapte a las necesidades de tu negocio. Y cuando elijas la solución, te acompañaremos a lo largo de todo el proceso, ayudándote a implementarla”, destacan en su web.</w:t>
      </w:r>
    </w:p>
    <w:p w:rsidR="00A83D16" w:rsidRDefault="00A83D16" w:rsidP="00A83D16">
      <w:pPr>
        <w:pStyle w:val="NormalWeb"/>
        <w:spacing w:after="360"/>
        <w:jc w:val="both"/>
      </w:pPr>
      <w:r>
        <w:t>Manrique de Lara es directivo de esta empresa desde hace 3 años y 6 meses. Según consta en su perfil de Linkedin, trabajó en distintas compañías en Bélgica, al tiempo que la actual ministra de Asuntos Económicos. De hecho, ambos regresaron a España en el verano de 2018, cuando Calviño también tomó posesión como vicepresidenta primera del Gobierno de Pedro Sánchez.</w:t>
      </w:r>
    </w:p>
    <w:p w:rsidR="00A83D16" w:rsidRDefault="00A83D16" w:rsidP="00A83D16">
      <w:pPr>
        <w:pStyle w:val="NormalWeb"/>
        <w:spacing w:after="360"/>
        <w:jc w:val="both"/>
      </w:pPr>
      <w:r>
        <w:t xml:space="preserve">- </w:t>
      </w:r>
      <w:r w:rsidRPr="000C7E5D">
        <w:rPr>
          <w:u w:val="single"/>
        </w:rPr>
        <w:t>Calviño autorizó a la empresa de su marido a gestionar fondos UE pese a deber 852.000 € al Estado</w:t>
      </w:r>
      <w:r>
        <w:t xml:space="preserve"> (OKDiario - </w:t>
      </w:r>
      <w:r w:rsidRPr="000C7E5D">
        <w:rPr>
          <w:b/>
        </w:rPr>
        <w:t>29/3/22</w:t>
      </w:r>
      <w:r>
        <w:t>)</w:t>
      </w:r>
    </w:p>
    <w:p w:rsidR="00A83D16" w:rsidRDefault="00A83D16" w:rsidP="00A83D16">
      <w:pPr>
        <w:pStyle w:val="NormalWeb"/>
        <w:spacing w:after="360"/>
        <w:jc w:val="both"/>
      </w:pPr>
      <w:r>
        <w:t>La vicepresidenta primera del Gobierno y ministra de Economía, Nadia Calviño, autorizó a que la empresa donde trabaja su marido, Beedigital, fuera acreditada para gestionar fondos europeos a pesar de acumular deudas a la Administración Pública por 852.000 euros. Así consta en la denuncia que el Grupo Parlamentario del PP en la Asamblea de Madrid ha presentado en la Fiscalía Anticorrupción para que investigue la concesión de fondos europeos y de préstamos ICO a la empresa vinculada al marido de Calviño y la que ha tenido acceso OKDIARIO. Estos hechos inhabilitarían a cualquier empresa a ser contratada por la Administración General del Estado… a no ser que uno de sus ejecutivos sea el marido de la ministra.</w:t>
      </w:r>
    </w:p>
    <w:p w:rsidR="00A83D16" w:rsidRDefault="00A83D16" w:rsidP="00A83D16">
      <w:pPr>
        <w:pStyle w:val="NormalWeb"/>
        <w:spacing w:after="360"/>
        <w:jc w:val="both"/>
      </w:pPr>
      <w:r>
        <w:t>Esas deudas eran sólo las que acumulaba en 2020, meses antes de que le dieran acreditación para gestionar los fondos. Pero llevaba años acumulando deudas con el Estado. En concreto, la consultora donde trabaja Ignacio Manrique de Lara, marido de la ministra, cuyo nombre comercial es Páginas Amarillas Soluciones Digitales S.A., declaraba en la cuenta “Otras deudas con las Administraciones Públicas” un saldo de 1.518.000 euros en 2018.  En el ejercicio 2019 la cifra se dispara a 1.657.000 euros y en las cuentas del ejercicio 2020, -presentadas cuando fue agraciada con el certificado de Agente Digitalizador Adherido- figura una deuda de 852.000 euros. Estos conceptos incluyen una deuda con la Seguridad Social de 484.000 € en 2018, una de 421.000 € en el 2019, y de 374.000 en el 2020.</w:t>
      </w:r>
    </w:p>
    <w:p w:rsidR="00A83D16" w:rsidRDefault="00A83D16" w:rsidP="00A83D16">
      <w:pPr>
        <w:pStyle w:val="NormalWeb"/>
        <w:spacing w:after="360"/>
        <w:jc w:val="both"/>
      </w:pPr>
      <w:r>
        <w:t>Traducido: que la empresa del marido de Calviño -según la denuncia- «presentaba dudas sobre el cumplimiento de las obligaciones tributarias y de la Seguridad Social» cuando fue acreditada como Agente Digitalizador. Es más, la empresa, según la denuncia, «había sufrido una reducción de su capital social de casi 66 millones de euros en sólo 5 años. Una evolución que supone una disminución del 86% del capital social». Una empresa en estado ruinoso pero bendecida por la suerte.</w:t>
      </w:r>
    </w:p>
    <w:p w:rsidR="00595EF7" w:rsidRDefault="00595EF7" w:rsidP="00A83D16">
      <w:pPr>
        <w:pStyle w:val="NormalWeb"/>
        <w:spacing w:after="360"/>
        <w:jc w:val="both"/>
      </w:pPr>
    </w:p>
    <w:p w:rsidR="00A83D16" w:rsidRDefault="00A83D16" w:rsidP="00A83D16">
      <w:pPr>
        <w:pStyle w:val="NormalWeb"/>
        <w:spacing w:after="360"/>
        <w:jc w:val="both"/>
      </w:pPr>
      <w:r>
        <w:lastRenderedPageBreak/>
        <w:t>“Acreditación irregular”</w:t>
      </w:r>
    </w:p>
    <w:p w:rsidR="00A83D16" w:rsidRDefault="00A83D16" w:rsidP="00A83D16">
      <w:pPr>
        <w:pStyle w:val="NormalWeb"/>
        <w:spacing w:after="360"/>
        <w:jc w:val="both"/>
      </w:pPr>
      <w:r>
        <w:t>Una situación que, junto con una “significativa” reducción de su patrimonio neto entre los años 2018 y 2020, hacen que la empresa pudiera considerarse “en crisis”, en virtud de lo fijado en el Anexo II de la Orden ETD/1498/2021, de 29 de diciembre, por lo que no podría haber sido acreditada como “Agente Digitalizador”, requisito indispensable para gestionar esos fondos. “Esta acreditación podría haber sido irregular”, afirman los denunciantes.</w:t>
      </w:r>
    </w:p>
    <w:p w:rsidR="00A83D16" w:rsidRDefault="00A83D16" w:rsidP="00A83D16">
      <w:pPr>
        <w:pStyle w:val="NormalWeb"/>
        <w:spacing w:after="360"/>
        <w:jc w:val="both"/>
      </w:pPr>
      <w:r>
        <w:t>Los empresarios que optan a cualquiera de estas ayudas de los Fondos de la Unión Europea necesitan contratar previamente lo que el programa de Calviño denomina un “agente digitalizador”. Es decir, una empresa autorizada por el Ministerio de Asuntos Económicos que se dedique a reajustar tecnológicamente los negocios. Estas reconversiones son imprescindibles para la tramitación de la ayuda pública. De esta manera, el Estado se asegura el empleo eficiente del bono y Beedigital, cuenta con este estatus privilegiado de intermediario que le permite hacer negocio gestionando las ayudas, a pesar de su dudosa situación financiera.</w:t>
      </w:r>
    </w:p>
    <w:p w:rsidR="00A83D16" w:rsidRDefault="00A83D16" w:rsidP="00A83D16">
      <w:pPr>
        <w:pStyle w:val="NormalWeb"/>
        <w:spacing w:after="360"/>
        <w:jc w:val="both"/>
      </w:pPr>
      <w:r>
        <w:t>La ampliación de la denuncia -que el Grupo Parlamentario Popular presentó ante la Fiscalía Anticorrupción el pasado 10 de marzo, alertando de presuntas irregularidades sobre 12 contratos de emergencia del Gobierno de Pedro Sánchez por valor de 326 millones de euros- recuerda que la acreditación como agente digitalizador no es un “mero acto reglado administrativo para poder ejercer una actividad con carácter general”. Es decir, ahonda, “no es una habilitación para acreditar la capacidad profesional para desarrollar una labor a actividad económica determinada”.</w:t>
      </w:r>
    </w:p>
    <w:p w:rsidR="00A83D16" w:rsidRDefault="00A83D16" w:rsidP="00A83D16">
      <w:pPr>
        <w:pStyle w:val="NormalWeb"/>
        <w:spacing w:after="360"/>
        <w:jc w:val="both"/>
      </w:pPr>
      <w:r>
        <w:t>Fondos europeos sin límites</w:t>
      </w:r>
    </w:p>
    <w:p w:rsidR="00A83D16" w:rsidRDefault="00A83D16" w:rsidP="00A83D16">
      <w:pPr>
        <w:pStyle w:val="NormalWeb"/>
        <w:spacing w:after="360"/>
        <w:jc w:val="both"/>
      </w:pPr>
      <w:r>
        <w:t>El Programa Kit Digital, que Nadia Calviño presentó el pasado 25 de noviembre de 2021, es un  programa de 3.000 millones de euros proveniente de los fondos europeos cuyo objetivo consiste en promover la digitalización de pymes y autónomos. “Los beneficiarios recibirán una ayuda en función de su tamaño, midiendo éste según su número de empleados. A los efectos de estas bases, el derecho de cobro que nace de la resolución de concesión se denomina bono digital. Este bono digital no podrá hacerse efectivo hasta que el agente digitalizador, en nombre del beneficiario y siendo este el responsable último, presente la correspondiente cuenta justificativa de la realización de la actividad para la que se concede la subvención y el órgano concedente cons</w:t>
      </w:r>
      <w:r w:rsidR="00662B03">
        <w:t>idere justificada la subvención”</w:t>
      </w:r>
      <w:r>
        <w:t>, reza l</w:t>
      </w:r>
      <w:r w:rsidR="00662B03">
        <w:t>a ampliación de la denuncia</w:t>
      </w:r>
      <w:r>
        <w:t>.</w:t>
      </w:r>
    </w:p>
    <w:p w:rsidR="00A83D16" w:rsidRDefault="00A83D16" w:rsidP="00A83D16">
      <w:pPr>
        <w:pStyle w:val="NormalWeb"/>
        <w:spacing w:after="360"/>
        <w:jc w:val="both"/>
      </w:pPr>
      <w:r>
        <w:t>Así, “las empresas que pudieran ser objeto de recibir las ayudas correspondientes no pueden proceder a realizar las acciones de digitalización previstas por medios propios o contratando a cualquier empresa capacitada para ello, sino que, de forma obligatoria, debe realizar la digitalización a través de quienes estén acreditados, que serán quienes cobrarán en el fondo la subvención”.</w:t>
      </w:r>
    </w:p>
    <w:p w:rsidR="00A83D16" w:rsidRDefault="00A83D16" w:rsidP="00A83D16">
      <w:pPr>
        <w:pStyle w:val="NormalWeb"/>
        <w:spacing w:after="360"/>
        <w:jc w:val="both"/>
      </w:pPr>
      <w:r>
        <w:t>De esa forma, según apunta el PP, “las empresas ven limitada su capacidad de decisión, convirtiéndose en auténticos beneficiarios a los agentes digitalizadores, ya que se constituyen en una situación de oligopolio, en la que un número limitado de vendedores controlan y acaparan la prestación del servicio de digitalización y el acceso a las ayudas”.</w:t>
      </w:r>
    </w:p>
    <w:p w:rsidR="00A83D16" w:rsidRDefault="00A83D16" w:rsidP="00A83D16">
      <w:pPr>
        <w:pStyle w:val="NormalWeb"/>
        <w:spacing w:after="360"/>
        <w:jc w:val="both"/>
      </w:pPr>
      <w:r>
        <w:lastRenderedPageBreak/>
        <w:t>Esta promoción de un oligopolio favorece, para quienes quieran acceder a las ayudas o entrar en el programa de digitalización, la “generación artificial de alianzas empresariales que, sin duda, puede suponer un beneficio significativo, más allá del correspondiente a la prestación específica del servicio”.</w:t>
      </w:r>
    </w:p>
    <w:p w:rsidR="00A83D16" w:rsidRDefault="00A83D16" w:rsidP="00A83D16">
      <w:pPr>
        <w:pStyle w:val="NormalWeb"/>
        <w:spacing w:after="360"/>
        <w:jc w:val="both"/>
      </w:pPr>
      <w:r>
        <w:t>En este sen</w:t>
      </w:r>
      <w:r w:rsidR="0076513D">
        <w:t>tido, la denuncia recuerda que “</w:t>
      </w:r>
      <w:r>
        <w:t>quien crea este sistema que favorece el clientelismo oligopolístico es el Ministerio de Asuntos Económicos, y quien acredita como agente digitalizador a determinadas empresas es el mismo ministerio, y que quien resultó beneficiaria, entre otras, de ser acreditada es una empresa, Páginas Amarillas Soluciones Digitales S.A cuyo Director de Marketing, es marido de la vicepresidenta primera y ministra de As</w:t>
      </w:r>
      <w:r w:rsidR="0076513D">
        <w:t>untos Económicos, Nadia Calviño”</w:t>
      </w:r>
      <w:r>
        <w:t>.</w:t>
      </w:r>
    </w:p>
    <w:p w:rsidR="00A83D16" w:rsidRPr="00595EF7" w:rsidRDefault="00A83D16" w:rsidP="00A83D16">
      <w:pPr>
        <w:pStyle w:val="NormalWeb"/>
        <w:spacing w:after="360"/>
        <w:jc w:val="both"/>
        <w:rPr>
          <w:u w:val="single"/>
        </w:rPr>
      </w:pPr>
      <w:r w:rsidRPr="00595EF7">
        <w:rPr>
          <w:u w:val="single"/>
        </w:rPr>
        <w:t>Italia (</w:t>
      </w:r>
      <w:r w:rsidR="00E33AB3" w:rsidRPr="00595EF7">
        <w:rPr>
          <w:u w:val="single"/>
        </w:rPr>
        <w:t>a la que llevo en el ADN por vía paterna</w:t>
      </w:r>
      <w:r w:rsidRPr="00595EF7">
        <w:rPr>
          <w:u w:val="single"/>
        </w:rPr>
        <w:t>): “el país de los vivos”</w:t>
      </w:r>
    </w:p>
    <w:p w:rsidR="00A83D16" w:rsidRDefault="00A83D16" w:rsidP="00A83D16">
      <w:pPr>
        <w:pStyle w:val="NormalWeb"/>
        <w:spacing w:after="360"/>
        <w:jc w:val="both"/>
      </w:pPr>
      <w:r>
        <w:t xml:space="preserve">- </w:t>
      </w:r>
      <w:r w:rsidR="00662B03">
        <w:rPr>
          <w:u w:val="single"/>
        </w:rPr>
        <w:t>La mafia, cada vez más infil</w:t>
      </w:r>
      <w:r w:rsidRPr="00C87263">
        <w:rPr>
          <w:u w:val="single"/>
        </w:rPr>
        <w:t>trada en la economía legal, al acecho de los fondos de recuperación</w:t>
      </w:r>
      <w:r>
        <w:t xml:space="preserve"> (Euronews - </w:t>
      </w:r>
      <w:r w:rsidRPr="00C87263">
        <w:rPr>
          <w:b/>
        </w:rPr>
        <w:t>1/10/21</w:t>
      </w:r>
      <w:r>
        <w:t>)</w:t>
      </w:r>
    </w:p>
    <w:p w:rsidR="00A83D16" w:rsidRDefault="00A83D16" w:rsidP="00A83D16">
      <w:pPr>
        <w:pStyle w:val="NormalWeb"/>
        <w:spacing w:after="360"/>
        <w:jc w:val="both"/>
      </w:pPr>
      <w:r>
        <w:t>(Por Giorgia Orlandi)</w:t>
      </w:r>
    </w:p>
    <w:p w:rsidR="00A83D16" w:rsidRDefault="00A83D16" w:rsidP="00A83D16">
      <w:pPr>
        <w:pStyle w:val="NormalWeb"/>
        <w:spacing w:after="360"/>
        <w:jc w:val="both"/>
      </w:pPr>
      <w:r>
        <w:t>Desde hace unos años, la delincuencia organizada italiana ha puesto sus ojos en los fondos de la UE. Dado que Italia recibe la mayor parte de las subvenciones y préstamos del bloque tras la pandemia, ahora el dinero de Bruselas es aún más atractivo.</w:t>
      </w:r>
    </w:p>
    <w:p w:rsidR="00A83D16" w:rsidRDefault="00A83D16" w:rsidP="00A83D16">
      <w:pPr>
        <w:pStyle w:val="NormalWeb"/>
        <w:spacing w:after="360"/>
        <w:jc w:val="both"/>
      </w:pPr>
      <w:r>
        <w:t>Últimamente, las organizaciones mafiosas se han orientado más hacia los negocios. Al ayudar a las empresas con problemas de liquidez, la pandemia les ha dado más oportunidades de infiltrarse en la economía legal y ganar más dinero.</w:t>
      </w:r>
    </w:p>
    <w:p w:rsidR="00A83D16" w:rsidRDefault="00A83D16" w:rsidP="00A83D16">
      <w:pPr>
        <w:pStyle w:val="NormalWeb"/>
        <w:spacing w:after="360"/>
        <w:jc w:val="both"/>
      </w:pPr>
      <w:r>
        <w:t>El director de la Dirección de Investigación Antimafia nos contó lo mucho que han cambiado las organizaciones criminales.</w:t>
      </w:r>
    </w:p>
    <w:p w:rsidR="00A83D16" w:rsidRDefault="00A83D16" w:rsidP="00A83D16">
      <w:pPr>
        <w:pStyle w:val="NormalWeb"/>
        <w:spacing w:after="360"/>
        <w:jc w:val="both"/>
      </w:pPr>
      <w:r>
        <w:t xml:space="preserve">Marurizio Vallone, director de la DIA:  </w:t>
      </w:r>
    </w:p>
    <w:p w:rsidR="00A83D16" w:rsidRDefault="0076513D" w:rsidP="00A83D16">
      <w:pPr>
        <w:pStyle w:val="NormalWeb"/>
        <w:spacing w:after="360"/>
        <w:jc w:val="both"/>
      </w:pPr>
      <w:r>
        <w:t>“</w:t>
      </w:r>
      <w:r w:rsidR="00A83D16">
        <w:t>Hay menos asesinatos o tiroteos que en el pasado, menos derramamiento de sangre y mucha más infi</w:t>
      </w:r>
      <w:r>
        <w:t xml:space="preserve">ltración en la economía legal… </w:t>
      </w:r>
      <w:r w:rsidR="00A83D16">
        <w:t>estamos hablando de licitaciones públicas, emprendimiento e incluso en el sector de la administración pública. En el periodo de 6 meses hemos reportado sólo 2 asesina</w:t>
      </w:r>
      <w:r>
        <w:t xml:space="preserve">tos relacionados con la mafia… </w:t>
      </w:r>
      <w:r w:rsidR="00A83D16">
        <w:t>nunca había ocurrido en lo</w:t>
      </w:r>
      <w:r>
        <w:t>s últimos 30 años. Es un récord”</w:t>
      </w:r>
      <w:r w:rsidR="00A83D16">
        <w:t>.</w:t>
      </w:r>
    </w:p>
    <w:p w:rsidR="00A83D16" w:rsidRDefault="00A83D16" w:rsidP="00A83D16">
      <w:pPr>
        <w:pStyle w:val="NormalWeb"/>
        <w:spacing w:after="360"/>
        <w:jc w:val="both"/>
      </w:pPr>
      <w:r>
        <w:t>La emergencia Covid aumentó el número de concursos públicos en varios sectores, especialmente en el sanitario.</w:t>
      </w:r>
    </w:p>
    <w:p w:rsidR="00A83D16" w:rsidRDefault="00A83D16" w:rsidP="00A83D16">
      <w:pPr>
        <w:pStyle w:val="NormalWeb"/>
        <w:spacing w:after="360"/>
        <w:jc w:val="both"/>
      </w:pPr>
      <w:r>
        <w:t xml:space="preserve">Marurizio Vallone, director de la DIA:  </w:t>
      </w:r>
    </w:p>
    <w:p w:rsidR="00A83D16" w:rsidRDefault="0076513D" w:rsidP="00A83D16">
      <w:pPr>
        <w:pStyle w:val="NormalWeb"/>
        <w:spacing w:after="360"/>
        <w:jc w:val="both"/>
      </w:pPr>
      <w:r>
        <w:t>“</w:t>
      </w:r>
      <w:r w:rsidR="00A83D16">
        <w:t>En una situación de emergencia, cuando hay que hacer las cosas con rapidez, los controles de los concursos públicos se simplifican y, cuando eso ocurre, aumenta el riesgo de que no se lleven a cabo de forma correcta. Eso permite que empresas en colusión con el crimen organizado o gestionadas directamente por mafiosos se pre</w:t>
      </w:r>
      <w:r>
        <w:t>senten a esos concursos”.</w:t>
      </w:r>
    </w:p>
    <w:p w:rsidR="00A83D16" w:rsidRDefault="00A83D16" w:rsidP="00A83D16">
      <w:pPr>
        <w:pStyle w:val="NormalWeb"/>
        <w:spacing w:after="360"/>
        <w:jc w:val="both"/>
      </w:pPr>
      <w:r>
        <w:t>Esto significa que los retos para los investigadores del crimen organizado son mucho mayores que en el pasado</w:t>
      </w:r>
    </w:p>
    <w:p w:rsidR="00A83D16" w:rsidRDefault="00A83D16" w:rsidP="00A83D16">
      <w:pPr>
        <w:pStyle w:val="NormalWeb"/>
        <w:spacing w:after="360"/>
        <w:jc w:val="both"/>
      </w:pPr>
      <w:r>
        <w:lastRenderedPageBreak/>
        <w:t xml:space="preserve">Marurizio Vallone, director de la DIA:  </w:t>
      </w:r>
    </w:p>
    <w:p w:rsidR="00A83D16" w:rsidRDefault="0076513D" w:rsidP="00A83D16">
      <w:pPr>
        <w:pStyle w:val="NormalWeb"/>
        <w:spacing w:after="360"/>
        <w:jc w:val="both"/>
      </w:pPr>
      <w:r>
        <w:t>“</w:t>
      </w:r>
      <w:r w:rsidR="00A83D16">
        <w:t>Tenemos que hacer uso de nuestra inteligencia para prevenir este tipo de delitos, es crucial comprobar cada una de las licitaciones y cada empresa que quiera participar en ellas. Tanto cuando se ofertan fondos de la UE como italianos. Eso es necesario para evaluar la situación adecuadamente y evitar que empresas relacionadas con la m</w:t>
      </w:r>
      <w:r>
        <w:t>afia soliciten estos fondos”.</w:t>
      </w:r>
    </w:p>
    <w:p w:rsidR="00A83D16" w:rsidRDefault="00A83D16" w:rsidP="00A83D16">
      <w:pPr>
        <w:pStyle w:val="NormalWeb"/>
        <w:spacing w:after="360"/>
        <w:jc w:val="both"/>
      </w:pPr>
      <w:r>
        <w:t>El ganador de una licitación suele ser evaluado por las fuerzas policiales antes incluso de que comience el concurso. Pero con las empresas en apuros y desesperadas por obtener ayuda financiera, la necesidad de un control más estricto contra la mafia en las obras públicas será crucial para mantener al crimen organizado fuera del camino de la recuperación de Italia.</w:t>
      </w:r>
    </w:p>
    <w:p w:rsidR="00E33AB3" w:rsidRPr="00E33AB3" w:rsidRDefault="00E33AB3" w:rsidP="00A83D16">
      <w:pPr>
        <w:pStyle w:val="NormalWeb"/>
        <w:spacing w:after="360"/>
        <w:jc w:val="both"/>
        <w:rPr>
          <w:u w:val="single"/>
        </w:rPr>
      </w:pPr>
      <w:r w:rsidRPr="00E33AB3">
        <w:rPr>
          <w:u w:val="single"/>
        </w:rPr>
        <w:t>La relación entre la mafia italiana y la contratación pública</w:t>
      </w:r>
    </w:p>
    <w:p w:rsidR="00A83D16" w:rsidRPr="00595EF7" w:rsidRDefault="00974164" w:rsidP="00A83D16">
      <w:pPr>
        <w:pStyle w:val="NormalWeb"/>
        <w:spacing w:after="360"/>
        <w:jc w:val="both"/>
      </w:pPr>
      <w:r>
        <w:t xml:space="preserve">Nota: </w:t>
      </w:r>
      <w:r w:rsidR="00A83D16" w:rsidRPr="00595EF7">
        <w:t>Las cuatro mafias italianas son</w:t>
      </w:r>
      <w:r w:rsidR="00595EF7">
        <w:t>:</w:t>
      </w:r>
      <w:r w:rsidR="00A83D16" w:rsidRPr="00595EF7">
        <w:t xml:space="preserve"> la Cosa Nostra (Sicilia), la Camorra (Campania), la 'Ndrangheta (Calabria) y la Sacra Corona Unita (Apulia).</w:t>
      </w:r>
    </w:p>
    <w:p w:rsidR="00604022" w:rsidRDefault="00604022" w:rsidP="00A83D16">
      <w:pPr>
        <w:pStyle w:val="NormalWeb"/>
        <w:spacing w:after="360"/>
        <w:jc w:val="both"/>
        <w:rPr>
          <w:color w:val="FF0000"/>
        </w:rPr>
      </w:pPr>
      <w:r w:rsidRPr="00604022">
        <w:rPr>
          <w:noProof/>
          <w:color w:val="FF0000"/>
          <w:lang w:val="en-GB" w:eastAsia="zh-CN"/>
        </w:rPr>
        <w:drawing>
          <wp:inline distT="0" distB="0" distL="0" distR="0">
            <wp:extent cx="5708490" cy="5708650"/>
            <wp:effectExtent l="0" t="0" r="6985"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706272" cy="5706432"/>
                    </a:xfrm>
                    <a:prstGeom prst="rect">
                      <a:avLst/>
                    </a:prstGeom>
                  </pic:spPr>
                </pic:pic>
              </a:graphicData>
            </a:graphic>
          </wp:inline>
        </w:drawing>
      </w:r>
    </w:p>
    <w:p w:rsidR="00604022" w:rsidRPr="00604022" w:rsidRDefault="00604022" w:rsidP="00A83D16">
      <w:pPr>
        <w:pStyle w:val="NormalWeb"/>
        <w:spacing w:after="360"/>
        <w:jc w:val="both"/>
      </w:pPr>
      <w:r w:rsidRPr="00604022">
        <w:lastRenderedPageBreak/>
        <w:t xml:space="preserve">(Fuente: La Información - </w:t>
      </w:r>
      <w:r w:rsidRPr="00974164">
        <w:rPr>
          <w:b/>
        </w:rPr>
        <w:t>28/10/18</w:t>
      </w:r>
      <w:r w:rsidRPr="00604022">
        <w:t>)</w:t>
      </w:r>
    </w:p>
    <w:p w:rsidR="00A83D16" w:rsidRDefault="00A83D16" w:rsidP="00A83D16">
      <w:pPr>
        <w:pStyle w:val="NormalWeb"/>
        <w:spacing w:after="360"/>
        <w:jc w:val="both"/>
      </w:pPr>
      <w:r>
        <w:t>La relación entre la mafia italiana y la contratación pública ha sido fundamental en la construcción del poder de la mafia en Italia, especialmente con respecto a la gestión ilícita del sistema de adjudicación de contratos públicos en Sicilia y otras regiones por parte de la Cosa Nostra y otras mafias italianas. Las continuas investigaciones judiciales, los juicios casi semanales, La detención de los nombres y la confiscación de los bienes de los malhechores ponen de relieve tanto la gran coherencia económica como su expansión en todo el territorio. Esta actividad mafiosa ha servido tanto para la acumulación de enormes riquezas como para ejercer un control prepotente y a menudo violento sobre el territorio. El control de la contratación pública es utilizado por los matones de la mafia para proporcionar mano de obra negra a sus afiliados, eludiendo la autorregulación sindical de las relaciones laborales. Esto pone bajo control no solo la adquisición sino también la gestión del trabajo y la especulación sobre la compra de materias primas. La gestión mafiosa de los contratos públicos también ha fomentado la corrupción en las administraciones públicas y ha aumentado, con el voto de intercambio, la Asociación mafiosa de la clase política con grupos delictivos. La corrupción perpetrada también afecta a las personas que deben controlar la calidad de las obras públicas al final de las obras. El producto del dinero público que los criminales se han apropiado a través de la contratación pública, ha ayudado tanto a financiar el sistema mafioso con dinero limpio, como a lavar dinero sucio.</w:t>
      </w:r>
    </w:p>
    <w:p w:rsidR="00A83D16" w:rsidRPr="00C87263" w:rsidRDefault="00A83D16" w:rsidP="00A83D16">
      <w:pPr>
        <w:pStyle w:val="NormalWeb"/>
        <w:spacing w:after="360"/>
        <w:jc w:val="both"/>
      </w:pPr>
      <w:r>
        <w:t xml:space="preserve">El capital básico se obtiene mediante extorsión a cambio de protección, robo, secuestro, prostitución. El dinero se invierte en la compra y venta de drogas, lo que implica la acumulación de un enorme capital. El capital así acumulado se </w:t>
      </w:r>
      <w:r w:rsidR="004A36AB">
        <w:t>reinvierte</w:t>
      </w:r>
      <w:r>
        <w:t xml:space="preserve"> en diversas actividades, posiblemente legales, como hoteles y restaurantes, donde es posible comerciar más silenciosamente, pero también ilegal, como casas de juego, invertir en construcción y en contratos amañados. La novedad es que se recurre lo menos posible a la violencia, para no suscitar investigaciones y se busca una entrevista más corrupta que dominante o violenta. Luego, a través de la corrupción de políticos y administradores locales, los contratos se obtienen de las empresas controladas por los delincuentes, influyendo en las licitaciones relacionadas. Los fondos ocultos destinados a sobornos para políticos y administradores y para la remuneración de miembros de la banda criminal se producen mediante la emisión de facturas falsas para operaciones inexistentes. </w:t>
      </w:r>
    </w:p>
    <w:p w:rsidR="00A83D16" w:rsidRPr="00595EF7" w:rsidRDefault="00974164" w:rsidP="00A83D16">
      <w:pPr>
        <w:pStyle w:val="NormalWeb"/>
        <w:spacing w:after="360"/>
        <w:jc w:val="both"/>
      </w:pPr>
      <w:r>
        <w:t xml:space="preserve">Nota: </w:t>
      </w:r>
      <w:r w:rsidR="00595EF7">
        <w:t>Los principales</w:t>
      </w:r>
      <w:r w:rsidR="00E33AB3" w:rsidRPr="00595EF7">
        <w:t xml:space="preserve"> “capos” de la Mafia: </w:t>
      </w:r>
      <w:r w:rsidR="00A83D16" w:rsidRPr="00595EF7">
        <w:t>Salvatore Totò Riina</w:t>
      </w:r>
      <w:r w:rsidR="00E33AB3" w:rsidRPr="00595EF7">
        <w:t xml:space="preserve"> (fallecido en prisión</w:t>
      </w:r>
      <w:r w:rsidR="00A83D16" w:rsidRPr="00595EF7">
        <w:t xml:space="preserve">).Leoluca Bagarella (en prisión). Bernardo Provenzano (en espera de juicio). </w:t>
      </w:r>
      <w:r>
        <w:t>Fabrizzio Molinari y Benito Lorenzetti</w:t>
      </w:r>
      <w:r w:rsidR="00A83D16" w:rsidRPr="00595EF7">
        <w:t xml:space="preserve"> (en clandestinidad). Laureano Spollanzoni (en clandestinidad).</w:t>
      </w:r>
    </w:p>
    <w:p w:rsidR="00A83D16" w:rsidRDefault="00A83D16" w:rsidP="00A83D16">
      <w:pPr>
        <w:pStyle w:val="NormalWeb"/>
        <w:spacing w:after="360"/>
        <w:jc w:val="both"/>
      </w:pPr>
      <w:r>
        <w:t xml:space="preserve">- </w:t>
      </w:r>
      <w:r w:rsidRPr="00296215">
        <w:rPr>
          <w:u w:val="single"/>
        </w:rPr>
        <w:t>Negociación Estado italiano-mafia y las dudas que la sentencia no despeja</w:t>
      </w:r>
      <w:r>
        <w:t xml:space="preserve"> (Agencia EFE - </w:t>
      </w:r>
      <w:r w:rsidRPr="00296215">
        <w:rPr>
          <w:b/>
        </w:rPr>
        <w:t>9/5/18</w:t>
      </w:r>
      <w:r>
        <w:t>)</w:t>
      </w:r>
    </w:p>
    <w:p w:rsidR="00A83D16" w:rsidRDefault="00A83D16" w:rsidP="00A83D16">
      <w:pPr>
        <w:pStyle w:val="NormalWeb"/>
        <w:spacing w:after="360"/>
        <w:jc w:val="both"/>
      </w:pPr>
      <w:r>
        <w:t>La sentencia dictada recientemente por el tribunal de Palermo, según la cual el Estado italiano pactó con la mafia en la primera mitad de los años noventa del siglo pasado, ha sido recibida como un tsunami en plenas negociaciones para la formación de un nuevo gobierno.</w:t>
      </w:r>
    </w:p>
    <w:p w:rsidR="00A83D16" w:rsidRDefault="00A83D16" w:rsidP="00A83D16">
      <w:pPr>
        <w:pStyle w:val="NormalWeb"/>
        <w:spacing w:after="360"/>
        <w:jc w:val="both"/>
      </w:pPr>
      <w:r>
        <w:t>Tras cinco años de proceso judicial, el tribunal determinó que algunos miembros de las instituciones y de los cuerpos de seguridad del Estado pactaron con la mafia una especie de alto el fuego para parar los ataques de Cosa Nostra, que (entre 1992 y 1993) había asesinado a los jueces Giovanni Falcone y Paolo Borsellino (junto con sus escoltas) y a anónimos ciudadanos en los atentados de Florencia, Milán y Roma.</w:t>
      </w:r>
    </w:p>
    <w:p w:rsidR="00A83D16" w:rsidRDefault="00A83D16" w:rsidP="00A83D16">
      <w:pPr>
        <w:pStyle w:val="NormalWeb"/>
        <w:spacing w:after="360"/>
        <w:jc w:val="both"/>
      </w:pPr>
      <w:r>
        <w:lastRenderedPageBreak/>
        <w:t>Las condenas son muy duras: 12 años para los generales de los Carabinieri Mario Mori y Antonio Subranni, así como para Marcello Dell'Utri (brazo derecho de Silvio Berlusconi, cofundador de Forza Italia y ya en la cárcel por vinculación con la mafia) y para Antonino Cinà, médico del exjefe de todos los jefes, el recientemente fallecido Totò Riina; ocho años para el excoronel de los Carabinieri, Giuseppe De Donno, y para Massimo Ciancimino (testigo clave en el juicio, pero condenado por difamar al ex jefe de la policía, Gianni De Gen</w:t>
      </w:r>
      <w:r w:rsidR="0076513D">
        <w:t>naro); veintiocho años para el “boss”</w:t>
      </w:r>
      <w:r>
        <w:t xml:space="preserve"> mafioso Leoluca Bagarella.</w:t>
      </w:r>
    </w:p>
    <w:p w:rsidR="00A83D16" w:rsidRDefault="00A83D16" w:rsidP="00A83D16">
      <w:pPr>
        <w:pStyle w:val="NormalWeb"/>
        <w:spacing w:after="360"/>
        <w:jc w:val="both"/>
      </w:pPr>
      <w:r>
        <w:t>El fiscal de la acusación, Nino Di Matteo, tras la lectura de la sentencia, ha declarado ante los medios de comunicación que ya queda comprobada la vinculación entre la mafia y Silvio Berlusconi, no solo cuando este era empresario, sino también cuando entró en política.</w:t>
      </w:r>
    </w:p>
    <w:p w:rsidR="00A83D16" w:rsidRDefault="00A83D16" w:rsidP="00A83D16">
      <w:pPr>
        <w:pStyle w:val="NormalWeb"/>
        <w:spacing w:after="360"/>
        <w:jc w:val="both"/>
      </w:pPr>
      <w:r>
        <w:t>Una parte del abanico parlamentario ha criticado a los fiscales acusándoles de actitud partidista, otros han alabado su labor, destacando la trascendencia de la sentencia. El nuevo presidente de la Cámara de los Diputados, Roberto Fico, def</w:t>
      </w:r>
      <w:r w:rsidR="0076513D">
        <w:t>inió el 20 de abril de 2018 un “</w:t>
      </w:r>
      <w:r>
        <w:t>día histó</w:t>
      </w:r>
      <w:r w:rsidR="0076513D">
        <w:t>rico para Palermo y para Italia”</w:t>
      </w:r>
      <w:r>
        <w:t>.</w:t>
      </w:r>
    </w:p>
    <w:p w:rsidR="00A83D16" w:rsidRDefault="00A83D16" w:rsidP="00A83D16">
      <w:pPr>
        <w:pStyle w:val="NormalWeb"/>
        <w:spacing w:after="360"/>
        <w:jc w:val="both"/>
      </w:pPr>
      <w:r>
        <w:t>Para Di Maio, líder del Movimiento Cinco Estrellas, Berlusconi está políticamente enterrado; Salvini, de la Liga, ha pr</w:t>
      </w:r>
      <w:r w:rsidR="0076513D">
        <w:t>eferido no comentar el asunto, “ahogado”</w:t>
      </w:r>
      <w:r>
        <w:t xml:space="preserve"> entre el aliado, Forza Italia, y el posible compañero de gobierno, el Movimiento Cinco Estrellas.</w:t>
      </w:r>
    </w:p>
    <w:p w:rsidR="00A83D16" w:rsidRDefault="00A83D16" w:rsidP="00A83D16">
      <w:pPr>
        <w:pStyle w:val="NormalWeb"/>
        <w:spacing w:after="360"/>
        <w:jc w:val="both"/>
      </w:pPr>
      <w:r>
        <w:t>Al margen de esta trifulca, algunos detalles de la sentencia quedan poco claros. Las negociaciones se llevaron a cabo entre la mafia y una parte muy reducida de altos cargos de las Fuerzas de Seguridad del Estado italiano. Se supone que esos altos cargos entraron en contacto con mafiosos para lograr lo que efectivamente pasó, que la mafia dejara de atentar.</w:t>
      </w:r>
    </w:p>
    <w:p w:rsidR="00A83D16" w:rsidRDefault="00A83D16" w:rsidP="00A83D16">
      <w:pPr>
        <w:pStyle w:val="NormalWeb"/>
        <w:spacing w:after="360"/>
        <w:jc w:val="both"/>
      </w:pPr>
      <w:r>
        <w:t>Lo que no queda claro es si esas personas se beneficiaron debido a esos contactos. Puede que pactaran la concesión de determinados privilegios con los mafiosos, que pedían, entre otras cosas, la eliminación del severo régimen carcelario 41-bis. Sin embargo, no solo no desapareció el 41-bis, sino que Mario Mori tomó parte en la operación de detención del entonces jefe de Cosa Nostra, Totò Riina, en enero de 1993.</w:t>
      </w:r>
    </w:p>
    <w:p w:rsidR="00A83D16" w:rsidRDefault="00A83D16" w:rsidP="00A83D16">
      <w:pPr>
        <w:pStyle w:val="NormalWeb"/>
        <w:spacing w:after="360"/>
        <w:jc w:val="both"/>
      </w:pPr>
      <w:r>
        <w:t>Aparece el vínculo entre Berlusconi político y la mafia, a través de su principal colaborador, Marcello Dell'Utri. Sin embargo, Berlusconi, en el bienio 1992-1993, no había entrado todavía en política y cuando llegó al poder, en 1994, su gobierno dimitió tan solo siete meses después. ¿Qué ocurrió con los que sí estaban gobernando entre 1992 y 1993?</w:t>
      </w:r>
    </w:p>
    <w:p w:rsidR="00A83D16" w:rsidRDefault="00A83D16" w:rsidP="00A83D16">
      <w:pPr>
        <w:pStyle w:val="NormalWeb"/>
        <w:spacing w:after="360"/>
        <w:jc w:val="both"/>
      </w:pPr>
      <w:r>
        <w:t>El entonces ministro del Interior, Nicola Mancino, único imputado entre los políticos de aquella época, ha sido absuelto. Amato y Ciampi, que presidieron sendos gobiernos en esos dos años, no son ni mencionados. Tampoco se habla del sucesor de Berlusconi, Lamberto Dini. ¿Es posible que una negociación de esa envergadura haya sido llevada a cabo tan solo por tres altos cargos de los Carabinieri y un político, que en ese periodo aún no había entrado en la política?</w:t>
      </w:r>
    </w:p>
    <w:p w:rsidR="00A83D16" w:rsidRDefault="00A83D16" w:rsidP="00A83D16">
      <w:pPr>
        <w:pStyle w:val="NormalWeb"/>
        <w:spacing w:after="360"/>
        <w:jc w:val="both"/>
      </w:pPr>
      <w:r>
        <w:t>Habrá que esperar unos meses para leer las justificaciones de los jueces a esta sentencia que, de confirmarse en los sucesivos juicios, está destinada a reescribir unas páginas importantes de la historia de la Italia más reciente.</w:t>
      </w:r>
    </w:p>
    <w:p w:rsidR="00364F0A" w:rsidRDefault="00364F0A" w:rsidP="00A83D16">
      <w:pPr>
        <w:pStyle w:val="NormalWeb"/>
        <w:spacing w:after="360"/>
        <w:jc w:val="both"/>
      </w:pPr>
    </w:p>
    <w:p w:rsidR="0076513D" w:rsidRDefault="0076513D" w:rsidP="0076513D">
      <w:pPr>
        <w:pStyle w:val="NormalWeb"/>
        <w:spacing w:after="360"/>
        <w:jc w:val="both"/>
      </w:pPr>
      <w:r>
        <w:lastRenderedPageBreak/>
        <w:t xml:space="preserve">- </w:t>
      </w:r>
      <w:r w:rsidRPr="0076513D">
        <w:rPr>
          <w:u w:val="single"/>
        </w:rPr>
        <w:t>Italia prepara un plan para evitar que la mafia se lucre con la gestión de la basura</w:t>
      </w:r>
      <w:r>
        <w:t xml:space="preserve"> (La Información - </w:t>
      </w:r>
      <w:r w:rsidRPr="0076513D">
        <w:rPr>
          <w:b/>
        </w:rPr>
        <w:t>18/11/18</w:t>
      </w:r>
      <w:r>
        <w:t>)</w:t>
      </w:r>
    </w:p>
    <w:p w:rsidR="0076513D" w:rsidRDefault="0076513D" w:rsidP="0076513D">
      <w:pPr>
        <w:pStyle w:val="NormalWeb"/>
        <w:spacing w:after="360"/>
        <w:jc w:val="both"/>
      </w:pPr>
      <w:r>
        <w:t>En la “</w:t>
      </w:r>
      <w:r w:rsidR="00E33AB3">
        <w:t>Tierra de los Fuegos”</w:t>
      </w:r>
      <w:r>
        <w:t xml:space="preserve"> de Campania la mafia hizo dinero con los desechos, quemándolos o sepultándolos, lo que ha contaminado el área.</w:t>
      </w:r>
    </w:p>
    <w:p w:rsidR="0076513D" w:rsidRDefault="0076513D" w:rsidP="0076513D">
      <w:pPr>
        <w:pStyle w:val="NormalWeb"/>
        <w:spacing w:after="360"/>
        <w:jc w:val="both"/>
      </w:pPr>
      <w:r>
        <w:t>El Gobierno italiano presentará este lunes un plan para la gestión de los residuos tóxicos, cuya mala gestión ha sido aprovechada por las mafias sobre todo en el sur del país, tras un consejo de ministros que se celebr</w:t>
      </w:r>
      <w:r w:rsidR="00E33AB3">
        <w:t>ará en la localidad de Caserta.</w:t>
      </w:r>
    </w:p>
    <w:p w:rsidR="0076513D" w:rsidRDefault="0076513D" w:rsidP="0076513D">
      <w:pPr>
        <w:pStyle w:val="NormalWeb"/>
        <w:spacing w:after="360"/>
        <w:jc w:val="both"/>
      </w:pPr>
      <w:r>
        <w:t>El presidente del Gobierno italiano, Giusppe Conte, anunció esta iniciativa que pretende atajar el problema de la gestión de los residuos tóxicos que, por ejemplo, ha dado lugar a que en la región de Campania ex</w:t>
      </w:r>
      <w:r w:rsidR="00E33AB3">
        <w:t>ista una zona conocida como la “Tierra de los Fuegos”</w:t>
      </w:r>
      <w:r>
        <w:t xml:space="preserve">, donde la mafia se lucró con el desecho de basura, quemándola o sepultándola, lo que ha contaminado el área y ha provocado </w:t>
      </w:r>
      <w:r w:rsidR="00E33AB3">
        <w:t>el aumento de casos de tumores.</w:t>
      </w:r>
    </w:p>
    <w:p w:rsidR="0076513D" w:rsidRDefault="00E33AB3" w:rsidP="0076513D">
      <w:pPr>
        <w:pStyle w:val="NormalWeb"/>
        <w:spacing w:after="360"/>
        <w:jc w:val="both"/>
      </w:pPr>
      <w:r>
        <w:t>“</w:t>
      </w:r>
      <w:r w:rsidR="0076513D">
        <w:t>Basta con quemar los residuos tóxicos. Nunca más tierras de fuego. El lunes estaré en Caserta con siete ministros para firmar el 'Plan de acción para acab</w:t>
      </w:r>
      <w:r>
        <w:t>ar con las hogueras de residuos”</w:t>
      </w:r>
      <w:r w:rsidR="0076513D">
        <w:t>, anunció el presidente del Gobierno, apoyado por los antisistema Movimiento 5 Estrellas (M5S) y la ultraderechista Liga.</w:t>
      </w:r>
    </w:p>
    <w:p w:rsidR="0076513D" w:rsidRDefault="00E33AB3" w:rsidP="0076513D">
      <w:pPr>
        <w:pStyle w:val="NormalWeb"/>
        <w:spacing w:after="360"/>
        <w:jc w:val="both"/>
      </w:pPr>
      <w:r>
        <w:t>Conte explicó por “</w:t>
      </w:r>
      <w:r w:rsidR="0076513D">
        <w:t>iniciativa del ministro de Medioambiente, Sergio Costa, y con el apoyo de todos los ministros", se presentará un programa concreto de intervención para la lucha contra los basureros ilegales, el enterramiento de residuos y cualquier otra fo</w:t>
      </w:r>
      <w:r>
        <w:t>rma de violación del territorio”</w:t>
      </w:r>
      <w:r w:rsidR="0076513D">
        <w:t>. Pero la gestión de las basuras ha enfrentado duramente en los últimos días a</w:t>
      </w:r>
      <w:r>
        <w:t xml:space="preserve"> los dos socios en el Gobierno.</w:t>
      </w:r>
    </w:p>
    <w:p w:rsidR="0076513D" w:rsidRDefault="0076513D" w:rsidP="0076513D">
      <w:pPr>
        <w:pStyle w:val="NormalWeb"/>
        <w:spacing w:after="360"/>
        <w:jc w:val="both"/>
      </w:pPr>
      <w:r>
        <w:t>Incineradoras y disputa política</w:t>
      </w:r>
    </w:p>
    <w:p w:rsidR="0076513D" w:rsidRDefault="0076513D" w:rsidP="0076513D">
      <w:pPr>
        <w:pStyle w:val="NormalWeb"/>
        <w:spacing w:after="360"/>
        <w:jc w:val="both"/>
      </w:pPr>
      <w:r>
        <w:t>El vicepresidente y líder de la Liga, Matteo Salvini, insistió hoy en la necesidad de que la Campania instale incineradores, una idea que no gusta en absoluto a sus socios de Gobierno del Cinco Estrellas, proclives a soluciones más ecológicas.</w:t>
      </w:r>
    </w:p>
    <w:p w:rsidR="0076513D" w:rsidRDefault="0076513D" w:rsidP="0076513D">
      <w:pPr>
        <w:pStyle w:val="NormalWeb"/>
        <w:spacing w:after="360"/>
        <w:jc w:val="both"/>
      </w:pPr>
      <w:r>
        <w:t>Conte explicó que el pr</w:t>
      </w:r>
      <w:r w:rsidR="00E33AB3">
        <w:t>otocolo que se aprobará mañana “</w:t>
      </w:r>
      <w:r>
        <w:t>no sólo será para Campania sino para el resto de territo</w:t>
      </w:r>
      <w:r w:rsidR="00E33AB3">
        <w:t>rios donde existe este problema” y agregó que “</w:t>
      </w:r>
      <w:r>
        <w:t>se actuarán medidas para la protección de la salud de la población y del ecosist</w:t>
      </w:r>
      <w:r w:rsidR="00E33AB3">
        <w:t>ema”.</w:t>
      </w:r>
    </w:p>
    <w:p w:rsidR="0076513D" w:rsidRDefault="0076513D" w:rsidP="0076513D">
      <w:pPr>
        <w:pStyle w:val="NormalWeb"/>
        <w:spacing w:after="360"/>
        <w:jc w:val="both"/>
      </w:pPr>
      <w:r>
        <w:t>En los informes del Departamento de Epidemiología Ambiental del Instituto Superior de Sanidad (ISS) de Italia se ha evidenciado el riesgo de padecer tumores es entre un 5 y un 10% más el</w:t>
      </w:r>
      <w:r w:rsidR="00E33AB3">
        <w:t>evado en la zona de la llamada “Tierra de fuegos”</w:t>
      </w:r>
      <w:r>
        <w:t xml:space="preserve"> que en el resto de la región de Campania.</w:t>
      </w:r>
    </w:p>
    <w:p w:rsidR="0076513D" w:rsidRPr="00296215" w:rsidRDefault="0076513D" w:rsidP="0076513D">
      <w:pPr>
        <w:pStyle w:val="NormalWeb"/>
        <w:spacing w:after="360"/>
        <w:jc w:val="both"/>
      </w:pPr>
      <w:r>
        <w:t>La Camorra, la mafia local, consiguió introducirse en el sistema para la eliminación de los residuos tóxicos, pero lo que hace es deshacerse de ellos quemándolos o enterrándolos en esta zona.</w:t>
      </w:r>
    </w:p>
    <w:p w:rsidR="00604022" w:rsidRPr="00604022" w:rsidRDefault="00A83D16" w:rsidP="00A83D16">
      <w:pPr>
        <w:pStyle w:val="NormalWeb"/>
        <w:spacing w:after="360"/>
        <w:jc w:val="both"/>
        <w:rPr>
          <w:b/>
        </w:rPr>
      </w:pPr>
      <w:r w:rsidRPr="00604022">
        <w:rPr>
          <w:b/>
        </w:rPr>
        <w:t xml:space="preserve">Nota: Los ladrones gobiernan Europa, cada vez con menos disimulo. </w:t>
      </w:r>
    </w:p>
    <w:p w:rsidR="00A83D16" w:rsidRPr="00604022" w:rsidRDefault="00A83D16" w:rsidP="00A83D16">
      <w:pPr>
        <w:pStyle w:val="NormalWeb"/>
        <w:spacing w:after="360"/>
        <w:jc w:val="both"/>
        <w:rPr>
          <w:b/>
        </w:rPr>
      </w:pPr>
      <w:r w:rsidRPr="00604022">
        <w:rPr>
          <w:b/>
        </w:rPr>
        <w:t xml:space="preserve">Todo lo que hay y hubo está a la vista de todos; otra cosa es que no quieran mirarlo y hagan como si no lo han visto. </w:t>
      </w:r>
    </w:p>
    <w:p w:rsidR="00A83D16" w:rsidRPr="00604022" w:rsidRDefault="00A83D16" w:rsidP="00A83D16">
      <w:pPr>
        <w:pStyle w:val="NormalWeb"/>
        <w:spacing w:after="360"/>
        <w:jc w:val="both"/>
        <w:rPr>
          <w:b/>
        </w:rPr>
      </w:pPr>
      <w:r w:rsidRPr="00604022">
        <w:rPr>
          <w:b/>
        </w:rPr>
        <w:lastRenderedPageBreak/>
        <w:t>Por eso, mientras los sacristanes de la parroquia bruselense (más pendientes de su ego que de la verdad), siguen con su modelo de mendacidad, cobardía intelectual, estupidez política, connivencia, o corrupción, le pido (ruego) a los ciudadanos (auténticos paganos del desaguisado) que miren a su alrededor y traten de no olvidar lo inolvidable.</w:t>
      </w:r>
    </w:p>
    <w:p w:rsidR="00A83D16" w:rsidRPr="00604022" w:rsidRDefault="00A83D16" w:rsidP="00A83D16">
      <w:pPr>
        <w:pStyle w:val="NormalWeb"/>
        <w:spacing w:after="360"/>
        <w:jc w:val="both"/>
        <w:rPr>
          <w:b/>
        </w:rPr>
      </w:pPr>
      <w:r w:rsidRPr="00604022">
        <w:rPr>
          <w:b/>
        </w:rPr>
        <w:t>Las ideas de estos bufones de la política y la economía (con columna vertebral de látex), que pretenden estafar (expoliar) a Europa solo se pueden combatir, nunca respetar.</w:t>
      </w:r>
    </w:p>
    <w:p w:rsidR="007A417F" w:rsidRPr="00865BB5" w:rsidRDefault="007A417F" w:rsidP="007A417F">
      <w:pPr>
        <w:pStyle w:val="NormalWeb"/>
        <w:spacing w:after="360"/>
        <w:jc w:val="both"/>
        <w:rPr>
          <w:b/>
        </w:rPr>
      </w:pPr>
      <w:r>
        <w:rPr>
          <w:b/>
        </w:rPr>
        <w:t>Sigue el ridículo: habrá circo hasta el final</w:t>
      </w:r>
      <w:r w:rsidRPr="00865BB5">
        <w:rPr>
          <w:b/>
        </w:rPr>
        <w:t xml:space="preserve"> (¿por qué</w:t>
      </w:r>
      <w:r>
        <w:rPr>
          <w:b/>
        </w:rPr>
        <w:t xml:space="preserve"> no lo dejan ya, y desconectan a la Unión Europea? -hora de la muerte-. Si no lo hacen por vergüenza, háganlo por piedad.</w:t>
      </w:r>
    </w:p>
    <w:p w:rsidR="007A417F" w:rsidRDefault="007A417F" w:rsidP="007A417F">
      <w:pPr>
        <w:pStyle w:val="NormalWeb"/>
        <w:spacing w:after="360"/>
        <w:jc w:val="both"/>
      </w:pPr>
      <w:r>
        <w:t xml:space="preserve">- </w:t>
      </w:r>
      <w:r w:rsidRPr="00653257">
        <w:rPr>
          <w:u w:val="single"/>
        </w:rPr>
        <w:t>La escultura gigante del euro que ha representado al BCE durante años será subastada porque no se puede mantener</w:t>
      </w:r>
      <w:r>
        <w:t xml:space="preserve"> (El Economista - </w:t>
      </w:r>
      <w:r w:rsidRPr="00653257">
        <w:rPr>
          <w:b/>
        </w:rPr>
        <w:t>6/7/22</w:t>
      </w:r>
      <w:r>
        <w:t>)</w:t>
      </w:r>
    </w:p>
    <w:p w:rsidR="007A417F" w:rsidRDefault="007A417F" w:rsidP="007A417F">
      <w:pPr>
        <w:pStyle w:val="NormalWeb"/>
        <w:spacing w:after="360"/>
        <w:jc w:val="both"/>
      </w:pPr>
      <w:r>
        <w:t>La escultura mide 14 metros y pesa 50 toneladas</w:t>
      </w:r>
    </w:p>
    <w:p w:rsidR="007A417F" w:rsidRDefault="007A417F" w:rsidP="007A417F">
      <w:pPr>
        <w:pStyle w:val="NormalWeb"/>
        <w:spacing w:after="360"/>
        <w:jc w:val="both"/>
      </w:pPr>
      <w:r>
        <w:t>La escultura gigante azul del euro, símbolo de Europa y sobre todo de la divisa, será subastada a mediados de octubre porque es demasiado cara de mantener.</w:t>
      </w:r>
    </w:p>
    <w:p w:rsidR="007A417F" w:rsidRDefault="007A417F" w:rsidP="007A417F">
      <w:pPr>
        <w:pStyle w:val="NormalWeb"/>
        <w:spacing w:after="360"/>
        <w:jc w:val="both"/>
      </w:pPr>
      <w:r>
        <w:t>Situada en la Plaza Willy-Brandt de Fráncfort, la capital financiera de Alemania, se ha convertido desde finales de 2001 en un símbolo de identidad de la ciudad pese al recelo de los alemanes con el euro.</w:t>
      </w:r>
    </w:p>
    <w:p w:rsidR="007A417F" w:rsidRDefault="007A417F" w:rsidP="007A417F">
      <w:pPr>
        <w:pStyle w:val="NormalWeb"/>
        <w:spacing w:after="360"/>
        <w:jc w:val="both"/>
      </w:pPr>
      <w:r>
        <w:rPr>
          <w:noProof/>
          <w:lang w:val="en-GB" w:eastAsia="zh-CN"/>
        </w:rPr>
        <w:drawing>
          <wp:inline distT="0" distB="0" distL="0" distR="0">
            <wp:extent cx="5726640" cy="3136900"/>
            <wp:effectExtent l="0" t="0" r="7620" b="6350"/>
            <wp:docPr id="31" name="Imagen 31" descr="bce-euro-decaden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ce-euro-decadencia.jpg"/>
                    <pic:cNvPicPr>
                      <a:picLocks noChangeAspect="1" noChangeArrowheads="1"/>
                    </pic:cNvPicPr>
                  </pic:nvPicPr>
                  <pic:blipFill>
                    <a:blip r:embed="rId1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39568"/>
                    </a:xfrm>
                    <a:prstGeom prst="rect">
                      <a:avLst/>
                    </a:prstGeom>
                    <a:noFill/>
                    <a:ln>
                      <a:noFill/>
                    </a:ln>
                  </pic:spPr>
                </pic:pic>
              </a:graphicData>
            </a:graphic>
          </wp:inline>
        </w:drawing>
      </w:r>
    </w:p>
    <w:p w:rsidR="007A417F" w:rsidRDefault="007A417F" w:rsidP="007A417F">
      <w:pPr>
        <w:pStyle w:val="NormalWeb"/>
        <w:spacing w:after="360"/>
        <w:jc w:val="both"/>
      </w:pPr>
      <w:r>
        <w:t>Fotografías de esta escultura del euro aparecen en todas las informaciones relacionadas con el euro y hace años también se veía en las informaciones sobre el Banco Central Europeo (BCE) porque su primera sede se encontraba a pocos metros de distancia.</w:t>
      </w:r>
    </w:p>
    <w:p w:rsidR="007A417F" w:rsidRDefault="007A417F" w:rsidP="007A417F">
      <w:pPr>
        <w:pStyle w:val="NormalWeb"/>
        <w:spacing w:after="360"/>
        <w:jc w:val="both"/>
      </w:pPr>
      <w:r>
        <w:t>La escultura es propiedad del comité sin ánimo de lucro Verein Frankfurter Kultur Komitee, que dirige Manfred Pohl. Pero el aumento del vandalismo los últimos dos años, que ha engullido los medios financieros de que dispone el comité para todos sus proyectos, impide que las aportaciones económicas privadas sean suficientes para mantenerla.</w:t>
      </w:r>
    </w:p>
    <w:p w:rsidR="007A417F" w:rsidRDefault="007A417F" w:rsidP="007A417F">
      <w:pPr>
        <w:pStyle w:val="NormalWeb"/>
        <w:spacing w:after="360"/>
        <w:jc w:val="both"/>
      </w:pPr>
      <w:r>
        <w:lastRenderedPageBreak/>
        <w:t>Tras fracasar los intentos de asegurar la financiación, ya que nadie quiete mantenerla, el comité ha decidido que lo mejor es subastarla.</w:t>
      </w:r>
    </w:p>
    <w:p w:rsidR="007A417F" w:rsidRDefault="007A417F" w:rsidP="007A417F">
      <w:pPr>
        <w:pStyle w:val="NormalWeb"/>
        <w:spacing w:after="360"/>
        <w:jc w:val="both"/>
      </w:pPr>
      <w:r>
        <w:t>La escultura del euro, que es obra del artista alemán Ottmar Hörl, tiene una altura de 14 metros, pesa 50 toneladas y por la noche se ilumina durante todo el año con luces LED (Diodo Emisor de Luz).</w:t>
      </w:r>
    </w:p>
    <w:p w:rsidR="001C678E" w:rsidRPr="00974164" w:rsidRDefault="001C678E" w:rsidP="001C678E">
      <w:pPr>
        <w:shd w:val="clear" w:color="auto" w:fill="FFFFFF"/>
        <w:spacing w:line="240" w:lineRule="auto"/>
        <w:jc w:val="both"/>
        <w:textAlignment w:val="baseline"/>
        <w:rPr>
          <w:rFonts w:ascii="Times New Roman" w:eastAsia="Times New Roman" w:hAnsi="Times New Roman" w:cs="Times New Roman"/>
          <w:b/>
          <w:color w:val="FF0000"/>
          <w:sz w:val="24"/>
          <w:szCs w:val="24"/>
          <w:lang w:eastAsia="es-ES"/>
        </w:rPr>
      </w:pPr>
      <w:r w:rsidRPr="00974164">
        <w:rPr>
          <w:rFonts w:ascii="Times New Roman" w:eastAsia="Times New Roman" w:hAnsi="Times New Roman" w:cs="Times New Roman"/>
          <w:b/>
          <w:color w:val="FF0000"/>
          <w:sz w:val="24"/>
          <w:szCs w:val="24"/>
          <w:lang w:eastAsia="es-ES"/>
        </w:rPr>
        <w:t>10 - El fracaso de los creadores de mercado (el Hundimiento del establishment - II)</w:t>
      </w:r>
    </w:p>
    <w:p w:rsidR="001C678E" w:rsidRDefault="001C678E"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D65A2B">
        <w:rPr>
          <w:rFonts w:ascii="Times New Roman" w:eastAsia="Times New Roman" w:hAnsi="Times New Roman" w:cs="Times New Roman"/>
          <w:b/>
          <w:sz w:val="24"/>
          <w:szCs w:val="24"/>
          <w:lang w:eastAsia="es-ES"/>
        </w:rPr>
        <w:t>Vivir en</w:t>
      </w:r>
      <w:r w:rsidR="00F27E3B">
        <w:rPr>
          <w:rFonts w:ascii="Times New Roman" w:eastAsia="Times New Roman" w:hAnsi="Times New Roman" w:cs="Times New Roman"/>
          <w:b/>
          <w:sz w:val="24"/>
          <w:szCs w:val="24"/>
          <w:lang w:eastAsia="es-ES"/>
        </w:rPr>
        <w:t xml:space="preserve"> un</w:t>
      </w:r>
      <w:r w:rsidRPr="00D65A2B">
        <w:rPr>
          <w:rFonts w:ascii="Times New Roman" w:eastAsia="Times New Roman" w:hAnsi="Times New Roman" w:cs="Times New Roman"/>
          <w:b/>
          <w:sz w:val="24"/>
          <w:szCs w:val="24"/>
          <w:lang w:eastAsia="es-ES"/>
        </w:rPr>
        <w:t xml:space="preserve"> estado de dependencia</w:t>
      </w:r>
      <w:r>
        <w:rPr>
          <w:rFonts w:ascii="Times New Roman" w:eastAsia="Times New Roman" w:hAnsi="Times New Roman" w:cs="Times New Roman"/>
          <w:b/>
          <w:sz w:val="24"/>
          <w:szCs w:val="24"/>
          <w:lang w:eastAsia="es-ES"/>
        </w:rPr>
        <w:t xml:space="preserve"> voluntaria</w:t>
      </w:r>
      <w:r w:rsidR="00F27E3B">
        <w:rPr>
          <w:rFonts w:ascii="Times New Roman" w:eastAsia="Times New Roman" w:hAnsi="Times New Roman" w:cs="Times New Roman"/>
          <w:b/>
          <w:sz w:val="24"/>
          <w:szCs w:val="24"/>
          <w:lang w:eastAsia="es-ES"/>
        </w:rPr>
        <w:t xml:space="preserve"> (entre la frustración y el miedo</w:t>
      </w:r>
      <w:r w:rsidRPr="00D65A2B">
        <w:rPr>
          <w:rFonts w:ascii="Times New Roman" w:eastAsia="Times New Roman" w:hAnsi="Times New Roman" w:cs="Times New Roman"/>
          <w:b/>
          <w:sz w:val="24"/>
          <w:szCs w:val="24"/>
          <w:lang w:eastAsia="es-ES"/>
        </w:rPr>
        <w:t>)</w:t>
      </w:r>
    </w:p>
    <w:p w:rsidR="00A83D16" w:rsidRPr="000C7117" w:rsidRDefault="00A83D16" w:rsidP="00A83D16">
      <w:pPr>
        <w:pStyle w:val="NormalWeb"/>
        <w:spacing w:after="360"/>
        <w:jc w:val="both"/>
      </w:pPr>
      <w:r w:rsidRPr="000C7117">
        <w:t xml:space="preserve">Hay un camino largo de transformaciones y sacrificios que debe encarar la </w:t>
      </w:r>
      <w:r w:rsidR="00604022" w:rsidRPr="000C7117">
        <w:t>Unión Europea</w:t>
      </w:r>
      <w:r w:rsidRPr="000C7117">
        <w:t xml:space="preserve"> para retomar la senda del progreso, y el mayor esfuerzo lo deben hac</w:t>
      </w:r>
      <w:r w:rsidR="00604022" w:rsidRPr="000C7117">
        <w:t>er las instituciones europeas y los gobiernos de los países miembro</w:t>
      </w:r>
      <w:r w:rsidRPr="000C7117">
        <w:t>. Con la inteligencia y la valentía necesarias para come</w:t>
      </w:r>
      <w:r w:rsidR="00604022" w:rsidRPr="000C7117">
        <w:t xml:space="preserve">nzar con las reformas estructurales necesarias </w:t>
      </w:r>
      <w:r w:rsidRPr="000C7117">
        <w:t xml:space="preserve">para optimizar el gasto y que la gestión brinde resultados concretos a </w:t>
      </w:r>
      <w:r w:rsidR="00604022" w:rsidRPr="000C7117">
        <w:t>los ciudadanos, que son los auténticos</w:t>
      </w:r>
      <w:r w:rsidRPr="000C7117">
        <w:t xml:space="preserve"> mandantes</w:t>
      </w:r>
      <w:r w:rsidR="0092270F" w:rsidRPr="000C7117">
        <w:t xml:space="preserve"> (</w:t>
      </w:r>
      <w:r w:rsidR="00974164">
        <w:t xml:space="preserve">y </w:t>
      </w:r>
      <w:r w:rsidR="0092270F" w:rsidRPr="000C7117">
        <w:t>no meros contribuyentes</w:t>
      </w:r>
      <w:r w:rsidR="00604022" w:rsidRPr="000C7117">
        <w:t>)</w:t>
      </w:r>
      <w:r w:rsidRPr="000C7117">
        <w:t>, a quienes</w:t>
      </w:r>
      <w:r w:rsidR="00604022" w:rsidRPr="000C7117">
        <w:t xml:space="preserve"> se debería</w:t>
      </w:r>
      <w:r w:rsidR="0092270F" w:rsidRPr="000C7117">
        <w:t xml:space="preserve"> servir (</w:t>
      </w:r>
      <w:r w:rsidR="00974164">
        <w:t xml:space="preserve">y </w:t>
      </w:r>
      <w:r w:rsidR="00604022" w:rsidRPr="000C7117">
        <w:t>no servirse de ellos)</w:t>
      </w:r>
      <w:r w:rsidRPr="000C7117">
        <w:t xml:space="preserve">.  </w:t>
      </w:r>
    </w:p>
    <w:p w:rsidR="00A83D16" w:rsidRPr="000C7117" w:rsidRDefault="00A83D16" w:rsidP="00A83D16">
      <w:pPr>
        <w:pStyle w:val="NormalWeb"/>
        <w:spacing w:after="360"/>
        <w:jc w:val="both"/>
      </w:pPr>
      <w:r w:rsidRPr="000C7117">
        <w:t>El único ca</w:t>
      </w:r>
      <w:r w:rsidR="0092270F" w:rsidRPr="000C7117">
        <w:t>mino de salida para la Unión Europea</w:t>
      </w:r>
      <w:r w:rsidRPr="000C7117">
        <w:t xml:space="preserve"> es generar</w:t>
      </w:r>
      <w:r w:rsidR="0092270F" w:rsidRPr="000C7117">
        <w:t xml:space="preserve"> trabajo, aumentar el comercio regional</w:t>
      </w:r>
      <w:r w:rsidRPr="000C7117">
        <w:t xml:space="preserve">, </w:t>
      </w:r>
      <w:r w:rsidR="0092270F" w:rsidRPr="000C7117">
        <w:t xml:space="preserve">y </w:t>
      </w:r>
      <w:r w:rsidRPr="000C7117">
        <w:t>vitalizar el consumo</w:t>
      </w:r>
      <w:r w:rsidR="0092270F" w:rsidRPr="000C7117">
        <w:t xml:space="preserve"> interno</w:t>
      </w:r>
      <w:r w:rsidRPr="000C7117">
        <w:t>. El logro gubernamental no puede ser la celebración de que cada mes se br</w:t>
      </w:r>
      <w:r w:rsidR="0092270F" w:rsidRPr="000C7117">
        <w:t>inde asistencia (no contributiva) a más ciudadanos. El anuncio de un programa de ayuda</w:t>
      </w:r>
      <w:r w:rsidRPr="000C7117">
        <w:t xml:space="preserve"> por semana para un sector</w:t>
      </w:r>
      <w:r w:rsidR="0092270F" w:rsidRPr="000C7117">
        <w:t xml:space="preserve"> económico o social </w:t>
      </w:r>
      <w:r w:rsidRPr="000C7117">
        <w:t>es</w:t>
      </w:r>
      <w:r w:rsidR="0092270F" w:rsidRPr="000C7117">
        <w:t xml:space="preserve"> un</w:t>
      </w:r>
      <w:r w:rsidRPr="000C7117">
        <w:t xml:space="preserve"> síntoma del fracaso absoluto. Gestión exitosa será aquella que anuncie que me</w:t>
      </w:r>
      <w:r w:rsidR="0092270F" w:rsidRPr="000C7117">
        <w:t>nos empresas y particulares requieren ayuda pública</w:t>
      </w:r>
      <w:r w:rsidRPr="000C7117">
        <w:t xml:space="preserve"> debido a que</w:t>
      </w:r>
      <w:r w:rsidR="0092270F" w:rsidRPr="000C7117">
        <w:t xml:space="preserve"> sus negocios son productivos y rentables, o</w:t>
      </w:r>
      <w:r w:rsidRPr="000C7117">
        <w:t xml:space="preserve"> han conseguido empleo y que sus salarios les permiten llevar una vida digna. De otro modo, es una solidaridad mal entendida, es consolidar l</w:t>
      </w:r>
      <w:r w:rsidR="0092270F" w:rsidRPr="000C7117">
        <w:t xml:space="preserve">a dependencia. </w:t>
      </w:r>
    </w:p>
    <w:p w:rsidR="00A83D16" w:rsidRPr="000C7117" w:rsidRDefault="0092270F" w:rsidP="00A83D16">
      <w:pPr>
        <w:pStyle w:val="NormalWeb"/>
        <w:spacing w:after="360"/>
        <w:jc w:val="both"/>
      </w:pPr>
      <w:r w:rsidRPr="000C7117">
        <w:t>Demasiadas veces los e</w:t>
      </w:r>
      <w:r w:rsidR="00A83D16" w:rsidRPr="000C7117">
        <w:t>stado</w:t>
      </w:r>
      <w:r w:rsidRPr="000C7117">
        <w:t>s nacionales europeos</w:t>
      </w:r>
      <w:r w:rsidR="00A83D16" w:rsidRPr="000C7117">
        <w:t xml:space="preserve"> se hace</w:t>
      </w:r>
      <w:r w:rsidRPr="000C7117">
        <w:t>n</w:t>
      </w:r>
      <w:r w:rsidR="00A83D16" w:rsidRPr="000C7117">
        <w:t xml:space="preserve"> presente</w:t>
      </w:r>
      <w:r w:rsidRPr="000C7117">
        <w:t>s</w:t>
      </w:r>
      <w:r w:rsidR="00A83D16" w:rsidRPr="000C7117">
        <w:t xml:space="preserve"> para trastocar todo aquello que podría funcionar sin su intervención, así como</w:t>
      </w:r>
      <w:r w:rsidRPr="000C7117">
        <w:t xml:space="preserve"> están</w:t>
      </w:r>
      <w:r w:rsidR="00A83D16" w:rsidRPr="000C7117">
        <w:t xml:space="preserve"> ausente</w:t>
      </w:r>
      <w:r w:rsidRPr="000C7117">
        <w:t>s</w:t>
      </w:r>
      <w:r w:rsidR="00A83D16" w:rsidRPr="000C7117">
        <w:t xml:space="preserve"> donde debiera</w:t>
      </w:r>
      <w:r w:rsidRPr="000C7117">
        <w:t>n</w:t>
      </w:r>
      <w:r w:rsidR="00A83D16" w:rsidRPr="000C7117">
        <w:t>, y enceguecido</w:t>
      </w:r>
      <w:r w:rsidRPr="000C7117">
        <w:t>s</w:t>
      </w:r>
      <w:r w:rsidR="00A83D16" w:rsidRPr="000C7117">
        <w:t xml:space="preserve"> por recaudar</w:t>
      </w:r>
      <w:r w:rsidRPr="000C7117">
        <w:t xml:space="preserve"> más</w:t>
      </w:r>
      <w:r w:rsidR="00A83D16" w:rsidRPr="000C7117">
        <w:t xml:space="preserve"> ahoga</w:t>
      </w:r>
      <w:r w:rsidRPr="000C7117">
        <w:t>n la</w:t>
      </w:r>
      <w:r w:rsidR="00A83D16" w:rsidRPr="000C7117">
        <w:t xml:space="preserve"> iniciativa</w:t>
      </w:r>
      <w:r w:rsidRPr="000C7117">
        <w:t xml:space="preserve"> privada</w:t>
      </w:r>
      <w:r w:rsidR="00A83D16" w:rsidRPr="000C7117">
        <w:t xml:space="preserve"> q</w:t>
      </w:r>
      <w:r w:rsidRPr="000C7117">
        <w:t>ue podría ser provechosa.</w:t>
      </w:r>
    </w:p>
    <w:p w:rsidR="00A83D16" w:rsidRPr="000C7117" w:rsidRDefault="008022F5" w:rsidP="00A83D16">
      <w:pPr>
        <w:pStyle w:val="NormalWeb"/>
        <w:spacing w:after="360"/>
        <w:jc w:val="both"/>
      </w:pPr>
      <w:r w:rsidRPr="000C7117">
        <w:t>Y en</w:t>
      </w:r>
      <w:r w:rsidR="00A83D16" w:rsidRPr="000C7117">
        <w:t xml:space="preserve"> este fracaso</w:t>
      </w:r>
      <w:r w:rsidRPr="000C7117">
        <w:t xml:space="preserve"> fiscal</w:t>
      </w:r>
      <w:r w:rsidR="00A83D16" w:rsidRPr="000C7117">
        <w:t xml:space="preserve"> p</w:t>
      </w:r>
      <w:r w:rsidRPr="000C7117">
        <w:t xml:space="preserve">ermanente </w:t>
      </w:r>
      <w:r w:rsidR="00A83D16" w:rsidRPr="000C7117">
        <w:t>la clase media</w:t>
      </w:r>
      <w:r w:rsidRPr="000C7117">
        <w:t xml:space="preserve"> europea es la principal damnificada</w:t>
      </w:r>
      <w:r w:rsidR="00A83D16" w:rsidRPr="000C7117">
        <w:t xml:space="preserve">. Sector que a su vez es el que sostiene la inoperancia de los gobiernos por medio de impuestos cada vez más asfixiantes. La pobreza crece con ritmo y sin pausa en un largo ciclo de movilidad social descendente en que los padres ya tienen la certeza de que sus hijos tendrán un peor pasar que ellos.  </w:t>
      </w:r>
    </w:p>
    <w:p w:rsidR="00A83D16" w:rsidRPr="000C7117" w:rsidRDefault="00A83D16" w:rsidP="00A83D16">
      <w:pPr>
        <w:pStyle w:val="NormalWeb"/>
        <w:spacing w:after="360"/>
        <w:jc w:val="both"/>
      </w:pPr>
      <w:r w:rsidRPr="000C7117">
        <w:t>El crecimiento de la pobreza lleva a una necesidad mayor de fondos para una ay</w:t>
      </w:r>
      <w:r w:rsidR="008022F5" w:rsidRPr="000C7117">
        <w:t>uda social urgente y entonces los</w:t>
      </w:r>
      <w:r w:rsidRPr="000C7117">
        <w:t xml:space="preserve"> Gobierno</w:t>
      </w:r>
      <w:r w:rsidR="008022F5" w:rsidRPr="000C7117">
        <w:t>s</w:t>
      </w:r>
      <w:r w:rsidRPr="000C7117">
        <w:t xml:space="preserve"> vuelve</w:t>
      </w:r>
      <w:r w:rsidR="008022F5" w:rsidRPr="000C7117">
        <w:t xml:space="preserve">n a ampliar el déficit y la deuda pública(y el BCE a </w:t>
      </w:r>
      <w:r w:rsidRPr="000C7117">
        <w:t>emitir di</w:t>
      </w:r>
      <w:r w:rsidR="008022F5" w:rsidRPr="000C7117">
        <w:t>nero generando mayor inflación -</w:t>
      </w:r>
      <w:r w:rsidRPr="000C7117">
        <w:t>que impacta de manera más contundente en l</w:t>
      </w:r>
      <w:r w:rsidR="008022F5" w:rsidRPr="000C7117">
        <w:t>os sectores de menores ingresos-</w:t>
      </w:r>
      <w:r w:rsidRPr="000C7117">
        <w:t xml:space="preserve"> y vuelve</w:t>
      </w:r>
      <w:r w:rsidR="008022F5" w:rsidRPr="000C7117">
        <w:t>n</w:t>
      </w:r>
      <w:r w:rsidRPr="000C7117">
        <w:t xml:space="preserve"> a subir impuestos atacando al sector que produce, el cual es cada vez más pequeño. El ciclo se repite y, como la m</w:t>
      </w:r>
      <w:r w:rsidR="008022F5" w:rsidRPr="000C7117">
        <w:t xml:space="preserve">aldición de Sísifo, el contribuyente europeo </w:t>
      </w:r>
      <w:r w:rsidRPr="000C7117">
        <w:t xml:space="preserve">debe llevar la piedra hasta la cima una y otra vez en un esfuerzo que nunca termina.  </w:t>
      </w:r>
    </w:p>
    <w:p w:rsidR="00A83D16" w:rsidRPr="000C7117" w:rsidRDefault="008022F5" w:rsidP="00A83D16">
      <w:pPr>
        <w:pStyle w:val="NormalWeb"/>
        <w:spacing w:after="360"/>
        <w:jc w:val="both"/>
      </w:pPr>
      <w:r w:rsidRPr="000C7117">
        <w:t xml:space="preserve">Con el ascensor social detenido (out of order) las nuevas generaciones de europeos pierden la confianza en las instituciones, </w:t>
      </w:r>
      <w:r w:rsidR="00A83D16" w:rsidRPr="000C7117">
        <w:t>no aspiran a formar parte de la clase media porque crecieron en los márgenes de un sistema social que ve mutar su escala de valores, en los que la cultura del trabajo y del esfuerzo va perdiendo relevancia</w:t>
      </w:r>
      <w:r w:rsidR="00F27E3B" w:rsidRPr="000C7117">
        <w:t>. Jóvenes sin destino pululan por</w:t>
      </w:r>
      <w:r w:rsidR="00A83D16" w:rsidRPr="000C7117">
        <w:t xml:space="preserve"> las calles, sin estudio ni trabajo, con niveles de adicciones en franco aumento. </w:t>
      </w:r>
    </w:p>
    <w:p w:rsidR="00A83D16" w:rsidRPr="000C7117" w:rsidRDefault="00A83D16" w:rsidP="00A83D16">
      <w:pPr>
        <w:pStyle w:val="NormalWeb"/>
        <w:spacing w:after="360"/>
        <w:jc w:val="both"/>
      </w:pPr>
      <w:r w:rsidRPr="000C7117">
        <w:lastRenderedPageBreak/>
        <w:t xml:space="preserve">Hay mucho por hacer y es hora de comenzar. Es indispensable el trabajo en pos de la igualdad de oportunidades, base de una sociedad que progresa. No existen secretos, la gente no vive de discursos de batalla. Debemos repudiar cualquier intento de vetusto clasismo. Los gobiernos con alta valoración en sus comunidades son aquellos donde impuestos y tasas vuelven en servicios que mejoran la calidad de vida. </w:t>
      </w:r>
    </w:p>
    <w:p w:rsidR="001C678E" w:rsidRDefault="001C678E"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D65A2B">
        <w:rPr>
          <w:rFonts w:ascii="Times New Roman" w:eastAsia="Times New Roman" w:hAnsi="Times New Roman" w:cs="Times New Roman"/>
          <w:b/>
          <w:sz w:val="24"/>
          <w:szCs w:val="24"/>
          <w:lang w:eastAsia="es-ES"/>
        </w:rPr>
        <w:t>¿Cuál es el mejor aliado para Europa?</w:t>
      </w:r>
      <w:r>
        <w:rPr>
          <w:rFonts w:ascii="Times New Roman" w:eastAsia="Times New Roman" w:hAnsi="Times New Roman" w:cs="Times New Roman"/>
          <w:b/>
          <w:sz w:val="24"/>
          <w:szCs w:val="24"/>
          <w:lang w:eastAsia="es-ES"/>
        </w:rPr>
        <w:t xml:space="preserve"> (amistades peligrosas y crudos intereses)</w:t>
      </w:r>
    </w:p>
    <w:p w:rsidR="00465736" w:rsidRDefault="00465736" w:rsidP="00465736">
      <w:pPr>
        <w:pStyle w:val="bbc-bm53ic"/>
        <w:shd w:val="clear" w:color="auto" w:fill="FDFDFD"/>
        <w:spacing w:after="0"/>
        <w:jc w:val="both"/>
      </w:pPr>
      <w:r>
        <w:t xml:space="preserve">- </w:t>
      </w:r>
      <w:r>
        <w:rPr>
          <w:u w:val="single"/>
        </w:rPr>
        <w:t>China o EE</w:t>
      </w:r>
      <w:r w:rsidRPr="004F7C87">
        <w:rPr>
          <w:u w:val="single"/>
        </w:rPr>
        <w:t>UU, ¿cuál es el mejor aliado para el futuro de Europa</w:t>
      </w:r>
      <w:r>
        <w:t xml:space="preserve">? (Cinco Días - </w:t>
      </w:r>
      <w:r w:rsidRPr="004F7C87">
        <w:rPr>
          <w:b/>
        </w:rPr>
        <w:t>19/2/22</w:t>
      </w:r>
      <w:r>
        <w:t>)</w:t>
      </w:r>
    </w:p>
    <w:p w:rsidR="00465736" w:rsidRDefault="00465736" w:rsidP="00465736">
      <w:pPr>
        <w:pStyle w:val="bbc-bm53ic"/>
        <w:shd w:val="clear" w:color="auto" w:fill="FDFDFD"/>
        <w:spacing w:after="0"/>
        <w:jc w:val="both"/>
      </w:pPr>
      <w:r>
        <w:t>(Por Fernando Belinchón)</w:t>
      </w:r>
    </w:p>
    <w:p w:rsidR="00364F0A" w:rsidRDefault="00364F0A" w:rsidP="00465736">
      <w:pPr>
        <w:pStyle w:val="bbc-bm53ic"/>
        <w:shd w:val="clear" w:color="auto" w:fill="FDFDFD"/>
        <w:spacing w:after="0"/>
        <w:jc w:val="both"/>
      </w:pPr>
      <w:r>
        <w:rPr>
          <w:noProof/>
          <w:lang w:val="en-GB" w:eastAsia="zh-CN"/>
        </w:rPr>
        <w:drawing>
          <wp:inline distT="0" distB="0" distL="0" distR="0">
            <wp:extent cx="5734050" cy="4451350"/>
            <wp:effectExtent l="0" t="0" r="0" b="6350"/>
            <wp:docPr id="129" name="Imagen 129" descr="Balanza Comercial Europa China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lanza Comercial Europa China EEUU"/>
                    <pic:cNvPicPr>
                      <a:picLocks noChangeAspect="1" noChangeArrowheads="1"/>
                    </pic:cNvPicPr>
                  </pic:nvPicPr>
                  <pic:blipFill>
                    <a:blip r:embed="rId1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449378"/>
                    </a:xfrm>
                    <a:prstGeom prst="rect">
                      <a:avLst/>
                    </a:prstGeom>
                    <a:noFill/>
                    <a:ln>
                      <a:noFill/>
                    </a:ln>
                  </pic:spPr>
                </pic:pic>
              </a:graphicData>
            </a:graphic>
          </wp:inline>
        </w:drawing>
      </w:r>
    </w:p>
    <w:p w:rsidR="00465736" w:rsidRDefault="00465736" w:rsidP="00465736">
      <w:pPr>
        <w:pStyle w:val="bbc-bm53ic"/>
        <w:shd w:val="clear" w:color="auto" w:fill="FDFDFD"/>
        <w:spacing w:after="0"/>
        <w:jc w:val="both"/>
      </w:pPr>
      <w:r w:rsidRPr="00F14CA5">
        <w:rPr>
          <w:u w:val="single"/>
        </w:rPr>
        <w:t>Estados Unidos aún es el país más poderoso, pero su principal contendiente sigue creciendo alterando con ello los equilibrios que han caracterizado al mundo desde el final de la guerra fría. Incluso una pandemia después y con temores de crisis inmobiliaria al acecho, las cifras plasman que China continúa mejorando su economía a un ritmo mucho mayor que el estadounidense. Atendiendo a los datos y proyecciones del Fondo Monetario Internacional (FMI), desde 2019 hasta finales de 2022 el PIB chino habrá repuntado un 28,73%; el estadounidense crecerá un 16% en ese mismo periodo</w:t>
      </w:r>
      <w:r>
        <w:t>. Con la pujanza económica del país asiático como principal argumento, no es de extrañar que surjan voces en diferentes partes del globo a favor de estrechar más las relaciones con Pekín. Pero no es tan sencillo, y el caso de la Unión Europea es paradigmático.</w:t>
      </w:r>
    </w:p>
    <w:p w:rsidR="00465736" w:rsidRPr="0069662F" w:rsidRDefault="00465736" w:rsidP="00465736">
      <w:pPr>
        <w:pStyle w:val="bbc-bm53ic"/>
        <w:shd w:val="clear" w:color="auto" w:fill="FDFDFD"/>
        <w:spacing w:after="0"/>
        <w:jc w:val="both"/>
        <w:rPr>
          <w:color w:val="FF0000"/>
          <w:u w:val="single"/>
        </w:rPr>
      </w:pPr>
      <w:r w:rsidRPr="00C44851">
        <w:rPr>
          <w:color w:val="FF0000"/>
          <w:u w:val="single"/>
        </w:rPr>
        <w:lastRenderedPageBreak/>
        <w:t>En 2020 China fue, según Eurostat, el socio comercial más activo de la Unión Europea por valor de mercancías importadas y exportadas entre ambas partes, si bien, la Unión acumula una balanza de cuenta corriente negativa ante el elevado peso de las primeras en comparación con el de las segundas (como muestra el gráfico que acompaña a esta información). Estados Unidos fue, por su parte, el segundo mayor socio por valor de mercancías negociadas, dejando en cambio un sustancial balance positivo para las cuentas comerciales europeas. Aun siendo el principal socio por volumen de mercancías, un abismo geoestratégico continúa separando a Pekín de Bruselas. Y, previsiblem</w:t>
      </w:r>
      <w:r>
        <w:rPr>
          <w:color w:val="FF0000"/>
          <w:u w:val="single"/>
        </w:rPr>
        <w:t>ente, así seguirá la situación.</w:t>
      </w:r>
    </w:p>
    <w:p w:rsidR="00465736" w:rsidRPr="00C44851" w:rsidRDefault="00465736" w:rsidP="00465736">
      <w:pPr>
        <w:pStyle w:val="bbc-bm53ic"/>
        <w:shd w:val="clear" w:color="auto" w:fill="FDFDFD"/>
        <w:spacing w:after="0"/>
        <w:jc w:val="both"/>
        <w:rPr>
          <w:u w:val="single"/>
        </w:rPr>
      </w:pPr>
      <w:r w:rsidRPr="00C44851">
        <w:rPr>
          <w:u w:val="single"/>
        </w:rPr>
        <w:t>Mario Esteban, investigador del Real Instituto Elcano y profesor de la Universidad Autónoma de Madrid, ahonda en el porqué de ese abismo y de su probable continuidad. “Mientras China sea un país autoritario, una economía cerrada, de ninguna manera le convendría a Europa emprender un cambio de tanta magnitud en las placas tectónicas de la geopolítica mundial. Si nuestros valores e intereses están más cerca de ot</w:t>
      </w:r>
      <w:r>
        <w:rPr>
          <w:u w:val="single"/>
        </w:rPr>
        <w:t>ros actores, en este caso de EE</w:t>
      </w:r>
      <w:r w:rsidRPr="00C44851">
        <w:rPr>
          <w:u w:val="single"/>
        </w:rPr>
        <w:t>UU, que además sigue siendo en estos momentos más poderoso que China de manera innegable, no hay forma de que vaya a interesar acercarse a un actor con el que tienes menos intereses y compartes menos valores. Esto no tiene sentido”, razona. La única gran diferencia bajo su punto de vista está en las importaciones, pero en todo lo demás, en exportaciones y, sobre todo, en inversiones, Estados Unidos sigue siendo mucho más importante para la UE que China. “La influencia económica china es importante, pero se tiende a magnificar esa importancia”, observa.</w:t>
      </w:r>
    </w:p>
    <w:p w:rsidR="00465736" w:rsidRPr="00C44851" w:rsidRDefault="00465736" w:rsidP="00465736">
      <w:pPr>
        <w:pStyle w:val="bbc-bm53ic"/>
        <w:shd w:val="clear" w:color="auto" w:fill="FDFDFD"/>
        <w:spacing w:after="0"/>
        <w:jc w:val="both"/>
        <w:rPr>
          <w:color w:val="FF0000"/>
          <w:u w:val="single"/>
        </w:rPr>
      </w:pPr>
      <w:r w:rsidRPr="00C44851">
        <w:rPr>
          <w:color w:val="FF0000"/>
          <w:u w:val="single"/>
        </w:rPr>
        <w:t>Asimismo, el investigador comenta que si bien el crecimiento económico chino es la gran bandera que enarbola Pekín a la hora de buscar unas mejores relaciones internacionales, a la vez es un escollo para un entendimiento sino-europeo más allá de lo meramente monetario. “Hay muchos choques en tema de derechos humanos, en regulación comercial, de internet... Muchas áreas en las que hay tensión. Estas diferencias ya existían desde hace tiempo, pero entonces la relación de poder era mucho más favorable a Occidente y China tenía muy pocas posibilidades de promover sus visiones alternativas de entender las cosas. A medida que estas relaciones de poder se van equilibrando, China gana poder a la hora de fomentar su visión y esto genera tensión en Occidente”, argumenta Esteban.</w:t>
      </w:r>
    </w:p>
    <w:p w:rsidR="00465736" w:rsidRDefault="00465736" w:rsidP="00465736">
      <w:pPr>
        <w:pStyle w:val="bbc-bm53ic"/>
        <w:shd w:val="clear" w:color="auto" w:fill="FDFDFD"/>
        <w:spacing w:after="0"/>
        <w:jc w:val="both"/>
      </w:pPr>
      <w:r>
        <w:t>El bloque alternativo</w:t>
      </w:r>
    </w:p>
    <w:p w:rsidR="00465736" w:rsidRDefault="00465736" w:rsidP="00465736">
      <w:pPr>
        <w:pStyle w:val="bbc-bm53ic"/>
        <w:shd w:val="clear" w:color="auto" w:fill="FDFDFD"/>
        <w:spacing w:after="0"/>
        <w:jc w:val="both"/>
      </w:pPr>
      <w:r>
        <w:t>Contestando al monopolio geopolítico estadounidense y de sus aliados desde el colapso de la URSS, acontecimientos recientes dan cuenta de que se está gestando un bloque alternativo encabezado por la propia China y Rusia. El pasado 4 de febrero, el presidente ruso, Vladimir Putin, visitó China con motivo de los Juegos Olímpicos de Invierno. Tras el encuentro de Putin con el presidente chino, Xi Jinping, ambos países acordaron una declaración exigiendo detener la expansión de la OTAN. Esto sucedió en plena tensión en Ucrania ante las sospechas de un posible ataque ruso.</w:t>
      </w:r>
    </w:p>
    <w:p w:rsidR="00465736" w:rsidRDefault="00465736" w:rsidP="00465736">
      <w:pPr>
        <w:pStyle w:val="bbc-bm53ic"/>
        <w:shd w:val="clear" w:color="auto" w:fill="FDFDFD"/>
        <w:spacing w:after="0"/>
        <w:jc w:val="both"/>
      </w:pPr>
      <w:r>
        <w:t>“Lo que busca China cuando se relaciona con Rusia no es lo mismo que quizás lo que pretenden cuando hablan con un país de África, por ejemplo. Por un lado, busca respaldo internacional para sus modelos alternativos. Esas formas de hacer las cosas diferentes a la que promueven los países occidentales. En el otro, puede estar buscando materias primas, oportunidades para sus empresas, inversiones, contratos. Básicamente esto. Lo que es cierto es que China, en general, a diferencia de EEUU y no tanto de la UE, tiene una cooperación en materia militar con otros países más bien limitada”, asevera Estaban.</w:t>
      </w:r>
    </w:p>
    <w:p w:rsidR="00465736" w:rsidRPr="00C44851" w:rsidRDefault="00465736" w:rsidP="00465736">
      <w:pPr>
        <w:pStyle w:val="bbc-bm53ic"/>
        <w:shd w:val="clear" w:color="auto" w:fill="FDFDFD"/>
        <w:spacing w:after="0"/>
        <w:jc w:val="both"/>
        <w:rPr>
          <w:color w:val="FF0000"/>
          <w:u w:val="single"/>
        </w:rPr>
      </w:pPr>
      <w:r w:rsidRPr="00C44851">
        <w:rPr>
          <w:color w:val="FF0000"/>
          <w:u w:val="single"/>
        </w:rPr>
        <w:lastRenderedPageBreak/>
        <w:t>El experto desglosa cómo, en función del país interlocutor, China ofrece unas cosas u otras. “A países menos desarrollados les ponen mucho más énfasis en la financiación o en las inversiones, pero sobre todo en la financiación. En países desarrollados ponen comparativamente el foco en materias de oportunidades de negocio. La idea de fondo muy clara, muy transversal, es esa presentación de gran atractivo de China como socio económico. Intenta transmitir esa imagen de China como gran motor de la economía mundial, que es la economía que va a ofrecer más oportunidades de negocio en el futuro y que es la economía que ofrece financiación a esos países que no pueden recurrir o que les es muy caro recurrir a otras vías de financiación tradicional”.</w:t>
      </w:r>
    </w:p>
    <w:p w:rsidR="00465736" w:rsidRDefault="00465736" w:rsidP="00465736">
      <w:pPr>
        <w:pStyle w:val="bbc-bm53ic"/>
        <w:shd w:val="clear" w:color="auto" w:fill="FDFDFD"/>
        <w:spacing w:after="0"/>
        <w:jc w:val="both"/>
      </w:pPr>
      <w:r>
        <w:t>La oportunidad con China</w:t>
      </w:r>
    </w:p>
    <w:p w:rsidR="00465736" w:rsidRDefault="00465736" w:rsidP="00465736">
      <w:pPr>
        <w:pStyle w:val="bbc-bm53ic"/>
        <w:shd w:val="clear" w:color="auto" w:fill="FDFDFD"/>
        <w:spacing w:after="0"/>
        <w:jc w:val="both"/>
      </w:pPr>
      <w:r>
        <w:t>Sobre las consecuencias de cooperar con China deja varias conclusiones el último Afrobarómetro, elaborado en base a encuestas en 34 países diferentes para estudiar la influencia del gigante asiático en el continente africano.</w:t>
      </w:r>
    </w:p>
    <w:p w:rsidR="00465736" w:rsidRDefault="00465736" w:rsidP="00465736">
      <w:pPr>
        <w:pStyle w:val="bbc-bm53ic"/>
        <w:shd w:val="clear" w:color="auto" w:fill="FDFDFD"/>
        <w:spacing w:after="0"/>
        <w:jc w:val="both"/>
      </w:pPr>
      <w:r>
        <w:t>A la pregunta sobre qué modelo es mejor a la hora de basar el desarrollo de sus países, el 33% de los consultados respondió que Estados Unidos, frente a un 22% que mencionó a China. Esto indica un cierto desencanto frente a la influencia china, ya que en la encuesta de 2014 la preferencia por el modelo del gigante asiático era del 25% y la del estadounidense del 31%. También se detectó una menor percepción de esa influencia. La mitad de los encuestados consideraron que China ejerce cierta o mucha influencia en sus países, frente al 71% de 2014.</w:t>
      </w:r>
    </w:p>
    <w:p w:rsidR="00465736" w:rsidRDefault="00465736" w:rsidP="00465736">
      <w:pPr>
        <w:pStyle w:val="bbc-bm53ic"/>
        <w:shd w:val="clear" w:color="auto" w:fill="FDFDFD"/>
        <w:spacing w:after="0"/>
        <w:jc w:val="both"/>
      </w:pPr>
      <w:r>
        <w:t>En el plano puramente económico, los encuestados sí que afirman en un 63% de los casos que las relaciones de sus países con China han sido positivas, frente a un 60% que también estimó lo mismo respecto a las mantenidas con Estados Unidos. No obstante, esa mejora económica de la mano de Pekín no sale gratis. Así, un 57% de los encuestados opinaron que sus Gobiernos se habían endeudado demasiado con el país asiático.</w:t>
      </w:r>
    </w:p>
    <w:p w:rsidR="00465736" w:rsidRDefault="00465736" w:rsidP="00465736">
      <w:pPr>
        <w:pStyle w:val="bbc-bm53ic"/>
        <w:shd w:val="clear" w:color="auto" w:fill="FDFDFD"/>
        <w:spacing w:after="0"/>
        <w:jc w:val="both"/>
      </w:pPr>
      <w:r>
        <w:t>La sinoesfera</w:t>
      </w:r>
    </w:p>
    <w:p w:rsidR="00465736" w:rsidRDefault="00465736" w:rsidP="00465736">
      <w:pPr>
        <w:pStyle w:val="bbc-bm53ic"/>
        <w:shd w:val="clear" w:color="auto" w:fill="FDFDFD"/>
        <w:spacing w:after="0"/>
        <w:jc w:val="both"/>
      </w:pPr>
      <w:r>
        <w:t>El citado Afrobarómetro deja también una conclusión clave sobre la naturaleza de las relaciones de China con el resto del mundo. Que haya lazos económicos no tiene por qué implicar cambios geoestratégicos. “Llevando la contraria a las preocupaciones sobre que la influencia china pueda debilitar el deseo democrático en África, los encuestados que calificaron la influencia de Pekín como muy positiva preferían formas de Gobierno democráticas incluso en mayor medida que los que calificaron como muy negativo el papel de China en sus países”, recoge el informe sobre el Afrobarómetro.</w:t>
      </w:r>
    </w:p>
    <w:p w:rsidR="00465736" w:rsidRDefault="00465736" w:rsidP="00465736">
      <w:pPr>
        <w:pStyle w:val="bbc-bm53ic"/>
        <w:shd w:val="clear" w:color="auto" w:fill="FDFDFD"/>
        <w:spacing w:after="0"/>
        <w:jc w:val="both"/>
      </w:pPr>
      <w:r>
        <w:t>De esta forma, las naciones compran el relato de cooperación económica procedente de Pekín pero, como norma general, no el político. Y a este respecto hay claros ejemplos.</w:t>
      </w:r>
    </w:p>
    <w:p w:rsidR="00465736" w:rsidRDefault="00465736" w:rsidP="00465736">
      <w:pPr>
        <w:pStyle w:val="bbc-bm53ic"/>
        <w:shd w:val="clear" w:color="auto" w:fill="FDFDFD"/>
        <w:spacing w:after="0"/>
        <w:jc w:val="both"/>
      </w:pPr>
      <w:r>
        <w:t>Uno de ellos es el acuerdo de libre comercio que China impulsó entre los países de ASEAN. En él estarán, entre otras naciones, Australia, Japón y Nueva Zelanda, países con estrechos vínculos con EEUU. De hecho, en 2021 Australia ratificó el Aukus, un tratado de cooperación militar con Reino Unido y Estados Unidos. Otro ejemplo es el caso de la Unión Europea.</w:t>
      </w:r>
    </w:p>
    <w:p w:rsidR="00465736" w:rsidRPr="00C44851" w:rsidRDefault="00465736" w:rsidP="00465736">
      <w:pPr>
        <w:pStyle w:val="bbc-bm53ic"/>
        <w:shd w:val="clear" w:color="auto" w:fill="FDFDFD"/>
        <w:spacing w:after="0"/>
        <w:jc w:val="both"/>
        <w:rPr>
          <w:color w:val="FF0000"/>
          <w:u w:val="single"/>
        </w:rPr>
      </w:pPr>
      <w:r w:rsidRPr="00C44851">
        <w:rPr>
          <w:color w:val="FF0000"/>
          <w:u w:val="single"/>
        </w:rPr>
        <w:lastRenderedPageBreak/>
        <w:t>En diciembre de 2020, la Unión firmó el conocido como CAI, un acuerdo de inversiones entre Bruselas y Pekín que busca facilitar el acceso al mercado chino para las empresas europeas. “Entonces se firmó, pero luego había que ratificarlo en el Parlamento Europeo. En ese proceso, la UE interpuso sanciones a entidades y ciudadanos chinos por su relación con violaciones de derechos humanos en Sinkiang. ¿Cuál fue la respuesta de China? La respuesta podría haber sido muchas. Y entre todas las opciones, escogió sancionar a miembros del Parlamento Europeo, el órgano que tiene que sancionar esta ley. Si tú realmente quieres que ese acuerdo se ratifique, no se te ocurre sancionar a quien tiene que votarlo”, dice Esteban.</w:t>
      </w:r>
    </w:p>
    <w:p w:rsidR="00465736" w:rsidRDefault="00465736" w:rsidP="00465736">
      <w:pPr>
        <w:pStyle w:val="bbc-bm53ic"/>
        <w:shd w:val="clear" w:color="auto" w:fill="FDFDFD"/>
        <w:spacing w:after="0"/>
        <w:jc w:val="both"/>
        <w:rPr>
          <w:color w:val="FF0000"/>
          <w:u w:val="single"/>
        </w:rPr>
      </w:pPr>
      <w:r w:rsidRPr="00C44851">
        <w:rPr>
          <w:color w:val="FF0000"/>
          <w:u w:val="single"/>
        </w:rPr>
        <w:t>Para el experto, la clave sobre si a Europa le conviene acercarse a China o si finalmente lo hará es preguntarse qué quiere decir exactamente acercamiento. “Por ejemplo, el CAI, si se ratifica el acuerdo. Aquí la ventaja sería que las empresas europeas en China tendrían más seguridad jurídica que la que tienen ahora y tendrían un acceso más fácil al mercado que en la actualidad. Pero eso en realidad no es necesariamente un cambio de paradigma en la relación. El alineamiento estratégico de la UE va a seguir con el vínculo transatlántico. Incluso la ratificación del CAI, que ahora mismo es imposible, no va a ser algo que implique un cambio de dirección estratégico”, concluye el investigador.</w:t>
      </w:r>
    </w:p>
    <w:p w:rsidR="00465736" w:rsidRDefault="00465736" w:rsidP="00465736">
      <w:pPr>
        <w:pStyle w:val="bbc-bm53ic"/>
        <w:shd w:val="clear" w:color="auto" w:fill="FDFDFD"/>
        <w:spacing w:after="0"/>
        <w:jc w:val="both"/>
      </w:pPr>
      <w:r>
        <w:t>- ¿</w:t>
      </w:r>
      <w:r w:rsidRPr="009C6A17">
        <w:rPr>
          <w:u w:val="single"/>
        </w:rPr>
        <w:t>Son ahora los proeuropeos más hostiles hacia EEUU</w:t>
      </w:r>
      <w:r>
        <w:t xml:space="preserve">? (El Confidencial - </w:t>
      </w:r>
      <w:r w:rsidRPr="009C6A17">
        <w:rPr>
          <w:b/>
        </w:rPr>
        <w:t>22/2/22</w:t>
      </w:r>
      <w:r>
        <w:t>)</w:t>
      </w:r>
    </w:p>
    <w:p w:rsidR="00465736" w:rsidRDefault="00465736" w:rsidP="00465736">
      <w:pPr>
        <w:pStyle w:val="bbc-bm53ic"/>
        <w:shd w:val="clear" w:color="auto" w:fill="FDFDFD"/>
        <w:spacing w:after="0"/>
        <w:jc w:val="both"/>
      </w:pPr>
      <w:r>
        <w:t>(Por Nacho Alarcón. Bruselas)</w:t>
      </w:r>
    </w:p>
    <w:p w:rsidR="00465736" w:rsidRPr="00E75CC2" w:rsidRDefault="00465736" w:rsidP="00465736">
      <w:pPr>
        <w:pStyle w:val="bbc-bm53ic"/>
        <w:shd w:val="clear" w:color="auto" w:fill="FDFDFD"/>
        <w:spacing w:after="0"/>
        <w:jc w:val="both"/>
        <w:rPr>
          <w:u w:val="single"/>
        </w:rPr>
      </w:pPr>
      <w:r>
        <w:t xml:space="preserve">Hace algunas semanas los mediadores de un foro de debate llamado “Ask Europe” de Reddit, en el que gente de todo el mundo hace preguntas a los usuarios europeos (como, por ejemplo, cómo se cocina la patata en su país, cuál es la serie más vista, si hay mucha polarización) se veían obligados a colgar un mensaje y dejarlo fijo en la página de entrada al foro: </w:t>
      </w:r>
      <w:r w:rsidRPr="00E75CC2">
        <w:rPr>
          <w:u w:val="single"/>
        </w:rPr>
        <w:t xml:space="preserve">advertían, preocupados, de una “creciente hostilidad hacia los americanos”. Ese mensaje llamó mi atención porque desde hacía algún tiempo en grupos de amigos y conocidos venía notando una actitud más negativa hacia Estados Unidos. En ocasiones rozaba la hostilidad. Hacia lo que consideran la altanería de Washington, hacia los gigantes digitales que la Casa Blanca protege de manera sistemática, incluso hacia algunos elementos culturales que han sido dominantes durante décadas en el Viejo Continente. </w:t>
      </w:r>
    </w:p>
    <w:p w:rsidR="00465736" w:rsidRPr="00E75CC2" w:rsidRDefault="00465736" w:rsidP="00465736">
      <w:pPr>
        <w:pStyle w:val="bbc-bm53ic"/>
        <w:shd w:val="clear" w:color="auto" w:fill="FDFDFD"/>
        <w:spacing w:after="0"/>
        <w:jc w:val="both"/>
        <w:rPr>
          <w:color w:val="FF0000"/>
          <w:u w:val="single"/>
        </w:rPr>
      </w:pPr>
      <w:r w:rsidRPr="00E75CC2">
        <w:rPr>
          <w:color w:val="FF0000"/>
          <w:u w:val="single"/>
        </w:rPr>
        <w:t xml:space="preserve">Es cierto que se limita a un sector proeuropeo, en ocasiones federalista, una élite de las ciudades muy conectada a la actualidad y que desde hace años vienen acumulando agravios por parte de la administración americana que para la mayoría de ciudadanos pasan desapercibidos. Con Donald Trump, antiguo presidente de Estados Unidos, llegó el gran desencanto. EEUU dejó de ser atractivo. Se cayó la careta, se descubrió la otra </w:t>
      </w:r>
      <w:r w:rsidR="004A36AB" w:rsidRPr="00E75CC2">
        <w:rPr>
          <w:color w:val="FF0000"/>
          <w:u w:val="single"/>
        </w:rPr>
        <w:t>Norteamérica</w:t>
      </w:r>
      <w:r w:rsidRPr="00E75CC2">
        <w:rPr>
          <w:color w:val="FF0000"/>
          <w:u w:val="single"/>
        </w:rPr>
        <w:t>. Pero Joe Biden, su sucesor, no ha puesto fin a esa época. El desencanto se ha enquistado y en algunos sectores ha evolucionado en una visión permanente más negativa de Washington. La salida de Afganistán fue un ejemplo de estallido de quejas, conversaciones caldeadas y cabreo con los americanos.</w:t>
      </w:r>
    </w:p>
    <w:p w:rsidR="00465736" w:rsidRPr="00E75CC2" w:rsidRDefault="00465736" w:rsidP="00465736">
      <w:pPr>
        <w:pStyle w:val="bbc-bm53ic"/>
        <w:shd w:val="clear" w:color="auto" w:fill="FDFDFD"/>
        <w:spacing w:after="0"/>
        <w:jc w:val="both"/>
        <w:rPr>
          <w:color w:val="FF0000"/>
          <w:u w:val="single"/>
        </w:rPr>
      </w:pPr>
      <w:r>
        <w:t xml:space="preserve">Durante las últimas semanas he hablado con distintos amigos y conocidos sobre el tema. </w:t>
      </w:r>
      <w:r w:rsidRPr="00E75CC2">
        <w:rPr>
          <w:color w:val="FF0000"/>
          <w:u w:val="single"/>
        </w:rPr>
        <w:t>Muchos evitan hablar de hostilidad hacia Estados Unidos, pero sí admiten el nacimiento de un cierto “orgullo europeo” al mismo tiempo que se han desencantado con EEUU. Ya existía ese orgullo a nivel cultural: Europa siempre miró al otro lado del Atlántico por encima del hombro.</w:t>
      </w:r>
    </w:p>
    <w:p w:rsidR="00465736" w:rsidRPr="00E75CC2" w:rsidRDefault="00465736" w:rsidP="00465736">
      <w:pPr>
        <w:pStyle w:val="bbc-bm53ic"/>
        <w:shd w:val="clear" w:color="auto" w:fill="FDFDFD"/>
        <w:spacing w:after="0"/>
        <w:jc w:val="both"/>
        <w:rPr>
          <w:u w:val="single"/>
        </w:rPr>
      </w:pPr>
      <w:r w:rsidRPr="00E75CC2">
        <w:rPr>
          <w:color w:val="FF0000"/>
          <w:u w:val="single"/>
        </w:rPr>
        <w:lastRenderedPageBreak/>
        <w:t>Pero ahora es un orgullo social y económico, que gira alrededor de la idea del Estado de bienestar, de una economía social de mercado y de una sociedad más cohesionada que la americana</w:t>
      </w:r>
      <w:r>
        <w:t xml:space="preserve">. Y es curioso, porque los moderadores del foro de Reddit señalaban que uno de los ataques más comunes hacia usuarios americanos incluía, de manera gratuita y sin que ese fuera el asunto de su pregunta, referencias a que los europeos cuentan con sanidad pública universal y gratuita. </w:t>
      </w:r>
      <w:r w:rsidRPr="00E75CC2">
        <w:rPr>
          <w:u w:val="single"/>
        </w:rPr>
        <w:t xml:space="preserve">Curiosamente, en el mensaje que enviaban los moderadores del foro de Reddit se destacaba que, por alguna razón, los ataques a los usuarios americanos solían incluir alguna fórmula del tipo “al menos nosotros tenemos sanidad pública”. </w:t>
      </w:r>
    </w:p>
    <w:p w:rsidR="00465736" w:rsidRPr="00E75CC2" w:rsidRDefault="00465736" w:rsidP="00465736">
      <w:pPr>
        <w:pStyle w:val="bbc-bm53ic"/>
        <w:shd w:val="clear" w:color="auto" w:fill="FDFDFD"/>
        <w:spacing w:after="0"/>
        <w:jc w:val="both"/>
        <w:rPr>
          <w:color w:val="FF0000"/>
          <w:u w:val="single"/>
        </w:rPr>
      </w:pPr>
      <w:r>
        <w:t xml:space="preserve">Esta actitud también se extiende a un orgullo político: los sistemas europeos, con profundos problemas, son más estables de lo que está demostrando ser Estados Unidos. Mientras que crece la sensación de que otro Trump (o él mismo) no es solamente posible sino probable, en muchos países europeos los radicales se encuentran más aislados. </w:t>
      </w:r>
      <w:r w:rsidRPr="00E75CC2">
        <w:rPr>
          <w:color w:val="FF0000"/>
          <w:u w:val="single"/>
        </w:rPr>
        <w:t>En una gran encuesta realizada por el Consejo Europeo de Relaciones Exteriores (ECFR) y publicada en enero de 2021 se mostraba como el 61% de los ciudadanos consultados consideraban que el sistema político de Estados Unidos estaba muy roto o completamente roto. En ese mismo informe se dejaban ver alguno de los rasgos principales de lo que es la nueva desconfianza europea hacia Estados Unidos.</w:t>
      </w:r>
    </w:p>
    <w:p w:rsidR="00465736" w:rsidRPr="00E75CC2" w:rsidRDefault="00465736" w:rsidP="00465736">
      <w:pPr>
        <w:pStyle w:val="bbc-bm53ic"/>
        <w:shd w:val="clear" w:color="auto" w:fill="FDFDFD"/>
        <w:spacing w:after="0"/>
        <w:jc w:val="both"/>
        <w:rPr>
          <w:b/>
          <w:color w:val="FF0000"/>
          <w:u w:val="single"/>
        </w:rPr>
      </w:pPr>
      <w:r w:rsidRPr="00E75CC2">
        <w:rPr>
          <w:b/>
          <w:color w:val="FF0000"/>
          <w:u w:val="single"/>
        </w:rPr>
        <w:t xml:space="preserve">No se trata de creer que Estados Unidos es malvado: en realidad la opinión generalizada es que Norteamérica está en decadencia, que será superada en los próximos diez años por China y que cada vez es un socio más inestable e inseguro, e incluso si hay cierta tendencia a considerar que será capaz de resolver sus problemas internos, un 67% de los encuestados aseguraban que no se puede confiar en Estados Unidos de manera continua y que Europa debe invertir en su propia seguridad. Eso no significa que estos mismos encuestados crean que Europa está en ascenso. Ese "orgullo europeo" ha crecido en una tierra poco fértil: ha aparecido sobre la base de que el Viejo Continente está en decadencia. </w:t>
      </w:r>
    </w:p>
    <w:p w:rsidR="00465736" w:rsidRDefault="00465736" w:rsidP="00465736">
      <w:pPr>
        <w:pStyle w:val="bbc-bm53ic"/>
        <w:shd w:val="clear" w:color="auto" w:fill="FDFDFD"/>
        <w:spacing w:after="0"/>
        <w:jc w:val="both"/>
      </w:pPr>
      <w:r w:rsidRPr="00E75CC2">
        <w:rPr>
          <w:color w:val="FF0000"/>
          <w:u w:val="single"/>
        </w:rPr>
        <w:t>¿Por qué se está produciendo esa distancia entre los proeuropeos y Estados Unidos? Lleva tiempo surgiendo una “agenda europea” que no se explica sin ese desencanto con Washington. Hay dos asuntos que destacan por encima de los demás en esa agenda propia. Por un lado está la cuestión de la seguridad y la autonomía estratégica: que Europa se haga cargo de su propia defensa</w:t>
      </w:r>
      <w:r>
        <w:t xml:space="preserve">. La salida de Afganistán demostró para los más proeuropeos hasta qué punto hay que avanzar en esta dirección. Los americanos ya no harán las guerras de los demás, se explicaba desde Bruselas. Pero EEUU le pone continuamente la zancadilla a esa idea, y buena parte de la Unión prefiere que su seguridad esté garantizada por Washington que por Alemania o Francia. </w:t>
      </w:r>
    </w:p>
    <w:p w:rsidR="00465736" w:rsidRPr="00E75CC2" w:rsidRDefault="00465736" w:rsidP="00465736">
      <w:pPr>
        <w:pStyle w:val="bbc-bm53ic"/>
        <w:shd w:val="clear" w:color="auto" w:fill="FDFDFD"/>
        <w:spacing w:after="0"/>
        <w:jc w:val="both"/>
        <w:rPr>
          <w:color w:val="FF0000"/>
          <w:u w:val="single"/>
        </w:rPr>
      </w:pPr>
      <w:r w:rsidRPr="00E75CC2">
        <w:rPr>
          <w:color w:val="FF0000"/>
          <w:u w:val="single"/>
        </w:rPr>
        <w:t>La crisis con Ucrania muestra también otro punto clave de esta actitud de los proeuropeos hacia Estados Unidos: por mucho que quieran en Bruselas o en París, a la hora de la verdad, cuando surgen los problemas, todo el mundo mira a EEUU. Y eso genera frustración y cabreo. Es un “quiero y no puedo” que alimenta el resentimiento hacia Washington.</w:t>
      </w:r>
    </w:p>
    <w:p w:rsidR="00465736" w:rsidRPr="00E75CC2" w:rsidRDefault="00465736" w:rsidP="00465736">
      <w:pPr>
        <w:pStyle w:val="bbc-bm53ic"/>
        <w:shd w:val="clear" w:color="auto" w:fill="FDFDFD"/>
        <w:spacing w:after="0"/>
        <w:jc w:val="both"/>
        <w:rPr>
          <w:color w:val="FF0000"/>
          <w:u w:val="single"/>
        </w:rPr>
      </w:pPr>
      <w:r w:rsidRPr="00E75CC2">
        <w:rPr>
          <w:color w:val="FF0000"/>
          <w:u w:val="single"/>
        </w:rPr>
        <w:t xml:space="preserve">El otro punto de la agenda es la cuestión de los gigantes digitales. Bruselas ha hecho una de sus banderas el intentar limitar el poder de estas multinacionales. Se lanza el mensaje de que Europa no es el salvaje oeste, que aquí tendrán que cumplir con estrictas reglas. Como una muestra de las diferencias entre americanos y europeos, en la Unión se centra la regulación en la idea de la protección del usuario y de sus datos, y en Estados Unidos el foco está en otro sitio. Entre los expertos, explica Raquel Jorge Ricart, analista del Real Instituto Elcano, no </w:t>
      </w:r>
      <w:r w:rsidRPr="00E75CC2">
        <w:rPr>
          <w:color w:val="FF0000"/>
          <w:u w:val="single"/>
        </w:rPr>
        <w:lastRenderedPageBreak/>
        <w:t xml:space="preserve">hay hostilidad, pero sí desconfianza, recelo. La UE “no es hostil, pero mira con cierta cautela”, señala la analista, y centra su trabajo en aspectos de derechos digitales y de los usuarios, a diferencia de Estados Unidos. </w:t>
      </w:r>
    </w:p>
    <w:p w:rsidR="00465736" w:rsidRDefault="00465736" w:rsidP="00465736">
      <w:pPr>
        <w:pStyle w:val="bbc-bm53ic"/>
        <w:shd w:val="clear" w:color="auto" w:fill="FDFDFD"/>
        <w:spacing w:after="0"/>
        <w:jc w:val="both"/>
      </w:pPr>
      <w:r w:rsidRPr="00E75CC2">
        <w:rPr>
          <w:u w:val="single"/>
        </w:rPr>
        <w:t>Pero la hostilidad hacia EEUU no es nueva. Europa tiene una larga tradición de antiamericanismo de izquierdas basado sobre la idea de oponerse al denominado imperialismo</w:t>
      </w:r>
      <w:r>
        <w:t>. Curiosamente, vemos en los últimos tiempos cómo en algunos de estos sectores izquierdistas, a la hora de oponerse a Estados Unidos, empiezan a abrazar un discurso que encuentra puntos en común con lo defendido por proeuropeos de otras ideologías. En vez de defender a Moscú en su escalada de la tensión en Ucrania, una posición difícilmente sostenible hoy, centran su discurso en pedir que sea Europa, y no Estados Unidos, el que decida el futuro del continente, haciendo un llamamiento a la autonomía estratégica. “La Unión Europea debe mantener y reforzar su autonomía estratégica”, aseguraba hace algunas semanas Pablo Fernández, coportavoz de Unidas Podemos.</w:t>
      </w:r>
    </w:p>
    <w:p w:rsidR="00465736" w:rsidRDefault="00465736" w:rsidP="00465736">
      <w:pPr>
        <w:pStyle w:val="bbc-bm53ic"/>
        <w:shd w:val="clear" w:color="auto" w:fill="FDFDFD"/>
        <w:spacing w:after="0"/>
        <w:jc w:val="both"/>
      </w:pPr>
      <w:r>
        <w:t>¿Hostilidad o es que no queremos saber nada?</w:t>
      </w:r>
    </w:p>
    <w:p w:rsidR="00465736" w:rsidRPr="00E75CC2" w:rsidRDefault="00465736" w:rsidP="00465736">
      <w:pPr>
        <w:pStyle w:val="bbc-bm53ic"/>
        <w:shd w:val="clear" w:color="auto" w:fill="FDFDFD"/>
        <w:spacing w:after="0"/>
        <w:jc w:val="both"/>
        <w:rPr>
          <w:color w:val="FF0000"/>
          <w:u w:val="single"/>
        </w:rPr>
      </w:pPr>
      <w:r w:rsidRPr="00E75CC2">
        <w:rPr>
          <w:color w:val="FF0000"/>
          <w:u w:val="single"/>
        </w:rPr>
        <w:t xml:space="preserve">¿Hay hostilidad por parte de los proeuropeos hacia Estados Unidos? Quizás la respuesta es que no sea una actitud hostil, pero sí mucho más distante, en la que la desconfianza manda. Ya ni se creen el sueño americano ni creen que puedan contar con Washington para muchos debates. Al mismo tiempo saben que siguen necesitando a los americanos, que Europa tiene muchísimos déficits y que creer que la Unión puede hacerse cargo de su futuro sin Washington es construir castillos en el aire. </w:t>
      </w:r>
    </w:p>
    <w:p w:rsidR="00465736" w:rsidRDefault="00465736" w:rsidP="00465736">
      <w:pPr>
        <w:pStyle w:val="bbc-bm53ic"/>
        <w:shd w:val="clear" w:color="auto" w:fill="FDFDFD"/>
        <w:spacing w:after="0"/>
        <w:jc w:val="both"/>
      </w:pPr>
      <w:r>
        <w:t>Y eso alimenta el resentimiento, como opina Ramón González Férriz, al que le consulto sobre esta tesis. Y si hay una sensación que se parece a la hostilidad sin llegar tan lejos esa es la del resentimiento. En ella está buena parte de lo que es la relación de Europa con Estados Unidos. El profundo cabreo que genera la sensación de “tutela” americana en muchos momentos, como por ejemplo la crisis con Rusia. El desencanto por las caretas caídas a partir de la llegada de Trump. El dolor de comprobar que, con el magnate fuera de la Casa Blanca, las cosas no mejoran.</w:t>
      </w:r>
    </w:p>
    <w:p w:rsidR="00465736" w:rsidRDefault="00425A89"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Ni ángeles, ni demonios</w:t>
      </w:r>
      <w:r w:rsidR="009274F9">
        <w:rPr>
          <w:rFonts w:ascii="Times New Roman" w:eastAsia="Times New Roman" w:hAnsi="Times New Roman" w:cs="Times New Roman"/>
          <w:b/>
          <w:sz w:val="24"/>
          <w:szCs w:val="24"/>
          <w:lang w:eastAsia="es-ES"/>
        </w:rPr>
        <w:t>(cada cuál atiende su juego… ¡a ver la UE se entera!)</w:t>
      </w:r>
    </w:p>
    <w:p w:rsidR="00090AE8" w:rsidRPr="00865EA7" w:rsidRDefault="00090AE8" w:rsidP="00090A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65EA7">
        <w:rPr>
          <w:rFonts w:ascii="Times New Roman" w:hAnsi="Times New Roman" w:cs="Times New Roman"/>
          <w:sz w:val="24"/>
          <w:szCs w:val="24"/>
          <w:u w:val="single"/>
        </w:rPr>
        <w:t>Europa: entre el marido americano y el amigo chino</w:t>
      </w:r>
      <w:r>
        <w:rPr>
          <w:rFonts w:ascii="Times New Roman" w:hAnsi="Times New Roman" w:cs="Times New Roman"/>
          <w:sz w:val="24"/>
          <w:szCs w:val="24"/>
        </w:rPr>
        <w:t xml:space="preserve"> (El Confidencial - </w:t>
      </w:r>
      <w:r w:rsidRPr="00865EA7">
        <w:rPr>
          <w:rFonts w:ascii="Times New Roman" w:hAnsi="Times New Roman" w:cs="Times New Roman"/>
          <w:b/>
          <w:sz w:val="24"/>
          <w:szCs w:val="24"/>
        </w:rPr>
        <w:t>23/1/20</w:t>
      </w:r>
      <w:r>
        <w:rPr>
          <w:rFonts w:ascii="Times New Roman" w:hAnsi="Times New Roman" w:cs="Times New Roman"/>
          <w:sz w:val="24"/>
          <w:szCs w:val="24"/>
        </w:rPr>
        <w:t>)</w:t>
      </w:r>
    </w:p>
    <w:p w:rsidR="00090AE8" w:rsidRPr="00865EA7" w:rsidRDefault="00090AE8" w:rsidP="00090AE8">
      <w:pPr>
        <w:spacing w:line="240" w:lineRule="auto"/>
        <w:jc w:val="both"/>
        <w:rPr>
          <w:rFonts w:ascii="Times New Roman" w:hAnsi="Times New Roman" w:cs="Times New Roman"/>
          <w:sz w:val="24"/>
          <w:szCs w:val="24"/>
        </w:rPr>
      </w:pPr>
      <w:r w:rsidRPr="00091639">
        <w:rPr>
          <w:rFonts w:ascii="Times New Roman" w:hAnsi="Times New Roman" w:cs="Times New Roman"/>
          <w:sz w:val="24"/>
          <w:szCs w:val="24"/>
          <w:u w:val="single"/>
        </w:rPr>
        <w:t>El Real Instituto Elcano acaba de publicar un informe sobre el triángulo estratégico entre EEUU, China y la Unión Europea. Se trata de uno de los trabajos más amplios y profundos que se ha realizado en Europa sobre este tema en los últimos</w:t>
      </w:r>
      <w:r>
        <w:rPr>
          <w:rFonts w:ascii="Times New Roman" w:hAnsi="Times New Roman" w:cs="Times New Roman"/>
          <w:sz w:val="24"/>
          <w:szCs w:val="24"/>
        </w:rPr>
        <w:t xml:space="preserve"> años. Tiene 19 capítulos -</w:t>
      </w:r>
      <w:r w:rsidRPr="00865EA7">
        <w:rPr>
          <w:rFonts w:ascii="Times New Roman" w:hAnsi="Times New Roman" w:cs="Times New Roman"/>
          <w:sz w:val="24"/>
          <w:szCs w:val="24"/>
        </w:rPr>
        <w:t xml:space="preserve"> cubriendo 18 países miembros de la Unión y</w:t>
      </w:r>
      <w:r>
        <w:rPr>
          <w:rFonts w:ascii="Times New Roman" w:hAnsi="Times New Roman" w:cs="Times New Roman"/>
          <w:sz w:val="24"/>
          <w:szCs w:val="24"/>
        </w:rPr>
        <w:t xml:space="preserve"> la perspectiva desde Bruselas-</w:t>
      </w:r>
      <w:r w:rsidRPr="00865EA7">
        <w:rPr>
          <w:rFonts w:ascii="Times New Roman" w:hAnsi="Times New Roman" w:cs="Times New Roman"/>
          <w:sz w:val="24"/>
          <w:szCs w:val="24"/>
        </w:rPr>
        <w:t xml:space="preserve"> escritos por expertos en China de los think tanks nacionales más importantes del Viejo Continente. Desde los más conocidos como Chatham House del Reino Unido o el Instituto Francés de las Relaciones Internacionales (IFRI) de Francia, hasta los más pequeños y modestos como el Instituto de Asuntos Internacionales de Letonia o el Instituto de Relac</w:t>
      </w:r>
      <w:r>
        <w:rPr>
          <w:rFonts w:ascii="Times New Roman" w:hAnsi="Times New Roman" w:cs="Times New Roman"/>
          <w:sz w:val="24"/>
          <w:szCs w:val="24"/>
        </w:rPr>
        <w:t>iones Internacionales de Praga.</w:t>
      </w:r>
    </w:p>
    <w:p w:rsidR="00090AE8" w:rsidRPr="00974E9D" w:rsidRDefault="00090AE8" w:rsidP="00090AE8">
      <w:pPr>
        <w:spacing w:line="240" w:lineRule="auto"/>
        <w:jc w:val="both"/>
        <w:rPr>
          <w:rFonts w:ascii="Times New Roman" w:hAnsi="Times New Roman" w:cs="Times New Roman"/>
          <w:sz w:val="24"/>
          <w:szCs w:val="24"/>
          <w:u w:val="single"/>
        </w:rPr>
      </w:pPr>
      <w:r w:rsidRPr="00865EA7">
        <w:rPr>
          <w:rFonts w:ascii="Times New Roman" w:hAnsi="Times New Roman" w:cs="Times New Roman"/>
          <w:sz w:val="24"/>
          <w:szCs w:val="24"/>
        </w:rPr>
        <w:t xml:space="preserve">Este es el quinto informe anual que publica la Red de Think Tanks Europeos sobre China (ETNC, por sus siglas en inglés) y realmente ha sido un honor ser de nuevo uno de los coordinadores. Sobre todo, porque el tema y el momento no podrían ser más oportunos. </w:t>
      </w:r>
      <w:r w:rsidRPr="00974E9D">
        <w:rPr>
          <w:rFonts w:ascii="Times New Roman" w:hAnsi="Times New Roman" w:cs="Times New Roman"/>
          <w:sz w:val="24"/>
          <w:szCs w:val="24"/>
          <w:u w:val="single"/>
        </w:rPr>
        <w:t xml:space="preserve">Poder discutir de primera mano (la red se reúne dos veces al año en una capital europea </w:t>
      </w:r>
      <w:r w:rsidRPr="00974E9D">
        <w:rPr>
          <w:rFonts w:ascii="Times New Roman" w:hAnsi="Times New Roman" w:cs="Times New Roman"/>
          <w:sz w:val="24"/>
          <w:szCs w:val="24"/>
          <w:u w:val="single"/>
        </w:rPr>
        <w:lastRenderedPageBreak/>
        <w:t>diferente) y después leer cómo se percibe la rivalidad entre EEUU y China desde las diferentes esquinas del Continente europeo es un auténtico privilegio.</w:t>
      </w:r>
    </w:p>
    <w:p w:rsidR="00090AE8" w:rsidRPr="00865EA7" w:rsidRDefault="00090AE8" w:rsidP="00090AE8">
      <w:pPr>
        <w:spacing w:line="240" w:lineRule="auto"/>
        <w:jc w:val="both"/>
        <w:rPr>
          <w:rFonts w:ascii="Times New Roman" w:hAnsi="Times New Roman" w:cs="Times New Roman"/>
          <w:sz w:val="24"/>
          <w:szCs w:val="24"/>
        </w:rPr>
      </w:pPr>
      <w:r w:rsidRPr="00865EA7">
        <w:rPr>
          <w:rFonts w:ascii="Times New Roman" w:hAnsi="Times New Roman" w:cs="Times New Roman"/>
          <w:sz w:val="24"/>
          <w:szCs w:val="24"/>
        </w:rPr>
        <w:t xml:space="preserve">La Unión Europea tiene mucha inteligencia repartida. Precisamente cuando creamos ETNC hace ahora un lustro queríamos reunir ese saber disperso y fragmentado en las diferentes capitales en una única red, partiendo de la base que la UE nunca se va a poder enfrentar al desafío que supone el auge de China si no sabe qué está pasando en las múltiples relaciones bilaterales que existen entre los estados </w:t>
      </w:r>
      <w:r>
        <w:rPr>
          <w:rFonts w:ascii="Times New Roman" w:hAnsi="Times New Roman" w:cs="Times New Roman"/>
          <w:sz w:val="24"/>
          <w:szCs w:val="24"/>
        </w:rPr>
        <w:t>miembros y el gigante asiático.</w:t>
      </w:r>
    </w:p>
    <w:p w:rsidR="00090AE8" w:rsidRPr="00974E9D" w:rsidRDefault="00090AE8" w:rsidP="00090AE8">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Lógicamente, sería muy difícil resumir las 190 páginas del informe en una tribuna de prensa. Ni lo voy a intentar. Pero sí que me gustaría explicar la conclusión principal que he sacado de nuestro trabajo conjunto con una metáfora que espero que sea ilustrativa de la posición de la UE en la creciente rivalidad geopolítica entre EEUU y China. Como saben, no es solo comercial, sino también tecnológica, militar e incluso de diferentes modelos de capitalismo. Vamos allá pues.</w:t>
      </w:r>
    </w:p>
    <w:p w:rsidR="00090AE8" w:rsidRPr="00974E9D" w:rsidRDefault="00090AE8" w:rsidP="00090AE8">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Europa (y sí Europa es una mujer por muchas vueltas que le queramos dar) se casó en su día con un joven americano (no sin antes tener graves tensiones de novios, las dos Guerras Mundiales dejaron heridas, aunque también consagraron el amor). El problema es que ahora ese joven vigoroso se ha vuelto mayor y cascarrabias (pensemos en Trump). Las diferencias son tales que nuestro marido americano, que se podría llamar Sam (por Uncle Sam) se quiere quedar cada vez más en casa y le preocupa menos la situación del barrio (la comunidad internacional). Además, Europa piensa que hay que luchar contra el cambio climático y su marido dice que eso es una invención de la televisión.</w:t>
      </w:r>
    </w:p>
    <w:p w:rsidR="00090AE8" w:rsidRPr="00974E9D" w:rsidRDefault="00090AE8" w:rsidP="00090AE8">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Al mismo tiempo, desde hace unos años a esta parte, Europa ha empezado a relacionarse cada vez más con un viejo amigo chino llamado Xiaoping (por Deng Xiaoping). Ya lo conocía de antes, mucho antes de que apareciese en su vida Sam (la civilización europea y la china son de las más antiguas), pero antes vivían muy lejos uno del otro y la relación era distante (aunque hubo momentos de acercamiento: la ruta de la seda; y de encontronazos serios: las Guerras del Opio). Pero, lo dicho, en los últimos años retomaron la relación y han empezado a salir a cenar e incluso a bailar juntos (la relación comercial es intensa). A Europa le gusta flirtear con Xiaoping, pero hay que decir que nunca ha llegado a acostarse con él. Es decir, nunca ha pasado la línea roja de la infidelidad (EEUU sigue siendo el mayor aliado de la UE).</w:t>
      </w:r>
    </w:p>
    <w:p w:rsidR="00090AE8" w:rsidRPr="00974E9D" w:rsidRDefault="00090AE8" w:rsidP="00090AE8">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Sin embargo, hace poco Sam ha descubierto que la relación con el amigo chino es más intensa de lo que él pensaba y ha empezado a prohibirle a Europa que se vea con Xiaoping (el asunto Huawei y 5G es el mejor ejemplo). Eso ha desconcertado a Europa. No solo por los celos que pudiese tener el marido, que por un lado demostraría amor, más bien porque la relación en casa es cada día peor.</w:t>
      </w:r>
    </w:p>
    <w:p w:rsidR="00090AE8" w:rsidRPr="00974E9D" w:rsidRDefault="00090AE8" w:rsidP="00090AE8">
      <w:pPr>
        <w:spacing w:line="240" w:lineRule="auto"/>
        <w:jc w:val="both"/>
        <w:rPr>
          <w:rFonts w:ascii="Times New Roman" w:hAnsi="Times New Roman" w:cs="Times New Roman"/>
          <w:color w:val="FF0000"/>
          <w:sz w:val="24"/>
          <w:szCs w:val="24"/>
          <w:u w:val="single"/>
        </w:rPr>
      </w:pPr>
      <w:r w:rsidRPr="00974E9D">
        <w:rPr>
          <w:rFonts w:ascii="Times New Roman" w:hAnsi="Times New Roman" w:cs="Times New Roman"/>
          <w:sz w:val="24"/>
          <w:szCs w:val="24"/>
          <w:u w:val="single"/>
        </w:rPr>
        <w:t xml:space="preserve">Su marido le ha declarado la guerra al amigo chino (de una manera un tanto exagerada e irracional) y su creciente agresividad también se está dirigiendo hacia ella. La situación ha llegado a tal punto de que se siente incómoda en casa y está pensando en abandonar al marido (como dijo Angela Merkel en una tienda del Oktoberfest cerveza en mano, </w:t>
      </w:r>
      <w:r w:rsidRPr="00974E9D">
        <w:rPr>
          <w:rFonts w:ascii="Times New Roman" w:hAnsi="Times New Roman" w:cs="Times New Roman"/>
          <w:color w:val="FF0000"/>
          <w:sz w:val="24"/>
          <w:szCs w:val="24"/>
          <w:u w:val="single"/>
        </w:rPr>
        <w:t>quizás haya llegado el momento de que Europa sea dueña de su propio destino).</w:t>
      </w:r>
    </w:p>
    <w:p w:rsidR="00090AE8" w:rsidRPr="00865EA7" w:rsidRDefault="00090AE8" w:rsidP="00090AE8">
      <w:pPr>
        <w:spacing w:line="240" w:lineRule="auto"/>
        <w:jc w:val="both"/>
        <w:rPr>
          <w:rFonts w:ascii="Times New Roman" w:hAnsi="Times New Roman" w:cs="Times New Roman"/>
          <w:sz w:val="24"/>
          <w:szCs w:val="24"/>
        </w:rPr>
      </w:pPr>
      <w:r w:rsidRPr="00974E9D">
        <w:rPr>
          <w:rFonts w:ascii="Times New Roman" w:hAnsi="Times New Roman" w:cs="Times New Roman"/>
          <w:color w:val="FF0000"/>
          <w:sz w:val="24"/>
          <w:szCs w:val="24"/>
          <w:u w:val="single"/>
        </w:rPr>
        <w:t>Pero la decisión no es fácil</w:t>
      </w:r>
      <w:r w:rsidRPr="00974E9D">
        <w:rPr>
          <w:rFonts w:ascii="Times New Roman" w:hAnsi="Times New Roman" w:cs="Times New Roman"/>
          <w:color w:val="FF0000"/>
          <w:sz w:val="24"/>
          <w:szCs w:val="24"/>
        </w:rPr>
        <w:t>.</w:t>
      </w:r>
      <w:r w:rsidRPr="00974E9D">
        <w:rPr>
          <w:rFonts w:ascii="Times New Roman" w:hAnsi="Times New Roman" w:cs="Times New Roman"/>
          <w:sz w:val="24"/>
          <w:szCs w:val="24"/>
          <w:u w:val="single"/>
        </w:rPr>
        <w:t>Irse a vivir con el amigo chino está descartado</w:t>
      </w:r>
      <w:r w:rsidRPr="00865EA7">
        <w:rPr>
          <w:rFonts w:ascii="Times New Roman" w:hAnsi="Times New Roman" w:cs="Times New Roman"/>
          <w:sz w:val="24"/>
          <w:szCs w:val="24"/>
        </w:rPr>
        <w:t xml:space="preserve">. Es verdad que se lo pasa muy bien con él, comparten el amor por la buena comida, la filosofía clásica y el respeto a las tradiciones, pero Xiaoping fuma y bebe mucho y le gusta el juego. </w:t>
      </w:r>
      <w:r w:rsidRPr="00974E9D">
        <w:rPr>
          <w:rFonts w:ascii="Times New Roman" w:hAnsi="Times New Roman" w:cs="Times New Roman"/>
          <w:sz w:val="24"/>
          <w:szCs w:val="24"/>
          <w:u w:val="single"/>
        </w:rPr>
        <w:t>Vamos, que nos es de fiar. Además, los dos tienen valores (y sistemas políticos) muy opuestos.</w:t>
      </w:r>
    </w:p>
    <w:p w:rsidR="00090AE8" w:rsidRPr="00974E9D" w:rsidRDefault="00090AE8" w:rsidP="00090AE8">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lastRenderedPageBreak/>
        <w:t>Todo esto hace que Europa todavía piense que Sam puede cambiar</w:t>
      </w:r>
      <w:r w:rsidRPr="00865EA7">
        <w:rPr>
          <w:rFonts w:ascii="Times New Roman" w:hAnsi="Times New Roman" w:cs="Times New Roman"/>
          <w:sz w:val="24"/>
          <w:szCs w:val="24"/>
        </w:rPr>
        <w:t xml:space="preserve">. </w:t>
      </w:r>
      <w:r w:rsidRPr="00974E9D">
        <w:rPr>
          <w:rFonts w:ascii="Times New Roman" w:hAnsi="Times New Roman" w:cs="Times New Roman"/>
          <w:sz w:val="24"/>
          <w:szCs w:val="24"/>
          <w:u w:val="single"/>
        </w:rPr>
        <w:t>Si habla con él en serio quizás entre en razón y cambie de actitud y se haga de nuevo más dócil y bueno</w:t>
      </w:r>
      <w:r w:rsidRPr="00865EA7">
        <w:rPr>
          <w:rFonts w:ascii="Times New Roman" w:hAnsi="Times New Roman" w:cs="Times New Roman"/>
          <w:sz w:val="24"/>
          <w:szCs w:val="24"/>
        </w:rPr>
        <w:t>, y a lo mejor se anime y se levante del sofá y se preocupe de nuevo por el barrio (el orden mundial) e incluso acepte que hay que luchar contra el cambio climático (</w:t>
      </w:r>
      <w:r w:rsidRPr="00974E9D">
        <w:rPr>
          <w:rFonts w:ascii="Times New Roman" w:hAnsi="Times New Roman" w:cs="Times New Roman"/>
          <w:sz w:val="24"/>
          <w:szCs w:val="24"/>
          <w:u w:val="single"/>
        </w:rPr>
        <w:t>es decir, Europa espera que un demócrata gane las elecciones de este año</w:t>
      </w:r>
      <w:r w:rsidRPr="00865EA7">
        <w:rPr>
          <w:rFonts w:ascii="Times New Roman" w:hAnsi="Times New Roman" w:cs="Times New Roman"/>
          <w:sz w:val="24"/>
          <w:szCs w:val="24"/>
        </w:rPr>
        <w:t xml:space="preserve">). Pero puede que todo esto sea una ilusión. </w:t>
      </w:r>
      <w:r w:rsidRPr="00974E9D">
        <w:rPr>
          <w:rFonts w:ascii="Times New Roman" w:hAnsi="Times New Roman" w:cs="Times New Roman"/>
          <w:sz w:val="24"/>
          <w:szCs w:val="24"/>
          <w:u w:val="single"/>
        </w:rPr>
        <w:t>Lo más probable es que la edad haga a Sam cada vez más celoso y se vuelva cada vez más agresivo contra Xiaoping, Vladimir (no nos olvidemos de Rusia) y todo aquel que le parezca una amenaza.</w:t>
      </w:r>
    </w:p>
    <w:p w:rsidR="00090AE8" w:rsidRPr="00974E9D" w:rsidRDefault="00090AE8" w:rsidP="00090AE8">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Es por eso que Europa está pensando que tiene que independizarse. Ya está mirando anuncios de pisos, pero dar el paso es complicado. No sabe cómo va a reaccionar su marido y la cruda realidad es que hasta ahora depende de él económicamente (pensemos en la OTAN) y por lo tanto tendría que empezar a estudiar para poder estar más preparada y encontrar un buen trabajo. Ella de joven, antes de casarse, había ido a la universidad y tenía un buen puesto, pero ahora ha pasado tanto tiempo que sus habilidades han caducado y se encuentra muy insegura.</w:t>
      </w:r>
    </w:p>
    <w:p w:rsidR="00090AE8" w:rsidRPr="00974E9D" w:rsidRDefault="00090AE8" w:rsidP="00090AE8">
      <w:pPr>
        <w:spacing w:line="240" w:lineRule="auto"/>
        <w:jc w:val="both"/>
        <w:rPr>
          <w:rFonts w:ascii="Times New Roman" w:hAnsi="Times New Roman" w:cs="Times New Roman"/>
          <w:color w:val="FF0000"/>
          <w:sz w:val="24"/>
          <w:szCs w:val="24"/>
          <w:u w:val="single"/>
        </w:rPr>
      </w:pPr>
      <w:r w:rsidRPr="00974E9D">
        <w:rPr>
          <w:rFonts w:ascii="Times New Roman" w:hAnsi="Times New Roman" w:cs="Times New Roman"/>
          <w:color w:val="FF0000"/>
          <w:sz w:val="24"/>
          <w:szCs w:val="24"/>
          <w:u w:val="single"/>
        </w:rPr>
        <w:t>Y en esas está Europa. Con muchas dudas y miedos, pero también con el arrojo de que tiene que valerse por sí misma incluso si al final abandona a su marido. He aquí la Comisión geopolítica de Ursula Von der Leyen y el debate en las capitales sobre la autonomía estratégica europea.</w:t>
      </w:r>
    </w:p>
    <w:p w:rsidR="00090AE8" w:rsidRPr="007E007E" w:rsidRDefault="00090AE8" w:rsidP="00090A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E007E">
        <w:rPr>
          <w:rFonts w:ascii="Times New Roman" w:hAnsi="Times New Roman" w:cs="Times New Roman"/>
          <w:sz w:val="24"/>
          <w:szCs w:val="24"/>
        </w:rPr>
        <w:t>¿</w:t>
      </w:r>
      <w:r w:rsidRPr="008935BC">
        <w:rPr>
          <w:rFonts w:ascii="Times New Roman" w:hAnsi="Times New Roman" w:cs="Times New Roman"/>
          <w:sz w:val="24"/>
          <w:szCs w:val="24"/>
          <w:u w:val="single"/>
        </w:rPr>
        <w:t>Fue una buena idea aceptar a China en la OMC? Así ha afectado a las economías avanzadas</w:t>
      </w:r>
      <w:r>
        <w:rPr>
          <w:rFonts w:ascii="Times New Roman" w:hAnsi="Times New Roman" w:cs="Times New Roman"/>
          <w:sz w:val="24"/>
          <w:szCs w:val="24"/>
        </w:rPr>
        <w:t xml:space="preserve"> (El Confidencial - </w:t>
      </w:r>
      <w:r w:rsidRPr="008935BC">
        <w:rPr>
          <w:rFonts w:ascii="Times New Roman" w:hAnsi="Times New Roman" w:cs="Times New Roman"/>
          <w:b/>
          <w:sz w:val="24"/>
          <w:szCs w:val="24"/>
        </w:rPr>
        <w:t>12/12/21</w:t>
      </w:r>
      <w:r>
        <w:rPr>
          <w:rFonts w:ascii="Times New Roman" w:hAnsi="Times New Roman" w:cs="Times New Roman"/>
          <w:sz w:val="24"/>
          <w:szCs w:val="24"/>
        </w:rPr>
        <w:t>)</w:t>
      </w:r>
    </w:p>
    <w:p w:rsidR="00090AE8" w:rsidRDefault="00090AE8" w:rsidP="00090AE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E007E">
        <w:rPr>
          <w:rFonts w:ascii="Times New Roman" w:hAnsi="Times New Roman" w:cs="Times New Roman"/>
          <w:sz w:val="24"/>
          <w:szCs w:val="24"/>
        </w:rPr>
        <w:t>Por Javier Jorrín</w:t>
      </w:r>
      <w:r>
        <w:rPr>
          <w:rFonts w:ascii="Times New Roman" w:hAnsi="Times New Roman" w:cs="Times New Roman"/>
          <w:sz w:val="24"/>
          <w:szCs w:val="24"/>
        </w:rPr>
        <w:t>)</w:t>
      </w:r>
    </w:p>
    <w:p w:rsidR="00364F0A" w:rsidRPr="007E007E" w:rsidRDefault="00364F0A" w:rsidP="00090AE8">
      <w:pPr>
        <w:spacing w:line="240" w:lineRule="auto"/>
        <w:jc w:val="both"/>
        <w:rPr>
          <w:rFonts w:ascii="Times New Roman" w:hAnsi="Times New Roman" w:cs="Times New Roman"/>
          <w:sz w:val="24"/>
          <w:szCs w:val="24"/>
        </w:rPr>
      </w:pPr>
      <w:r w:rsidRPr="008935BC">
        <w:rPr>
          <w:rFonts w:ascii="Times New Roman" w:hAnsi="Times New Roman" w:cs="Times New Roman"/>
          <w:noProof/>
          <w:sz w:val="24"/>
          <w:szCs w:val="24"/>
          <w:lang w:val="en-GB" w:eastAsia="zh-CN"/>
        </w:rPr>
        <w:drawing>
          <wp:inline distT="0" distB="0" distL="0" distR="0">
            <wp:extent cx="5731510" cy="3097770"/>
            <wp:effectExtent l="0" t="0" r="2540" b="762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731510" cy="3097770"/>
                    </a:xfrm>
                    <a:prstGeom prst="rect">
                      <a:avLst/>
                    </a:prstGeom>
                  </pic:spPr>
                </pic:pic>
              </a:graphicData>
            </a:graphic>
          </wp:inline>
        </w:drawing>
      </w:r>
    </w:p>
    <w:p w:rsidR="00090AE8" w:rsidRDefault="00090AE8" w:rsidP="00090AE8">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 xml:space="preserve">Hace 20 años la economía mundial cambió para siempre. China entró en la Organización Mundial del Comercio (OMC) el 11 de diciembre de 2001 tras tres largos lustros de negociaciones. Finalmente había conseguido su gran objetivo, acceder al circuito de las cadenas globales de valor que se estaban desplegando en esos momentos. Este hecho supuso un cambio drástico para el comercio global: China, que hasta finales de los 90 tenía una participación del 3,5% en las exportaciones mundiales de bienes, multiplicó por cuatro su </w:t>
      </w:r>
      <w:r w:rsidRPr="00473FEB">
        <w:rPr>
          <w:rFonts w:ascii="Times New Roman" w:hAnsi="Times New Roman" w:cs="Times New Roman"/>
          <w:color w:val="FF0000"/>
          <w:sz w:val="24"/>
          <w:szCs w:val="24"/>
          <w:u w:val="single"/>
        </w:rPr>
        <w:lastRenderedPageBreak/>
        <w:t>peso en apenas quince años, consolidándose por encima del 13%. El p</w:t>
      </w:r>
      <w:r w:rsidR="00792471">
        <w:rPr>
          <w:rFonts w:ascii="Times New Roman" w:hAnsi="Times New Roman" w:cs="Times New Roman"/>
          <w:color w:val="FF0000"/>
          <w:sz w:val="24"/>
          <w:szCs w:val="24"/>
          <w:u w:val="single"/>
        </w:rPr>
        <w:t>aís se convirtió en la fábrica “low cost”</w:t>
      </w:r>
      <w:r w:rsidRPr="00473FEB">
        <w:rPr>
          <w:rFonts w:ascii="Times New Roman" w:hAnsi="Times New Roman" w:cs="Times New Roman"/>
          <w:color w:val="FF0000"/>
          <w:sz w:val="24"/>
          <w:szCs w:val="24"/>
          <w:u w:val="single"/>
        </w:rPr>
        <w:t xml:space="preserve"> del mundo, lo que ha tenido profundas implicaciones en todo el mundo. Desde el año 2002 (el primero en la OMC) hasta 2011 sus exportaciones crecieron a un ritmo medio anual del 22%. Un 22% cada año implica duplicar las exportaciones casi cada tres años. </w:t>
      </w:r>
    </w:p>
    <w:p w:rsidR="00090AE8" w:rsidRPr="00473FEB" w:rsidRDefault="00090AE8" w:rsidP="00090AE8">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También China ha cambiado mucho en estas dos décadas, pero no en la dirección que esperaban los países occidentales cuando aceptaron su ingreso en la OMC. La década de los noventa fue la del gran optimismo occidental tras la caída del Muro de Berlín. La integración de Europa del Este en el mundo capitalista occidental hizo suponer que con China pasaría lo mismo: el comercio traería consigo mayor libertad, democracia y derechos sociales. En definitiva, el establecimiento de unas clases medias a las que vender las exportaciones.</w:t>
      </w:r>
    </w:p>
    <w:p w:rsidR="00090AE8" w:rsidRPr="00473FEB" w:rsidRDefault="00090AE8" w:rsidP="00090AE8">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 “</w:t>
      </w:r>
      <w:r w:rsidRPr="00473FEB">
        <w:rPr>
          <w:rFonts w:ascii="Times New Roman" w:hAnsi="Times New Roman" w:cs="Times New Roman"/>
          <w:color w:val="FF0000"/>
          <w:sz w:val="24"/>
          <w:szCs w:val="24"/>
          <w:u w:val="single"/>
        </w:rPr>
        <w:t xml:space="preserve">Nos habíamos convencido todos de que un país comunista que se iba haciendo más rico, rápidamente se acercaba a la democracia, protegería la propiedad intelectual, los derechos de los trabajadores, etc., </w:t>
      </w:r>
      <w:r>
        <w:rPr>
          <w:rFonts w:ascii="Times New Roman" w:hAnsi="Times New Roman" w:cs="Times New Roman"/>
          <w:color w:val="FF0000"/>
          <w:sz w:val="24"/>
          <w:szCs w:val="24"/>
          <w:u w:val="single"/>
        </w:rPr>
        <w:t>pero ha sido justo lo contrario”</w:t>
      </w:r>
      <w:r w:rsidRPr="00473FEB">
        <w:rPr>
          <w:rFonts w:ascii="Times New Roman" w:hAnsi="Times New Roman" w:cs="Times New Roman"/>
          <w:color w:val="FF0000"/>
          <w:sz w:val="24"/>
          <w:szCs w:val="24"/>
          <w:u w:val="single"/>
        </w:rPr>
        <w:t>, explica Luis Garicano, economista</w:t>
      </w:r>
      <w:r>
        <w:rPr>
          <w:rFonts w:ascii="Times New Roman" w:hAnsi="Times New Roman" w:cs="Times New Roman"/>
          <w:color w:val="FF0000"/>
          <w:sz w:val="24"/>
          <w:szCs w:val="24"/>
          <w:u w:val="single"/>
        </w:rPr>
        <w:t xml:space="preserve"> y eurodiputado de Ciudadanos, “</w:t>
      </w:r>
      <w:r w:rsidRPr="00473FEB">
        <w:rPr>
          <w:rFonts w:ascii="Times New Roman" w:hAnsi="Times New Roman" w:cs="Times New Roman"/>
          <w:color w:val="FF0000"/>
          <w:sz w:val="24"/>
          <w:szCs w:val="24"/>
          <w:u w:val="single"/>
        </w:rPr>
        <w:t xml:space="preserve">China entró en la OMC con unas condiciones </w:t>
      </w:r>
      <w:r>
        <w:rPr>
          <w:rFonts w:ascii="Times New Roman" w:hAnsi="Times New Roman" w:cs="Times New Roman"/>
          <w:color w:val="FF0000"/>
          <w:sz w:val="24"/>
          <w:szCs w:val="24"/>
          <w:u w:val="single"/>
        </w:rPr>
        <w:t>relativamente poco exigentes”</w:t>
      </w:r>
      <w:r w:rsidRPr="00473FEB">
        <w:rPr>
          <w:rFonts w:ascii="Times New Roman" w:hAnsi="Times New Roman" w:cs="Times New Roman"/>
          <w:color w:val="FF0000"/>
          <w:sz w:val="24"/>
          <w:szCs w:val="24"/>
          <w:u w:val="single"/>
        </w:rPr>
        <w:t xml:space="preserve">. Lo que ha ocurrido es que el país ha competido en bajos costes, pero no ha hecho la transición hacia unas clases medias compradoras que impulsen el crecimiento global. Al contrario, China tiene un superávit de la balanza de bienes (exportaciones menos importaciones) que supera los 450.000 millones de dólares anualmente. Esto es, una cifra que equivale al 40% de todo lo que produce España en un año completo. En lugar de impulsar la demanda, China ahorra cada vez más, drenando crecimiento del resto del mundo, lo que implica que los países desarrollados no han podido exportar a China lo que pensaban que harían. </w:t>
      </w:r>
    </w:p>
    <w:p w:rsidR="00090AE8" w:rsidRPr="00473FEB" w:rsidRDefault="00090AE8" w:rsidP="00090AE8">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El economista Dani Rodrik, uno de los mayores expertos en globalización, ha publicado recientemente un artículo en el que repasa la evidencia empírica recopilada hasta la fecha sobre el impacto de la entrada de China en la OMC e</w:t>
      </w:r>
      <w:r>
        <w:rPr>
          <w:rFonts w:ascii="Times New Roman" w:hAnsi="Times New Roman" w:cs="Times New Roman"/>
          <w:color w:val="FF0000"/>
          <w:sz w:val="24"/>
          <w:szCs w:val="24"/>
          <w:u w:val="single"/>
        </w:rPr>
        <w:t>n las sociedades occidentales, “</w:t>
      </w:r>
      <w:r w:rsidRPr="00473FEB">
        <w:rPr>
          <w:rFonts w:ascii="Times New Roman" w:hAnsi="Times New Roman" w:cs="Times New Roman"/>
          <w:color w:val="FF0000"/>
          <w:sz w:val="24"/>
          <w:szCs w:val="24"/>
          <w:u w:val="single"/>
        </w:rPr>
        <w:t>A</w:t>
      </w:r>
      <w:r>
        <w:rPr>
          <w:rFonts w:ascii="Times New Roman" w:hAnsi="Times New Roman" w:cs="Times New Roman"/>
          <w:color w:val="FF0000"/>
          <w:sz w:val="24"/>
          <w:szCs w:val="24"/>
          <w:u w:val="single"/>
        </w:rPr>
        <w:t xml:space="preserve"> primer on trade and inequality”</w:t>
      </w:r>
      <w:r w:rsidRPr="00473FEB">
        <w:rPr>
          <w:rFonts w:ascii="Times New Roman" w:hAnsi="Times New Roman" w:cs="Times New Roman"/>
          <w:color w:val="FF0000"/>
          <w:sz w:val="24"/>
          <w:szCs w:val="24"/>
          <w:u w:val="single"/>
        </w:rPr>
        <w:t>. Los efectos más importantes producidos por la entrada de China en la globalización se dividen en tres grandes áreas. El primero, el control de la inflación gracias a la entrada de bienes industriales baratos. El segundo, el desplazamiento de la industria de los países occidentales, con ejemplos paradigmáticos como la desaparición de la industria del automóvil de EEUU. Y, el último, la absorción de tecnología y propiedad intelectual de las economías desarrolladas.</w:t>
      </w:r>
    </w:p>
    <w:p w:rsidR="00090AE8" w:rsidRDefault="00090AE8" w:rsidP="00090AE8">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Rodrik concluye que los efectos negativos para las economías avanzadas super</w:t>
      </w:r>
      <w:r>
        <w:rPr>
          <w:rFonts w:ascii="Times New Roman" w:hAnsi="Times New Roman" w:cs="Times New Roman"/>
          <w:color w:val="FF0000"/>
          <w:sz w:val="24"/>
          <w:szCs w:val="24"/>
          <w:u w:val="single"/>
        </w:rPr>
        <w:t>an claramente a los positivos. “</w:t>
      </w:r>
      <w:r w:rsidRPr="00473FEB">
        <w:rPr>
          <w:rFonts w:ascii="Times New Roman" w:hAnsi="Times New Roman" w:cs="Times New Roman"/>
          <w:color w:val="FF0000"/>
          <w:sz w:val="24"/>
          <w:szCs w:val="24"/>
          <w:u w:val="single"/>
        </w:rPr>
        <w:t>Los estudios muestran que las regiones que fueron</w:t>
      </w:r>
      <w:r>
        <w:rPr>
          <w:rFonts w:ascii="Times New Roman" w:hAnsi="Times New Roman" w:cs="Times New Roman"/>
          <w:color w:val="FF0000"/>
          <w:sz w:val="24"/>
          <w:szCs w:val="24"/>
          <w:u w:val="single"/>
        </w:rPr>
        <w:t xml:space="preserve"> muy afectadas por el comercio -</w:t>
      </w:r>
      <w:r w:rsidRPr="00473FEB">
        <w:rPr>
          <w:rFonts w:ascii="Times New Roman" w:hAnsi="Times New Roman" w:cs="Times New Roman"/>
          <w:color w:val="FF0000"/>
          <w:sz w:val="24"/>
          <w:szCs w:val="24"/>
          <w:u w:val="single"/>
        </w:rPr>
        <w:t>con los trabajadores y las industrias más afectad</w:t>
      </w:r>
      <w:r>
        <w:rPr>
          <w:rFonts w:ascii="Times New Roman" w:hAnsi="Times New Roman" w:cs="Times New Roman"/>
          <w:color w:val="FF0000"/>
          <w:sz w:val="24"/>
          <w:szCs w:val="24"/>
          <w:u w:val="single"/>
        </w:rPr>
        <w:t>as por la competencia con China-</w:t>
      </w:r>
      <w:r w:rsidRPr="00473FEB">
        <w:rPr>
          <w:rFonts w:ascii="Times New Roman" w:hAnsi="Times New Roman" w:cs="Times New Roman"/>
          <w:color w:val="FF0000"/>
          <w:sz w:val="24"/>
          <w:szCs w:val="24"/>
          <w:u w:val="single"/>
        </w:rPr>
        <w:t xml:space="preserve"> sufrieron pérdidas significativas</w:t>
      </w:r>
      <w:r>
        <w:rPr>
          <w:rFonts w:ascii="Times New Roman" w:hAnsi="Times New Roman" w:cs="Times New Roman"/>
          <w:color w:val="FF0000"/>
          <w:sz w:val="24"/>
          <w:szCs w:val="24"/>
          <w:u w:val="single"/>
        </w:rPr>
        <w:t xml:space="preserve"> de largo plazo en los ingresos”</w:t>
      </w:r>
      <w:r w:rsidRPr="00473FEB">
        <w:rPr>
          <w:rFonts w:ascii="Times New Roman" w:hAnsi="Times New Roman" w:cs="Times New Roman"/>
          <w:color w:val="FF0000"/>
          <w:sz w:val="24"/>
          <w:szCs w:val="24"/>
          <w:u w:val="single"/>
        </w:rPr>
        <w:t>. En términos netos, se ha perdido más por la deslocalización de la producción que las ganancias logradas por la eliminación de las barreras al libre comercio. Rodrik señala que el efecto de la apertura comercial es más intenso en el momento inicial, pero tiene rendimientos marginales decrecientes. Esto es, a medida que se eliminan más barreras al comercio, el b</w:t>
      </w:r>
      <w:r>
        <w:rPr>
          <w:rFonts w:ascii="Times New Roman" w:hAnsi="Times New Roman" w:cs="Times New Roman"/>
          <w:color w:val="FF0000"/>
          <w:sz w:val="24"/>
          <w:szCs w:val="24"/>
          <w:u w:val="single"/>
        </w:rPr>
        <w:t>eneficio obtenido es inferior. “</w:t>
      </w:r>
      <w:r w:rsidRPr="00473FEB">
        <w:rPr>
          <w:rFonts w:ascii="Times New Roman" w:hAnsi="Times New Roman" w:cs="Times New Roman"/>
          <w:color w:val="FF0000"/>
          <w:sz w:val="24"/>
          <w:szCs w:val="24"/>
          <w:u w:val="single"/>
        </w:rPr>
        <w:t>Una vez que los mercados nacionales se han vuelto bastante abiertos, los intentos de impulsar la globalización aún más parecen estar motivados por el objetivo de enriquecer a ciertos grupos en lugar de</w:t>
      </w:r>
      <w:r>
        <w:rPr>
          <w:rFonts w:ascii="Times New Roman" w:hAnsi="Times New Roman" w:cs="Times New Roman"/>
          <w:color w:val="FF0000"/>
          <w:sz w:val="24"/>
          <w:szCs w:val="24"/>
          <w:u w:val="single"/>
        </w:rPr>
        <w:t xml:space="preserve"> aumentar el tamaño del pastel (la economía)</w:t>
      </w:r>
      <w:r w:rsidRPr="00473FEB">
        <w:rPr>
          <w:rFonts w:ascii="Times New Roman" w:hAnsi="Times New Roman" w:cs="Times New Roman"/>
          <w:color w:val="FF0000"/>
          <w:sz w:val="24"/>
          <w:szCs w:val="24"/>
          <w:u w:val="single"/>
        </w:rPr>
        <w:t>. Me arriesgaría a decir que las economías avanzadas ya llegaron a esta etapa a finales de l</w:t>
      </w:r>
      <w:r>
        <w:rPr>
          <w:rFonts w:ascii="Times New Roman" w:hAnsi="Times New Roman" w:cs="Times New Roman"/>
          <w:color w:val="FF0000"/>
          <w:sz w:val="24"/>
          <w:szCs w:val="24"/>
          <w:u w:val="single"/>
        </w:rPr>
        <w:t>a década de los 90, si no antes”</w:t>
      </w:r>
      <w:r w:rsidRPr="00473FEB">
        <w:rPr>
          <w:rFonts w:ascii="Times New Roman" w:hAnsi="Times New Roman" w:cs="Times New Roman"/>
          <w:color w:val="FF0000"/>
          <w:sz w:val="24"/>
          <w:szCs w:val="24"/>
          <w:u w:val="single"/>
        </w:rPr>
        <w:t>.</w:t>
      </w:r>
    </w:p>
    <w:p w:rsidR="00364F0A" w:rsidRPr="00473FEB" w:rsidRDefault="00364F0A" w:rsidP="00090AE8">
      <w:pPr>
        <w:spacing w:line="240" w:lineRule="auto"/>
        <w:jc w:val="both"/>
        <w:rPr>
          <w:rFonts w:ascii="Times New Roman" w:hAnsi="Times New Roman" w:cs="Times New Roman"/>
          <w:color w:val="FF0000"/>
          <w:sz w:val="24"/>
          <w:szCs w:val="24"/>
          <w:u w:val="single"/>
        </w:rPr>
      </w:pPr>
    </w:p>
    <w:p w:rsidR="00090AE8" w:rsidRPr="007E007E" w:rsidRDefault="00090AE8" w:rsidP="00090AE8">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lastRenderedPageBreak/>
        <w:t>Los perdedores son los pobres</w:t>
      </w:r>
    </w:p>
    <w:p w:rsidR="00090AE8" w:rsidRPr="00473FEB" w:rsidRDefault="00090AE8" w:rsidP="00090AE8">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El abaratamiento de muchos productos industriales ha beneficiado directamente a las clases populares, que tienen acceso a muchos bienes que serían mucho más caros si se produjesen a precios locales. Y no sólo se trata de productos baratos de bajo valor añadido, también son bienes tecnológicos que van desde teléfonos móviles, hasta ordenadores, electrodomésticos, coches, etc.</w:t>
      </w:r>
    </w:p>
    <w:p w:rsidR="00090AE8" w:rsidRDefault="00090AE8" w:rsidP="00090AE8">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 xml:space="preserve">Sin embargo, la literatura económica muestra que son estos estratos sociales los que más han sufrido el efecto negativo del desplazamiento del empleo en la industria, un sector que tradicionalmente demandaba muchos puestos de trabajo con buenas condiciones salariales </w:t>
      </w:r>
      <w:r>
        <w:rPr>
          <w:rFonts w:ascii="Times New Roman" w:hAnsi="Times New Roman" w:cs="Times New Roman"/>
          <w:color w:val="FF0000"/>
          <w:sz w:val="24"/>
          <w:szCs w:val="24"/>
          <w:u w:val="single"/>
        </w:rPr>
        <w:t>y de estabilidad en el empleo. “</w:t>
      </w:r>
      <w:r w:rsidRPr="00F740C9">
        <w:rPr>
          <w:rFonts w:ascii="Times New Roman" w:hAnsi="Times New Roman" w:cs="Times New Roman"/>
          <w:color w:val="FF0000"/>
          <w:sz w:val="24"/>
          <w:szCs w:val="24"/>
          <w:u w:val="single"/>
        </w:rPr>
        <w:t>Los estudios empíricos sugieren que los perdedores fueron los trabajadores más pobres, con menor nivel formativo y que viven en regiones que se vieron afectadas negativamente por la desindustrialización y l</w:t>
      </w:r>
      <w:r>
        <w:rPr>
          <w:rFonts w:ascii="Times New Roman" w:hAnsi="Times New Roman" w:cs="Times New Roman"/>
          <w:color w:val="FF0000"/>
          <w:sz w:val="24"/>
          <w:szCs w:val="24"/>
          <w:u w:val="single"/>
        </w:rPr>
        <w:t>a pérdida de puestos de trabajo”</w:t>
      </w:r>
      <w:r w:rsidRPr="00F740C9">
        <w:rPr>
          <w:rFonts w:ascii="Times New Roman" w:hAnsi="Times New Roman" w:cs="Times New Roman"/>
          <w:color w:val="FF0000"/>
          <w:sz w:val="24"/>
          <w:szCs w:val="24"/>
          <w:u w:val="single"/>
        </w:rPr>
        <w:t xml:space="preserve">, señala Rodrik. En EEUU hay casos paradigmáticos, como es la caída de Detroit, el centro mundial de la industria del automóvil que terminó quebrando por la deslocalización de la producción hacia China, México y otros países con costes de producción mucho más bajos. </w:t>
      </w:r>
    </w:p>
    <w:p w:rsidR="00090AE8" w:rsidRPr="00F740C9" w:rsidRDefault="00090AE8" w:rsidP="00090AE8">
      <w:pPr>
        <w:spacing w:line="240" w:lineRule="auto"/>
        <w:jc w:val="both"/>
        <w:rPr>
          <w:rFonts w:ascii="Times New Roman" w:hAnsi="Times New Roman" w:cs="Times New Roman"/>
          <w:color w:val="FF0000"/>
          <w:sz w:val="24"/>
          <w:szCs w:val="24"/>
          <w:u w:val="single"/>
        </w:rPr>
      </w:pPr>
      <w:r w:rsidRPr="008935BC">
        <w:rPr>
          <w:rFonts w:ascii="Times New Roman" w:hAnsi="Times New Roman" w:cs="Times New Roman"/>
          <w:noProof/>
          <w:sz w:val="24"/>
          <w:szCs w:val="24"/>
          <w:lang w:val="en-GB" w:eastAsia="zh-CN"/>
        </w:rPr>
        <w:drawing>
          <wp:inline distT="0" distB="0" distL="0" distR="0">
            <wp:extent cx="5727700" cy="2946400"/>
            <wp:effectExtent l="0" t="0" r="6350" b="635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731510" cy="2948360"/>
                    </a:xfrm>
                    <a:prstGeom prst="rect">
                      <a:avLst/>
                    </a:prstGeom>
                  </pic:spPr>
                </pic:pic>
              </a:graphicData>
            </a:graphic>
          </wp:inline>
        </w:drawing>
      </w:r>
    </w:p>
    <w:p w:rsidR="00090AE8" w:rsidRDefault="00090AE8" w:rsidP="00090AE8">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t>La opción elegida en muchos países desarrollados para combatir los efectos negativos de la deslocalización de la producción fue el establecimiento de prestaciones públicas a los trabajadores afectados. Sin embargo, esta vía también ha tenido costes importantes, ya que implica una mayor presión fiscal que extiende las pérdidas a otros sectores de la sociedad o a empresas que no se han ido, generando así efectos de segunda ronda. De esta forma los países combaten la desigualdad pero amplifican el impacto negativo provocado por la pérdida de producción de la deslocalización.</w:t>
      </w:r>
    </w:p>
    <w:p w:rsidR="00090AE8" w:rsidRPr="00F740C9" w:rsidRDefault="00090AE8" w:rsidP="00090AE8">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 términos netos no se ha producido una destrucción de empleo, ya que el sector servicios ha sustituido el emp</w:t>
      </w:r>
      <w:r>
        <w:rPr>
          <w:rFonts w:ascii="Times New Roman" w:hAnsi="Times New Roman" w:cs="Times New Roman"/>
          <w:color w:val="FF0000"/>
          <w:sz w:val="24"/>
          <w:szCs w:val="24"/>
          <w:u w:val="single"/>
        </w:rPr>
        <w:t>leo destruido en la industria. “</w:t>
      </w:r>
      <w:r w:rsidRPr="00F740C9">
        <w:rPr>
          <w:rFonts w:ascii="Times New Roman" w:hAnsi="Times New Roman" w:cs="Times New Roman"/>
          <w:color w:val="FF0000"/>
          <w:sz w:val="24"/>
          <w:szCs w:val="24"/>
          <w:u w:val="single"/>
        </w:rPr>
        <w:t>Desde el año 2002 hasta la crisis financiera no se redujo e</w:t>
      </w:r>
      <w:r>
        <w:rPr>
          <w:rFonts w:ascii="Times New Roman" w:hAnsi="Times New Roman" w:cs="Times New Roman"/>
          <w:color w:val="FF0000"/>
          <w:sz w:val="24"/>
          <w:szCs w:val="24"/>
          <w:u w:val="single"/>
        </w:rPr>
        <w:t>l empleo, sino que fue al revés”</w:t>
      </w:r>
      <w:r w:rsidRPr="00F740C9">
        <w:rPr>
          <w:rFonts w:ascii="Times New Roman" w:hAnsi="Times New Roman" w:cs="Times New Roman"/>
          <w:color w:val="FF0000"/>
          <w:sz w:val="24"/>
          <w:szCs w:val="24"/>
          <w:u w:val="single"/>
        </w:rPr>
        <w:t>, recuerda Raymond Torres, di</w:t>
      </w:r>
      <w:r>
        <w:rPr>
          <w:rFonts w:ascii="Times New Roman" w:hAnsi="Times New Roman" w:cs="Times New Roman"/>
          <w:color w:val="FF0000"/>
          <w:sz w:val="24"/>
          <w:szCs w:val="24"/>
          <w:u w:val="single"/>
        </w:rPr>
        <w:t>rector de Coyuntura de Funcas, “</w:t>
      </w:r>
      <w:r w:rsidRPr="00F740C9">
        <w:rPr>
          <w:rFonts w:ascii="Times New Roman" w:hAnsi="Times New Roman" w:cs="Times New Roman"/>
          <w:color w:val="FF0000"/>
          <w:sz w:val="24"/>
          <w:szCs w:val="24"/>
          <w:u w:val="single"/>
        </w:rPr>
        <w:t>de hecho, las fases de crecimiento económico han sido i</w:t>
      </w:r>
      <w:r>
        <w:rPr>
          <w:rFonts w:ascii="Times New Roman" w:hAnsi="Times New Roman" w:cs="Times New Roman"/>
          <w:color w:val="FF0000"/>
          <w:sz w:val="24"/>
          <w:szCs w:val="24"/>
          <w:u w:val="single"/>
        </w:rPr>
        <w:t>ntensivas en creación de empleo”. Lo que sí se ha producido es “</w:t>
      </w:r>
      <w:r w:rsidRPr="00F740C9">
        <w:rPr>
          <w:rFonts w:ascii="Times New Roman" w:hAnsi="Times New Roman" w:cs="Times New Roman"/>
          <w:color w:val="FF0000"/>
          <w:sz w:val="24"/>
          <w:szCs w:val="24"/>
          <w:u w:val="single"/>
        </w:rPr>
        <w:t>un cambio en la estructura productiva de los países desarrollados como consecuencia de la entrada de China en la OMC que son positivos en algunos casos, pe</w:t>
      </w:r>
      <w:r>
        <w:rPr>
          <w:rFonts w:ascii="Times New Roman" w:hAnsi="Times New Roman" w:cs="Times New Roman"/>
          <w:color w:val="FF0000"/>
          <w:sz w:val="24"/>
          <w:szCs w:val="24"/>
          <w:u w:val="single"/>
        </w:rPr>
        <w:t>ro son principalmente negativos”</w:t>
      </w:r>
      <w:r w:rsidRPr="00F740C9">
        <w:rPr>
          <w:rFonts w:ascii="Times New Roman" w:hAnsi="Times New Roman" w:cs="Times New Roman"/>
          <w:color w:val="FF0000"/>
          <w:sz w:val="24"/>
          <w:szCs w:val="24"/>
          <w:u w:val="single"/>
        </w:rPr>
        <w:t xml:space="preserve">, señala </w:t>
      </w:r>
      <w:r>
        <w:rPr>
          <w:rFonts w:ascii="Times New Roman" w:hAnsi="Times New Roman" w:cs="Times New Roman"/>
          <w:color w:val="FF0000"/>
          <w:sz w:val="24"/>
          <w:szCs w:val="24"/>
          <w:u w:val="single"/>
        </w:rPr>
        <w:t xml:space="preserve">Torres, ya que se ha </w:t>
      </w:r>
      <w:r>
        <w:rPr>
          <w:rFonts w:ascii="Times New Roman" w:hAnsi="Times New Roman" w:cs="Times New Roman"/>
          <w:color w:val="FF0000"/>
          <w:sz w:val="24"/>
          <w:szCs w:val="24"/>
          <w:u w:val="single"/>
        </w:rPr>
        <w:lastRenderedPageBreak/>
        <w:t>producido “</w:t>
      </w:r>
      <w:r w:rsidRPr="00F740C9">
        <w:rPr>
          <w:rFonts w:ascii="Times New Roman" w:hAnsi="Times New Roman" w:cs="Times New Roman"/>
          <w:color w:val="FF0000"/>
          <w:sz w:val="24"/>
          <w:szCs w:val="24"/>
          <w:u w:val="single"/>
        </w:rPr>
        <w:t>una reconfiguración de las economías de los países desarrollados hacia el sector servicio</w:t>
      </w:r>
      <w:r>
        <w:rPr>
          <w:rFonts w:ascii="Times New Roman" w:hAnsi="Times New Roman" w:cs="Times New Roman"/>
          <w:color w:val="FF0000"/>
          <w:sz w:val="24"/>
          <w:szCs w:val="24"/>
          <w:u w:val="single"/>
        </w:rPr>
        <w:t>s en detrimento de la industria”</w:t>
      </w:r>
      <w:r w:rsidRPr="00F740C9">
        <w:rPr>
          <w:rFonts w:ascii="Times New Roman" w:hAnsi="Times New Roman" w:cs="Times New Roman"/>
          <w:color w:val="FF0000"/>
          <w:sz w:val="24"/>
          <w:szCs w:val="24"/>
          <w:u w:val="single"/>
        </w:rPr>
        <w:t xml:space="preserve">. </w:t>
      </w:r>
    </w:p>
    <w:p w:rsidR="00090AE8" w:rsidRPr="00F740C9" w:rsidRDefault="00090AE8" w:rsidP="00090AE8">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 términos de efecto composición, la pérdida de peso de la industria ha lastrado el cr</w:t>
      </w:r>
      <w:r>
        <w:rPr>
          <w:rFonts w:ascii="Times New Roman" w:hAnsi="Times New Roman" w:cs="Times New Roman"/>
          <w:color w:val="FF0000"/>
          <w:sz w:val="24"/>
          <w:szCs w:val="24"/>
          <w:u w:val="single"/>
        </w:rPr>
        <w:t>ecimiento de la productividad. “</w:t>
      </w:r>
      <w:r w:rsidRPr="00F740C9">
        <w:rPr>
          <w:rFonts w:ascii="Times New Roman" w:hAnsi="Times New Roman" w:cs="Times New Roman"/>
          <w:color w:val="FF0000"/>
          <w:sz w:val="24"/>
          <w:szCs w:val="24"/>
          <w:u w:val="single"/>
        </w:rPr>
        <w:t>No tener un tejido industrial suficientemente desarrollado genera problemas, entre otros, un crecim</w:t>
      </w:r>
      <w:r>
        <w:rPr>
          <w:rFonts w:ascii="Times New Roman" w:hAnsi="Times New Roman" w:cs="Times New Roman"/>
          <w:color w:val="FF0000"/>
          <w:sz w:val="24"/>
          <w:szCs w:val="24"/>
          <w:u w:val="single"/>
        </w:rPr>
        <w:t>iento menor de la productividad”, señala Torres. “</w:t>
      </w:r>
      <w:r w:rsidRPr="00F740C9">
        <w:rPr>
          <w:rFonts w:ascii="Times New Roman" w:hAnsi="Times New Roman" w:cs="Times New Roman"/>
          <w:color w:val="FF0000"/>
          <w:sz w:val="24"/>
          <w:szCs w:val="24"/>
          <w:u w:val="single"/>
        </w:rPr>
        <w:t>En los círculos económicos hubo mucha discusión sobre qué parte del empleo perdido se debía a la irrupción de China y cuánto a la tecnología. En los últimos años la literatura económica ha ido convergiendo hacia la idea de que una buena parte del crecimiento de la desigualdad y la pérdida de estándares de las clases medias en EEUU</w:t>
      </w:r>
      <w:r>
        <w:rPr>
          <w:rFonts w:ascii="Times New Roman" w:hAnsi="Times New Roman" w:cs="Times New Roman"/>
          <w:color w:val="FF0000"/>
          <w:sz w:val="24"/>
          <w:szCs w:val="24"/>
          <w:u w:val="single"/>
        </w:rPr>
        <w:t xml:space="preserve"> tiene bastante que ver con el “shock chino””</w:t>
      </w:r>
      <w:r w:rsidRPr="00F740C9">
        <w:rPr>
          <w:rFonts w:ascii="Times New Roman" w:hAnsi="Times New Roman" w:cs="Times New Roman"/>
          <w:color w:val="FF0000"/>
          <w:sz w:val="24"/>
          <w:szCs w:val="24"/>
          <w:u w:val="single"/>
        </w:rPr>
        <w:t>, explica Garicano.</w:t>
      </w:r>
    </w:p>
    <w:p w:rsidR="00090AE8" w:rsidRPr="00F740C9" w:rsidRDefault="00090AE8" w:rsidP="00090AE8">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Entre los estudios más relevantes del impacto de la globalización sobre el empleo se encuentran los de David H. Autor, David Dorn y Gordon H. Hanson que han ela</w:t>
      </w:r>
      <w:r>
        <w:rPr>
          <w:rFonts w:ascii="Times New Roman" w:hAnsi="Times New Roman" w:cs="Times New Roman"/>
          <w:color w:val="FF0000"/>
          <w:sz w:val="24"/>
          <w:szCs w:val="24"/>
          <w:u w:val="single"/>
        </w:rPr>
        <w:t>borado en la última década. En “The China Syndrome” detectan que “</w:t>
      </w:r>
      <w:r w:rsidRPr="00F740C9">
        <w:rPr>
          <w:rFonts w:ascii="Times New Roman" w:hAnsi="Times New Roman" w:cs="Times New Roman"/>
          <w:color w:val="FF0000"/>
          <w:sz w:val="24"/>
          <w:szCs w:val="24"/>
          <w:u w:val="single"/>
        </w:rPr>
        <w:t>el aumento de la exposición a China incrementa el desempleo, reduce la tasa de participación en la población activa y reduce los s</w:t>
      </w:r>
      <w:r>
        <w:rPr>
          <w:rFonts w:ascii="Times New Roman" w:hAnsi="Times New Roman" w:cs="Times New Roman"/>
          <w:color w:val="FF0000"/>
          <w:sz w:val="24"/>
          <w:szCs w:val="24"/>
          <w:u w:val="single"/>
        </w:rPr>
        <w:t>alarios en los mercados locales”</w:t>
      </w:r>
      <w:r w:rsidRPr="00F740C9">
        <w:rPr>
          <w:rFonts w:ascii="Times New Roman" w:hAnsi="Times New Roman" w:cs="Times New Roman"/>
          <w:color w:val="FF0000"/>
          <w:sz w:val="24"/>
          <w:szCs w:val="24"/>
          <w:u w:val="single"/>
        </w:rPr>
        <w:t xml:space="preserve">. Desde un punto de vista conservador, estiman que la irrupción de China es la causa del 25% de la caída en el empleo del sector manufacturero estadounidense. Se trata, por tanto, de un efecto significativo para el país. Torres también destaca la cuestión de los salarios como uno de los cambios más relevantes potenciados por </w:t>
      </w:r>
      <w:r>
        <w:rPr>
          <w:rFonts w:ascii="Times New Roman" w:hAnsi="Times New Roman" w:cs="Times New Roman"/>
          <w:color w:val="FF0000"/>
          <w:sz w:val="24"/>
          <w:szCs w:val="24"/>
          <w:u w:val="single"/>
        </w:rPr>
        <w:t>la entrada de China en la OMC. “</w:t>
      </w:r>
      <w:r w:rsidRPr="00F740C9">
        <w:rPr>
          <w:rFonts w:ascii="Times New Roman" w:hAnsi="Times New Roman" w:cs="Times New Roman"/>
          <w:color w:val="FF0000"/>
          <w:sz w:val="24"/>
          <w:szCs w:val="24"/>
          <w:u w:val="single"/>
        </w:rPr>
        <w:t xml:space="preserve">El factor capital ha ganado mucho peso de negociación respecto al factor trabajo, </w:t>
      </w:r>
      <w:r>
        <w:rPr>
          <w:rFonts w:ascii="Times New Roman" w:hAnsi="Times New Roman" w:cs="Times New Roman"/>
          <w:color w:val="FF0000"/>
          <w:sz w:val="24"/>
          <w:szCs w:val="24"/>
          <w:u w:val="single"/>
        </w:rPr>
        <w:t>que tiene mucha menor movilidad”, explica Torres, “</w:t>
      </w:r>
      <w:r w:rsidRPr="00F740C9">
        <w:rPr>
          <w:rFonts w:ascii="Times New Roman" w:hAnsi="Times New Roman" w:cs="Times New Roman"/>
          <w:color w:val="FF0000"/>
          <w:sz w:val="24"/>
          <w:szCs w:val="24"/>
          <w:u w:val="single"/>
        </w:rPr>
        <w:t>lo que unido a la pérdida de relevancia de los sindicatos en los países desarrollados ha terminado por provocar una caída de la particip</w:t>
      </w:r>
      <w:r>
        <w:rPr>
          <w:rFonts w:ascii="Times New Roman" w:hAnsi="Times New Roman" w:cs="Times New Roman"/>
          <w:color w:val="FF0000"/>
          <w:sz w:val="24"/>
          <w:szCs w:val="24"/>
          <w:u w:val="single"/>
        </w:rPr>
        <w:t>ación de los salarios en el PIB”</w:t>
      </w:r>
      <w:r w:rsidRPr="00F740C9">
        <w:rPr>
          <w:rFonts w:ascii="Times New Roman" w:hAnsi="Times New Roman" w:cs="Times New Roman"/>
          <w:color w:val="FF0000"/>
          <w:sz w:val="24"/>
          <w:szCs w:val="24"/>
          <w:u w:val="single"/>
        </w:rPr>
        <w:t>. La destrucción de empleo y la ralentización de la productividad, unidas a la competencia exterior han recortado la capacidad de negociación y presión de los trabajadores en las economías desarrolladas.</w:t>
      </w:r>
    </w:p>
    <w:p w:rsidR="00090AE8" w:rsidRPr="007E007E" w:rsidRDefault="00090AE8" w:rsidP="00090AE8">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t>La gestión occidental</w:t>
      </w:r>
    </w:p>
    <w:p w:rsidR="00090AE8" w:rsidRPr="00F740C9" w:rsidRDefault="00090AE8" w:rsidP="00090AE8">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La evidencia científica pone negro sobre blanco el impacto de la competencia de China sobre el mercado laboral en las economías desarrolladas. Sin embargo, lo que ha hecho el gigante asiático es aprovechar una oportunidad servida en bandeja de plata por los países occidentales, que han sido incapaces de reaccionar al reto planteado por Pekín. Para China, la apuesta por una industria nacional potente no ha sido una cuestión de azar ni de fuerzas del mercado, sino una estrategia política. Por el contrario, en EEUU y Europa, donde</w:t>
      </w:r>
      <w:r>
        <w:rPr>
          <w:rFonts w:ascii="Times New Roman" w:hAnsi="Times New Roman" w:cs="Times New Roman"/>
          <w:color w:val="FF0000"/>
          <w:sz w:val="24"/>
          <w:szCs w:val="24"/>
          <w:u w:val="single"/>
        </w:rPr>
        <w:t xml:space="preserve"> ha imperado la premisa de que “</w:t>
      </w:r>
      <w:r w:rsidRPr="00F740C9">
        <w:rPr>
          <w:rFonts w:ascii="Times New Roman" w:hAnsi="Times New Roman" w:cs="Times New Roman"/>
          <w:color w:val="FF0000"/>
          <w:sz w:val="24"/>
          <w:szCs w:val="24"/>
          <w:u w:val="single"/>
        </w:rPr>
        <w:t>la mejor política</w:t>
      </w:r>
      <w:r>
        <w:rPr>
          <w:rFonts w:ascii="Times New Roman" w:hAnsi="Times New Roman" w:cs="Times New Roman"/>
          <w:color w:val="FF0000"/>
          <w:sz w:val="24"/>
          <w:szCs w:val="24"/>
          <w:u w:val="single"/>
        </w:rPr>
        <w:t xml:space="preserve"> industrial es la que no existe”</w:t>
      </w:r>
      <w:r w:rsidRPr="00F740C9">
        <w:rPr>
          <w:rFonts w:ascii="Times New Roman" w:hAnsi="Times New Roman" w:cs="Times New Roman"/>
          <w:color w:val="FF0000"/>
          <w:sz w:val="24"/>
          <w:szCs w:val="24"/>
          <w:u w:val="single"/>
        </w:rPr>
        <w:t>, han visto cómo su industria desaparecía, bien emigrando o directamente siendo absorbida por empresas asiáticas, sin hacer nada al respecto.</w:t>
      </w:r>
    </w:p>
    <w:p w:rsidR="00090AE8" w:rsidRPr="00F740C9" w:rsidRDefault="00090AE8" w:rsidP="00090AE8">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F740C9">
        <w:rPr>
          <w:rFonts w:ascii="Times New Roman" w:hAnsi="Times New Roman" w:cs="Times New Roman"/>
          <w:color w:val="FF0000"/>
          <w:sz w:val="24"/>
          <w:szCs w:val="24"/>
          <w:u w:val="single"/>
        </w:rPr>
        <w:t>Hemos de</w:t>
      </w:r>
      <w:r>
        <w:rPr>
          <w:rFonts w:ascii="Times New Roman" w:hAnsi="Times New Roman" w:cs="Times New Roman"/>
          <w:color w:val="FF0000"/>
          <w:sz w:val="24"/>
          <w:szCs w:val="24"/>
          <w:u w:val="single"/>
        </w:rPr>
        <w:t>jado que nos ganaran el partido”, lamenta Garicano, “</w:t>
      </w:r>
      <w:r w:rsidRPr="00F740C9">
        <w:rPr>
          <w:rFonts w:ascii="Times New Roman" w:hAnsi="Times New Roman" w:cs="Times New Roman"/>
          <w:color w:val="FF0000"/>
          <w:sz w:val="24"/>
          <w:szCs w:val="24"/>
          <w:u w:val="single"/>
        </w:rPr>
        <w:t>China está jugando a tener dominio político en el mundo a través de la economía, mientras que occidente no está</w:t>
      </w:r>
      <w:r>
        <w:rPr>
          <w:rFonts w:ascii="Times New Roman" w:hAnsi="Times New Roman" w:cs="Times New Roman"/>
          <w:color w:val="FF0000"/>
          <w:sz w:val="24"/>
          <w:szCs w:val="24"/>
          <w:u w:val="single"/>
        </w:rPr>
        <w:t xml:space="preserve"> jugando con el mismo propósito”. “</w:t>
      </w:r>
      <w:r w:rsidRPr="00F740C9">
        <w:rPr>
          <w:rFonts w:ascii="Times New Roman" w:hAnsi="Times New Roman" w:cs="Times New Roman"/>
          <w:color w:val="FF0000"/>
          <w:sz w:val="24"/>
          <w:szCs w:val="24"/>
          <w:u w:val="single"/>
        </w:rPr>
        <w:t>Europa y EEUU han descuidado la política industrial porque se admitió que lo mejor era que el mercado decidiera libremente cuál sería la especialización</w:t>
      </w:r>
      <w:r>
        <w:rPr>
          <w:rFonts w:ascii="Times New Roman" w:hAnsi="Times New Roman" w:cs="Times New Roman"/>
          <w:color w:val="FF0000"/>
          <w:sz w:val="24"/>
          <w:szCs w:val="24"/>
          <w:u w:val="single"/>
        </w:rPr>
        <w:t xml:space="preserve"> de cada país y cada continente”, explica Torres, “</w:t>
      </w:r>
      <w:r w:rsidRPr="00F740C9">
        <w:rPr>
          <w:rFonts w:ascii="Times New Roman" w:hAnsi="Times New Roman" w:cs="Times New Roman"/>
          <w:color w:val="FF0000"/>
          <w:sz w:val="24"/>
          <w:szCs w:val="24"/>
          <w:u w:val="single"/>
        </w:rPr>
        <w:t>pero la realidad es que China ha entrado en la OMC sin aplicar las mismas reglas del juego: con políticas intervencionistas y apu</w:t>
      </w:r>
      <w:r>
        <w:rPr>
          <w:rFonts w:ascii="Times New Roman" w:hAnsi="Times New Roman" w:cs="Times New Roman"/>
          <w:color w:val="FF0000"/>
          <w:sz w:val="24"/>
          <w:szCs w:val="24"/>
          <w:u w:val="single"/>
        </w:rPr>
        <w:t>estas estratégicas por sectores”</w:t>
      </w:r>
      <w:r w:rsidRPr="00F740C9">
        <w:rPr>
          <w:rFonts w:ascii="Times New Roman" w:hAnsi="Times New Roman" w:cs="Times New Roman"/>
          <w:color w:val="FF0000"/>
          <w:sz w:val="24"/>
          <w:szCs w:val="24"/>
          <w:u w:val="single"/>
        </w:rPr>
        <w:t xml:space="preserve">. </w:t>
      </w:r>
    </w:p>
    <w:p w:rsidR="00090AE8" w:rsidRPr="00F740C9" w:rsidRDefault="00090AE8" w:rsidP="00090AE8">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 xml:space="preserve">Con el apoyo del Estado, China ha conseguido elevar su cuota global de exportaciones no solo con productos baratos de bajo valor añadido, sino también con alta tecnología a precios muy competitivos. Y lo mismo está ocurriendo ahora con algunas actividades del sector servicios de alto valor añadido. De hecho, las grandes tecnológicas que compiten con las estadounidenses son chinas, las europeas han quedado relegadas definitivamente. </w:t>
      </w:r>
    </w:p>
    <w:p w:rsidR="00090AE8" w:rsidRPr="00F740C9" w:rsidRDefault="00090AE8" w:rsidP="00090AE8">
      <w:pPr>
        <w:spacing w:line="240" w:lineRule="auto"/>
        <w:jc w:val="both"/>
        <w:rPr>
          <w:rFonts w:ascii="Times New Roman" w:hAnsi="Times New Roman" w:cs="Times New Roman"/>
          <w:sz w:val="24"/>
          <w:szCs w:val="24"/>
          <w:u w:val="single"/>
        </w:rPr>
      </w:pPr>
      <w:r w:rsidRPr="00F740C9">
        <w:rPr>
          <w:rFonts w:ascii="Times New Roman" w:hAnsi="Times New Roman" w:cs="Times New Roman"/>
          <w:color w:val="FF0000"/>
          <w:sz w:val="24"/>
          <w:szCs w:val="24"/>
          <w:u w:val="single"/>
        </w:rPr>
        <w:lastRenderedPageBreak/>
        <w:t>Una de las tendencias políticas, liderada por los populismos, propugna volver a levantar barreras al libre comercio como vía para recuperar la producción local. Sin embargo, esta estrategia no está avalada por los estudios empíricos</w:t>
      </w:r>
      <w:r w:rsidRPr="00F740C9">
        <w:rPr>
          <w:rFonts w:ascii="Times New Roman" w:hAnsi="Times New Roman" w:cs="Times New Roman"/>
          <w:sz w:val="24"/>
          <w:szCs w:val="24"/>
          <w:u w:val="single"/>
        </w:rPr>
        <w:t xml:space="preserve">. Autor, </w:t>
      </w:r>
      <w:r>
        <w:rPr>
          <w:rFonts w:ascii="Times New Roman" w:hAnsi="Times New Roman" w:cs="Times New Roman"/>
          <w:sz w:val="24"/>
          <w:szCs w:val="24"/>
          <w:u w:val="single"/>
        </w:rPr>
        <w:t>Dorn y Hanson advierten de que “</w:t>
      </w:r>
      <w:r w:rsidRPr="00F740C9">
        <w:rPr>
          <w:rFonts w:ascii="Times New Roman" w:hAnsi="Times New Roman" w:cs="Times New Roman"/>
          <w:sz w:val="24"/>
          <w:szCs w:val="24"/>
          <w:u w:val="single"/>
        </w:rPr>
        <w:t xml:space="preserve">no hemos encontrado ningún análisis que justifique </w:t>
      </w:r>
      <w:r w:rsidR="004A36AB" w:rsidRPr="00F740C9">
        <w:rPr>
          <w:rFonts w:ascii="Times New Roman" w:hAnsi="Times New Roman" w:cs="Times New Roman"/>
          <w:sz w:val="24"/>
          <w:szCs w:val="24"/>
          <w:u w:val="single"/>
        </w:rPr>
        <w:t>qué</w:t>
      </w:r>
      <w:r w:rsidRPr="00F740C9">
        <w:rPr>
          <w:rFonts w:ascii="Times New Roman" w:hAnsi="Times New Roman" w:cs="Times New Roman"/>
          <w:sz w:val="24"/>
          <w:szCs w:val="24"/>
          <w:u w:val="single"/>
        </w:rPr>
        <w:t xml:space="preserve"> medidas proteccionistas sirvan para ayudar a trabajadores que se hayan visto afectados en el pasado por la c</w:t>
      </w:r>
      <w:r>
        <w:rPr>
          <w:rFonts w:ascii="Times New Roman" w:hAnsi="Times New Roman" w:cs="Times New Roman"/>
          <w:sz w:val="24"/>
          <w:szCs w:val="24"/>
          <w:u w:val="single"/>
        </w:rPr>
        <w:t>ompetencia de las importaciones”</w:t>
      </w:r>
      <w:r w:rsidRPr="00F740C9">
        <w:rPr>
          <w:rFonts w:ascii="Times New Roman" w:hAnsi="Times New Roman" w:cs="Times New Roman"/>
          <w:sz w:val="24"/>
          <w:szCs w:val="24"/>
          <w:u w:val="single"/>
        </w:rPr>
        <w:t>.</w:t>
      </w:r>
    </w:p>
    <w:p w:rsidR="00090AE8" w:rsidRPr="00F740C9" w:rsidRDefault="00090AE8" w:rsidP="00090AE8">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Una opción es exigir que la producción deslocalizada cumpla con los mismos estándares, o similares, que las empresas locales para evitar la competencia desleal. O, al menos, minimizarla</w:t>
      </w:r>
      <w:r w:rsidRPr="007E007E">
        <w:rPr>
          <w:rFonts w:ascii="Times New Roman" w:hAnsi="Times New Roman" w:cs="Times New Roman"/>
          <w:sz w:val="24"/>
          <w:szCs w:val="24"/>
        </w:rPr>
        <w:t xml:space="preserve">. Por ejemplo, en materia de regulación laboral o de protección medioambiental. </w:t>
      </w:r>
      <w:r w:rsidRPr="00F740C9">
        <w:rPr>
          <w:rFonts w:ascii="Times New Roman" w:hAnsi="Times New Roman" w:cs="Times New Roman"/>
          <w:color w:val="FF0000"/>
          <w:sz w:val="24"/>
          <w:szCs w:val="24"/>
          <w:u w:val="single"/>
        </w:rPr>
        <w:t>Sin embargo, la evidencia apunta a que la mejor vía es la apuesta por impulsar el empleo local con inversión, innovación y formación</w:t>
      </w:r>
      <w:r>
        <w:rPr>
          <w:rFonts w:ascii="Times New Roman" w:hAnsi="Times New Roman" w:cs="Times New Roman"/>
          <w:sz w:val="24"/>
          <w:szCs w:val="24"/>
        </w:rPr>
        <w:t>. “</w:t>
      </w:r>
      <w:r w:rsidRPr="007E007E">
        <w:rPr>
          <w:rFonts w:ascii="Times New Roman" w:hAnsi="Times New Roman" w:cs="Times New Roman"/>
          <w:sz w:val="24"/>
          <w:szCs w:val="24"/>
        </w:rPr>
        <w:t>La literatura reciente sugiere que estimular el empleo en las regiones más afectadas por el desempleo crónico puede ayudar a los trabajadores más afectados por choques ne</w:t>
      </w:r>
      <w:r>
        <w:rPr>
          <w:rFonts w:ascii="Times New Roman" w:hAnsi="Times New Roman" w:cs="Times New Roman"/>
          <w:sz w:val="24"/>
          <w:szCs w:val="24"/>
        </w:rPr>
        <w:t>gativos en la demanda de empleo”</w:t>
      </w:r>
      <w:r w:rsidRPr="007E007E">
        <w:rPr>
          <w:rFonts w:ascii="Times New Roman" w:hAnsi="Times New Roman" w:cs="Times New Roman"/>
          <w:sz w:val="24"/>
          <w:szCs w:val="24"/>
        </w:rPr>
        <w:t xml:space="preserve">, escriben Autor, Dorn y Hanson. </w:t>
      </w:r>
      <w:r w:rsidRPr="00F740C9">
        <w:rPr>
          <w:rFonts w:ascii="Times New Roman" w:hAnsi="Times New Roman" w:cs="Times New Roman"/>
          <w:color w:val="FF0000"/>
          <w:sz w:val="24"/>
          <w:szCs w:val="24"/>
          <w:u w:val="single"/>
        </w:rPr>
        <w:t xml:space="preserve">De hecho, algunos países que han apostado por la industria de alto valor añadido han conseguido resistir la deslocalización y aumentar sus ventas a China, como es el caso de Alemania o Austria. Es posible competir con China, pero es necesario trazar planes estratégicos que vayan más allá de dejar a las empresas que busquen el máximo retorno económico recortando costes. </w:t>
      </w:r>
    </w:p>
    <w:p w:rsidR="00090AE8" w:rsidRDefault="00090AE8" w:rsidP="00090AE8">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w:t>
      </w:r>
      <w:r w:rsidRPr="007E007E">
        <w:rPr>
          <w:rFonts w:ascii="Times New Roman" w:hAnsi="Times New Roman" w:cs="Times New Roman"/>
          <w:sz w:val="24"/>
          <w:szCs w:val="24"/>
        </w:rPr>
        <w:t>España tiene que invertir mucho en capital humano para tener la me</w:t>
      </w:r>
      <w:r>
        <w:rPr>
          <w:rFonts w:ascii="Times New Roman" w:hAnsi="Times New Roman" w:cs="Times New Roman"/>
          <w:sz w:val="24"/>
          <w:szCs w:val="24"/>
        </w:rPr>
        <w:t>jor fuerza laboral en el futuro”, señala Garicano, “</w:t>
      </w:r>
      <w:r w:rsidRPr="007E007E">
        <w:rPr>
          <w:rFonts w:ascii="Times New Roman" w:hAnsi="Times New Roman" w:cs="Times New Roman"/>
          <w:sz w:val="24"/>
          <w:szCs w:val="24"/>
        </w:rPr>
        <w:t>esa es la única vía para aspirar a tener una industria pu</w:t>
      </w:r>
      <w:r>
        <w:rPr>
          <w:rFonts w:ascii="Times New Roman" w:hAnsi="Times New Roman" w:cs="Times New Roman"/>
          <w:sz w:val="24"/>
          <w:szCs w:val="24"/>
        </w:rPr>
        <w:t>ntera e innovadora en el futuro”</w:t>
      </w:r>
      <w:r w:rsidRPr="007E007E">
        <w:rPr>
          <w:rFonts w:ascii="Times New Roman" w:hAnsi="Times New Roman" w:cs="Times New Roman"/>
          <w:sz w:val="24"/>
          <w:szCs w:val="24"/>
        </w:rPr>
        <w:t xml:space="preserve">. </w:t>
      </w:r>
      <w:r w:rsidRPr="00F740C9">
        <w:rPr>
          <w:rFonts w:ascii="Times New Roman" w:hAnsi="Times New Roman" w:cs="Times New Roman"/>
          <w:sz w:val="24"/>
          <w:szCs w:val="24"/>
          <w:u w:val="single"/>
        </w:rPr>
        <w:t>Sin políticas de oferta, levantar barreras comerciales difícilmente podrá estimular el empleo ni la producción. Al contrario, sí generarán presiones inflacionistas que afectarán a la capacidad adquisitiva de los salarios locales, golpeando especialmente a las clases bajas. Los planes de inversión que están poniendo en marcha EEUU y Europa pueden ser una vía para estimular la producción local y, con ella, el empleo. La inversión productiva es clave para contrarrestar el poderío chino, pero también lo serán las reformas y visión estratégica de largo plazo.</w:t>
      </w:r>
    </w:p>
    <w:p w:rsidR="00CE753C" w:rsidRDefault="00CE753C" w:rsidP="00CE753C">
      <w:pPr>
        <w:spacing w:line="240" w:lineRule="auto"/>
        <w:jc w:val="both"/>
        <w:rPr>
          <w:rFonts w:ascii="Times New Roman" w:hAnsi="Times New Roman" w:cs="Times New Roman"/>
          <w:b/>
          <w:sz w:val="24"/>
          <w:szCs w:val="24"/>
        </w:rPr>
      </w:pPr>
      <w:r w:rsidRPr="00DE6121">
        <w:rPr>
          <w:rFonts w:ascii="Times New Roman" w:hAnsi="Times New Roman" w:cs="Times New Roman"/>
          <w:b/>
          <w:sz w:val="24"/>
          <w:szCs w:val="24"/>
        </w:rPr>
        <w:t>Los países no tienen “amigos”</w:t>
      </w:r>
      <w:r>
        <w:rPr>
          <w:rFonts w:ascii="Times New Roman" w:hAnsi="Times New Roman" w:cs="Times New Roman"/>
          <w:b/>
          <w:sz w:val="24"/>
          <w:szCs w:val="24"/>
        </w:rPr>
        <w:t>, sino</w:t>
      </w:r>
      <w:r w:rsidRPr="00DE6121">
        <w:rPr>
          <w:rFonts w:ascii="Times New Roman" w:hAnsi="Times New Roman" w:cs="Times New Roman"/>
          <w:b/>
          <w:sz w:val="24"/>
          <w:szCs w:val="24"/>
        </w:rPr>
        <w:t xml:space="preserve"> “intereses” (sic transit gloria mundi)</w:t>
      </w:r>
    </w:p>
    <w:p w:rsidR="00CE753C" w:rsidRDefault="00CE753C" w:rsidP="00CE753C">
      <w:pPr>
        <w:spacing w:line="240" w:lineRule="auto"/>
        <w:jc w:val="both"/>
        <w:rPr>
          <w:rFonts w:ascii="Times New Roman" w:hAnsi="Times New Roman" w:cs="Times New Roman"/>
          <w:b/>
          <w:sz w:val="24"/>
          <w:szCs w:val="24"/>
        </w:rPr>
      </w:pPr>
      <w:r w:rsidRPr="00531B68">
        <w:rPr>
          <w:rFonts w:ascii="Times New Roman" w:hAnsi="Times New Roman" w:cs="Times New Roman"/>
          <w:noProof/>
          <w:sz w:val="24"/>
          <w:szCs w:val="24"/>
          <w:lang w:val="en-GB" w:eastAsia="zh-CN"/>
        </w:rPr>
        <w:drawing>
          <wp:inline distT="0" distB="0" distL="0" distR="0">
            <wp:extent cx="2953162" cy="1276528"/>
            <wp:effectExtent l="0" t="0" r="0"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2953162" cy="1276528"/>
                    </a:xfrm>
                    <a:prstGeom prst="rect">
                      <a:avLst/>
                    </a:prstGeom>
                  </pic:spPr>
                </pic:pic>
              </a:graphicData>
            </a:graphic>
          </wp:inline>
        </w:drawing>
      </w:r>
    </w:p>
    <w:p w:rsidR="00CE753C" w:rsidRPr="009274F9" w:rsidRDefault="00CE753C" w:rsidP="00CE753C">
      <w:pPr>
        <w:spacing w:line="240" w:lineRule="auto"/>
        <w:jc w:val="both"/>
        <w:rPr>
          <w:rFonts w:ascii="Times New Roman" w:hAnsi="Times New Roman" w:cs="Times New Roman"/>
          <w:b/>
          <w:sz w:val="24"/>
          <w:szCs w:val="24"/>
        </w:rPr>
      </w:pPr>
      <w:r w:rsidRPr="009274F9">
        <w:rPr>
          <w:rFonts w:ascii="Times New Roman" w:hAnsi="Times New Roman" w:cs="Times New Roman"/>
          <w:b/>
          <w:sz w:val="24"/>
          <w:szCs w:val="24"/>
        </w:rPr>
        <w:t>Frases sobre la UE</w:t>
      </w:r>
      <w:r w:rsidR="009274F9">
        <w:rPr>
          <w:rFonts w:ascii="Times New Roman" w:hAnsi="Times New Roman" w:cs="Times New Roman"/>
          <w:b/>
          <w:sz w:val="24"/>
          <w:szCs w:val="24"/>
        </w:rPr>
        <w:t>, dichas por Donald Trump (cuando erapresidente de los EEUU</w:t>
      </w:r>
      <w:r w:rsidRPr="009274F9">
        <w:rPr>
          <w:rFonts w:ascii="Times New Roman" w:hAnsi="Times New Roman" w:cs="Times New Roman"/>
          <w:b/>
          <w:sz w:val="24"/>
          <w:szCs w:val="24"/>
        </w:rPr>
        <w:t>)</w:t>
      </w:r>
    </w:p>
    <w:p w:rsidR="00CE753C" w:rsidRDefault="00CE753C" w:rsidP="00CE753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56890">
        <w:rPr>
          <w:rFonts w:ascii="Times New Roman" w:hAnsi="Times New Roman" w:cs="Times New Roman"/>
          <w:sz w:val="24"/>
          <w:szCs w:val="24"/>
        </w:rPr>
        <w:t>Ya no somete</w:t>
      </w:r>
      <w:r>
        <w:rPr>
          <w:rFonts w:ascii="Times New Roman" w:hAnsi="Times New Roman" w:cs="Times New Roman"/>
          <w:sz w:val="24"/>
          <w:szCs w:val="24"/>
        </w:rPr>
        <w:t>remos a este país o a su pueblo”</w:t>
      </w:r>
      <w:r w:rsidRPr="00E56890">
        <w:rPr>
          <w:rFonts w:ascii="Times New Roman" w:hAnsi="Times New Roman" w:cs="Times New Roman"/>
          <w:sz w:val="24"/>
          <w:szCs w:val="24"/>
        </w:rPr>
        <w:t>, declaró en su discurso sobre política exterior, “al falso canto de la globalización”.</w:t>
      </w:r>
    </w:p>
    <w:p w:rsidR="00CE753C" w:rsidRDefault="00CE753C" w:rsidP="00CE753C">
      <w:pPr>
        <w:spacing w:line="240" w:lineRule="auto"/>
        <w:jc w:val="both"/>
        <w:rPr>
          <w:rFonts w:ascii="Times New Roman" w:hAnsi="Times New Roman" w:cs="Times New Roman"/>
          <w:sz w:val="24"/>
          <w:szCs w:val="24"/>
        </w:rPr>
      </w:pPr>
      <w:r w:rsidRPr="001434C3">
        <w:rPr>
          <w:rFonts w:ascii="Times New Roman" w:hAnsi="Times New Roman" w:cs="Times New Roman"/>
          <w:sz w:val="24"/>
          <w:szCs w:val="24"/>
        </w:rPr>
        <w:t>Considero que la UE es un enemigo especialmente en el comercio. Rusia es un enemigo en ciertos aspectos y China es un enemigo económico. Pero esto no quiere decir qu</w:t>
      </w:r>
      <w:r>
        <w:rPr>
          <w:rFonts w:ascii="Times New Roman" w:hAnsi="Times New Roman" w:cs="Times New Roman"/>
          <w:sz w:val="24"/>
          <w:szCs w:val="24"/>
        </w:rPr>
        <w:t>e sean malos, sino competitivos</w:t>
      </w:r>
      <w:r w:rsidRPr="001434C3">
        <w:rPr>
          <w:rFonts w:ascii="Times New Roman" w:hAnsi="Times New Roman" w:cs="Times New Roman"/>
          <w:sz w:val="24"/>
          <w:szCs w:val="24"/>
        </w:rPr>
        <w:t xml:space="preserve">, </w:t>
      </w:r>
      <w:r>
        <w:rPr>
          <w:rFonts w:ascii="Times New Roman" w:hAnsi="Times New Roman" w:cs="Times New Roman"/>
          <w:sz w:val="24"/>
          <w:szCs w:val="24"/>
        </w:rPr>
        <w:t>ha afirmado el presidente de EE</w:t>
      </w:r>
      <w:r w:rsidRPr="001434C3">
        <w:rPr>
          <w:rFonts w:ascii="Times New Roman" w:hAnsi="Times New Roman" w:cs="Times New Roman"/>
          <w:sz w:val="24"/>
          <w:szCs w:val="24"/>
        </w:rPr>
        <w:t>UU.</w:t>
      </w:r>
    </w:p>
    <w:p w:rsidR="00CE753C" w:rsidRDefault="00CE753C" w:rsidP="00CE753C">
      <w:pPr>
        <w:spacing w:line="240" w:lineRule="auto"/>
        <w:jc w:val="both"/>
        <w:rPr>
          <w:rFonts w:ascii="Times New Roman" w:hAnsi="Times New Roman" w:cs="Times New Roman"/>
          <w:sz w:val="24"/>
          <w:szCs w:val="24"/>
        </w:rPr>
      </w:pPr>
      <w:r w:rsidRPr="001434C3">
        <w:rPr>
          <w:rFonts w:ascii="Times New Roman" w:hAnsi="Times New Roman" w:cs="Times New Roman"/>
          <w:sz w:val="24"/>
          <w:szCs w:val="24"/>
        </w:rPr>
        <w:t>El presidente Donald Trump ha cargado contra la Unión Europea (UE) y advirtió</w:t>
      </w:r>
      <w:r>
        <w:rPr>
          <w:rFonts w:ascii="Times New Roman" w:hAnsi="Times New Roman" w:cs="Times New Roman"/>
          <w:sz w:val="24"/>
          <w:szCs w:val="24"/>
        </w:rPr>
        <w:t xml:space="preserve"> que “se preparen para los aranceles”</w:t>
      </w:r>
      <w:r w:rsidRPr="001434C3">
        <w:rPr>
          <w:rFonts w:ascii="Times New Roman" w:hAnsi="Times New Roman" w:cs="Times New Roman"/>
          <w:sz w:val="24"/>
          <w:szCs w:val="24"/>
        </w:rPr>
        <w:t>, a la vez que amenazó con imponer gravámenes a constructores de automóviles euro</w:t>
      </w:r>
      <w:r>
        <w:rPr>
          <w:rFonts w:ascii="Times New Roman" w:hAnsi="Times New Roman" w:cs="Times New Roman"/>
          <w:sz w:val="24"/>
          <w:szCs w:val="24"/>
        </w:rPr>
        <w:t>peos como Mercedes-Benz y BMW. “</w:t>
      </w:r>
      <w:r w:rsidRPr="001434C3">
        <w:rPr>
          <w:rFonts w:ascii="Times New Roman" w:hAnsi="Times New Roman" w:cs="Times New Roman"/>
          <w:sz w:val="24"/>
          <w:szCs w:val="24"/>
        </w:rPr>
        <w:t>La Unión Europea, mara</w:t>
      </w:r>
      <w:r>
        <w:rPr>
          <w:rFonts w:ascii="Times New Roman" w:hAnsi="Times New Roman" w:cs="Times New Roman"/>
          <w:sz w:val="24"/>
          <w:szCs w:val="24"/>
        </w:rPr>
        <w:t xml:space="preserve">villosos </w:t>
      </w:r>
      <w:r>
        <w:rPr>
          <w:rFonts w:ascii="Times New Roman" w:hAnsi="Times New Roman" w:cs="Times New Roman"/>
          <w:sz w:val="24"/>
          <w:szCs w:val="24"/>
        </w:rPr>
        <w:lastRenderedPageBreak/>
        <w:t>países que tratan a EEUU</w:t>
      </w:r>
      <w:r w:rsidRPr="001434C3">
        <w:rPr>
          <w:rFonts w:ascii="Times New Roman" w:hAnsi="Times New Roman" w:cs="Times New Roman"/>
          <w:sz w:val="24"/>
          <w:szCs w:val="24"/>
        </w:rPr>
        <w:t xml:space="preserve"> muy mal en comercio, se están quejando de los aranceles al acero y aluminio. Si eliminan sus barreras y aranceles horribles a los productos de EEUU, nosotros haremos lo </w:t>
      </w:r>
      <w:r>
        <w:rPr>
          <w:rFonts w:ascii="Times New Roman" w:hAnsi="Times New Roman" w:cs="Times New Roman"/>
          <w:sz w:val="24"/>
          <w:szCs w:val="24"/>
        </w:rPr>
        <w:t>mismo y quitaremos las nuestras”</w:t>
      </w:r>
      <w:r w:rsidRPr="001434C3">
        <w:rPr>
          <w:rFonts w:ascii="Times New Roman" w:hAnsi="Times New Roman" w:cs="Times New Roman"/>
          <w:sz w:val="24"/>
          <w:szCs w:val="24"/>
        </w:rPr>
        <w:t>, dijo Trump en su cuenta de Twitter.</w:t>
      </w:r>
    </w:p>
    <w:p w:rsidR="00CE753C" w:rsidRPr="00725393" w:rsidRDefault="00CE753C" w:rsidP="00CE753C">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(el “brexit”</w:t>
      </w:r>
      <w:r w:rsidRPr="00725393">
        <w:rPr>
          <w:rFonts w:ascii="Times New Roman" w:hAnsi="Times New Roman" w:cs="Times New Roman"/>
          <w:sz w:val="24"/>
          <w:szCs w:val="24"/>
        </w:rPr>
        <w:t xml:space="preserve">) es algo muy bueno; algo realmente fantástico. Los británicos han </w:t>
      </w:r>
      <w:r>
        <w:rPr>
          <w:rFonts w:ascii="Times New Roman" w:hAnsi="Times New Roman" w:cs="Times New Roman"/>
          <w:sz w:val="24"/>
          <w:szCs w:val="24"/>
        </w:rPr>
        <w:t>recuperado el control de su país.</w:t>
      </w:r>
    </w:p>
    <w:p w:rsidR="00CE753C" w:rsidRPr="00725393" w:rsidRDefault="00CE753C" w:rsidP="00CE753C">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La Unión Europea es básica</w:t>
      </w:r>
      <w:r>
        <w:rPr>
          <w:rFonts w:ascii="Times New Roman" w:hAnsi="Times New Roman" w:cs="Times New Roman"/>
          <w:sz w:val="24"/>
          <w:szCs w:val="24"/>
        </w:rPr>
        <w:t>mente un vehículo para Alemania.</w:t>
      </w:r>
    </w:p>
    <w:p w:rsidR="00CE753C" w:rsidRDefault="00CE753C" w:rsidP="00CE753C">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Nuestro país necesita fronteras sólidas. Miren lo que está sucediendo en toda Europa y, ciertamente, en el mundo</w:t>
      </w:r>
      <w:r>
        <w:rPr>
          <w:rFonts w:ascii="Times New Roman" w:hAnsi="Times New Roman" w:cs="Times New Roman"/>
          <w:sz w:val="24"/>
          <w:szCs w:val="24"/>
        </w:rPr>
        <w:t>. ¡Un lío terrible!</w:t>
      </w:r>
    </w:p>
    <w:p w:rsidR="00CE753C" w:rsidRDefault="00CE753C" w:rsidP="00CE753C">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Francia produce un excelente vino, pero también lo hace Estados Unidos. El problema es que Francia dificulta que Estados Unidos venda sus vinos en Francia y cobra grandes aranceles, mientras que EEUU facilita (la llegada) de los vinos frances</w:t>
      </w:r>
      <w:r>
        <w:rPr>
          <w:rFonts w:ascii="Times New Roman" w:hAnsi="Times New Roman" w:cs="Times New Roman"/>
          <w:sz w:val="24"/>
          <w:szCs w:val="24"/>
        </w:rPr>
        <w:t>es y cobra tarifas muy pequeñas</w:t>
      </w:r>
      <w:r w:rsidRPr="00835F9A">
        <w:rPr>
          <w:rFonts w:ascii="Times New Roman" w:hAnsi="Times New Roman" w:cs="Times New Roman"/>
          <w:sz w:val="24"/>
          <w:szCs w:val="24"/>
        </w:rPr>
        <w:t>.</w:t>
      </w:r>
    </w:p>
    <w:p w:rsidR="00CE753C" w:rsidRPr="00835F9A" w:rsidRDefault="00CE753C" w:rsidP="00CE753C">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Trump creó una gran polémica diplomática luego de atacar a May y dejarla en una posición muy delicada. En una entrevista con The Sun, criticó cómo está gestionando el Brexit -la salida de Reino Unido de la Unión Europea- y alabó a un posible competidor de ella, Boris Johnson, quien aca</w:t>
      </w:r>
      <w:r>
        <w:rPr>
          <w:rFonts w:ascii="Times New Roman" w:hAnsi="Times New Roman" w:cs="Times New Roman"/>
          <w:sz w:val="24"/>
          <w:szCs w:val="24"/>
        </w:rPr>
        <w:t>ba de dimitir como canciller.</w:t>
      </w:r>
    </w:p>
    <w:p w:rsidR="00CE753C" w:rsidRDefault="00CE753C" w:rsidP="00CE753C">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 xml:space="preserve">Le dije a ella (May) cómo hacerlo. Será como ella quiera. Pero le dije cómo hacerlo. </w:t>
      </w:r>
      <w:r>
        <w:rPr>
          <w:rFonts w:ascii="Times New Roman" w:hAnsi="Times New Roman" w:cs="Times New Roman"/>
          <w:sz w:val="24"/>
          <w:szCs w:val="24"/>
        </w:rPr>
        <w:t xml:space="preserve">Ella quiso ir por otro camino… </w:t>
      </w:r>
      <w:r w:rsidRPr="00835F9A">
        <w:rPr>
          <w:rFonts w:ascii="Times New Roman" w:hAnsi="Times New Roman" w:cs="Times New Roman"/>
          <w:sz w:val="24"/>
          <w:szCs w:val="24"/>
        </w:rPr>
        <w:t>Simplemente estoy diciendo que él (Boris Johns</w:t>
      </w:r>
      <w:r>
        <w:rPr>
          <w:rFonts w:ascii="Times New Roman" w:hAnsi="Times New Roman" w:cs="Times New Roman"/>
          <w:sz w:val="24"/>
          <w:szCs w:val="24"/>
        </w:rPr>
        <w:t>on) podría ser un gran ministro.</w:t>
      </w:r>
    </w:p>
    <w:p w:rsidR="00CE753C" w:rsidRPr="00835F9A" w:rsidRDefault="00CE753C" w:rsidP="00CE753C">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Tras estas palabras, Trump decidió marcha atrás, negó haber criticado a May y arremetió contra el diario. Además, durante una rueda de</w:t>
      </w:r>
      <w:r>
        <w:rPr>
          <w:rFonts w:ascii="Times New Roman" w:hAnsi="Times New Roman" w:cs="Times New Roman"/>
          <w:sz w:val="24"/>
          <w:szCs w:val="24"/>
        </w:rPr>
        <w:t xml:space="preserve"> prensa, en la que calificó de “noticias falsas” a la cadena CNN, alabó a May.</w:t>
      </w:r>
    </w:p>
    <w:p w:rsidR="00CE753C" w:rsidRPr="00835F9A" w:rsidRDefault="00CE753C" w:rsidP="00CE753C">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Afortunadamente, solemos grabar las entrevistas ahora, por lo que, para su alegría, la tenemos, si la quieren. Pero lo hacemos cuando es</w:t>
      </w:r>
      <w:r>
        <w:rPr>
          <w:rFonts w:ascii="Times New Roman" w:hAnsi="Times New Roman" w:cs="Times New Roman"/>
          <w:sz w:val="24"/>
          <w:szCs w:val="24"/>
        </w:rPr>
        <w:t>tamos con reporteros. Se llama “noticias falsas”.</w:t>
      </w:r>
    </w:p>
    <w:p w:rsidR="00CE753C" w:rsidRPr="00835F9A" w:rsidRDefault="00CE753C" w:rsidP="00CE753C">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 xml:space="preserve">Creo que es una mujer excelente. Creo que está haciendo un trabajo excelente. El </w:t>
      </w:r>
      <w:r>
        <w:rPr>
          <w:rFonts w:ascii="Times New Roman" w:hAnsi="Times New Roman" w:cs="Times New Roman"/>
          <w:sz w:val="24"/>
          <w:szCs w:val="24"/>
        </w:rPr>
        <w:t>“brexit”</w:t>
      </w:r>
      <w:r w:rsidRPr="00835F9A">
        <w:rPr>
          <w:rFonts w:ascii="Times New Roman" w:hAnsi="Times New Roman" w:cs="Times New Roman"/>
          <w:sz w:val="24"/>
          <w:szCs w:val="24"/>
        </w:rPr>
        <w:t xml:space="preserve"> es una situación difícil, es un pacto difícil</w:t>
      </w:r>
      <w:r>
        <w:rPr>
          <w:rFonts w:ascii="Times New Roman" w:hAnsi="Times New Roman" w:cs="Times New Roman"/>
          <w:sz w:val="24"/>
          <w:szCs w:val="24"/>
        </w:rPr>
        <w:t>.</w:t>
      </w:r>
    </w:p>
    <w:p w:rsidR="00CE753C" w:rsidRPr="00835F9A" w:rsidRDefault="00CE753C" w:rsidP="00CE753C">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N</w:t>
      </w:r>
      <w:r>
        <w:rPr>
          <w:rFonts w:ascii="Times New Roman" w:hAnsi="Times New Roman" w:cs="Times New Roman"/>
          <w:sz w:val="24"/>
          <w:szCs w:val="24"/>
        </w:rPr>
        <w:t>o acepto preguntas de CNN. Son “noticias falsas”.</w:t>
      </w:r>
    </w:p>
    <w:p w:rsidR="00CE753C" w:rsidRPr="00835F9A" w:rsidRDefault="00CE753C" w:rsidP="00CE753C">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Ataque a los inmigrantes. Trump utilizó el tema migratorio para lanzar un mensaje de miedo en Europa y decir que puede tener un efecto negativo. Además, se jactó de que ese tema fue gran parte de su éxito electoral.</w:t>
      </w:r>
    </w:p>
    <w:p w:rsidR="00CE753C" w:rsidRPr="00835F9A" w:rsidRDefault="00CE753C" w:rsidP="00CE753C">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Yo creo que (la inmigración) está cambiando la cultura. Creo que es muy negativo para E</w:t>
      </w:r>
      <w:r>
        <w:rPr>
          <w:rFonts w:ascii="Times New Roman" w:hAnsi="Times New Roman" w:cs="Times New Roman"/>
          <w:sz w:val="24"/>
          <w:szCs w:val="24"/>
        </w:rPr>
        <w:t>uropa. Creo que es muy negativo</w:t>
      </w:r>
      <w:r w:rsidRPr="00835F9A">
        <w:rPr>
          <w:rFonts w:ascii="Times New Roman" w:hAnsi="Times New Roman" w:cs="Times New Roman"/>
          <w:sz w:val="24"/>
          <w:szCs w:val="24"/>
        </w:rPr>
        <w:t>.</w:t>
      </w:r>
    </w:p>
    <w:p w:rsidR="00CE753C" w:rsidRPr="00835F9A" w:rsidRDefault="00CE753C" w:rsidP="00CE753C">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La inmigración es uno de mis puntos fuertes (…) probablemente, al menos parcialmente, gané la</w:t>
      </w:r>
      <w:r>
        <w:rPr>
          <w:rFonts w:ascii="Times New Roman" w:hAnsi="Times New Roman" w:cs="Times New Roman"/>
          <w:sz w:val="24"/>
          <w:szCs w:val="24"/>
        </w:rPr>
        <w:t>s elecciones por la inmigración.</w:t>
      </w:r>
    </w:p>
    <w:p w:rsidR="00CE753C" w:rsidRPr="00835F9A" w:rsidRDefault="00CE753C" w:rsidP="00CE753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Putin, no un enemigo. </w:t>
      </w:r>
      <w:r w:rsidRPr="00835F9A">
        <w:rPr>
          <w:rFonts w:ascii="Times New Roman" w:hAnsi="Times New Roman" w:cs="Times New Roman"/>
          <w:sz w:val="24"/>
          <w:szCs w:val="24"/>
        </w:rPr>
        <w:t>En Europa ha negado que sean enemigos y no dejó claro si será fuerte al preguntarle sobre la intromisión de Moscú en</w:t>
      </w:r>
      <w:r>
        <w:rPr>
          <w:rFonts w:ascii="Times New Roman" w:hAnsi="Times New Roman" w:cs="Times New Roman"/>
          <w:sz w:val="24"/>
          <w:szCs w:val="24"/>
        </w:rPr>
        <w:t xml:space="preserve"> las elecciones presidenciales.</w:t>
      </w:r>
    </w:p>
    <w:p w:rsidR="00CE753C" w:rsidRPr="00835F9A" w:rsidRDefault="00CE753C" w:rsidP="00CE753C">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Espero que nos llevemos bien, creo que nos llevaremos bien, pero en última instancia es un competidor, representa a Rusia, yo represento a EEUU. En ese sentido, somos competidores (...) Espero q</w:t>
      </w:r>
      <w:r>
        <w:rPr>
          <w:rFonts w:ascii="Times New Roman" w:hAnsi="Times New Roman" w:cs="Times New Roman"/>
          <w:sz w:val="24"/>
          <w:szCs w:val="24"/>
        </w:rPr>
        <w:t>ue algún día podamos ser amigos.</w:t>
      </w:r>
    </w:p>
    <w:p w:rsidR="00CE753C" w:rsidRPr="00835F9A" w:rsidRDefault="00CE753C" w:rsidP="00CE753C">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lastRenderedPageBreak/>
        <w:t>Va a ser muy interesante escuchar lo que tenga que decir (Vladimir Putin). Puede que lo niegue (la interferencia en las elecciones de EEU</w:t>
      </w:r>
      <w:r>
        <w:rPr>
          <w:rFonts w:ascii="Times New Roman" w:hAnsi="Times New Roman" w:cs="Times New Roman"/>
          <w:sz w:val="24"/>
          <w:szCs w:val="24"/>
        </w:rPr>
        <w:t>U). Todo lo que puedo decir es “¿lo hiciste?” y “no lo hagas otra vez”, pero puede que lo niegue.</w:t>
      </w:r>
    </w:p>
    <w:p w:rsidR="00CE753C" w:rsidRDefault="00CE753C" w:rsidP="00CE753C">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Alemania está totalmente controlada por Rusia, porque recibe entre el 60 y el 70% de su energía de Rusia en el nuevo gasoducto</w:t>
      </w:r>
      <w:r>
        <w:rPr>
          <w:rFonts w:ascii="Times New Roman" w:hAnsi="Times New Roman" w:cs="Times New Roman"/>
          <w:sz w:val="24"/>
          <w:szCs w:val="24"/>
        </w:rPr>
        <w:t>…</w:t>
      </w:r>
    </w:p>
    <w:p w:rsidR="00CE753C" w:rsidRDefault="00CE753C" w:rsidP="00CE753C">
      <w:pPr>
        <w:spacing w:line="240" w:lineRule="auto"/>
        <w:jc w:val="both"/>
        <w:rPr>
          <w:rFonts w:ascii="Times New Roman" w:hAnsi="Times New Roman" w:cs="Times New Roman"/>
          <w:sz w:val="24"/>
          <w:szCs w:val="24"/>
        </w:rPr>
      </w:pPr>
      <w:r>
        <w:rPr>
          <w:rFonts w:ascii="Times New Roman" w:hAnsi="Times New Roman" w:cs="Times New Roman"/>
          <w:sz w:val="24"/>
          <w:szCs w:val="24"/>
        </w:rPr>
        <w:t>A esta lista de improperios (deposiciones) evacuados por POTUS</w:t>
      </w:r>
      <w:r w:rsidRPr="00654442">
        <w:rPr>
          <w:rFonts w:ascii="Times New Roman" w:hAnsi="Times New Roman" w:cs="Times New Roman"/>
          <w:sz w:val="24"/>
          <w:szCs w:val="24"/>
        </w:rPr>
        <w:t>,</w:t>
      </w:r>
      <w:r>
        <w:rPr>
          <w:rFonts w:ascii="Times New Roman" w:hAnsi="Times New Roman" w:cs="Times New Roman"/>
          <w:sz w:val="24"/>
          <w:szCs w:val="24"/>
        </w:rPr>
        <w:t xml:space="preserve"> recuperada “al hilo del vivir”,</w:t>
      </w:r>
      <w:r w:rsidRPr="00654442">
        <w:rPr>
          <w:rFonts w:ascii="Times New Roman" w:hAnsi="Times New Roman" w:cs="Times New Roman"/>
          <w:sz w:val="24"/>
          <w:szCs w:val="24"/>
        </w:rPr>
        <w:t xml:space="preserve"> cada analista o simple observador pod</w:t>
      </w:r>
      <w:r>
        <w:rPr>
          <w:rFonts w:ascii="Times New Roman" w:hAnsi="Times New Roman" w:cs="Times New Roman"/>
          <w:sz w:val="24"/>
          <w:szCs w:val="24"/>
        </w:rPr>
        <w:t xml:space="preserve">ría seguir vertiendo innumerables tuits,entre </w:t>
      </w:r>
      <w:r w:rsidRPr="00654442">
        <w:rPr>
          <w:rFonts w:ascii="Times New Roman" w:hAnsi="Times New Roman" w:cs="Times New Roman"/>
          <w:sz w:val="24"/>
          <w:szCs w:val="24"/>
        </w:rPr>
        <w:t>conjeturas</w:t>
      </w:r>
      <w:r>
        <w:rPr>
          <w:rFonts w:ascii="Times New Roman" w:hAnsi="Times New Roman" w:cs="Times New Roman"/>
          <w:sz w:val="24"/>
          <w:szCs w:val="24"/>
        </w:rPr>
        <w:t>,</w:t>
      </w:r>
      <w:r w:rsidRPr="00654442">
        <w:rPr>
          <w:rFonts w:ascii="Times New Roman" w:hAnsi="Times New Roman" w:cs="Times New Roman"/>
          <w:sz w:val="24"/>
          <w:szCs w:val="24"/>
        </w:rPr>
        <w:t xml:space="preserve"> y lamentos, h</w:t>
      </w:r>
      <w:r>
        <w:rPr>
          <w:rFonts w:ascii="Times New Roman" w:hAnsi="Times New Roman" w:cs="Times New Roman"/>
          <w:sz w:val="24"/>
          <w:szCs w:val="24"/>
        </w:rPr>
        <w:t>asta desbordar la hemeroteca, la resignación o la tolerancia</w:t>
      </w:r>
      <w:r w:rsidRPr="00654442">
        <w:rPr>
          <w:rFonts w:ascii="Times New Roman" w:hAnsi="Times New Roman" w:cs="Times New Roman"/>
          <w:sz w:val="24"/>
          <w:szCs w:val="24"/>
        </w:rPr>
        <w:t xml:space="preserve">. Pero estamos donde estamos; </w:t>
      </w:r>
      <w:r>
        <w:rPr>
          <w:rFonts w:ascii="Times New Roman" w:hAnsi="Times New Roman" w:cs="Times New Roman"/>
          <w:sz w:val="24"/>
          <w:szCs w:val="24"/>
        </w:rPr>
        <w:t xml:space="preserve">los europeos </w:t>
      </w:r>
      <w:r w:rsidRPr="00654442">
        <w:rPr>
          <w:rFonts w:ascii="Times New Roman" w:hAnsi="Times New Roman" w:cs="Times New Roman"/>
          <w:sz w:val="24"/>
          <w:szCs w:val="24"/>
        </w:rPr>
        <w:t>hemos vivido las inquietantes, repudiables, deleznables escenas que hemos vi</w:t>
      </w:r>
      <w:r>
        <w:rPr>
          <w:rFonts w:ascii="Times New Roman" w:hAnsi="Times New Roman" w:cs="Times New Roman"/>
          <w:sz w:val="24"/>
          <w:szCs w:val="24"/>
        </w:rPr>
        <w:t>vido en la relación reciente con los EEUU</w:t>
      </w:r>
      <w:r w:rsidRPr="00654442">
        <w:rPr>
          <w:rFonts w:ascii="Times New Roman" w:hAnsi="Times New Roman" w:cs="Times New Roman"/>
          <w:sz w:val="24"/>
          <w:szCs w:val="24"/>
        </w:rPr>
        <w:t>; y ahora no queda más rem</w:t>
      </w:r>
      <w:r>
        <w:rPr>
          <w:rFonts w:ascii="Times New Roman" w:hAnsi="Times New Roman" w:cs="Times New Roman"/>
          <w:sz w:val="24"/>
          <w:szCs w:val="24"/>
        </w:rPr>
        <w:t>edio que “arar con estos bueyes” (en el literal sentido).Entonces… ¿q</w:t>
      </w:r>
      <w:r w:rsidRPr="00654442">
        <w:rPr>
          <w:rFonts w:ascii="Times New Roman" w:hAnsi="Times New Roman" w:cs="Times New Roman"/>
          <w:sz w:val="24"/>
          <w:szCs w:val="24"/>
        </w:rPr>
        <w:t>ué hacer?</w:t>
      </w:r>
    </w:p>
    <w:p w:rsidR="00CE753C" w:rsidRDefault="00CE753C" w:rsidP="00CE753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Aunque parezca que Donald Trump representa la “nueva normalidad” (y a pesar que hay muchos aspirantes a imitar sus “anormalidades”), no es más que un accidente en la historia de los EEUU. Así y todo, muchos hoy se </w:t>
      </w:r>
      <w:r w:rsidRPr="000A1197">
        <w:rPr>
          <w:rFonts w:ascii="Times New Roman" w:hAnsi="Times New Roman" w:cs="Times New Roman"/>
          <w:sz w:val="24"/>
          <w:szCs w:val="24"/>
        </w:rPr>
        <w:t>preguntan ¿cuánto tiempo puede durar esta tendencia?</w:t>
      </w:r>
    </w:p>
    <w:p w:rsidR="00CE753C" w:rsidRDefault="00CE753C" w:rsidP="00CE753C">
      <w:pPr>
        <w:spacing w:line="240" w:lineRule="auto"/>
        <w:jc w:val="both"/>
        <w:rPr>
          <w:rFonts w:ascii="Times New Roman" w:hAnsi="Times New Roman" w:cs="Times New Roman"/>
          <w:sz w:val="24"/>
          <w:szCs w:val="24"/>
        </w:rPr>
      </w:pPr>
      <w:r>
        <w:rPr>
          <w:rFonts w:ascii="Times New Roman" w:hAnsi="Times New Roman" w:cs="Times New Roman"/>
          <w:sz w:val="24"/>
          <w:szCs w:val="24"/>
        </w:rPr>
        <w:t>No tengo respuesta (lamentablemente). Pero sí creo que, cualquiera sea la duración de la tendencia, para r</w:t>
      </w:r>
      <w:r w:rsidRPr="000A1197">
        <w:rPr>
          <w:rFonts w:ascii="Times New Roman" w:hAnsi="Times New Roman" w:cs="Times New Roman"/>
          <w:sz w:val="24"/>
          <w:szCs w:val="24"/>
        </w:rPr>
        <w:t>esolver el dilema</w:t>
      </w:r>
      <w:r>
        <w:rPr>
          <w:rFonts w:ascii="Times New Roman" w:hAnsi="Times New Roman" w:cs="Times New Roman"/>
          <w:sz w:val="24"/>
          <w:szCs w:val="24"/>
        </w:rPr>
        <w:t xml:space="preserve"> comercial la Unión Europea deberá realizar</w:t>
      </w:r>
      <w:r w:rsidRPr="000A1197">
        <w:rPr>
          <w:rFonts w:ascii="Times New Roman" w:hAnsi="Times New Roman" w:cs="Times New Roman"/>
          <w:sz w:val="24"/>
          <w:szCs w:val="24"/>
        </w:rPr>
        <w:t xml:space="preserve"> un cambio fundamental en el diseño y la implementación de la política económica. </w:t>
      </w:r>
      <w:r>
        <w:rPr>
          <w:rFonts w:ascii="Times New Roman" w:hAnsi="Times New Roman" w:cs="Times New Roman"/>
          <w:sz w:val="24"/>
          <w:szCs w:val="24"/>
        </w:rPr>
        <w:t>Se necesitará</w:t>
      </w:r>
      <w:r w:rsidRPr="000A1197">
        <w:rPr>
          <w:rFonts w:ascii="Times New Roman" w:hAnsi="Times New Roman" w:cs="Times New Roman"/>
          <w:sz w:val="24"/>
          <w:szCs w:val="24"/>
        </w:rPr>
        <w:t xml:space="preserve"> una</w:t>
      </w:r>
      <w:r>
        <w:rPr>
          <w:rFonts w:ascii="Times New Roman" w:hAnsi="Times New Roman" w:cs="Times New Roman"/>
          <w:sz w:val="24"/>
          <w:szCs w:val="24"/>
        </w:rPr>
        <w:t xml:space="preserve"> mayor</w:t>
      </w:r>
      <w:r w:rsidRPr="000A1197">
        <w:rPr>
          <w:rFonts w:ascii="Times New Roman" w:hAnsi="Times New Roman" w:cs="Times New Roman"/>
          <w:sz w:val="24"/>
          <w:szCs w:val="24"/>
        </w:rPr>
        <w:t xml:space="preserve"> coordi</w:t>
      </w:r>
      <w:r>
        <w:rPr>
          <w:rFonts w:ascii="Times New Roman" w:hAnsi="Times New Roman" w:cs="Times New Roman"/>
          <w:sz w:val="24"/>
          <w:szCs w:val="24"/>
        </w:rPr>
        <w:t>nación de políticas a nivel nacional y un frente más firme a nivel</w:t>
      </w:r>
      <w:r w:rsidRPr="000A1197">
        <w:rPr>
          <w:rFonts w:ascii="Times New Roman" w:hAnsi="Times New Roman" w:cs="Times New Roman"/>
          <w:sz w:val="24"/>
          <w:szCs w:val="24"/>
        </w:rPr>
        <w:t xml:space="preserve"> internacional.</w:t>
      </w:r>
    </w:p>
    <w:p w:rsidR="00CE753C" w:rsidRPr="000A1197" w:rsidRDefault="00CE753C" w:rsidP="00CE753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w:t>
      </w:r>
      <w:r w:rsidRPr="00E5437B">
        <w:rPr>
          <w:rFonts w:ascii="Times New Roman" w:hAnsi="Times New Roman" w:cs="Times New Roman"/>
          <w:sz w:val="24"/>
          <w:szCs w:val="24"/>
        </w:rPr>
        <w:t>guerrero</w:t>
      </w:r>
      <w:r>
        <w:rPr>
          <w:rFonts w:ascii="Times New Roman" w:hAnsi="Times New Roman" w:cs="Times New Roman"/>
          <w:sz w:val="24"/>
          <w:szCs w:val="24"/>
        </w:rPr>
        <w:t>s</w:t>
      </w:r>
      <w:r w:rsidRPr="00E5437B">
        <w:rPr>
          <w:rFonts w:ascii="Times New Roman" w:hAnsi="Times New Roman" w:cs="Times New Roman"/>
          <w:sz w:val="24"/>
          <w:szCs w:val="24"/>
        </w:rPr>
        <w:t xml:space="preserve"> de sillón, como el </w:t>
      </w:r>
      <w:r>
        <w:rPr>
          <w:rFonts w:ascii="Times New Roman" w:hAnsi="Times New Roman" w:cs="Times New Roman"/>
          <w:sz w:val="24"/>
          <w:szCs w:val="24"/>
        </w:rPr>
        <w:t xml:space="preserve">presidente </w:t>
      </w:r>
      <w:r w:rsidRPr="00E5437B">
        <w:rPr>
          <w:rFonts w:ascii="Times New Roman" w:hAnsi="Times New Roman" w:cs="Times New Roman"/>
          <w:sz w:val="24"/>
          <w:szCs w:val="24"/>
        </w:rPr>
        <w:t>Trump</w:t>
      </w:r>
      <w:r>
        <w:rPr>
          <w:rFonts w:ascii="Times New Roman" w:hAnsi="Times New Roman" w:cs="Times New Roman"/>
          <w:sz w:val="24"/>
          <w:szCs w:val="24"/>
        </w:rPr>
        <w:t>, solo entienden el idioma de los hechos. Estos personajes, desequilibrados emocionalmente, necesitan crear</w:t>
      </w:r>
      <w:r w:rsidRPr="00E5437B">
        <w:rPr>
          <w:rFonts w:ascii="Times New Roman" w:hAnsi="Times New Roman" w:cs="Times New Roman"/>
          <w:sz w:val="24"/>
          <w:szCs w:val="24"/>
        </w:rPr>
        <w:t xml:space="preserve"> enemigo</w:t>
      </w:r>
      <w:r>
        <w:rPr>
          <w:rFonts w:ascii="Times New Roman" w:hAnsi="Times New Roman" w:cs="Times New Roman"/>
          <w:sz w:val="24"/>
          <w:szCs w:val="24"/>
        </w:rPr>
        <w:t>s</w:t>
      </w:r>
      <w:r w:rsidRPr="00E5437B">
        <w:rPr>
          <w:rFonts w:ascii="Times New Roman" w:hAnsi="Times New Roman" w:cs="Times New Roman"/>
          <w:sz w:val="24"/>
          <w:szCs w:val="24"/>
        </w:rPr>
        <w:t>, en forma deliberada e imprudente, como resultado exclusivamente de desaciertos propios.</w:t>
      </w:r>
      <w:r>
        <w:rPr>
          <w:rFonts w:ascii="Times New Roman" w:hAnsi="Times New Roman" w:cs="Times New Roman"/>
          <w:sz w:val="24"/>
          <w:szCs w:val="24"/>
        </w:rPr>
        <w:t xml:space="preserve"> A un individuo que c</w:t>
      </w:r>
      <w:r w:rsidRPr="007F49C3">
        <w:rPr>
          <w:rFonts w:ascii="Times New Roman" w:hAnsi="Times New Roman" w:cs="Times New Roman"/>
          <w:sz w:val="24"/>
          <w:szCs w:val="24"/>
        </w:rPr>
        <w:t>ree que puede cometer impunemente</w:t>
      </w:r>
      <w:r>
        <w:rPr>
          <w:rFonts w:ascii="Times New Roman" w:hAnsi="Times New Roman" w:cs="Times New Roman"/>
          <w:sz w:val="24"/>
          <w:szCs w:val="24"/>
        </w:rPr>
        <w:t xml:space="preserve"> cualquier estropicio (hasta el</w:t>
      </w:r>
      <w:r w:rsidRPr="007F49C3">
        <w:rPr>
          <w:rFonts w:ascii="Times New Roman" w:hAnsi="Times New Roman" w:cs="Times New Roman"/>
          <w:sz w:val="24"/>
          <w:szCs w:val="24"/>
        </w:rPr>
        <w:t xml:space="preserve"> asesinato</w:t>
      </w:r>
      <w:r>
        <w:rPr>
          <w:rFonts w:ascii="Times New Roman" w:hAnsi="Times New Roman" w:cs="Times New Roman"/>
          <w:sz w:val="24"/>
          <w:szCs w:val="24"/>
        </w:rPr>
        <w:t xml:space="preserve">)a cualquiera (país o persona) y en todo momento (sin ley, ni orden), solo se le puede responder de la misma manera. Primero hacerse temer, y luego hacerse respetar.   </w:t>
      </w:r>
    </w:p>
    <w:p w:rsidR="00792471" w:rsidRPr="00ED3287" w:rsidRDefault="00792471" w:rsidP="00792471">
      <w:pPr>
        <w:spacing w:line="240" w:lineRule="auto"/>
        <w:jc w:val="both"/>
        <w:rPr>
          <w:rFonts w:ascii="Times New Roman" w:hAnsi="Times New Roman" w:cs="Times New Roman"/>
          <w:b/>
          <w:sz w:val="24"/>
          <w:szCs w:val="24"/>
        </w:rPr>
      </w:pPr>
      <w:r w:rsidRPr="00ED3287">
        <w:rPr>
          <w:rFonts w:ascii="Times New Roman" w:hAnsi="Times New Roman" w:cs="Times New Roman"/>
          <w:b/>
          <w:sz w:val="24"/>
          <w:szCs w:val="24"/>
        </w:rPr>
        <w:t>China, ¿competidor o socio comercial?</w:t>
      </w:r>
    </w:p>
    <w:p w:rsidR="00792471" w:rsidRPr="009274F9" w:rsidRDefault="00792471" w:rsidP="00792471">
      <w:pPr>
        <w:spacing w:line="240" w:lineRule="auto"/>
        <w:jc w:val="both"/>
        <w:rPr>
          <w:rFonts w:ascii="Times New Roman" w:hAnsi="Times New Roman" w:cs="Times New Roman"/>
          <w:sz w:val="24"/>
          <w:szCs w:val="24"/>
        </w:rPr>
      </w:pPr>
      <w:r w:rsidRPr="009274F9">
        <w:rPr>
          <w:rFonts w:ascii="Times New Roman" w:hAnsi="Times New Roman" w:cs="Times New Roman"/>
          <w:sz w:val="24"/>
          <w:szCs w:val="24"/>
        </w:rPr>
        <w:t>Hasta 2016, los países europeos recibían con los brazos abiertos la inversión china: pasó de 20.000 millones a 36.000 millones de euros en apenas un año. Sin embargo, aquel año, los líderes en Berlín, Bruselas y otras capitales europeas se empezaron a preocupar por la influencia china en su propio jardín, sobre todo en los países pequeños. De momento, eso sí, la respuesta ha sido más política que real.</w:t>
      </w:r>
    </w:p>
    <w:p w:rsidR="00792471" w:rsidRPr="009274F9" w:rsidRDefault="00792471" w:rsidP="00792471">
      <w:pPr>
        <w:spacing w:line="240" w:lineRule="auto"/>
        <w:jc w:val="both"/>
        <w:rPr>
          <w:rFonts w:ascii="Times New Roman" w:hAnsi="Times New Roman" w:cs="Times New Roman"/>
          <w:sz w:val="24"/>
          <w:szCs w:val="24"/>
        </w:rPr>
      </w:pPr>
      <w:r w:rsidRPr="009274F9">
        <w:rPr>
          <w:rFonts w:ascii="Times New Roman" w:hAnsi="Times New Roman" w:cs="Times New Roman"/>
          <w:sz w:val="24"/>
          <w:szCs w:val="24"/>
        </w:rPr>
        <w:t>En marzo de 2019, la Comisión Europea llamó a China “competidor económico” y “rival sistémico que promueve modelos alternativos de gobernanza”. Detrás de este cambio de lenguaje se encuentra una nueva forma de ver al dragón asiático. Esta percepción del país comunista vino dada por, entre otras cosas, la ambición china de sumar a distintos países europeos (de la Unión Europea y no) a su iniciativa Belt and Road, el programa de infraestructuras masivas con financiación china para impulsar la conexión con el resto del mundo.</w:t>
      </w:r>
    </w:p>
    <w:p w:rsidR="00792471" w:rsidRPr="009274F9" w:rsidRDefault="00792471" w:rsidP="00792471">
      <w:pPr>
        <w:spacing w:line="240" w:lineRule="auto"/>
        <w:jc w:val="both"/>
        <w:rPr>
          <w:rFonts w:ascii="Times New Roman" w:hAnsi="Times New Roman" w:cs="Times New Roman"/>
          <w:sz w:val="24"/>
          <w:szCs w:val="24"/>
        </w:rPr>
      </w:pPr>
      <w:r w:rsidRPr="009274F9">
        <w:rPr>
          <w:rFonts w:ascii="Times New Roman" w:hAnsi="Times New Roman" w:cs="Times New Roman"/>
          <w:sz w:val="24"/>
          <w:szCs w:val="24"/>
        </w:rPr>
        <w:t xml:space="preserve">17+1 es el nombre informal que ha dado China a su plataforma para discutir la ruta de la seda con sus socios europeos. Como explicaba un editorial del “Financial Times”, el nombre “captura el balance muy bien: 17 países europeos pequeños reunidos alrededor de un gigante”. </w:t>
      </w:r>
    </w:p>
    <w:p w:rsidR="00792471" w:rsidRPr="009274F9" w:rsidRDefault="00792471" w:rsidP="00792471">
      <w:pPr>
        <w:spacing w:line="240" w:lineRule="auto"/>
        <w:jc w:val="both"/>
        <w:rPr>
          <w:rFonts w:ascii="Times New Roman" w:hAnsi="Times New Roman" w:cs="Times New Roman"/>
          <w:sz w:val="24"/>
          <w:szCs w:val="24"/>
        </w:rPr>
      </w:pPr>
      <w:r w:rsidRPr="009274F9">
        <w:rPr>
          <w:rFonts w:ascii="Times New Roman" w:hAnsi="Times New Roman" w:cs="Times New Roman"/>
          <w:sz w:val="24"/>
          <w:szCs w:val="24"/>
        </w:rPr>
        <w:lastRenderedPageBreak/>
        <w:t xml:space="preserve">Bruselas hace bien en preocuparse porque China esté buscando el “divide y vencerás”, socavando la política europea conjunta. Y lo mejor que puede hacer para evitarlo es “no dividirse” y “no dejarse vencer”… </w:t>
      </w:r>
    </w:p>
    <w:p w:rsidR="009274F9" w:rsidRDefault="00792471" w:rsidP="00792471">
      <w:pPr>
        <w:spacing w:line="240" w:lineRule="auto"/>
        <w:jc w:val="both"/>
        <w:rPr>
          <w:rFonts w:ascii="Times New Roman" w:hAnsi="Times New Roman" w:cs="Times New Roman"/>
          <w:sz w:val="24"/>
          <w:szCs w:val="24"/>
        </w:rPr>
      </w:pPr>
      <w:r w:rsidRPr="009274F9">
        <w:rPr>
          <w:rFonts w:ascii="Times New Roman" w:hAnsi="Times New Roman" w:cs="Times New Roman"/>
          <w:sz w:val="24"/>
          <w:szCs w:val="24"/>
        </w:rPr>
        <w:t>Y para eso, no hay que esperar el milagro de los peces y los panes, ni recurrir a la contabilidad creativa, intentando financiar los proyectos sin dinero nuevo, o con el helicóptero de Draghi (ahora, Lagarde) alentando aventuras especulativas con dinero falso (sin respaldo). Proyectos comunes y dinero propio. Así se podrá competir, en mejores condiciones, con China y USA. Así se podrán hacer negocios, sin servidumbre.</w:t>
      </w:r>
    </w:p>
    <w:p w:rsidR="009274F9" w:rsidRPr="00364F0A" w:rsidRDefault="00CE753C" w:rsidP="00CE753C">
      <w:pPr>
        <w:spacing w:line="240" w:lineRule="auto"/>
        <w:jc w:val="both"/>
        <w:rPr>
          <w:rFonts w:ascii="Times New Roman" w:hAnsi="Times New Roman" w:cs="Times New Roman"/>
          <w:sz w:val="24"/>
          <w:szCs w:val="24"/>
        </w:rPr>
      </w:pPr>
      <w:r w:rsidRPr="009274F9">
        <w:rPr>
          <w:rFonts w:ascii="Times New Roman" w:hAnsi="Times New Roman" w:cs="Times New Roman"/>
          <w:b/>
          <w:sz w:val="24"/>
          <w:szCs w:val="24"/>
        </w:rPr>
        <w:t>Tiempo de balance; momento de propuestas</w:t>
      </w:r>
    </w:p>
    <w:p w:rsidR="00CE753C" w:rsidRPr="00364F0A" w:rsidRDefault="00CE753C" w:rsidP="00CE753C">
      <w:pPr>
        <w:spacing w:line="240" w:lineRule="auto"/>
        <w:jc w:val="both"/>
        <w:rPr>
          <w:rFonts w:ascii="Times New Roman" w:hAnsi="Times New Roman" w:cs="Times New Roman"/>
          <w:b/>
          <w:sz w:val="24"/>
          <w:szCs w:val="24"/>
          <w:u w:val="single"/>
        </w:rPr>
      </w:pPr>
      <w:r w:rsidRPr="00364F0A">
        <w:rPr>
          <w:rFonts w:ascii="Times New Roman" w:hAnsi="Times New Roman" w:cs="Times New Roman"/>
          <w:b/>
          <w:sz w:val="24"/>
          <w:szCs w:val="24"/>
        </w:rPr>
        <w:t xml:space="preserve">¿Estamos mal pero vamos mejor? ¿la historia se repite? ¿volveremos a tropezar con las mismas piedras? </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¿El siglo XXI esta cuajado de ilusiones o nos envuelven inquietudes que las dominan?</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Atrapados entre “mitos económicos oficiales” tal vez sea conveniente desmitificar antes que ignorar o falsear.</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La intolerancia de la “razón de mercado” lleva a preguntarnos cómo puede amenazar ese tipo de “fundamentalismo” a la sociedad abierta.</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El triunfo de los “mercaderes” nos pone en un permanente estado de melancolía, por el orden social perdido.</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¿Los lideres “light” conseguirán que Europa se “levante y ande” o la “guerra comercial” consolidara la des-Unión Europea?</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¿Es el presente el único futuro? ¿Podremos volver a esperar la prosperidad general o deberemos resignarnos a la continua decadencia?</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Las “taras económicas” sujetas por las “cadenas de papel” niegan la influencia de las instituciones en la riqueza y el poderío de una nación.</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¿Por qué Europa quiere copiar el “sueño americano” y su aparente fracaso?</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Limitados a aplicar el “manual” de hipocresía económica el conformismo niega la memoria. La resignación lleva al detritus económico.</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Los “cínicos” modelos económicos de “gente teórica” inducen a la “triste situación en Europa”, antesala de la necesaria declaración de independencia económica.</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Desear, proponer, pedir que Europa vuelva a confiar en su propia experiencia, vuelva a confiar en su historia, no significa buscar otras formas de totalitarismo o el retorno a la servidumbre.</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El impersonal y anónimo mercado, no educa, no cura, y no da de comer.</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El impersonal y anónimo mercado pone al hombre -en soledad y angustia- ante la fuerza del destino -que hoy se le presenta hostil- y la incertidumbre de un futuro que lo condena.</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¿Es esto lo único que podemos ofrecer a los jóvenes europeos de cara al siglo XXI?</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lastRenderedPageBreak/>
        <w:t>Para esa carga no hacían falta semejantes alforjas.</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La Europa del siglo XXI no puede significar para los jóvenes únicamente el mercado, la tarjeta de crédito, el consumismo, la especulación, la corrupción, el tráfico de influencias, la televisión, el futbol, la droga y el alcohol.</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No podemos ofrecerles una Europa de “avestruces” y “agujeros”.</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¿Es posible que Europa no quiera “asumirse”?.</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 xml:space="preserve">El claudicar europeo, su resignación a ser “solo” mercado anula las posibilidades de crecer (como Estados Unidos) y neutraliza las posibilidades de competir (como Estados Unidos, China o Japón). </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Ni corredores de fondo, ni velocistas... solo avestruces y agujeros.</w:t>
      </w:r>
    </w:p>
    <w:p w:rsidR="00CE753C" w:rsidRPr="00364F0A" w:rsidRDefault="00CE753C" w:rsidP="00CE753C">
      <w:pPr>
        <w:spacing w:line="240" w:lineRule="auto"/>
        <w:jc w:val="both"/>
        <w:rPr>
          <w:rFonts w:ascii="Times New Roman" w:hAnsi="Times New Roman" w:cs="Times New Roman"/>
          <w:b/>
          <w:sz w:val="24"/>
          <w:szCs w:val="24"/>
        </w:rPr>
      </w:pPr>
      <w:r w:rsidRPr="00364F0A">
        <w:rPr>
          <w:rFonts w:ascii="Times New Roman" w:hAnsi="Times New Roman" w:cs="Times New Roman"/>
          <w:b/>
          <w:sz w:val="24"/>
          <w:szCs w:val="24"/>
        </w:rPr>
        <w:t>¿Habrá llegado el momento de pasar de la “subvención” a la “subversión”?.</w:t>
      </w:r>
    </w:p>
    <w:p w:rsidR="00425A89" w:rsidRDefault="000E7DA6" w:rsidP="001C678E">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¿Qué “carajo” se le ha perdido a la UE para tener</w:t>
      </w:r>
      <w:r w:rsidR="000C7117">
        <w:rPr>
          <w:rFonts w:ascii="Times New Roman" w:eastAsia="Times New Roman" w:hAnsi="Times New Roman" w:cs="Times New Roman"/>
          <w:b/>
          <w:sz w:val="24"/>
          <w:szCs w:val="24"/>
          <w:lang w:eastAsia="es-ES"/>
        </w:rPr>
        <w:t xml:space="preserve"> que</w:t>
      </w:r>
      <w:r>
        <w:rPr>
          <w:rFonts w:ascii="Times New Roman" w:eastAsia="Times New Roman" w:hAnsi="Times New Roman" w:cs="Times New Roman"/>
          <w:b/>
          <w:sz w:val="24"/>
          <w:szCs w:val="24"/>
          <w:lang w:eastAsia="es-ES"/>
        </w:rPr>
        <w:t xml:space="preserve"> mendigar ante China o EEUU?</w:t>
      </w:r>
    </w:p>
    <w:p w:rsidR="000E7DA6" w:rsidRDefault="000E7DA6" w:rsidP="000E7DA6">
      <w:pPr>
        <w:jc w:val="both"/>
        <w:rPr>
          <w:rFonts w:ascii="Times New Roman" w:hAnsi="Times New Roman" w:cs="Times New Roman"/>
          <w:sz w:val="24"/>
          <w:szCs w:val="24"/>
        </w:rPr>
      </w:pPr>
      <w:r w:rsidRPr="000E7DA6">
        <w:rPr>
          <w:rFonts w:ascii="Times New Roman" w:hAnsi="Times New Roman" w:cs="Times New Roman"/>
          <w:sz w:val="24"/>
          <w:szCs w:val="24"/>
        </w:rPr>
        <w:t>En el</w:t>
      </w:r>
      <w:r w:rsidRPr="00574218">
        <w:rPr>
          <w:rFonts w:ascii="Times New Roman" w:hAnsi="Times New Roman" w:cs="Times New Roman"/>
          <w:b/>
          <w:sz w:val="24"/>
          <w:szCs w:val="24"/>
        </w:rPr>
        <w:t>Anexo</w:t>
      </w:r>
      <w:r>
        <w:rPr>
          <w:rFonts w:ascii="Times New Roman" w:hAnsi="Times New Roman" w:cs="Times New Roman"/>
          <w:b/>
          <w:sz w:val="24"/>
          <w:szCs w:val="24"/>
        </w:rPr>
        <w:t xml:space="preserve"> I: E</w:t>
      </w:r>
      <w:r w:rsidRPr="00574218">
        <w:rPr>
          <w:rFonts w:ascii="Times New Roman" w:hAnsi="Times New Roman" w:cs="Times New Roman"/>
          <w:b/>
          <w:sz w:val="24"/>
          <w:szCs w:val="24"/>
        </w:rPr>
        <w:t>stadística</w:t>
      </w:r>
      <w:r>
        <w:rPr>
          <w:rFonts w:ascii="Times New Roman" w:hAnsi="Times New Roman" w:cs="Times New Roman"/>
          <w:b/>
          <w:sz w:val="24"/>
          <w:szCs w:val="24"/>
        </w:rPr>
        <w:t>s sobre comercio exterior de</w:t>
      </w:r>
      <w:r w:rsidRPr="00574218">
        <w:rPr>
          <w:rFonts w:ascii="Times New Roman" w:hAnsi="Times New Roman" w:cs="Times New Roman"/>
          <w:b/>
          <w:sz w:val="24"/>
          <w:szCs w:val="24"/>
        </w:rPr>
        <w:t xml:space="preserve"> Organismos I</w:t>
      </w:r>
      <w:r>
        <w:rPr>
          <w:rFonts w:ascii="Times New Roman" w:hAnsi="Times New Roman" w:cs="Times New Roman"/>
          <w:b/>
          <w:sz w:val="24"/>
          <w:szCs w:val="24"/>
        </w:rPr>
        <w:t>nternacionales, del Paper “La Unión Europea tendrá que elegir entre China y EEUU</w:t>
      </w:r>
      <w:r w:rsidRPr="000E7DA6">
        <w:rPr>
          <w:rFonts w:ascii="Times New Roman" w:hAnsi="Times New Roman" w:cs="Times New Roman"/>
          <w:b/>
          <w:sz w:val="24"/>
          <w:szCs w:val="24"/>
        </w:rPr>
        <w:t>”</w:t>
      </w:r>
      <w:r w:rsidRPr="000E7DA6">
        <w:rPr>
          <w:rFonts w:ascii="Times New Roman" w:hAnsi="Times New Roman" w:cs="Times New Roman"/>
          <w:sz w:val="24"/>
          <w:szCs w:val="24"/>
        </w:rPr>
        <w:t xml:space="preserve">, publicado el </w:t>
      </w:r>
      <w:r w:rsidRPr="000E7DA6">
        <w:rPr>
          <w:rFonts w:ascii="Times New Roman" w:hAnsi="Times New Roman" w:cs="Times New Roman"/>
          <w:b/>
          <w:sz w:val="24"/>
          <w:szCs w:val="24"/>
        </w:rPr>
        <w:t>15/10/20</w:t>
      </w:r>
      <w:r>
        <w:rPr>
          <w:rFonts w:ascii="Times New Roman" w:hAnsi="Times New Roman" w:cs="Times New Roman"/>
          <w:sz w:val="24"/>
          <w:szCs w:val="24"/>
        </w:rPr>
        <w:t>, se presentaron</w:t>
      </w:r>
      <w:r w:rsidR="00364F0A">
        <w:rPr>
          <w:rFonts w:ascii="Times New Roman" w:hAnsi="Times New Roman" w:cs="Times New Roman"/>
          <w:sz w:val="24"/>
          <w:szCs w:val="24"/>
        </w:rPr>
        <w:t xml:space="preserve"> (entre otros)</w:t>
      </w:r>
      <w:r>
        <w:rPr>
          <w:rFonts w:ascii="Times New Roman" w:hAnsi="Times New Roman" w:cs="Times New Roman"/>
          <w:sz w:val="24"/>
          <w:szCs w:val="24"/>
        </w:rPr>
        <w:t xml:space="preserve"> los siguientes datos sobre Comercio Exterior: </w:t>
      </w:r>
    </w:p>
    <w:p w:rsidR="00364F0A" w:rsidRPr="00DC1EE5" w:rsidRDefault="00364F0A" w:rsidP="00364F0A">
      <w:pPr>
        <w:rPr>
          <w:rFonts w:ascii="Times New Roman" w:hAnsi="Times New Roman" w:cs="Times New Roman"/>
          <w:b/>
          <w:sz w:val="24"/>
          <w:szCs w:val="24"/>
          <w:lang w:val="en-US"/>
        </w:rPr>
      </w:pPr>
      <w:r w:rsidRPr="00A9487F">
        <w:rPr>
          <w:rFonts w:ascii="Times New Roman" w:hAnsi="Times New Roman" w:cs="Times New Roman"/>
          <w:b/>
          <w:sz w:val="24"/>
          <w:szCs w:val="24"/>
          <w:lang w:val="en-US"/>
        </w:rPr>
        <w:t xml:space="preserve">- International Trade by Commodities Statistics - OECD - 2019  </w:t>
      </w:r>
    </w:p>
    <w:p w:rsidR="00364F0A" w:rsidRDefault="00364F0A" w:rsidP="00364F0A">
      <w:pPr>
        <w:jc w:val="both"/>
        <w:rPr>
          <w:rFonts w:ascii="Times New Roman" w:hAnsi="Times New Roman" w:cs="Times New Roman"/>
          <w:b/>
          <w:sz w:val="24"/>
          <w:szCs w:val="24"/>
          <w:lang w:val="en-US"/>
        </w:rPr>
      </w:pPr>
      <w:r w:rsidRPr="00A9487F">
        <w:rPr>
          <w:rFonts w:ascii="Times New Roman" w:hAnsi="Times New Roman" w:cs="Times New Roman"/>
          <w:b/>
          <w:noProof/>
          <w:sz w:val="24"/>
          <w:szCs w:val="24"/>
          <w:lang w:val="en-GB" w:eastAsia="zh-CN"/>
        </w:rPr>
        <w:drawing>
          <wp:inline distT="0" distB="0" distL="0" distR="0">
            <wp:extent cx="5731510" cy="1311022"/>
            <wp:effectExtent l="0" t="0" r="2540" b="381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5731510" cy="1311022"/>
                    </a:xfrm>
                    <a:prstGeom prst="rect">
                      <a:avLst/>
                    </a:prstGeom>
                  </pic:spPr>
                </pic:pic>
              </a:graphicData>
            </a:graphic>
          </wp:inline>
        </w:drawing>
      </w:r>
    </w:p>
    <w:p w:rsidR="00364F0A" w:rsidRDefault="00364F0A" w:rsidP="00364F0A">
      <w:pPr>
        <w:jc w:val="both"/>
        <w:rPr>
          <w:rFonts w:ascii="Times New Roman" w:hAnsi="Times New Roman" w:cs="Times New Roman"/>
          <w:b/>
          <w:sz w:val="24"/>
          <w:szCs w:val="24"/>
          <w:lang w:val="en-US"/>
        </w:rPr>
      </w:pPr>
      <w:r w:rsidRPr="00A9487F">
        <w:rPr>
          <w:rFonts w:ascii="Times New Roman" w:hAnsi="Times New Roman" w:cs="Times New Roman"/>
          <w:b/>
          <w:noProof/>
          <w:sz w:val="24"/>
          <w:szCs w:val="24"/>
          <w:lang w:val="en-GB" w:eastAsia="zh-CN"/>
        </w:rPr>
        <w:drawing>
          <wp:inline distT="0" distB="0" distL="0" distR="0">
            <wp:extent cx="5734050" cy="171450"/>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836624" cy="174517"/>
                    </a:xfrm>
                    <a:prstGeom prst="rect">
                      <a:avLst/>
                    </a:prstGeom>
                  </pic:spPr>
                </pic:pic>
              </a:graphicData>
            </a:graphic>
          </wp:inline>
        </w:drawing>
      </w:r>
      <w:r w:rsidRPr="00A9487F">
        <w:rPr>
          <w:noProof/>
          <w:lang w:val="en-GB" w:eastAsia="zh-CN"/>
        </w:rPr>
        <w:drawing>
          <wp:inline distT="0" distB="0" distL="0" distR="0">
            <wp:extent cx="5731510" cy="106547"/>
            <wp:effectExtent l="0" t="0" r="0" b="8255"/>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731510" cy="106547"/>
                    </a:xfrm>
                    <a:prstGeom prst="rect">
                      <a:avLst/>
                    </a:prstGeom>
                  </pic:spPr>
                </pic:pic>
              </a:graphicData>
            </a:graphic>
          </wp:inline>
        </w:drawing>
      </w:r>
    </w:p>
    <w:p w:rsidR="00364F0A" w:rsidRDefault="00364F0A" w:rsidP="00364F0A">
      <w:pPr>
        <w:jc w:val="both"/>
        <w:rPr>
          <w:rFonts w:ascii="Times New Roman" w:hAnsi="Times New Roman" w:cs="Times New Roman"/>
          <w:b/>
          <w:sz w:val="24"/>
          <w:szCs w:val="24"/>
          <w:lang w:val="en-US"/>
        </w:rPr>
      </w:pPr>
      <w:r w:rsidRPr="000555D8">
        <w:rPr>
          <w:rFonts w:ascii="Times New Roman" w:hAnsi="Times New Roman" w:cs="Times New Roman"/>
          <w:b/>
          <w:noProof/>
          <w:sz w:val="24"/>
          <w:szCs w:val="24"/>
          <w:lang w:val="en-GB" w:eastAsia="zh-CN"/>
        </w:rPr>
        <w:drawing>
          <wp:inline distT="0" distB="0" distL="0" distR="0">
            <wp:extent cx="5731510" cy="1200188"/>
            <wp:effectExtent l="0" t="0" r="254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731510" cy="1200188"/>
                    </a:xfrm>
                    <a:prstGeom prst="rect">
                      <a:avLst/>
                    </a:prstGeom>
                  </pic:spPr>
                </pic:pic>
              </a:graphicData>
            </a:graphic>
          </wp:inline>
        </w:drawing>
      </w:r>
    </w:p>
    <w:p w:rsidR="00364F0A" w:rsidRDefault="00364F0A" w:rsidP="00364F0A">
      <w:pPr>
        <w:jc w:val="both"/>
        <w:rPr>
          <w:rFonts w:ascii="Times New Roman" w:hAnsi="Times New Roman" w:cs="Times New Roman"/>
          <w:b/>
          <w:sz w:val="24"/>
          <w:szCs w:val="24"/>
          <w:lang w:val="en-US"/>
        </w:rPr>
      </w:pPr>
      <w:r w:rsidRPr="000555D8">
        <w:rPr>
          <w:rFonts w:ascii="Times New Roman" w:hAnsi="Times New Roman" w:cs="Times New Roman"/>
          <w:b/>
          <w:noProof/>
          <w:sz w:val="24"/>
          <w:szCs w:val="24"/>
          <w:lang w:val="en-GB" w:eastAsia="zh-CN"/>
        </w:rPr>
        <w:drawing>
          <wp:inline distT="0" distB="0" distL="0" distR="0">
            <wp:extent cx="5731510" cy="154922"/>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731510" cy="154922"/>
                    </a:xfrm>
                    <a:prstGeom prst="rect">
                      <a:avLst/>
                    </a:prstGeom>
                  </pic:spPr>
                </pic:pic>
              </a:graphicData>
            </a:graphic>
          </wp:inline>
        </w:drawing>
      </w:r>
    </w:p>
    <w:p w:rsidR="00364F0A" w:rsidRDefault="00364F0A" w:rsidP="00364F0A">
      <w:pPr>
        <w:jc w:val="both"/>
        <w:rPr>
          <w:rFonts w:ascii="Times New Roman" w:hAnsi="Times New Roman" w:cs="Times New Roman"/>
          <w:b/>
          <w:sz w:val="24"/>
          <w:szCs w:val="24"/>
          <w:lang w:val="en-US"/>
        </w:rPr>
      </w:pPr>
      <w:r w:rsidRPr="000555D8">
        <w:rPr>
          <w:rFonts w:ascii="Times New Roman" w:hAnsi="Times New Roman" w:cs="Times New Roman"/>
          <w:b/>
          <w:noProof/>
          <w:sz w:val="24"/>
          <w:szCs w:val="24"/>
          <w:lang w:val="en-GB" w:eastAsia="zh-CN"/>
        </w:rPr>
        <w:drawing>
          <wp:inline distT="0" distB="0" distL="0" distR="0">
            <wp:extent cx="5731510" cy="74706"/>
            <wp:effectExtent l="0" t="0" r="0" b="1905"/>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731510" cy="74706"/>
                    </a:xfrm>
                    <a:prstGeom prst="rect">
                      <a:avLst/>
                    </a:prstGeom>
                  </pic:spPr>
                </pic:pic>
              </a:graphicData>
            </a:graphic>
          </wp:inline>
        </w:drawing>
      </w:r>
    </w:p>
    <w:p w:rsidR="00364F0A" w:rsidRDefault="00364F0A" w:rsidP="00364F0A">
      <w:pPr>
        <w:jc w:val="both"/>
        <w:rPr>
          <w:rFonts w:ascii="Times New Roman" w:hAnsi="Times New Roman" w:cs="Times New Roman"/>
          <w:b/>
          <w:sz w:val="24"/>
          <w:szCs w:val="24"/>
          <w:lang w:val="en-US"/>
        </w:rPr>
      </w:pPr>
    </w:p>
    <w:p w:rsidR="00364F0A" w:rsidRPr="000E7DA6" w:rsidRDefault="00364F0A" w:rsidP="000E7DA6">
      <w:pPr>
        <w:jc w:val="both"/>
        <w:rPr>
          <w:rFonts w:ascii="Times New Roman" w:hAnsi="Times New Roman" w:cs="Times New Roman"/>
          <w:sz w:val="24"/>
          <w:szCs w:val="24"/>
        </w:rPr>
      </w:pPr>
    </w:p>
    <w:p w:rsidR="000E7DA6" w:rsidRDefault="000E7DA6" w:rsidP="000E7DA6">
      <w:pPr>
        <w:rPr>
          <w:rFonts w:ascii="Times New Roman" w:hAnsi="Times New Roman" w:cs="Times New Roman"/>
          <w:b/>
          <w:sz w:val="24"/>
          <w:szCs w:val="24"/>
          <w:lang w:val="en-US"/>
        </w:rPr>
      </w:pPr>
      <w:r w:rsidRPr="007C39E9">
        <w:rPr>
          <w:rFonts w:ascii="Times New Roman" w:hAnsi="Times New Roman" w:cs="Times New Roman"/>
          <w:b/>
          <w:sz w:val="24"/>
          <w:szCs w:val="24"/>
          <w:lang w:val="en-US"/>
        </w:rPr>
        <w:lastRenderedPageBreak/>
        <w:t xml:space="preserve">- 2018 International </w:t>
      </w:r>
      <w:r>
        <w:rPr>
          <w:rFonts w:ascii="Times New Roman" w:hAnsi="Times New Roman" w:cs="Times New Roman"/>
          <w:b/>
          <w:sz w:val="24"/>
          <w:szCs w:val="24"/>
          <w:lang w:val="en-US"/>
        </w:rPr>
        <w:t>Trade Statistics Yearbook, Vol.</w:t>
      </w:r>
      <w:r w:rsidRPr="007C39E9">
        <w:rPr>
          <w:rFonts w:ascii="Times New Roman" w:hAnsi="Times New Roman" w:cs="Times New Roman"/>
          <w:b/>
          <w:sz w:val="24"/>
          <w:szCs w:val="24"/>
          <w:lang w:val="en-US"/>
        </w:rPr>
        <w:t>I</w:t>
      </w:r>
      <w:r>
        <w:rPr>
          <w:rFonts w:ascii="Times New Roman" w:hAnsi="Times New Roman" w:cs="Times New Roman"/>
          <w:b/>
          <w:sz w:val="24"/>
          <w:szCs w:val="24"/>
          <w:lang w:val="en-US"/>
        </w:rPr>
        <w:t xml:space="preserve"> - United Nations - New York, 2019</w:t>
      </w:r>
    </w:p>
    <w:p w:rsidR="00364F0A" w:rsidRDefault="00364F0A" w:rsidP="000E7DA6">
      <w:pPr>
        <w:rPr>
          <w:rFonts w:ascii="Times New Roman" w:hAnsi="Times New Roman" w:cs="Times New Roman"/>
          <w:b/>
          <w:sz w:val="24"/>
          <w:szCs w:val="24"/>
          <w:lang w:val="en-US"/>
        </w:rPr>
      </w:pPr>
    </w:p>
    <w:p w:rsidR="00364F0A" w:rsidRPr="007C39E9" w:rsidRDefault="00364F0A" w:rsidP="000E7DA6">
      <w:pPr>
        <w:rPr>
          <w:rFonts w:ascii="Times New Roman" w:hAnsi="Times New Roman" w:cs="Times New Roman"/>
          <w:b/>
          <w:sz w:val="24"/>
          <w:szCs w:val="24"/>
          <w:lang w:val="en-US"/>
        </w:rPr>
      </w:pPr>
    </w:p>
    <w:p w:rsidR="000E7DA6" w:rsidRDefault="000E7DA6" w:rsidP="000E7DA6">
      <w:r w:rsidRPr="007C39E9">
        <w:rPr>
          <w:noProof/>
          <w:lang w:val="en-GB" w:eastAsia="zh-CN"/>
        </w:rPr>
        <w:drawing>
          <wp:inline distT="0" distB="0" distL="0" distR="0">
            <wp:extent cx="5143500" cy="6000750"/>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144218" cy="6001588"/>
                    </a:xfrm>
                    <a:prstGeom prst="rect">
                      <a:avLst/>
                    </a:prstGeom>
                  </pic:spPr>
                </pic:pic>
              </a:graphicData>
            </a:graphic>
          </wp:inline>
        </w:drawing>
      </w:r>
    </w:p>
    <w:p w:rsidR="000E7DA6" w:rsidRDefault="000E7DA6" w:rsidP="000E7DA6"/>
    <w:p w:rsidR="000E7DA6" w:rsidRDefault="000E7DA6" w:rsidP="000E7DA6"/>
    <w:p w:rsidR="000E7DA6" w:rsidRDefault="000E7DA6" w:rsidP="000E7DA6"/>
    <w:p w:rsidR="000E7DA6" w:rsidRDefault="000E7DA6" w:rsidP="000E7DA6"/>
    <w:p w:rsidR="000E7DA6" w:rsidRDefault="000E7DA6" w:rsidP="000E7DA6"/>
    <w:p w:rsidR="000E7DA6" w:rsidRDefault="000E7DA6" w:rsidP="000E7DA6">
      <w:r w:rsidRPr="0085445A">
        <w:rPr>
          <w:noProof/>
          <w:lang w:val="en-GB" w:eastAsia="zh-CN"/>
        </w:rPr>
        <w:lastRenderedPageBreak/>
        <w:drawing>
          <wp:inline distT="0" distB="0" distL="0" distR="0">
            <wp:extent cx="4725059" cy="5925377"/>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4725059" cy="5925377"/>
                    </a:xfrm>
                    <a:prstGeom prst="rect">
                      <a:avLst/>
                    </a:prstGeom>
                  </pic:spPr>
                </pic:pic>
              </a:graphicData>
            </a:graphic>
          </wp:inline>
        </w:drawing>
      </w:r>
    </w:p>
    <w:p w:rsidR="000E7DA6" w:rsidRDefault="000E7DA6" w:rsidP="000E7DA6"/>
    <w:p w:rsidR="000E7DA6" w:rsidRDefault="000E7DA6" w:rsidP="000E7DA6"/>
    <w:p w:rsidR="000E7DA6" w:rsidRDefault="000E7DA6" w:rsidP="000E7DA6"/>
    <w:p w:rsidR="000E7DA6" w:rsidRDefault="000E7DA6" w:rsidP="000E7DA6"/>
    <w:p w:rsidR="000E7DA6" w:rsidRDefault="000E7DA6" w:rsidP="000E7DA6"/>
    <w:p w:rsidR="000E7DA6" w:rsidRDefault="000E7DA6" w:rsidP="000E7DA6"/>
    <w:p w:rsidR="000E7DA6" w:rsidRDefault="000E7DA6" w:rsidP="000E7DA6"/>
    <w:p w:rsidR="000E7DA6" w:rsidRDefault="000E7DA6" w:rsidP="000E7DA6"/>
    <w:p w:rsidR="000E7DA6" w:rsidRDefault="000E7DA6" w:rsidP="000E7DA6">
      <w:r w:rsidRPr="0085445A">
        <w:rPr>
          <w:noProof/>
          <w:lang w:val="en-GB" w:eastAsia="zh-CN"/>
        </w:rPr>
        <w:lastRenderedPageBreak/>
        <w:drawing>
          <wp:inline distT="0" distB="0" distL="0" distR="0">
            <wp:extent cx="4915586" cy="6449325"/>
            <wp:effectExtent l="0" t="0" r="0" b="889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4915586" cy="6449325"/>
                    </a:xfrm>
                    <a:prstGeom prst="rect">
                      <a:avLst/>
                    </a:prstGeom>
                  </pic:spPr>
                </pic:pic>
              </a:graphicData>
            </a:graphic>
          </wp:inline>
        </w:drawing>
      </w:r>
    </w:p>
    <w:p w:rsidR="000E7DA6" w:rsidRDefault="000E7DA6" w:rsidP="000E7DA6"/>
    <w:p w:rsidR="000E7DA6" w:rsidRDefault="000E7DA6" w:rsidP="000E7DA6"/>
    <w:p w:rsidR="000E7DA6" w:rsidRDefault="000E7DA6" w:rsidP="000E7DA6"/>
    <w:p w:rsidR="000E7DA6" w:rsidRDefault="000E7DA6" w:rsidP="000E7DA6"/>
    <w:p w:rsidR="000E7DA6" w:rsidRDefault="000E7DA6" w:rsidP="000E7DA6"/>
    <w:p w:rsidR="000E7DA6" w:rsidRDefault="000E7DA6" w:rsidP="000E7DA6"/>
    <w:p w:rsidR="000E7DA6" w:rsidRDefault="000E7DA6" w:rsidP="000E7DA6">
      <w:r w:rsidRPr="0085445A">
        <w:rPr>
          <w:noProof/>
          <w:lang w:val="en-GB" w:eastAsia="zh-CN"/>
        </w:rPr>
        <w:lastRenderedPageBreak/>
        <w:drawing>
          <wp:inline distT="0" distB="0" distL="0" distR="0">
            <wp:extent cx="4563112" cy="6258798"/>
            <wp:effectExtent l="0" t="0" r="8890" b="889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4563112" cy="6258798"/>
                    </a:xfrm>
                    <a:prstGeom prst="rect">
                      <a:avLst/>
                    </a:prstGeom>
                  </pic:spPr>
                </pic:pic>
              </a:graphicData>
            </a:graphic>
          </wp:inline>
        </w:drawing>
      </w:r>
    </w:p>
    <w:p w:rsidR="000E7DA6" w:rsidRDefault="000E7DA6" w:rsidP="000E7DA6"/>
    <w:p w:rsidR="000E7DA6" w:rsidRDefault="000E7DA6" w:rsidP="000E7DA6"/>
    <w:p w:rsidR="000E7DA6" w:rsidRDefault="000E7DA6" w:rsidP="000E7DA6"/>
    <w:p w:rsidR="000E7DA6" w:rsidRDefault="000E7DA6" w:rsidP="000E7DA6"/>
    <w:p w:rsidR="000E7DA6" w:rsidRDefault="000E7DA6" w:rsidP="000E7DA6"/>
    <w:p w:rsidR="000E7DA6" w:rsidRDefault="000E7DA6" w:rsidP="000E7DA6"/>
    <w:p w:rsidR="000E7DA6" w:rsidRDefault="000E7DA6" w:rsidP="000E7DA6"/>
    <w:p w:rsidR="000E7DA6" w:rsidRDefault="000E7DA6" w:rsidP="000E7DA6"/>
    <w:p w:rsidR="000E7DA6" w:rsidRDefault="000E7DA6" w:rsidP="000E7DA6">
      <w:r w:rsidRPr="0085445A">
        <w:rPr>
          <w:noProof/>
          <w:lang w:val="en-GB" w:eastAsia="zh-CN"/>
        </w:rPr>
        <w:lastRenderedPageBreak/>
        <w:drawing>
          <wp:inline distT="0" distB="0" distL="0" distR="0">
            <wp:extent cx="4515480" cy="6163535"/>
            <wp:effectExtent l="0" t="0" r="0" b="889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4515480" cy="6163535"/>
                    </a:xfrm>
                    <a:prstGeom prst="rect">
                      <a:avLst/>
                    </a:prstGeom>
                  </pic:spPr>
                </pic:pic>
              </a:graphicData>
            </a:graphic>
          </wp:inline>
        </w:drawing>
      </w:r>
    </w:p>
    <w:p w:rsidR="000E7DA6" w:rsidRDefault="000E7DA6" w:rsidP="000E7DA6"/>
    <w:p w:rsidR="000E7DA6" w:rsidRDefault="000E7DA6" w:rsidP="000E7DA6"/>
    <w:p w:rsidR="000E7DA6" w:rsidRDefault="000E7DA6" w:rsidP="000E7DA6"/>
    <w:p w:rsidR="000E7DA6" w:rsidRDefault="000E7DA6" w:rsidP="000E7DA6"/>
    <w:p w:rsidR="009274F9" w:rsidRDefault="009274F9" w:rsidP="000E7DA6"/>
    <w:p w:rsidR="00364F0A" w:rsidRDefault="00364F0A" w:rsidP="000E7DA6">
      <w:pPr>
        <w:rPr>
          <w:rFonts w:ascii="Times New Roman" w:hAnsi="Times New Roman" w:cs="Times New Roman"/>
          <w:b/>
          <w:sz w:val="24"/>
          <w:szCs w:val="24"/>
        </w:rPr>
      </w:pPr>
    </w:p>
    <w:p w:rsidR="00364F0A" w:rsidRDefault="00364F0A" w:rsidP="000E7DA6">
      <w:pPr>
        <w:rPr>
          <w:rFonts w:ascii="Times New Roman" w:hAnsi="Times New Roman" w:cs="Times New Roman"/>
          <w:b/>
          <w:sz w:val="24"/>
          <w:szCs w:val="24"/>
        </w:rPr>
      </w:pPr>
    </w:p>
    <w:p w:rsidR="00364F0A" w:rsidRDefault="00364F0A" w:rsidP="000E7DA6">
      <w:pPr>
        <w:rPr>
          <w:rFonts w:ascii="Times New Roman" w:hAnsi="Times New Roman" w:cs="Times New Roman"/>
          <w:b/>
          <w:sz w:val="24"/>
          <w:szCs w:val="24"/>
        </w:rPr>
      </w:pPr>
    </w:p>
    <w:p w:rsidR="000E7DA6" w:rsidRPr="00140A62" w:rsidRDefault="000E7DA6" w:rsidP="000E7DA6">
      <w:pPr>
        <w:rPr>
          <w:rFonts w:ascii="Times New Roman" w:hAnsi="Times New Roman" w:cs="Times New Roman"/>
          <w:b/>
          <w:sz w:val="24"/>
          <w:szCs w:val="24"/>
        </w:rPr>
      </w:pPr>
      <w:r w:rsidRPr="00140A62">
        <w:rPr>
          <w:rFonts w:ascii="Times New Roman" w:hAnsi="Times New Roman" w:cs="Times New Roman"/>
          <w:b/>
          <w:sz w:val="24"/>
          <w:szCs w:val="24"/>
        </w:rPr>
        <w:lastRenderedPageBreak/>
        <w:t>- Eurostat</w:t>
      </w:r>
    </w:p>
    <w:p w:rsidR="000E7DA6" w:rsidRDefault="000E7DA6" w:rsidP="000E7DA6">
      <w:pPr>
        <w:rPr>
          <w:rFonts w:ascii="Times New Roman" w:hAnsi="Times New Roman" w:cs="Times New Roman"/>
          <w:sz w:val="24"/>
          <w:szCs w:val="24"/>
        </w:rPr>
      </w:pPr>
      <w:r w:rsidRPr="00140A62">
        <w:rPr>
          <w:rFonts w:ascii="Times New Roman" w:hAnsi="Times New Roman" w:cs="Times New Roman"/>
          <w:noProof/>
          <w:sz w:val="24"/>
          <w:szCs w:val="24"/>
          <w:lang w:val="en-GB" w:eastAsia="zh-CN"/>
        </w:rPr>
        <w:drawing>
          <wp:inline distT="0" distB="0" distL="0" distR="0">
            <wp:extent cx="5731510" cy="1981535"/>
            <wp:effectExtent l="0" t="0" r="254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731510" cy="1981535"/>
                    </a:xfrm>
                    <a:prstGeom prst="rect">
                      <a:avLst/>
                    </a:prstGeom>
                  </pic:spPr>
                </pic:pic>
              </a:graphicData>
            </a:graphic>
          </wp:inline>
        </w:drawing>
      </w:r>
    </w:p>
    <w:p w:rsidR="000E7DA6" w:rsidRDefault="000E7DA6" w:rsidP="000E7DA6">
      <w:pPr>
        <w:rPr>
          <w:rFonts w:ascii="Times New Roman" w:hAnsi="Times New Roman" w:cs="Times New Roman"/>
          <w:sz w:val="24"/>
          <w:szCs w:val="24"/>
        </w:rPr>
      </w:pPr>
      <w:r w:rsidRPr="00140A62">
        <w:rPr>
          <w:rFonts w:ascii="Times New Roman" w:hAnsi="Times New Roman" w:cs="Times New Roman"/>
          <w:noProof/>
          <w:sz w:val="24"/>
          <w:szCs w:val="24"/>
          <w:lang w:val="en-GB" w:eastAsia="zh-CN"/>
        </w:rPr>
        <w:drawing>
          <wp:inline distT="0" distB="0" distL="0" distR="0">
            <wp:extent cx="5731510" cy="1631888"/>
            <wp:effectExtent l="0" t="0" r="2540" b="6985"/>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731510" cy="1631888"/>
                    </a:xfrm>
                    <a:prstGeom prst="rect">
                      <a:avLst/>
                    </a:prstGeom>
                  </pic:spPr>
                </pic:pic>
              </a:graphicData>
            </a:graphic>
          </wp:inline>
        </w:drawing>
      </w:r>
    </w:p>
    <w:p w:rsidR="000E7DA6" w:rsidRDefault="000E7DA6" w:rsidP="000E7DA6">
      <w:pPr>
        <w:rPr>
          <w:rFonts w:ascii="Times New Roman" w:hAnsi="Times New Roman" w:cs="Times New Roman"/>
          <w:sz w:val="24"/>
          <w:szCs w:val="24"/>
        </w:rPr>
      </w:pPr>
      <w:r w:rsidRPr="00140A62">
        <w:rPr>
          <w:rFonts w:ascii="Times New Roman" w:hAnsi="Times New Roman" w:cs="Times New Roman"/>
          <w:noProof/>
          <w:sz w:val="24"/>
          <w:szCs w:val="24"/>
          <w:lang w:val="en-GB" w:eastAsia="zh-CN"/>
        </w:rPr>
        <w:drawing>
          <wp:inline distT="0" distB="0" distL="0" distR="0">
            <wp:extent cx="5731510" cy="1960715"/>
            <wp:effectExtent l="0" t="0" r="2540" b="1905"/>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731510" cy="1960715"/>
                    </a:xfrm>
                    <a:prstGeom prst="rect">
                      <a:avLst/>
                    </a:prstGeom>
                  </pic:spPr>
                </pic:pic>
              </a:graphicData>
            </a:graphic>
          </wp:inline>
        </w:drawing>
      </w:r>
    </w:p>
    <w:p w:rsidR="000E7DA6" w:rsidRDefault="000E7DA6" w:rsidP="000E7DA6">
      <w:pPr>
        <w:rPr>
          <w:rFonts w:ascii="Times New Roman" w:hAnsi="Times New Roman" w:cs="Times New Roman"/>
          <w:sz w:val="24"/>
          <w:szCs w:val="24"/>
        </w:rPr>
      </w:pPr>
      <w:r w:rsidRPr="00140A62">
        <w:rPr>
          <w:rFonts w:ascii="Times New Roman" w:hAnsi="Times New Roman" w:cs="Times New Roman"/>
          <w:noProof/>
          <w:sz w:val="24"/>
          <w:szCs w:val="24"/>
          <w:lang w:val="en-GB" w:eastAsia="zh-CN"/>
        </w:rPr>
        <w:drawing>
          <wp:inline distT="0" distB="0" distL="0" distR="0">
            <wp:extent cx="5731510" cy="1985821"/>
            <wp:effectExtent l="0" t="0" r="254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731510" cy="1985821"/>
                    </a:xfrm>
                    <a:prstGeom prst="rect">
                      <a:avLst/>
                    </a:prstGeom>
                  </pic:spPr>
                </pic:pic>
              </a:graphicData>
            </a:graphic>
          </wp:inline>
        </w:drawing>
      </w:r>
    </w:p>
    <w:p w:rsidR="000C7117" w:rsidRDefault="000C7117" w:rsidP="000E7DA6">
      <w:pPr>
        <w:rPr>
          <w:rFonts w:ascii="Times New Roman" w:hAnsi="Times New Roman" w:cs="Times New Roman"/>
          <w:sz w:val="24"/>
          <w:szCs w:val="24"/>
        </w:rPr>
      </w:pPr>
    </w:p>
    <w:p w:rsidR="000C7117" w:rsidRDefault="000C7117" w:rsidP="000E7DA6">
      <w:pPr>
        <w:rPr>
          <w:rFonts w:ascii="Times New Roman" w:hAnsi="Times New Roman" w:cs="Times New Roman"/>
          <w:sz w:val="24"/>
          <w:szCs w:val="24"/>
        </w:rPr>
      </w:pPr>
    </w:p>
    <w:p w:rsidR="000C7117" w:rsidRDefault="000C7117" w:rsidP="000E7DA6">
      <w:pPr>
        <w:rPr>
          <w:rFonts w:ascii="Times New Roman" w:hAnsi="Times New Roman" w:cs="Times New Roman"/>
          <w:sz w:val="24"/>
          <w:szCs w:val="24"/>
        </w:rPr>
      </w:pPr>
    </w:p>
    <w:p w:rsidR="000E7DA6" w:rsidRDefault="000E7DA6" w:rsidP="000E7DA6">
      <w:pPr>
        <w:rPr>
          <w:rFonts w:ascii="Times New Roman" w:hAnsi="Times New Roman" w:cs="Times New Roman"/>
          <w:sz w:val="24"/>
          <w:szCs w:val="24"/>
        </w:rPr>
      </w:pPr>
      <w:r w:rsidRPr="00140A62">
        <w:rPr>
          <w:rFonts w:ascii="Times New Roman" w:hAnsi="Times New Roman" w:cs="Times New Roman"/>
          <w:noProof/>
          <w:sz w:val="24"/>
          <w:szCs w:val="24"/>
          <w:lang w:val="en-GB" w:eastAsia="zh-CN"/>
        </w:rPr>
        <w:drawing>
          <wp:inline distT="0" distB="0" distL="0" distR="0">
            <wp:extent cx="5731510" cy="2001742"/>
            <wp:effectExtent l="0" t="0" r="254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731510" cy="2001742"/>
                    </a:xfrm>
                    <a:prstGeom prst="rect">
                      <a:avLst/>
                    </a:prstGeom>
                  </pic:spPr>
                </pic:pic>
              </a:graphicData>
            </a:graphic>
          </wp:inline>
        </w:drawing>
      </w:r>
    </w:p>
    <w:p w:rsidR="000E7DA6" w:rsidRDefault="000E7DA6" w:rsidP="000E7DA6">
      <w:pPr>
        <w:rPr>
          <w:rFonts w:ascii="Times New Roman" w:hAnsi="Times New Roman" w:cs="Times New Roman"/>
          <w:sz w:val="24"/>
          <w:szCs w:val="24"/>
        </w:rPr>
      </w:pPr>
      <w:r w:rsidRPr="0072520A">
        <w:rPr>
          <w:rFonts w:ascii="Times New Roman" w:hAnsi="Times New Roman" w:cs="Times New Roman"/>
          <w:noProof/>
          <w:sz w:val="24"/>
          <w:szCs w:val="24"/>
          <w:lang w:val="en-GB" w:eastAsia="zh-CN"/>
        </w:rPr>
        <w:drawing>
          <wp:inline distT="0" distB="0" distL="0" distR="0">
            <wp:extent cx="5731510" cy="2588365"/>
            <wp:effectExtent l="0" t="0" r="2540" b="254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731510" cy="2588365"/>
                    </a:xfrm>
                    <a:prstGeom prst="rect">
                      <a:avLst/>
                    </a:prstGeom>
                  </pic:spPr>
                </pic:pic>
              </a:graphicData>
            </a:graphic>
          </wp:inline>
        </w:drawing>
      </w:r>
    </w:p>
    <w:p w:rsidR="000E7DA6" w:rsidRDefault="000E7DA6" w:rsidP="000E7DA6">
      <w:pPr>
        <w:rPr>
          <w:rFonts w:ascii="Times New Roman" w:hAnsi="Times New Roman" w:cs="Times New Roman"/>
          <w:sz w:val="24"/>
          <w:szCs w:val="24"/>
        </w:rPr>
      </w:pPr>
      <w:r w:rsidRPr="0072520A">
        <w:rPr>
          <w:rFonts w:ascii="Times New Roman" w:hAnsi="Times New Roman" w:cs="Times New Roman"/>
          <w:noProof/>
          <w:sz w:val="24"/>
          <w:szCs w:val="24"/>
          <w:lang w:val="en-GB" w:eastAsia="zh-CN"/>
        </w:rPr>
        <w:drawing>
          <wp:inline distT="0" distB="0" distL="0" distR="0">
            <wp:extent cx="5731510" cy="2547338"/>
            <wp:effectExtent l="0" t="0" r="2540" b="5715"/>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731510" cy="2547338"/>
                    </a:xfrm>
                    <a:prstGeom prst="rect">
                      <a:avLst/>
                    </a:prstGeom>
                  </pic:spPr>
                </pic:pic>
              </a:graphicData>
            </a:graphic>
          </wp:inline>
        </w:drawing>
      </w:r>
    </w:p>
    <w:p w:rsidR="000E7DA6" w:rsidRDefault="000E7DA6" w:rsidP="000E7DA6">
      <w:pPr>
        <w:rPr>
          <w:rFonts w:ascii="Times New Roman" w:hAnsi="Times New Roman" w:cs="Times New Roman"/>
          <w:sz w:val="24"/>
          <w:szCs w:val="24"/>
        </w:rPr>
      </w:pPr>
    </w:p>
    <w:p w:rsidR="000E7DA6" w:rsidRDefault="000E7DA6" w:rsidP="000E7DA6">
      <w:pPr>
        <w:rPr>
          <w:rFonts w:ascii="Times New Roman" w:hAnsi="Times New Roman" w:cs="Times New Roman"/>
          <w:sz w:val="24"/>
          <w:szCs w:val="24"/>
        </w:rPr>
      </w:pPr>
    </w:p>
    <w:p w:rsidR="000E7DA6" w:rsidRDefault="000E7DA6" w:rsidP="000E7DA6">
      <w:pPr>
        <w:rPr>
          <w:rFonts w:ascii="Times New Roman" w:hAnsi="Times New Roman" w:cs="Times New Roman"/>
          <w:sz w:val="24"/>
          <w:szCs w:val="24"/>
        </w:rPr>
      </w:pPr>
      <w:r w:rsidRPr="00F01148">
        <w:rPr>
          <w:rFonts w:ascii="Times New Roman" w:hAnsi="Times New Roman" w:cs="Times New Roman"/>
          <w:noProof/>
          <w:sz w:val="24"/>
          <w:szCs w:val="24"/>
          <w:lang w:val="en-GB" w:eastAsia="zh-CN"/>
        </w:rPr>
        <w:lastRenderedPageBreak/>
        <w:drawing>
          <wp:inline distT="0" distB="0" distL="0" distR="0">
            <wp:extent cx="5731510" cy="935657"/>
            <wp:effectExtent l="0" t="0" r="254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731510" cy="935657"/>
                    </a:xfrm>
                    <a:prstGeom prst="rect">
                      <a:avLst/>
                    </a:prstGeom>
                  </pic:spPr>
                </pic:pic>
              </a:graphicData>
            </a:graphic>
          </wp:inline>
        </w:drawing>
      </w:r>
    </w:p>
    <w:p w:rsidR="000E7DA6" w:rsidRDefault="000E7DA6" w:rsidP="000E7DA6">
      <w:pPr>
        <w:rPr>
          <w:rFonts w:ascii="Times New Roman" w:hAnsi="Times New Roman" w:cs="Times New Roman"/>
          <w:sz w:val="24"/>
          <w:szCs w:val="24"/>
        </w:rPr>
      </w:pPr>
      <w:r w:rsidRPr="00F01148">
        <w:rPr>
          <w:rFonts w:ascii="Times New Roman" w:hAnsi="Times New Roman" w:cs="Times New Roman"/>
          <w:noProof/>
          <w:sz w:val="24"/>
          <w:szCs w:val="24"/>
          <w:lang w:val="en-GB" w:eastAsia="zh-CN"/>
        </w:rPr>
        <w:drawing>
          <wp:inline distT="0" distB="0" distL="0" distR="0">
            <wp:extent cx="5731510" cy="337400"/>
            <wp:effectExtent l="0" t="0" r="2540" b="5715"/>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731510" cy="337400"/>
                    </a:xfrm>
                    <a:prstGeom prst="rect">
                      <a:avLst/>
                    </a:prstGeom>
                  </pic:spPr>
                </pic:pic>
              </a:graphicData>
            </a:graphic>
          </wp:inline>
        </w:drawing>
      </w:r>
    </w:p>
    <w:p w:rsidR="000E7DA6" w:rsidRDefault="000E7DA6" w:rsidP="000E7DA6">
      <w:pPr>
        <w:rPr>
          <w:rFonts w:ascii="Times New Roman" w:hAnsi="Times New Roman" w:cs="Times New Roman"/>
          <w:sz w:val="24"/>
          <w:szCs w:val="24"/>
        </w:rPr>
      </w:pPr>
      <w:r w:rsidRPr="00F01148">
        <w:rPr>
          <w:rFonts w:ascii="Times New Roman" w:hAnsi="Times New Roman" w:cs="Times New Roman"/>
          <w:noProof/>
          <w:sz w:val="24"/>
          <w:szCs w:val="24"/>
          <w:lang w:val="en-GB" w:eastAsia="zh-CN"/>
        </w:rPr>
        <w:drawing>
          <wp:inline distT="0" distB="0" distL="0" distR="0">
            <wp:extent cx="5731510" cy="938718"/>
            <wp:effectExtent l="0" t="0" r="254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731510" cy="938718"/>
                    </a:xfrm>
                    <a:prstGeom prst="rect">
                      <a:avLst/>
                    </a:prstGeom>
                  </pic:spPr>
                </pic:pic>
              </a:graphicData>
            </a:graphic>
          </wp:inline>
        </w:drawing>
      </w:r>
    </w:p>
    <w:p w:rsidR="000E7DA6" w:rsidRPr="00140A62" w:rsidRDefault="000E7DA6" w:rsidP="000E7DA6">
      <w:pPr>
        <w:rPr>
          <w:rFonts w:ascii="Times New Roman" w:hAnsi="Times New Roman" w:cs="Times New Roman"/>
          <w:sz w:val="24"/>
          <w:szCs w:val="24"/>
        </w:rPr>
      </w:pPr>
      <w:r w:rsidRPr="00F01148">
        <w:rPr>
          <w:rFonts w:ascii="Times New Roman" w:hAnsi="Times New Roman" w:cs="Times New Roman"/>
          <w:noProof/>
          <w:sz w:val="24"/>
          <w:szCs w:val="24"/>
          <w:lang w:val="en-GB" w:eastAsia="zh-CN"/>
        </w:rPr>
        <w:drawing>
          <wp:inline distT="0" distB="0" distL="0" distR="0">
            <wp:extent cx="5731510" cy="302496"/>
            <wp:effectExtent l="0" t="0" r="2540" b="254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731510" cy="302496"/>
                    </a:xfrm>
                    <a:prstGeom prst="rect">
                      <a:avLst/>
                    </a:prstGeom>
                  </pic:spPr>
                </pic:pic>
              </a:graphicData>
            </a:graphic>
          </wp:inline>
        </w:drawing>
      </w:r>
    </w:p>
    <w:p w:rsidR="000E7DA6" w:rsidRDefault="000E7DA6" w:rsidP="000E7DA6">
      <w:r w:rsidRPr="00F01148">
        <w:rPr>
          <w:noProof/>
          <w:lang w:val="en-GB" w:eastAsia="zh-CN"/>
        </w:rPr>
        <w:drawing>
          <wp:inline distT="0" distB="0" distL="0" distR="0">
            <wp:extent cx="5731510" cy="957089"/>
            <wp:effectExtent l="0" t="0" r="254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731510" cy="957089"/>
                    </a:xfrm>
                    <a:prstGeom prst="rect">
                      <a:avLst/>
                    </a:prstGeom>
                  </pic:spPr>
                </pic:pic>
              </a:graphicData>
            </a:graphic>
          </wp:inline>
        </w:drawing>
      </w:r>
    </w:p>
    <w:p w:rsidR="000E7DA6" w:rsidRDefault="000E7DA6" w:rsidP="000E7DA6">
      <w:r w:rsidRPr="00F01148">
        <w:rPr>
          <w:noProof/>
          <w:lang w:val="en-GB" w:eastAsia="zh-CN"/>
        </w:rPr>
        <w:drawing>
          <wp:inline distT="0" distB="0" distL="0" distR="0">
            <wp:extent cx="5731510" cy="336175"/>
            <wp:effectExtent l="0" t="0" r="2540" b="6985"/>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731510" cy="336175"/>
                    </a:xfrm>
                    <a:prstGeom prst="rect">
                      <a:avLst/>
                    </a:prstGeom>
                  </pic:spPr>
                </pic:pic>
              </a:graphicData>
            </a:graphic>
          </wp:inline>
        </w:drawing>
      </w:r>
    </w:p>
    <w:p w:rsidR="000E7DA6" w:rsidRDefault="000E7DA6" w:rsidP="000E7DA6">
      <w:r w:rsidRPr="00F01148">
        <w:rPr>
          <w:noProof/>
          <w:lang w:val="en-GB" w:eastAsia="zh-CN"/>
        </w:rPr>
        <w:drawing>
          <wp:inline distT="0" distB="0" distL="0" distR="0">
            <wp:extent cx="5731510" cy="948516"/>
            <wp:effectExtent l="0" t="0" r="2540" b="4445"/>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731510" cy="948516"/>
                    </a:xfrm>
                    <a:prstGeom prst="rect">
                      <a:avLst/>
                    </a:prstGeom>
                  </pic:spPr>
                </pic:pic>
              </a:graphicData>
            </a:graphic>
          </wp:inline>
        </w:drawing>
      </w:r>
    </w:p>
    <w:p w:rsidR="000E7DA6" w:rsidRDefault="000E7DA6" w:rsidP="000E7DA6">
      <w:r w:rsidRPr="00F01148">
        <w:rPr>
          <w:noProof/>
          <w:lang w:val="en-GB" w:eastAsia="zh-CN"/>
        </w:rPr>
        <w:drawing>
          <wp:inline distT="0" distB="0" distL="0" distR="0">
            <wp:extent cx="5731510" cy="328215"/>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731510" cy="328215"/>
                    </a:xfrm>
                    <a:prstGeom prst="rect">
                      <a:avLst/>
                    </a:prstGeom>
                  </pic:spPr>
                </pic:pic>
              </a:graphicData>
            </a:graphic>
          </wp:inline>
        </w:drawing>
      </w:r>
    </w:p>
    <w:p w:rsidR="000E7DA6" w:rsidRDefault="000E7DA6" w:rsidP="000E7DA6">
      <w:r w:rsidRPr="00F01148">
        <w:rPr>
          <w:noProof/>
          <w:lang w:val="en-GB" w:eastAsia="zh-CN"/>
        </w:rPr>
        <w:drawing>
          <wp:inline distT="0" distB="0" distL="0" distR="0">
            <wp:extent cx="5731510" cy="1042204"/>
            <wp:effectExtent l="0" t="0" r="2540" b="5715"/>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731510" cy="1042204"/>
                    </a:xfrm>
                    <a:prstGeom prst="rect">
                      <a:avLst/>
                    </a:prstGeom>
                  </pic:spPr>
                </pic:pic>
              </a:graphicData>
            </a:graphic>
          </wp:inline>
        </w:drawing>
      </w:r>
    </w:p>
    <w:p w:rsidR="000E7DA6" w:rsidRDefault="000E7DA6" w:rsidP="000E7DA6">
      <w:r w:rsidRPr="00F01148">
        <w:rPr>
          <w:noProof/>
          <w:lang w:val="en-GB" w:eastAsia="zh-CN"/>
        </w:rPr>
        <w:drawing>
          <wp:inline distT="0" distB="0" distL="0" distR="0">
            <wp:extent cx="5731510" cy="1034244"/>
            <wp:effectExtent l="0" t="0" r="254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731510" cy="1034244"/>
                    </a:xfrm>
                    <a:prstGeom prst="rect">
                      <a:avLst/>
                    </a:prstGeom>
                  </pic:spPr>
                </pic:pic>
              </a:graphicData>
            </a:graphic>
          </wp:inline>
        </w:drawing>
      </w:r>
    </w:p>
    <w:p w:rsidR="009274F9" w:rsidRDefault="009274F9" w:rsidP="009274F9">
      <w:pPr>
        <w:spacing w:line="240" w:lineRule="auto"/>
        <w:jc w:val="both"/>
        <w:rPr>
          <w:rFonts w:ascii="Times New Roman" w:hAnsi="Times New Roman" w:cs="Times New Roman"/>
          <w:b/>
          <w:sz w:val="24"/>
          <w:szCs w:val="24"/>
        </w:rPr>
      </w:pPr>
      <w:r w:rsidRPr="0039341F">
        <w:rPr>
          <w:rFonts w:ascii="Times New Roman" w:hAnsi="Times New Roman" w:cs="Times New Roman"/>
          <w:b/>
          <w:sz w:val="24"/>
          <w:szCs w:val="24"/>
        </w:rPr>
        <w:lastRenderedPageBreak/>
        <w:t>Adentrándose en Terra Incognita</w:t>
      </w:r>
    </w:p>
    <w:p w:rsidR="009274F9" w:rsidRDefault="009274F9" w:rsidP="009274F9">
      <w:pPr>
        <w:spacing w:line="240" w:lineRule="auto"/>
        <w:jc w:val="both"/>
        <w:rPr>
          <w:rFonts w:ascii="Times New Roman" w:hAnsi="Times New Roman" w:cs="Times New Roman"/>
          <w:sz w:val="24"/>
          <w:szCs w:val="24"/>
        </w:rPr>
      </w:pPr>
      <w:r w:rsidRPr="0039341F">
        <w:rPr>
          <w:rFonts w:ascii="Times New Roman" w:hAnsi="Times New Roman" w:cs="Times New Roman"/>
          <w:sz w:val="24"/>
          <w:szCs w:val="24"/>
        </w:rPr>
        <w:t>Mientras la Unión</w:t>
      </w:r>
      <w:r>
        <w:rPr>
          <w:rFonts w:ascii="Times New Roman" w:hAnsi="Times New Roman" w:cs="Times New Roman"/>
          <w:sz w:val="24"/>
          <w:szCs w:val="24"/>
        </w:rPr>
        <w:t xml:space="preserve"> Europea mastica el escarmiento, por las “mentiras mayores” (creer que EEUU era su socio preferente y protector eterno), no debe dar paso a la amnesia (negando las evidencias, e intereses), embriagada por nuevos compañeros de cama (China), dejándose manipular, estableciendo alianzas imposibles, protectorados ilusorios, convenios no recíprocos, fusiones o adquisiciones opacas…, asumiendo que son “mentiras menores”, y que no intentarán aplicar las mismas recetas que el “amigo” americano (tan pronto como puedan, o los dejen).</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Unión Europea debe </w:t>
      </w:r>
      <w:r w:rsidRPr="00421033">
        <w:rPr>
          <w:rFonts w:ascii="Times New Roman" w:hAnsi="Times New Roman" w:cs="Times New Roman"/>
          <w:sz w:val="24"/>
          <w:szCs w:val="24"/>
        </w:rPr>
        <w:t>acomodarse lo mejor posible a las circunstancias</w:t>
      </w:r>
      <w:r>
        <w:rPr>
          <w:rFonts w:ascii="Times New Roman" w:hAnsi="Times New Roman" w:cs="Times New Roman"/>
          <w:sz w:val="24"/>
          <w:szCs w:val="24"/>
        </w:rPr>
        <w:t>. No morir ensartada (por EEUU o China)</w:t>
      </w:r>
      <w:r w:rsidRPr="00421033">
        <w:rPr>
          <w:rFonts w:ascii="Times New Roman" w:hAnsi="Times New Roman" w:cs="Times New Roman"/>
          <w:sz w:val="24"/>
          <w:szCs w:val="24"/>
        </w:rPr>
        <w:t xml:space="preserve"> ni tampoco de frío</w:t>
      </w:r>
      <w:r>
        <w:rPr>
          <w:rFonts w:ascii="Times New Roman" w:hAnsi="Times New Roman" w:cs="Times New Roman"/>
          <w:sz w:val="24"/>
          <w:szCs w:val="24"/>
        </w:rPr>
        <w:t xml:space="preserve"> (en la soledad absoluta). Elegir</w:t>
      </w:r>
      <w:r w:rsidRPr="00421033">
        <w:rPr>
          <w:rFonts w:ascii="Times New Roman" w:hAnsi="Times New Roman" w:cs="Times New Roman"/>
          <w:sz w:val="24"/>
          <w:szCs w:val="24"/>
        </w:rPr>
        <w:t xml:space="preserve"> acomodarse lo mejor posible a las circunstancias. En otras pala</w:t>
      </w:r>
      <w:r>
        <w:rPr>
          <w:rFonts w:ascii="Times New Roman" w:hAnsi="Times New Roman" w:cs="Times New Roman"/>
          <w:sz w:val="24"/>
          <w:szCs w:val="24"/>
        </w:rPr>
        <w:t xml:space="preserve">bras, no padecer una </w:t>
      </w:r>
      <w:r w:rsidRPr="00421033">
        <w:rPr>
          <w:rFonts w:ascii="Times New Roman" w:hAnsi="Times New Roman" w:cs="Times New Roman"/>
          <w:sz w:val="24"/>
          <w:szCs w:val="24"/>
        </w:rPr>
        <w:t>l</w:t>
      </w:r>
      <w:r>
        <w:rPr>
          <w:rFonts w:ascii="Times New Roman" w:hAnsi="Times New Roman" w:cs="Times New Roman"/>
          <w:sz w:val="24"/>
          <w:szCs w:val="24"/>
        </w:rPr>
        <w:t>ejanía extrema, pero tampoco sufrir una</w:t>
      </w:r>
      <w:r w:rsidRPr="00421033">
        <w:rPr>
          <w:rFonts w:ascii="Times New Roman" w:hAnsi="Times New Roman" w:cs="Times New Roman"/>
          <w:sz w:val="24"/>
          <w:szCs w:val="24"/>
        </w:rPr>
        <w:t xml:space="preserve"> aproximación absoluta.</w:t>
      </w:r>
    </w:p>
    <w:p w:rsidR="009274F9" w:rsidRPr="0073132B"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me ocurren, a bote pronto, dos circunstancias, en las cuales la Unión Europea, puede demostrar que es ya no es un “enano político” y que sigue siendo un “gigante económico”, dejando claro que ya no es de “Venus” </w:t>
      </w:r>
      <w:r w:rsidRPr="00531B68">
        <w:rPr>
          <w:rFonts w:ascii="Times New Roman" w:hAnsi="Times New Roman" w:cs="Times New Roman"/>
          <w:sz w:val="24"/>
          <w:szCs w:val="24"/>
        </w:rPr>
        <w:t>(la Diosa del amor)</w:t>
      </w:r>
      <w:r>
        <w:rPr>
          <w:rFonts w:ascii="Times New Roman" w:hAnsi="Times New Roman" w:cs="Times New Roman"/>
          <w:sz w:val="24"/>
          <w:szCs w:val="24"/>
        </w:rPr>
        <w:t xml:space="preserve">, pero que sin necesidad de ser de Marte (el Dios de la guerra), </w:t>
      </w:r>
      <w:r w:rsidRPr="0073132B">
        <w:rPr>
          <w:rFonts w:ascii="Times New Roman" w:hAnsi="Times New Roman" w:cs="Times New Roman"/>
          <w:sz w:val="24"/>
          <w:szCs w:val="24"/>
        </w:rPr>
        <w:t>se puede llegar a ser de “Mercurio” (el Dios del comercio).</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La primera oportunidad se presenta con la OTAN (la autonomía defensiva)</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caso se puede demostrar a los EEUU que Europa no necesita “ni tutelas, ni tu tías”… Que la UE puede asumir (si fuera necesario) su propia defensa, a su costa y costo. Que ya no tolera un ejército de ocupación, que simula ser un ejército de protección. Que ya se abonó suficientemente la deuda de guerra (Alemani</w:t>
      </w:r>
      <w:r w:rsidR="0024463A">
        <w:rPr>
          <w:rFonts w:ascii="Times New Roman" w:hAnsi="Times New Roman" w:cs="Times New Roman"/>
          <w:sz w:val="24"/>
          <w:szCs w:val="24"/>
        </w:rPr>
        <w:t xml:space="preserve">a), </w:t>
      </w:r>
      <w:r>
        <w:rPr>
          <w:rFonts w:ascii="Times New Roman" w:hAnsi="Times New Roman" w:cs="Times New Roman"/>
          <w:sz w:val="24"/>
          <w:szCs w:val="24"/>
        </w:rPr>
        <w:t>y que el único enemigo de Europa (real y temible) es el terrorismo islámico.</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auténtico enemigo de Europa (peligroso, temible, </w:t>
      </w:r>
      <w:r w:rsidR="00244C56">
        <w:rPr>
          <w:rFonts w:ascii="Times New Roman" w:hAnsi="Times New Roman" w:cs="Times New Roman"/>
          <w:sz w:val="24"/>
          <w:szCs w:val="24"/>
        </w:rPr>
        <w:t>e impredecible) es el fundamentalismo</w:t>
      </w:r>
      <w:r>
        <w:rPr>
          <w:rFonts w:ascii="Times New Roman" w:hAnsi="Times New Roman" w:cs="Times New Roman"/>
          <w:sz w:val="24"/>
          <w:szCs w:val="24"/>
        </w:rPr>
        <w:t xml:space="preserve"> islámico, y a ese, lamentablemente, lo tiene dentro de sus fronteras, y no es fácilmente combatible por medios militares convencionales, o armas de destrucción masiva.</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adversario que crece y se reproduce fronteras adentro, que viene camuflado entre la inmigración ilegal, que es rescatado en el mar por las ONG europeas o por la guardia costera, que salta las vallas, que viene en los bajos de los camiones, que se cuela entre las atracciones de feria, que se aprovecha de los servicios sociales, del estado del bienestar, de la caridad, de la compasión, de la piedad, de la misericordia, de la generosidad, de la sociedad receptora. </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otros enemigos de Europa (mafias, traficantes de droga, crimen organizado…) tampoco se pueden contener con misiles, aviones de combate, o tanques blindados. En este caso las fuerzas y cuerpos de seguridad, y la inteligencia policial, pueden, y deben, cumplir el papel de prevención, disuasión y represión de la inseguridad ciudadana.   </w:t>
      </w:r>
    </w:p>
    <w:p w:rsidR="009274F9" w:rsidRPr="00ED28E0"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Y para aquellos que puedan abrigar algún temor sobre enemigos “imaginarios”, quedan las fuerzas armadas de los países miembro, que ya han participado de acciones conjuntas bajo el paraguas de la OTAN, que tienen suficiente formación militar, equipamiento y experiencia internacional, como para asegur</w:t>
      </w:r>
      <w:r w:rsidR="0024463A">
        <w:rPr>
          <w:rFonts w:ascii="Times New Roman" w:hAnsi="Times New Roman" w:cs="Times New Roman"/>
          <w:sz w:val="24"/>
          <w:szCs w:val="24"/>
        </w:rPr>
        <w:t xml:space="preserve">ar la defensa europea. </w:t>
      </w:r>
      <w:r w:rsidRPr="00ED28E0">
        <w:rPr>
          <w:rFonts w:ascii="Times New Roman" w:hAnsi="Times New Roman" w:cs="Times New Roman"/>
          <w:sz w:val="24"/>
          <w:szCs w:val="24"/>
        </w:rPr>
        <w:t xml:space="preserve">A lo único que hay que temer es al miedo (el complejo de inferioridad de la Unión Europea). </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La segunda oportunidad se presenta con el 5G (la autonomía tecnológica)</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Ante este desafío tecnológico, la Unión Europea, puede demostrar su independencia de criterio, no plegándose a los dictados (estratégicos) de los EEUU y negociando “de tú a tú” </w:t>
      </w:r>
      <w:r>
        <w:rPr>
          <w:rFonts w:ascii="Times New Roman" w:hAnsi="Times New Roman" w:cs="Times New Roman"/>
          <w:sz w:val="24"/>
          <w:szCs w:val="24"/>
        </w:rPr>
        <w:lastRenderedPageBreak/>
        <w:t xml:space="preserve">con China, para aceptar el despliegue del 5G, a cambio de negocios compensatorios en Asia. Un </w:t>
      </w:r>
      <w:r w:rsidRPr="0073132B">
        <w:rPr>
          <w:rFonts w:ascii="Times New Roman" w:hAnsi="Times New Roman" w:cs="Times New Roman"/>
          <w:sz w:val="24"/>
          <w:szCs w:val="24"/>
        </w:rPr>
        <w:t>“quid pro quo”</w:t>
      </w:r>
      <w:r>
        <w:rPr>
          <w:rFonts w:ascii="Times New Roman" w:hAnsi="Times New Roman" w:cs="Times New Roman"/>
          <w:sz w:val="24"/>
          <w:szCs w:val="24"/>
        </w:rPr>
        <w:t xml:space="preserve"> de mutua conveniencia, verificable, y transparente, donde no exista intencionalidad oculta (espionaje, manipulación, intoxicación, apropiación indebida).</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aquellos que consideren riesgoso permitir la intervención china en temas de alta tecnología en el territorio europeo, les dejo unas preguntas: ¿es más peligroso Huawei que Facebook? ¿puede espiar más China con el 5G que EEUU con Google? Espero respuesta. </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w:t>
      </w:r>
      <w:r w:rsidR="00FA3AA6">
        <w:rPr>
          <w:rFonts w:ascii="Times New Roman" w:hAnsi="Times New Roman" w:cs="Times New Roman"/>
          <w:sz w:val="24"/>
          <w:szCs w:val="24"/>
        </w:rPr>
        <w:t xml:space="preserve">lograr una mayor autonomía defensiva </w:t>
      </w:r>
      <w:r>
        <w:rPr>
          <w:rFonts w:ascii="Times New Roman" w:hAnsi="Times New Roman" w:cs="Times New Roman"/>
          <w:sz w:val="24"/>
          <w:szCs w:val="24"/>
        </w:rPr>
        <w:t>sería todo un desafío ante los EEUU, una prueba de madurez y seguridad en sí misma, adoptar un criterio tecnológico independiente y autónomo para el desarrollo del 5G, sería un desafío estratégico y comercial de proporciones mayores frente al lobby, manipulación, intoxicación, o chantaje americano.</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Estas dos actitudes, representarían un mensaje contundente y entendible, ante cualquier intento de coacción, amenaza, extorsión o timo, por parte de Washington S.A. (y el POTUS de turno). Sería una forma de demostrar (y demostrase) que la Unión Europea no solo “es” un gigante económico, sino que también “puede ser” un gigante político (en cuanto se lo proponga). </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Difícil, pero no imposible</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La Unión Europea tiene 500 millones de consumidores, y no creo que las empresas estadounidenses o chinas, quieran perder ese (apetitoso) mercado por “tirar demasiado de la cuerda”. Tanto Washington S.A, como el Socialismo de Mercado chino, saben de negocios, entienden de economía, protegen sus empresas, y no querrán quedarse fuera.</w:t>
      </w:r>
    </w:p>
    <w:p w:rsidR="009274F9" w:rsidRDefault="00FA3AA6"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009274F9">
        <w:rPr>
          <w:rFonts w:ascii="Times New Roman" w:hAnsi="Times New Roman" w:cs="Times New Roman"/>
          <w:sz w:val="24"/>
          <w:szCs w:val="24"/>
        </w:rPr>
        <w:t>a Unión Europea puede (y debe) estar tan cerca de los EEUU, como para no morir en el intento, y tan cerca de China, como para no morir por contagio. Y lo más importante, que ambos sepan, que la UE puede entrar o salir de la relación (tanto con EEUU, como con China), en función de sus (propios) intereses y objetivos.</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Sin pretensiones imperiales (imposibles), sin grandes discursos (innecesarios), sin hacer planteos utópicos (inconducentes), sin demagogia (inútil), sin falsas reivindicaciones (inoportunas)… con unidad (imprescindible), con humildad (necesaria), con perseverancia (indispensable), y con transparencia (esencial), hacer lo mejor posible, lo más rápido posible. </w:t>
      </w:r>
    </w:p>
    <w:p w:rsidR="009274F9" w:rsidRDefault="009274F9" w:rsidP="009274F9">
      <w:pPr>
        <w:spacing w:line="240" w:lineRule="auto"/>
        <w:jc w:val="both"/>
        <w:rPr>
          <w:rFonts w:ascii="Times New Roman" w:hAnsi="Times New Roman" w:cs="Times New Roman"/>
          <w:sz w:val="24"/>
          <w:szCs w:val="24"/>
        </w:rPr>
      </w:pPr>
      <w:r w:rsidRPr="000F4E61">
        <w:rPr>
          <w:rFonts w:ascii="Times New Roman" w:hAnsi="Times New Roman" w:cs="Times New Roman"/>
          <w:sz w:val="24"/>
          <w:szCs w:val="24"/>
        </w:rPr>
        <w:t>Ingenuidad más soberbia</w:t>
      </w:r>
      <w:r>
        <w:rPr>
          <w:rFonts w:ascii="Times New Roman" w:hAnsi="Times New Roman" w:cs="Times New Roman"/>
          <w:sz w:val="24"/>
          <w:szCs w:val="24"/>
        </w:rPr>
        <w:t>. Una combinación peligrosísima</w:t>
      </w:r>
    </w:p>
    <w:p w:rsidR="009274F9" w:rsidRDefault="009274F9" w:rsidP="009274F9">
      <w:pPr>
        <w:spacing w:line="240" w:lineRule="auto"/>
        <w:jc w:val="both"/>
        <w:rPr>
          <w:rFonts w:ascii="Times New Roman" w:hAnsi="Times New Roman" w:cs="Times New Roman"/>
          <w:sz w:val="24"/>
          <w:szCs w:val="24"/>
        </w:rPr>
      </w:pPr>
      <w:r w:rsidRPr="000F4E61">
        <w:rPr>
          <w:rFonts w:ascii="Times New Roman" w:hAnsi="Times New Roman" w:cs="Times New Roman"/>
          <w:sz w:val="24"/>
          <w:szCs w:val="24"/>
        </w:rPr>
        <w:t>Certezas absolutas no hay, pero si diversos grados de dudas razonables, indicios y evidencias.</w:t>
      </w:r>
      <w:r>
        <w:rPr>
          <w:rFonts w:ascii="Times New Roman" w:hAnsi="Times New Roman" w:cs="Times New Roman"/>
          <w:sz w:val="24"/>
          <w:szCs w:val="24"/>
        </w:rPr>
        <w:t xml:space="preserve"> Mientras las autoridades europeas buscan las respuestas correctas, será conveniente y necesario, que </w:t>
      </w:r>
      <w:r w:rsidRPr="000F4E61">
        <w:rPr>
          <w:rFonts w:ascii="Times New Roman" w:hAnsi="Times New Roman" w:cs="Times New Roman"/>
          <w:sz w:val="24"/>
          <w:szCs w:val="24"/>
        </w:rPr>
        <w:t>las negociaciones</w:t>
      </w:r>
      <w:r>
        <w:rPr>
          <w:rFonts w:ascii="Times New Roman" w:hAnsi="Times New Roman" w:cs="Times New Roman"/>
          <w:sz w:val="24"/>
          <w:szCs w:val="24"/>
        </w:rPr>
        <w:t xml:space="preserve"> no se realicen por</w:t>
      </w:r>
      <w:r w:rsidRPr="000F4E61">
        <w:rPr>
          <w:rFonts w:ascii="Times New Roman" w:hAnsi="Times New Roman" w:cs="Times New Roman"/>
          <w:sz w:val="24"/>
          <w:szCs w:val="24"/>
        </w:rPr>
        <w:t xml:space="preserve"> debajo de la mesa, a espaldas de la sociedad</w:t>
      </w:r>
      <w:r>
        <w:rPr>
          <w:rFonts w:ascii="Times New Roman" w:hAnsi="Times New Roman" w:cs="Times New Roman"/>
          <w:sz w:val="24"/>
          <w:szCs w:val="24"/>
        </w:rPr>
        <w:t xml:space="preserve"> europea (bastante desconfianza y euroescepticismo hay ya, por parte de la ciudadanía, para ampliar la brecha ocultando información).</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Creo que Europa ya entendió (con dolor) que no hay “sus mejores amigos para siempre” (USA), ahora le falta probar, demostrase a sí misma (con inteligencia) que tampoco los “enemigos son eternos” (China). Sin embargo </w:t>
      </w:r>
      <w:r w:rsidRPr="00D26CBB">
        <w:rPr>
          <w:rFonts w:ascii="Times New Roman" w:hAnsi="Times New Roman" w:cs="Times New Roman"/>
          <w:sz w:val="24"/>
          <w:szCs w:val="24"/>
        </w:rPr>
        <w:t xml:space="preserve">en todo el mundo, ha habido una pérdida generalizada de confianza en las instituciones y en la opinión de los expertos, así como una profunda sensación de marginalización y alienación entre segmentos significativos de la sociedad.La polarización política es más intensa, y muchas democracias están atravesando transiciones inciertas. </w:t>
      </w:r>
    </w:p>
    <w:p w:rsidR="009274F9" w:rsidRDefault="009274F9" w:rsidP="009274F9">
      <w:pPr>
        <w:spacing w:line="240" w:lineRule="auto"/>
        <w:jc w:val="both"/>
        <w:rPr>
          <w:rFonts w:ascii="Times New Roman" w:hAnsi="Times New Roman" w:cs="Times New Roman"/>
          <w:sz w:val="24"/>
          <w:szCs w:val="24"/>
        </w:rPr>
      </w:pPr>
      <w:r w:rsidRPr="00D26CBB">
        <w:rPr>
          <w:rFonts w:ascii="Times New Roman" w:hAnsi="Times New Roman" w:cs="Times New Roman"/>
          <w:sz w:val="24"/>
          <w:szCs w:val="24"/>
        </w:rPr>
        <w:lastRenderedPageBreak/>
        <w:t>Para el bienestar económico y la estabilidad financiera de largo plazo, esta letanía de incertidumbres exige una respuesta política que se extienda más allá de la competencia tra</w:t>
      </w:r>
      <w:r>
        <w:rPr>
          <w:rFonts w:ascii="Times New Roman" w:hAnsi="Times New Roman" w:cs="Times New Roman"/>
          <w:sz w:val="24"/>
          <w:szCs w:val="24"/>
        </w:rPr>
        <w:t>dicional entre los bloques económicos</w:t>
      </w:r>
      <w:r w:rsidRPr="00D26CBB">
        <w:rPr>
          <w:rFonts w:ascii="Times New Roman" w:hAnsi="Times New Roman" w:cs="Times New Roman"/>
          <w:sz w:val="24"/>
          <w:szCs w:val="24"/>
        </w:rPr>
        <w:t>. Requiere un compromiso integral de varios años en el que se utilicen herramientas estructural</w:t>
      </w:r>
      <w:r>
        <w:rPr>
          <w:rFonts w:ascii="Times New Roman" w:hAnsi="Times New Roman" w:cs="Times New Roman"/>
          <w:sz w:val="24"/>
          <w:szCs w:val="24"/>
        </w:rPr>
        <w:t xml:space="preserve">es, fiscales y transfronterizas, multilaterales (cuando sea posible) o bilaterales (cuando sea necesario). </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Sin afán de protagonismo (con humildad y perseverancia, pero con firmeza y consistencia) la Unión Europea deberá enfrentar</w:t>
      </w:r>
      <w:r w:rsidRPr="00D26CBB">
        <w:rPr>
          <w:rFonts w:ascii="Times New Roman" w:hAnsi="Times New Roman" w:cs="Times New Roman"/>
          <w:sz w:val="24"/>
          <w:szCs w:val="24"/>
        </w:rPr>
        <w:t xml:space="preserve"> desafíos aún mayores para</w:t>
      </w:r>
      <w:r>
        <w:rPr>
          <w:rFonts w:ascii="Times New Roman" w:hAnsi="Times New Roman" w:cs="Times New Roman"/>
          <w:sz w:val="24"/>
          <w:szCs w:val="24"/>
        </w:rPr>
        <w:t xml:space="preserve"> alcanzar la autonomía económica</w:t>
      </w:r>
      <w:r w:rsidRPr="00D26CBB">
        <w:rPr>
          <w:rFonts w:ascii="Times New Roman" w:hAnsi="Times New Roman" w:cs="Times New Roman"/>
          <w:sz w:val="24"/>
          <w:szCs w:val="24"/>
        </w:rPr>
        <w:t xml:space="preserve"> y la credibilidad política</w:t>
      </w:r>
      <w:r>
        <w:rPr>
          <w:rFonts w:ascii="Times New Roman" w:hAnsi="Times New Roman" w:cs="Times New Roman"/>
          <w:sz w:val="24"/>
          <w:szCs w:val="24"/>
        </w:rPr>
        <w:t>,</w:t>
      </w:r>
      <w:r w:rsidRPr="00D26CBB">
        <w:rPr>
          <w:rFonts w:ascii="Times New Roman" w:hAnsi="Times New Roman" w:cs="Times New Roman"/>
          <w:sz w:val="24"/>
          <w:szCs w:val="24"/>
        </w:rPr>
        <w:t xml:space="preserve"> que son ta</w:t>
      </w:r>
      <w:r>
        <w:rPr>
          <w:rFonts w:ascii="Times New Roman" w:hAnsi="Times New Roman" w:cs="Times New Roman"/>
          <w:sz w:val="24"/>
          <w:szCs w:val="24"/>
        </w:rPr>
        <w:t>n cruciales para su efectividad y continuidad.</w:t>
      </w:r>
    </w:p>
    <w:p w:rsidR="009274F9"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Sin dejar de defender</w:t>
      </w:r>
      <w:r w:rsidRPr="006B2745">
        <w:rPr>
          <w:rFonts w:ascii="Times New Roman" w:hAnsi="Times New Roman" w:cs="Times New Roman"/>
          <w:sz w:val="24"/>
          <w:szCs w:val="24"/>
        </w:rPr>
        <w:t xml:space="preserve"> una concepción orgánica de la sociedad</w:t>
      </w:r>
      <w:r>
        <w:rPr>
          <w:rFonts w:ascii="Times New Roman" w:hAnsi="Times New Roman" w:cs="Times New Roman"/>
          <w:sz w:val="24"/>
          <w:szCs w:val="24"/>
        </w:rPr>
        <w:t xml:space="preserve"> europea, se puede mantener un enfoque</w:t>
      </w:r>
      <w:r w:rsidRPr="006B2745">
        <w:rPr>
          <w:rFonts w:ascii="Times New Roman" w:hAnsi="Times New Roman" w:cs="Times New Roman"/>
          <w:sz w:val="24"/>
          <w:szCs w:val="24"/>
        </w:rPr>
        <w:t xml:space="preserve"> mercantilista de la economía, ambas orientadas por los valores del honor, la seguridad y la fidelidad. Todo ello hecho con un esp</w:t>
      </w:r>
      <w:r>
        <w:rPr>
          <w:rFonts w:ascii="Times New Roman" w:hAnsi="Times New Roman" w:cs="Times New Roman"/>
          <w:sz w:val="24"/>
          <w:szCs w:val="24"/>
        </w:rPr>
        <w:t>íritu vivaz y combativo. En definitiva: no se trata de llorar por lo que se ha</w:t>
      </w:r>
      <w:r w:rsidRPr="006B2745">
        <w:rPr>
          <w:rFonts w:ascii="Times New Roman" w:hAnsi="Times New Roman" w:cs="Times New Roman"/>
          <w:sz w:val="24"/>
          <w:szCs w:val="24"/>
        </w:rPr>
        <w:t xml:space="preserve"> perdido, sino de</w:t>
      </w:r>
      <w:r>
        <w:rPr>
          <w:rFonts w:ascii="Times New Roman" w:hAnsi="Times New Roman" w:cs="Times New Roman"/>
          <w:sz w:val="24"/>
          <w:szCs w:val="24"/>
        </w:rPr>
        <w:t xml:space="preserve"> valorar lo que se ha conservado</w:t>
      </w:r>
      <w:r w:rsidRPr="006B2745">
        <w:rPr>
          <w:rFonts w:ascii="Times New Roman" w:hAnsi="Times New Roman" w:cs="Times New Roman"/>
          <w:sz w:val="24"/>
          <w:szCs w:val="24"/>
        </w:rPr>
        <w:t>, y</w:t>
      </w:r>
      <w:r>
        <w:rPr>
          <w:rFonts w:ascii="Times New Roman" w:hAnsi="Times New Roman" w:cs="Times New Roman"/>
          <w:sz w:val="24"/>
          <w:szCs w:val="24"/>
        </w:rPr>
        <w:t xml:space="preserve"> ver</w:t>
      </w:r>
      <w:r w:rsidRPr="006B2745">
        <w:rPr>
          <w:rFonts w:ascii="Times New Roman" w:hAnsi="Times New Roman" w:cs="Times New Roman"/>
          <w:sz w:val="24"/>
          <w:szCs w:val="24"/>
        </w:rPr>
        <w:t xml:space="preserve"> cómo mantenerlo.</w:t>
      </w:r>
      <w:r>
        <w:rPr>
          <w:rFonts w:ascii="Times New Roman" w:hAnsi="Times New Roman" w:cs="Times New Roman"/>
          <w:sz w:val="24"/>
          <w:szCs w:val="24"/>
        </w:rPr>
        <w:t xml:space="preserve"> Se trata de maximizar el valor actual del futuro.</w:t>
      </w:r>
    </w:p>
    <w:p w:rsidR="009274F9" w:rsidRPr="00D26CBB"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26CBB">
        <w:rPr>
          <w:rFonts w:ascii="Times New Roman" w:hAnsi="Times New Roman" w:cs="Times New Roman"/>
          <w:sz w:val="24"/>
          <w:szCs w:val="24"/>
        </w:rPr>
        <w:t>Las relaciones internacionales son un ámbito anárquico; no existe un gobierno mundial que pueda proporcionar orden. Los Estados deben proporcionar su propia defensa, y cuando la supervivencia está en juego, los fines justifican los medios. Donde no hay forma de elegir una opción significativa, no puede haber ética. Como dicen los filósofos, “si se debería hacer algo, ello implica que se puede hacer ese algo”. Nadie puede culpar a alg</w:t>
      </w:r>
      <w:r>
        <w:rPr>
          <w:rFonts w:ascii="Times New Roman" w:hAnsi="Times New Roman" w:cs="Times New Roman"/>
          <w:sz w:val="24"/>
          <w:szCs w:val="24"/>
        </w:rPr>
        <w:t>uien por no hacer lo imposible.</w:t>
      </w:r>
    </w:p>
    <w:p w:rsidR="009274F9" w:rsidRPr="006A6B5E" w:rsidRDefault="009274F9" w:rsidP="009274F9">
      <w:pPr>
        <w:spacing w:line="240" w:lineRule="auto"/>
        <w:jc w:val="both"/>
        <w:rPr>
          <w:rFonts w:ascii="Times New Roman" w:hAnsi="Times New Roman" w:cs="Times New Roman"/>
          <w:sz w:val="24"/>
          <w:szCs w:val="24"/>
          <w:lang w:val="en-US"/>
        </w:rPr>
      </w:pPr>
      <w:r w:rsidRPr="00D26CBB">
        <w:rPr>
          <w:rFonts w:ascii="Times New Roman" w:hAnsi="Times New Roman" w:cs="Times New Roman"/>
          <w:sz w:val="24"/>
          <w:szCs w:val="24"/>
        </w:rPr>
        <w:t>Según esta lógica, combinar la ética y la política exterior es un error categórico, por ejemplo: es como preguntar si un cuchillo suena bien, en lugar de preguntar si corta bien, o si una escoba baila mejor en comparación con una que cuesta más. Por lo tanto, al poner en tela de juicio la política exterior de un presidente, simplemente debemos preguntarnos si dicha política exte</w:t>
      </w:r>
      <w:r>
        <w:rPr>
          <w:rFonts w:ascii="Times New Roman" w:hAnsi="Times New Roman" w:cs="Times New Roman"/>
          <w:sz w:val="24"/>
          <w:szCs w:val="24"/>
        </w:rPr>
        <w:t xml:space="preserve">rior funcionó, no si fue moral”... dice Joseph S. Nye, Jr. </w:t>
      </w:r>
      <w:r w:rsidR="006F4EFB">
        <w:rPr>
          <w:rFonts w:ascii="Times New Roman" w:hAnsi="Times New Roman" w:cs="Times New Roman"/>
          <w:sz w:val="24"/>
          <w:szCs w:val="24"/>
          <w:lang w:val="en-US"/>
        </w:rPr>
        <w:t xml:space="preserve">(Harvard University, </w:t>
      </w:r>
      <w:r w:rsidRPr="006A6B5E">
        <w:rPr>
          <w:rFonts w:ascii="Times New Roman" w:hAnsi="Times New Roman" w:cs="Times New Roman"/>
          <w:sz w:val="24"/>
          <w:szCs w:val="24"/>
          <w:lang w:val="en-US"/>
        </w:rPr>
        <w:t>Presidents and Foreign Policy from FDR to Trump</w:t>
      </w:r>
      <w:r>
        <w:rPr>
          <w:rFonts w:ascii="Times New Roman" w:hAnsi="Times New Roman" w:cs="Times New Roman"/>
          <w:sz w:val="24"/>
          <w:szCs w:val="24"/>
          <w:lang w:val="en-US"/>
        </w:rPr>
        <w:t>)</w:t>
      </w:r>
      <w:r w:rsidR="006F4EFB">
        <w:rPr>
          <w:rFonts w:ascii="Times New Roman" w:hAnsi="Times New Roman" w:cs="Times New Roman"/>
          <w:sz w:val="24"/>
          <w:szCs w:val="24"/>
          <w:lang w:val="en-US"/>
        </w:rPr>
        <w:t xml:space="preserve">, en </w:t>
      </w:r>
      <w:r w:rsidRPr="006A6B5E">
        <w:rPr>
          <w:rFonts w:ascii="Times New Roman" w:hAnsi="Times New Roman" w:cs="Times New Roman"/>
          <w:sz w:val="24"/>
          <w:szCs w:val="24"/>
          <w:lang w:val="en-US"/>
        </w:rPr>
        <w:t>Project S</w:t>
      </w:r>
      <w:r w:rsidR="006F4EFB">
        <w:rPr>
          <w:rFonts w:ascii="Times New Roman" w:hAnsi="Times New Roman" w:cs="Times New Roman"/>
          <w:sz w:val="24"/>
          <w:szCs w:val="24"/>
          <w:lang w:val="en-US"/>
        </w:rPr>
        <w:t>yndicate (</w:t>
      </w:r>
      <w:r w:rsidRPr="00FA3AA6">
        <w:rPr>
          <w:rFonts w:ascii="Times New Roman" w:hAnsi="Times New Roman" w:cs="Times New Roman"/>
          <w:b/>
          <w:sz w:val="24"/>
          <w:szCs w:val="24"/>
          <w:lang w:val="en-US"/>
        </w:rPr>
        <w:t>8/1/20</w:t>
      </w:r>
      <w:r w:rsidR="006F4EFB">
        <w:rPr>
          <w:rFonts w:ascii="Times New Roman" w:hAnsi="Times New Roman" w:cs="Times New Roman"/>
          <w:b/>
          <w:sz w:val="24"/>
          <w:szCs w:val="24"/>
          <w:lang w:val="en-US"/>
        </w:rPr>
        <w:t>).</w:t>
      </w:r>
    </w:p>
    <w:p w:rsidR="006F4EFB" w:rsidRDefault="009274F9" w:rsidP="009274F9">
      <w:pPr>
        <w:spacing w:line="240" w:lineRule="auto"/>
        <w:jc w:val="both"/>
        <w:rPr>
          <w:rFonts w:ascii="Times New Roman" w:hAnsi="Times New Roman" w:cs="Times New Roman"/>
          <w:sz w:val="24"/>
          <w:szCs w:val="24"/>
        </w:rPr>
      </w:pPr>
      <w:r w:rsidRPr="006A6B5E">
        <w:rPr>
          <w:rFonts w:ascii="Times New Roman" w:hAnsi="Times New Roman" w:cs="Times New Roman"/>
          <w:sz w:val="24"/>
          <w:szCs w:val="24"/>
        </w:rPr>
        <w:t>L</w:t>
      </w:r>
      <w:r>
        <w:rPr>
          <w:rFonts w:ascii="Times New Roman" w:hAnsi="Times New Roman" w:cs="Times New Roman"/>
          <w:sz w:val="24"/>
          <w:szCs w:val="24"/>
        </w:rPr>
        <w:t>os dirigentes de la Unión Europea debe</w:t>
      </w:r>
      <w:r w:rsidR="006F4EFB">
        <w:rPr>
          <w:rFonts w:ascii="Times New Roman" w:hAnsi="Times New Roman" w:cs="Times New Roman"/>
          <w:sz w:val="24"/>
          <w:szCs w:val="24"/>
        </w:rPr>
        <w:t>n</w:t>
      </w:r>
      <w:r>
        <w:rPr>
          <w:rFonts w:ascii="Times New Roman" w:hAnsi="Times New Roman" w:cs="Times New Roman"/>
          <w:sz w:val="24"/>
          <w:szCs w:val="24"/>
        </w:rPr>
        <w:t xml:space="preserve"> asumir que l</w:t>
      </w:r>
      <w:r w:rsidRPr="00D26CBB">
        <w:rPr>
          <w:rFonts w:ascii="Times New Roman" w:hAnsi="Times New Roman" w:cs="Times New Roman"/>
          <w:sz w:val="24"/>
          <w:szCs w:val="24"/>
        </w:rPr>
        <w:t>as buenas intenciones sin los medios adecuados para hacerlas realidad pueden conducir a resultados éticamente malos</w:t>
      </w:r>
      <w:r>
        <w:rPr>
          <w:rFonts w:ascii="Times New Roman" w:hAnsi="Times New Roman" w:cs="Times New Roman"/>
          <w:sz w:val="24"/>
          <w:szCs w:val="24"/>
        </w:rPr>
        <w:t xml:space="preserve">, y tener claro (muy claro) en cambio, que serán juzgados </w:t>
      </w:r>
      <w:r w:rsidRPr="00D26CBB">
        <w:rPr>
          <w:rFonts w:ascii="Times New Roman" w:hAnsi="Times New Roman" w:cs="Times New Roman"/>
          <w:sz w:val="24"/>
          <w:szCs w:val="24"/>
        </w:rPr>
        <w:t>simplemente</w:t>
      </w:r>
      <w:r>
        <w:rPr>
          <w:rFonts w:ascii="Times New Roman" w:hAnsi="Times New Roman" w:cs="Times New Roman"/>
          <w:sz w:val="24"/>
          <w:szCs w:val="24"/>
        </w:rPr>
        <w:t>,</w:t>
      </w:r>
      <w:r w:rsidRPr="00D26CBB">
        <w:rPr>
          <w:rFonts w:ascii="Times New Roman" w:hAnsi="Times New Roman" w:cs="Times New Roman"/>
          <w:sz w:val="24"/>
          <w:szCs w:val="24"/>
        </w:rPr>
        <w:t xml:space="preserve"> por los resul</w:t>
      </w:r>
      <w:r>
        <w:rPr>
          <w:rFonts w:ascii="Times New Roman" w:hAnsi="Times New Roman" w:cs="Times New Roman"/>
          <w:sz w:val="24"/>
          <w:szCs w:val="24"/>
        </w:rPr>
        <w:t xml:space="preserve">tados obtenidos. </w:t>
      </w:r>
    </w:p>
    <w:p w:rsidR="009274F9" w:rsidRPr="00D26CBB" w:rsidRDefault="009274F9" w:rsidP="009274F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A7FA5">
        <w:rPr>
          <w:rFonts w:ascii="Times New Roman" w:hAnsi="Times New Roman" w:cs="Times New Roman"/>
          <w:sz w:val="24"/>
          <w:szCs w:val="24"/>
        </w:rPr>
        <w:t>Tenemos que ser modernos para defender el pasado y creativos para defender la tradición</w:t>
      </w:r>
      <w:r>
        <w:rPr>
          <w:rFonts w:ascii="Times New Roman" w:hAnsi="Times New Roman" w:cs="Times New Roman"/>
          <w:sz w:val="24"/>
          <w:szCs w:val="24"/>
        </w:rPr>
        <w:t>”</w:t>
      </w:r>
      <w:r w:rsidRPr="00CA7FA5">
        <w:rPr>
          <w:rFonts w:ascii="Times New Roman" w:hAnsi="Times New Roman" w:cs="Times New Roman"/>
          <w:sz w:val="24"/>
          <w:szCs w:val="24"/>
        </w:rPr>
        <w:t>.</w:t>
      </w:r>
      <w:r>
        <w:rPr>
          <w:rFonts w:ascii="Times New Roman" w:hAnsi="Times New Roman" w:cs="Times New Roman"/>
          <w:sz w:val="24"/>
          <w:szCs w:val="24"/>
        </w:rPr>
        <w:t xml:space="preserve"> (T. S. Eliot)</w:t>
      </w:r>
    </w:p>
    <w:p w:rsidR="001C678E" w:rsidRDefault="006263D6" w:rsidP="001C678E">
      <w:pPr>
        <w:spacing w:line="240" w:lineRule="auto"/>
        <w:jc w:val="both"/>
        <w:rPr>
          <w:rFonts w:ascii="Times New Roman" w:hAnsi="Times New Roman" w:cs="Times New Roman"/>
          <w:b/>
          <w:sz w:val="24"/>
          <w:szCs w:val="24"/>
        </w:rPr>
      </w:pPr>
      <w:r>
        <w:rPr>
          <w:rFonts w:ascii="Times New Roman" w:hAnsi="Times New Roman" w:cs="Times New Roman"/>
          <w:b/>
          <w:sz w:val="24"/>
          <w:szCs w:val="24"/>
        </w:rPr>
        <w:t>¿Por qué la Unión Europea tiene un futuro (político y económico) imperfecto? La UE</w:t>
      </w:r>
      <w:r w:rsidR="001C678E" w:rsidRPr="00D65A2B">
        <w:rPr>
          <w:rFonts w:ascii="Times New Roman" w:hAnsi="Times New Roman" w:cs="Times New Roman"/>
          <w:b/>
          <w:sz w:val="24"/>
          <w:szCs w:val="24"/>
        </w:rPr>
        <w:t xml:space="preserve"> sigue haciéndose trampas en el solitario</w:t>
      </w:r>
      <w:r w:rsidR="001C678E">
        <w:rPr>
          <w:rFonts w:ascii="Times New Roman" w:hAnsi="Times New Roman" w:cs="Times New Roman"/>
          <w:b/>
          <w:sz w:val="24"/>
          <w:szCs w:val="24"/>
        </w:rPr>
        <w:t xml:space="preserve"> (menos globalización y precios más altos)</w:t>
      </w:r>
    </w:p>
    <w:p w:rsidR="00122D80" w:rsidRDefault="00122D80" w:rsidP="00122D80">
      <w:pPr>
        <w:pStyle w:val="NormalWeb"/>
        <w:spacing w:before="0" w:beforeAutospacing="0" w:after="360" w:afterAutospacing="0"/>
        <w:jc w:val="both"/>
      </w:pPr>
      <w:r w:rsidRPr="0079449C">
        <w:rPr>
          <w:u w:val="single"/>
        </w:rPr>
        <w:t>En un intento de satisfacer tanto al nuevo como al antiguo votante, los partidos</w:t>
      </w:r>
      <w:r>
        <w:rPr>
          <w:u w:val="single"/>
        </w:rPr>
        <w:t xml:space="preserve"> políticos europeos</w:t>
      </w:r>
      <w:r w:rsidRPr="0079449C">
        <w:rPr>
          <w:u w:val="single"/>
        </w:rPr>
        <w:t xml:space="preserve"> reaccionan adoptando un discurso vago, difuso y populista para hacer la carpa lo más amplia posible.</w:t>
      </w:r>
      <w:r w:rsidRPr="006813FD">
        <w:t xml:space="preserve"> El populismo se convierte en el nuevo lenguaje político imperante, aunque a veces lo</w:t>
      </w:r>
      <w:r w:rsidR="000C7117">
        <w:t xml:space="preserve"> haga detrás del disfraz de la “moderación”. Se trata de una “moderación”</w:t>
      </w:r>
      <w:r w:rsidRPr="006813FD">
        <w:t xml:space="preserve"> a lo </w:t>
      </w:r>
      <w:hyperlink r:id="rId222" w:tgtFrame="_blank" w:history="1">
        <w:r w:rsidRPr="000C7117">
          <w:rPr>
            <w:rStyle w:val="Hipervnculo"/>
            <w:bCs/>
            <w:color w:val="auto"/>
            <w:u w:val="none"/>
          </w:rPr>
          <w:t>Angela Merkel</w:t>
        </w:r>
      </w:hyperlink>
      <w:r w:rsidRPr="006813FD">
        <w:t>, para no hacer nada costoso en el corto plazo, dejarlo todo como está y no enfadar a nadie; en definitiva, nada más profundo que cambios cosméticos.</w:t>
      </w:r>
    </w:p>
    <w:p w:rsidR="006F4EFB" w:rsidRDefault="00A72E0A" w:rsidP="006F4EFB">
      <w:pPr>
        <w:pStyle w:val="NormalWeb"/>
        <w:spacing w:after="360"/>
        <w:jc w:val="both"/>
      </w:pPr>
      <w:r>
        <w:t>Quiere</w:t>
      </w:r>
      <w:r w:rsidR="00122D80">
        <w:t>n hacer tortillas sin romper</w:t>
      </w:r>
      <w:r w:rsidR="006F4EFB">
        <w:t xml:space="preserve"> los</w:t>
      </w:r>
      <w:r w:rsidR="00122D80">
        <w:t xml:space="preserve"> huevos;</w:t>
      </w:r>
      <w:r>
        <w:t xml:space="preserve"> intentan</w:t>
      </w:r>
      <w:r w:rsidR="00122D80">
        <w:t xml:space="preserve"> caminar sin pisar</w:t>
      </w:r>
      <w:r w:rsidR="006F4EFB">
        <w:t xml:space="preserve"> en los</w:t>
      </w:r>
      <w:r w:rsidR="00122D80">
        <w:t xml:space="preserve"> callos</w:t>
      </w:r>
      <w:r w:rsidR="006F4EFB">
        <w:t xml:space="preserve"> de nadie</w:t>
      </w:r>
      <w:r w:rsidR="00122D80">
        <w:t xml:space="preserve">; </w:t>
      </w:r>
      <w:r w:rsidR="00122D80" w:rsidRPr="00122D80">
        <w:t>pretenden in</w:t>
      </w:r>
      <w:r>
        <w:t>ventar el azúcar salado; tratan de</w:t>
      </w:r>
      <w:r w:rsidR="00122D80" w:rsidRPr="00122D80">
        <w:t xml:space="preserve"> subir </w:t>
      </w:r>
      <w:r>
        <w:t>y bajar</w:t>
      </w:r>
      <w:r w:rsidR="000C7117">
        <w:t xml:space="preserve"> la escalera</w:t>
      </w:r>
      <w:r>
        <w:t xml:space="preserve"> al mismo tiempo; procuran</w:t>
      </w:r>
      <w:r w:rsidR="00122D80" w:rsidRPr="00122D80">
        <w:t xml:space="preserve"> soplar y sorber a la vez, </w:t>
      </w:r>
      <w:r>
        <w:t>sueñan con</w:t>
      </w:r>
      <w:r w:rsidR="000C7117">
        <w:t xml:space="preserve"> tener solo medio embarazo</w:t>
      </w:r>
      <w:r w:rsidR="00122D80" w:rsidRPr="00122D80">
        <w:t>…</w:t>
      </w:r>
    </w:p>
    <w:p w:rsidR="00A72E0A" w:rsidRPr="000C7117" w:rsidRDefault="00A72E0A" w:rsidP="006F4EFB">
      <w:pPr>
        <w:pStyle w:val="NormalWeb"/>
        <w:spacing w:after="360"/>
        <w:jc w:val="both"/>
      </w:pPr>
      <w:r w:rsidRPr="000C7117">
        <w:lastRenderedPageBreak/>
        <w:t xml:space="preserve">Y estas “mentiras maravillosas” solo son la punta del iceberg… Una población afligida por miedo y desencanto por lo que está por venir. Una dirigencia (política y empresarial) que no es creíble ni siquiera cuando -sin querer- dice una verdad. </w:t>
      </w:r>
    </w:p>
    <w:p w:rsidR="00A72E0A" w:rsidRPr="000C7117" w:rsidRDefault="00A72E0A" w:rsidP="00A72E0A">
      <w:pPr>
        <w:pStyle w:val="NormalWeb"/>
        <w:spacing w:after="360"/>
        <w:jc w:val="both"/>
        <w:rPr>
          <w:b/>
        </w:rPr>
      </w:pPr>
      <w:r w:rsidRPr="000C7117">
        <w:rPr>
          <w:b/>
        </w:rPr>
        <w:t xml:space="preserve">¿Quo vadis Europa? Un “capitalismo” </w:t>
      </w:r>
      <w:r w:rsidR="00244C56">
        <w:rPr>
          <w:b/>
        </w:rPr>
        <w:t>sin mercado,</w:t>
      </w:r>
      <w:r w:rsidRPr="000C7117">
        <w:rPr>
          <w:b/>
        </w:rPr>
        <w:t xml:space="preserve"> o un “socialismo” sin planificación</w:t>
      </w:r>
    </w:p>
    <w:p w:rsidR="0066717C" w:rsidRPr="000C7117" w:rsidRDefault="00104144" w:rsidP="001C678E">
      <w:pPr>
        <w:spacing w:line="240" w:lineRule="auto"/>
        <w:jc w:val="both"/>
        <w:rPr>
          <w:rFonts w:ascii="Times New Roman" w:hAnsi="Times New Roman" w:cs="Times New Roman"/>
          <w:sz w:val="24"/>
          <w:szCs w:val="24"/>
        </w:rPr>
      </w:pPr>
      <w:r w:rsidRPr="000C7117">
        <w:rPr>
          <w:rFonts w:ascii="Times New Roman" w:hAnsi="Times New Roman" w:cs="Times New Roman"/>
          <w:sz w:val="24"/>
          <w:szCs w:val="24"/>
        </w:rPr>
        <w:t xml:space="preserve">Brexit, pandemia, guerra, cambio climático, </w:t>
      </w:r>
      <w:r w:rsidR="005C0018" w:rsidRPr="000C7117">
        <w:rPr>
          <w:rFonts w:ascii="Times New Roman" w:hAnsi="Times New Roman" w:cs="Times New Roman"/>
          <w:sz w:val="24"/>
          <w:szCs w:val="24"/>
        </w:rPr>
        <w:t>el laberinto de las cadenas de abastecimiento</w:t>
      </w:r>
      <w:r w:rsidRPr="000C7117">
        <w:rPr>
          <w:rFonts w:ascii="Times New Roman" w:hAnsi="Times New Roman" w:cs="Times New Roman"/>
          <w:sz w:val="24"/>
          <w:szCs w:val="24"/>
        </w:rPr>
        <w:t xml:space="preserve">… </w:t>
      </w:r>
      <w:r w:rsidR="009E3EE8" w:rsidRPr="000C7117">
        <w:rPr>
          <w:rFonts w:ascii="Times New Roman" w:hAnsi="Times New Roman" w:cs="Times New Roman"/>
          <w:sz w:val="24"/>
          <w:szCs w:val="24"/>
        </w:rPr>
        <w:t>¿Europa se para?</w:t>
      </w:r>
      <w:r w:rsidRPr="000C7117">
        <w:rPr>
          <w:rFonts w:ascii="Times New Roman" w:hAnsi="Times New Roman" w:cs="Times New Roman"/>
          <w:sz w:val="24"/>
          <w:szCs w:val="24"/>
        </w:rPr>
        <w:t xml:space="preserve"> ¿Cómo va a lidiar con todo esto?</w:t>
      </w:r>
      <w:r w:rsidR="00D25C74" w:rsidRPr="000C7117">
        <w:rPr>
          <w:rFonts w:ascii="Times New Roman" w:hAnsi="Times New Roman" w:cs="Times New Roman"/>
          <w:sz w:val="24"/>
          <w:szCs w:val="24"/>
        </w:rPr>
        <w:t xml:space="preserve">¿Otro vendrá que bueno te hará? </w:t>
      </w:r>
      <w:r w:rsidR="0066717C" w:rsidRPr="000C7117">
        <w:rPr>
          <w:rFonts w:ascii="Times New Roman" w:hAnsi="Times New Roman" w:cs="Times New Roman"/>
          <w:sz w:val="24"/>
          <w:szCs w:val="24"/>
        </w:rPr>
        <w:t>Cuando se llega a ese punto, levantar el vuelo es</w:t>
      </w:r>
      <w:r w:rsidRPr="000C7117">
        <w:rPr>
          <w:rFonts w:ascii="Times New Roman" w:hAnsi="Times New Roman" w:cs="Times New Roman"/>
          <w:sz w:val="24"/>
          <w:szCs w:val="24"/>
        </w:rPr>
        <w:t xml:space="preserve"> muy difícil, y con estos “pastores” (líderes), casi</w:t>
      </w:r>
      <w:r w:rsidR="0066717C" w:rsidRPr="000C7117">
        <w:rPr>
          <w:rFonts w:ascii="Times New Roman" w:hAnsi="Times New Roman" w:cs="Times New Roman"/>
          <w:sz w:val="24"/>
          <w:szCs w:val="24"/>
        </w:rPr>
        <w:t xml:space="preserve"> imposible.</w:t>
      </w:r>
    </w:p>
    <w:p w:rsidR="00D25C74" w:rsidRPr="000C7117" w:rsidRDefault="00F0064D" w:rsidP="001C678E">
      <w:pPr>
        <w:pStyle w:val="NormalWeb"/>
        <w:spacing w:after="0"/>
        <w:jc w:val="both"/>
        <w:textAlignment w:val="baseline"/>
      </w:pPr>
      <w:r>
        <w:t>¿Se avecina un nuevo “orden mundial”</w:t>
      </w:r>
      <w:r w:rsidR="001C678E" w:rsidRPr="000C7117">
        <w:t>? ¿Está la Unión Europea preparada para ello? ¿Cuál es el papel que espera asumir? ¿</w:t>
      </w:r>
      <w:r w:rsidR="00B622CE" w:rsidRPr="000C7117">
        <w:t>Hay algún plan de contingencia?</w:t>
      </w:r>
    </w:p>
    <w:p w:rsidR="005137F4" w:rsidRPr="006E6DBA" w:rsidRDefault="005137F4" w:rsidP="001C678E">
      <w:pPr>
        <w:pStyle w:val="NormalWeb"/>
        <w:spacing w:after="0"/>
        <w:jc w:val="both"/>
        <w:textAlignment w:val="baseline"/>
      </w:pPr>
      <w:r w:rsidRPr="006813FD">
        <w:t>En este mundo tan fluctuante,</w:t>
      </w:r>
      <w:r w:rsidRPr="006813FD">
        <w:rPr>
          <w:rStyle w:val="Textoennegrita"/>
        </w:rPr>
        <w:t> </w:t>
      </w:r>
      <w:r w:rsidRPr="006E6DBA">
        <w:rPr>
          <w:rStyle w:val="Textoennegrita"/>
          <w:b w:val="0"/>
        </w:rPr>
        <w:t>¿quiere un político tentar la suerte, incluso más, con políticas arriesgadas?</w:t>
      </w:r>
      <w:r w:rsidRPr="001A20E5">
        <w:rPr>
          <w:rStyle w:val="Textoennegrita"/>
          <w:b w:val="0"/>
        </w:rPr>
        <w:t>No</w:t>
      </w:r>
      <w:r w:rsidRPr="006813FD">
        <w:rPr>
          <w:rStyle w:val="Textoennegrita"/>
        </w:rPr>
        <w:t>.</w:t>
      </w:r>
      <w:r w:rsidRPr="006813FD">
        <w:t> Es mucho más rentable seguir la línea populista, pue</w:t>
      </w:r>
      <w:r w:rsidR="00F0064D">
        <w:t xml:space="preserve">s </w:t>
      </w:r>
      <w:r w:rsidRPr="006E6DBA">
        <w:t>el futuro se descuenta mucho más que antes.</w:t>
      </w:r>
    </w:p>
    <w:p w:rsidR="005137F4" w:rsidRDefault="005137F4" w:rsidP="005137F4">
      <w:pPr>
        <w:pStyle w:val="NormalWeb"/>
        <w:spacing w:before="0" w:beforeAutospacing="0" w:after="360" w:afterAutospacing="0"/>
        <w:jc w:val="both"/>
      </w:pPr>
      <w:r w:rsidRPr="006E6DBA">
        <w:t>A fin de cuentas, que alguno de los partidos políticos europeos pueda no existir en 2030 (recordar Agenda 2030) también significa que el político de turno no debe de preocuparse que su partido político pague electoralmente en el largo plazo las consecuencias de las frivolidades actuales que reportan votos hoy.</w:t>
      </w:r>
    </w:p>
    <w:p w:rsidR="006E6DBA" w:rsidRPr="006813FD" w:rsidRDefault="006E6DBA" w:rsidP="006E6DBA">
      <w:pPr>
        <w:pStyle w:val="NormalWeb"/>
        <w:spacing w:before="0" w:beforeAutospacing="0" w:after="0" w:afterAutospacing="0"/>
        <w:jc w:val="both"/>
      </w:pPr>
      <w:r w:rsidRPr="006E6DBA">
        <w:rPr>
          <w:rStyle w:val="Textoennegrita"/>
          <w:b w:val="0"/>
        </w:rPr>
        <w:t>La crisis de representación en los partidos políticos europeos tradicionales</w:t>
      </w:r>
      <w:r w:rsidRPr="006813FD">
        <w:t>fomenta la adopción de polít</w:t>
      </w:r>
      <w:r>
        <w:t>icas y discursos populistas. Y la falta de propuestas de largo plazo, permite sospechar que el</w:t>
      </w:r>
      <w:r w:rsidRPr="006813FD">
        <w:t xml:space="preserve"> discurso populista seguirá imperante en el medio plazo.</w:t>
      </w:r>
    </w:p>
    <w:p w:rsidR="001C678E" w:rsidRPr="00F0064D" w:rsidRDefault="001C678E" w:rsidP="001C678E">
      <w:pPr>
        <w:pStyle w:val="NormalWeb"/>
        <w:spacing w:after="0"/>
        <w:jc w:val="both"/>
        <w:textAlignment w:val="baseline"/>
        <w:rPr>
          <w:b/>
          <w:color w:val="FF0000"/>
        </w:rPr>
      </w:pPr>
      <w:r w:rsidRPr="00F0064D">
        <w:rPr>
          <w:b/>
          <w:color w:val="000000"/>
        </w:rPr>
        <w:t>El desastroso diseño de la globalización</w:t>
      </w:r>
    </w:p>
    <w:p w:rsidR="001C678E" w:rsidRPr="00F0064D" w:rsidRDefault="001C678E" w:rsidP="001C678E">
      <w:pPr>
        <w:pStyle w:val="bbc-bm53ic"/>
        <w:shd w:val="clear" w:color="auto" w:fill="FDFDFD"/>
        <w:spacing w:after="0"/>
        <w:jc w:val="both"/>
        <w:rPr>
          <w:shd w:val="clear" w:color="auto" w:fill="FFFFFF"/>
        </w:rPr>
      </w:pPr>
      <w:r w:rsidRPr="00F0064D">
        <w:rPr>
          <w:shd w:val="clear" w:color="auto" w:fill="FFFFFF"/>
        </w:rPr>
        <w:t>El fallo estratégico de los “pr</w:t>
      </w:r>
      <w:r w:rsidR="001A20E5">
        <w:rPr>
          <w:shd w:val="clear" w:color="auto" w:fill="FFFFFF"/>
        </w:rPr>
        <w:t>ofetas” del Nuevo Orden Mundial</w:t>
      </w:r>
      <w:r w:rsidRPr="00F0064D">
        <w:rPr>
          <w:shd w:val="clear" w:color="auto" w:fill="FFFFFF"/>
        </w:rPr>
        <w:t>: con un centro financiero: Wall Street, con una inteligencia artificial: Silicon Valley, y con un ejército de último recurso: China. Una forma salvaje de economía de mercado, sin otra ley que la de la fuerza.</w:t>
      </w:r>
    </w:p>
    <w:p w:rsidR="001C678E" w:rsidRPr="00F0064D" w:rsidRDefault="001C678E" w:rsidP="001C678E">
      <w:pPr>
        <w:pStyle w:val="bbc-bm53ic"/>
        <w:shd w:val="clear" w:color="auto" w:fill="FDFDFD"/>
        <w:spacing w:after="0"/>
        <w:jc w:val="both"/>
        <w:rPr>
          <w:shd w:val="clear" w:color="auto" w:fill="FFFFFF"/>
        </w:rPr>
      </w:pPr>
      <w:r w:rsidRPr="00F0064D">
        <w:rPr>
          <w:shd w:val="clear" w:color="auto" w:fill="FFFFFF"/>
        </w:rPr>
        <w:t>El error histórico de Occidente (en manos y pies del “capitalismo davosiano”): no tomar a los dictadores literalmente y en serio (más allá de los “memes”, y de los “memos”).</w:t>
      </w:r>
    </w:p>
    <w:p w:rsidR="001C678E" w:rsidRPr="00F0064D" w:rsidRDefault="001C678E" w:rsidP="001C678E">
      <w:pPr>
        <w:pStyle w:val="bbc-bm53ic"/>
        <w:shd w:val="clear" w:color="auto" w:fill="FDFDFD"/>
        <w:spacing w:after="0"/>
        <w:jc w:val="both"/>
        <w:rPr>
          <w:shd w:val="clear" w:color="auto" w:fill="FFFFFF"/>
        </w:rPr>
      </w:pPr>
      <w:r w:rsidRPr="00F0064D">
        <w:rPr>
          <w:shd w:val="clear" w:color="auto" w:fill="FFFFFF"/>
        </w:rPr>
        <w:t>La Agenda 2030 representa el acta de capitulación de Occidente, la sumisión a una forma de comunismo cool, y el acatamiento de los mantras progres o neocomunistas en materia de género, historia y cultura.</w:t>
      </w:r>
    </w:p>
    <w:p w:rsidR="001C678E" w:rsidRPr="00F0064D" w:rsidRDefault="001C678E" w:rsidP="001C678E">
      <w:pPr>
        <w:pStyle w:val="bbc-bm53ic"/>
        <w:shd w:val="clear" w:color="auto" w:fill="FDFDFD"/>
        <w:spacing w:after="0"/>
        <w:jc w:val="both"/>
        <w:rPr>
          <w:shd w:val="clear" w:color="auto" w:fill="FFFFFF"/>
        </w:rPr>
      </w:pPr>
      <w:r w:rsidRPr="00F0064D">
        <w:rPr>
          <w:shd w:val="clear" w:color="auto" w:fill="FFFFFF"/>
        </w:rPr>
        <w:t>¿Hasta dónde puede llegar la megalomanía y falta de empatía de los “amos del universo” (grandes empresarios norteamericanos y europeos) es difícil de comprender para el común de los mortales? ¿Qué acciones son capaces de realizar por tener acceso a más mercado?</w:t>
      </w:r>
    </w:p>
    <w:p w:rsidR="001C678E" w:rsidRPr="00F0064D" w:rsidRDefault="001C678E" w:rsidP="001C678E">
      <w:pPr>
        <w:pStyle w:val="bbc-bm53ic"/>
        <w:shd w:val="clear" w:color="auto" w:fill="FDFDFD"/>
        <w:spacing w:after="0"/>
        <w:jc w:val="both"/>
        <w:rPr>
          <w:shd w:val="clear" w:color="auto" w:fill="FFFFFF"/>
        </w:rPr>
      </w:pPr>
      <w:r w:rsidRPr="00F0064D">
        <w:rPr>
          <w:shd w:val="clear" w:color="auto" w:fill="FFFFFF"/>
        </w:rPr>
        <w:t>Pueden llegar a destrozar el futuro de millones de personas para alcanzar un sueño personal: “lejos de nosotros la funesta manía de pensar”</w:t>
      </w:r>
      <w:r w:rsidRPr="00F0064D">
        <w:rPr>
          <w:rFonts w:ascii="oxygen" w:hAnsi="oxygen"/>
          <w:sz w:val="25"/>
          <w:szCs w:val="25"/>
          <w:shd w:val="clear" w:color="auto" w:fill="FFFFFF"/>
        </w:rPr>
        <w:t>.</w:t>
      </w:r>
    </w:p>
    <w:p w:rsidR="001C678E" w:rsidRPr="00F0064D" w:rsidRDefault="001C678E" w:rsidP="001C678E">
      <w:pPr>
        <w:pStyle w:val="bbc-bm53ic"/>
        <w:shd w:val="clear" w:color="auto" w:fill="FDFDFD"/>
        <w:spacing w:after="0"/>
        <w:jc w:val="both"/>
        <w:rPr>
          <w:shd w:val="clear" w:color="auto" w:fill="FFFFFF"/>
        </w:rPr>
      </w:pPr>
      <w:r w:rsidRPr="00F0064D">
        <w:rPr>
          <w:shd w:val="clear" w:color="auto" w:fill="FFFFFF"/>
        </w:rPr>
        <w:t xml:space="preserve">¿Hasta cuándo EEUU y la UE continuarán “financiando los caprichos” </w:t>
      </w:r>
      <w:r w:rsidR="004A36AB">
        <w:rPr>
          <w:shd w:val="clear" w:color="auto" w:fill="FFFFFF"/>
        </w:rPr>
        <w:t>de algunos sátrapas como Xi Jin</w:t>
      </w:r>
      <w:r w:rsidRPr="00F0064D">
        <w:rPr>
          <w:shd w:val="clear" w:color="auto" w:fill="FFFFFF"/>
        </w:rPr>
        <w:t>ping o Vladimir Putin?</w:t>
      </w:r>
    </w:p>
    <w:p w:rsidR="001C678E" w:rsidRPr="00F0064D" w:rsidRDefault="001C678E" w:rsidP="001C678E">
      <w:pPr>
        <w:pStyle w:val="bbc-bm53ic"/>
        <w:shd w:val="clear" w:color="auto" w:fill="FDFDFD"/>
        <w:spacing w:after="0"/>
        <w:jc w:val="both"/>
        <w:rPr>
          <w:shd w:val="clear" w:color="auto" w:fill="FFFFFF"/>
        </w:rPr>
      </w:pPr>
      <w:r w:rsidRPr="00F0064D">
        <w:rPr>
          <w:shd w:val="clear" w:color="auto" w:fill="FFFFFF"/>
        </w:rPr>
        <w:lastRenderedPageBreak/>
        <w:t>¿Por qué creen los “capitalistas davosianos” (Wall Street y Silicon Valley) que podrán</w:t>
      </w:r>
      <w:r w:rsidR="004A36AB">
        <w:rPr>
          <w:shd w:val="clear" w:color="auto" w:fill="FFFFFF"/>
        </w:rPr>
        <w:t xml:space="preserve"> “abducir” (controlar) a Xi Jin</w:t>
      </w:r>
      <w:r w:rsidRPr="00F0064D">
        <w:rPr>
          <w:shd w:val="clear" w:color="auto" w:fill="FFFFFF"/>
        </w:rPr>
        <w:t>ping o Vladimir Putin?</w:t>
      </w:r>
    </w:p>
    <w:p w:rsidR="001C678E" w:rsidRPr="00F0064D" w:rsidRDefault="001C678E" w:rsidP="001C678E">
      <w:pPr>
        <w:pStyle w:val="bbc-bm53ic"/>
        <w:shd w:val="clear" w:color="auto" w:fill="FDFDFD"/>
        <w:spacing w:after="0"/>
        <w:jc w:val="both"/>
        <w:rPr>
          <w:shd w:val="clear" w:color="auto" w:fill="FFFFFF"/>
        </w:rPr>
      </w:pPr>
      <w:r w:rsidRPr="00F0064D">
        <w:rPr>
          <w:shd w:val="clear" w:color="auto" w:fill="FFFFFF"/>
        </w:rPr>
        <w:t>Putin avisó durante años lo que haría. Occidente no escuchó. ¿Escuchará ahora a los demás autócratas amenazadores del mundo?</w:t>
      </w:r>
    </w:p>
    <w:p w:rsidR="001C678E" w:rsidRPr="00F0064D" w:rsidRDefault="001C678E" w:rsidP="001C678E">
      <w:pPr>
        <w:pStyle w:val="bbc-bm53ic"/>
        <w:shd w:val="clear" w:color="auto" w:fill="FDFDFD"/>
        <w:spacing w:after="0"/>
        <w:jc w:val="both"/>
        <w:rPr>
          <w:shd w:val="clear" w:color="auto" w:fill="FFFFFF"/>
        </w:rPr>
      </w:pPr>
      <w:r w:rsidRPr="00F0064D">
        <w:rPr>
          <w:shd w:val="clear" w:color="auto" w:fill="FFFFFF"/>
        </w:rPr>
        <w:t>El Partido Comunista de China dijo durante años cuál sería su apuesta estratégica. Occidente no quiso enterarse. ¿Aceptará, sin más, el “sorpasso”, aclamando a la nueva potencia global?</w:t>
      </w:r>
    </w:p>
    <w:p w:rsidR="001C678E" w:rsidRPr="00F0064D" w:rsidRDefault="001C678E" w:rsidP="001C678E">
      <w:pPr>
        <w:pStyle w:val="bbc-bm53ic"/>
        <w:shd w:val="clear" w:color="auto" w:fill="FDFDFD"/>
        <w:spacing w:after="0"/>
        <w:jc w:val="both"/>
        <w:rPr>
          <w:shd w:val="clear" w:color="auto" w:fill="FFFFFF"/>
        </w:rPr>
      </w:pPr>
      <w:r w:rsidRPr="00F0064D">
        <w:rPr>
          <w:shd w:val="clear" w:color="auto" w:fill="FFFFFF"/>
        </w:rPr>
        <w:t>¿Hasta dónde los “capitalistas davosianos” (avaros, codiciosos, fatuos, arrogantes, cínicos, miopes…) están decididos a acelerar el ciclo o precipitar su final? ¿Qué cuenta de resultados, hipoteca, o chantaje, puede llevarlos por este “camino de servidumbre”?</w:t>
      </w:r>
    </w:p>
    <w:p w:rsidR="001C678E" w:rsidRPr="00F0064D" w:rsidRDefault="001C678E" w:rsidP="001C678E">
      <w:pPr>
        <w:pStyle w:val="bbc-bm53ic"/>
        <w:shd w:val="clear" w:color="auto" w:fill="FDFDFD"/>
        <w:spacing w:after="0"/>
        <w:jc w:val="both"/>
        <w:rPr>
          <w:shd w:val="clear" w:color="auto" w:fill="FFFFFF"/>
        </w:rPr>
      </w:pPr>
      <w:r w:rsidRPr="00F0064D">
        <w:rPr>
          <w:shd w:val="clear" w:color="auto" w:fill="FFFFFF"/>
        </w:rPr>
        <w:t>No está del todo claro qué hubo detrás del paso en falso inicial que dio el Foro de Davos (World Economic Forum) con relación a China, pero la factura a Occidente se anuncia desoladora. Puede ser una combinación de ceguera cognitiva, pérdida de enfoque, falta de voluntad para admitir el error y renuencia a abandonar una línea de pensamiento (Gran Reseteo) que rápidamente se ha tornado obsoleta y contraproducente. Y continuar intentando “empujar la soga” (facilitando el ascenso de China) no brinda a nadie una buena perspectiva.</w:t>
      </w:r>
    </w:p>
    <w:p w:rsidR="001C678E" w:rsidRPr="00F0064D" w:rsidRDefault="001C678E" w:rsidP="001C678E">
      <w:pPr>
        <w:spacing w:line="240" w:lineRule="auto"/>
        <w:jc w:val="both"/>
        <w:rPr>
          <w:rFonts w:ascii="Times New Roman" w:eastAsia="Times New Roman" w:hAnsi="Times New Roman" w:cs="Times New Roman"/>
          <w:sz w:val="24"/>
          <w:szCs w:val="24"/>
          <w:shd w:val="clear" w:color="auto" w:fill="FFFFFF"/>
          <w:lang w:eastAsia="es-ES"/>
        </w:rPr>
      </w:pPr>
      <w:r w:rsidRPr="00F0064D">
        <w:rPr>
          <w:rFonts w:ascii="Times New Roman" w:eastAsia="Times New Roman" w:hAnsi="Times New Roman" w:cs="Times New Roman"/>
          <w:sz w:val="24"/>
          <w:szCs w:val="24"/>
          <w:shd w:val="clear" w:color="auto" w:fill="FFFFFF"/>
          <w:lang w:eastAsia="es-ES"/>
        </w:rPr>
        <w:t xml:space="preserve">Las falsedades del </w:t>
      </w:r>
      <w:r w:rsidR="001A20E5">
        <w:rPr>
          <w:rFonts w:ascii="Times New Roman" w:eastAsia="Times New Roman" w:hAnsi="Times New Roman" w:cs="Times New Roman"/>
          <w:sz w:val="24"/>
          <w:szCs w:val="24"/>
          <w:shd w:val="clear" w:color="auto" w:fill="FFFFFF"/>
          <w:lang w:eastAsia="es-ES"/>
        </w:rPr>
        <w:t xml:space="preserve">equipo de Davos (Gran Reseteo) </w:t>
      </w:r>
      <w:r w:rsidRPr="00F0064D">
        <w:rPr>
          <w:rFonts w:ascii="Times New Roman" w:eastAsia="Times New Roman" w:hAnsi="Times New Roman" w:cs="Times New Roman"/>
          <w:sz w:val="24"/>
          <w:szCs w:val="24"/>
          <w:shd w:val="clear" w:color="auto" w:fill="FFFFFF"/>
          <w:lang w:eastAsia="es-ES"/>
        </w:rPr>
        <w:t>apenas logran traspasar la barrera del escepticismo. Su descrédito avanza, incontenible, ante los nuevos acontecimientos (marzo 2022). El tornado económico produce ya severas turbulencias en los despachos de Wall Street y Silicon Valley. No hay manos (y pies) para tapar tantas vías de agua.</w:t>
      </w:r>
    </w:p>
    <w:p w:rsidR="001C678E" w:rsidRPr="00F0064D" w:rsidRDefault="001C678E" w:rsidP="001C678E">
      <w:pPr>
        <w:spacing w:line="240" w:lineRule="auto"/>
        <w:jc w:val="both"/>
        <w:rPr>
          <w:rFonts w:ascii="Times New Roman" w:eastAsia="Times New Roman" w:hAnsi="Times New Roman" w:cs="Times New Roman"/>
          <w:sz w:val="24"/>
          <w:szCs w:val="24"/>
          <w:shd w:val="clear" w:color="auto" w:fill="FFFFFF"/>
          <w:lang w:eastAsia="es-ES"/>
        </w:rPr>
      </w:pPr>
      <w:r w:rsidRPr="00F0064D">
        <w:rPr>
          <w:rFonts w:ascii="Times New Roman" w:eastAsia="Times New Roman" w:hAnsi="Times New Roman" w:cs="Times New Roman"/>
          <w:sz w:val="24"/>
          <w:szCs w:val="24"/>
          <w:shd w:val="clear" w:color="auto" w:fill="FFFFFF"/>
          <w:lang w:eastAsia="es-ES"/>
        </w:rPr>
        <w:t xml:space="preserve">En Davos han elegido el “deshonor” (ponerse de rodillas ante China), para salvaguardar los beneficios empresariales, y ahora tendrán la “derrota” (gobierno global comunista), donde aprenderán quién manda, quien obedece, y quién es enviado a centros de reeducación.    </w:t>
      </w:r>
    </w:p>
    <w:p w:rsidR="001C678E" w:rsidRPr="00F0064D" w:rsidRDefault="001C678E" w:rsidP="001C678E">
      <w:pPr>
        <w:spacing w:line="240" w:lineRule="auto"/>
        <w:jc w:val="both"/>
        <w:rPr>
          <w:rFonts w:ascii="Times New Roman" w:eastAsia="Times New Roman" w:hAnsi="Times New Roman" w:cs="Times New Roman"/>
          <w:sz w:val="24"/>
          <w:szCs w:val="24"/>
          <w:shd w:val="clear" w:color="auto" w:fill="FFFFFF"/>
          <w:lang w:eastAsia="es-ES"/>
        </w:rPr>
      </w:pPr>
      <w:r w:rsidRPr="00F0064D">
        <w:rPr>
          <w:rFonts w:ascii="Times New Roman" w:eastAsia="Times New Roman" w:hAnsi="Times New Roman" w:cs="Times New Roman"/>
          <w:sz w:val="24"/>
          <w:szCs w:val="24"/>
          <w:shd w:val="clear" w:color="auto" w:fill="FFFFFF"/>
          <w:lang w:eastAsia="es-ES"/>
        </w:rPr>
        <w:t>“Nunca la estrategia vencerá a la naturaleza”, sentenció Cicerón. Toca aplicarse el cuento y ponerse a remar (y no justamente por el Mar de China).</w:t>
      </w:r>
    </w:p>
    <w:p w:rsidR="001C678E" w:rsidRPr="00F0064D" w:rsidRDefault="001C678E" w:rsidP="001C678E">
      <w:pPr>
        <w:spacing w:line="240" w:lineRule="auto"/>
        <w:jc w:val="both"/>
        <w:rPr>
          <w:rFonts w:ascii="Times New Roman" w:eastAsia="Times New Roman" w:hAnsi="Times New Roman" w:cs="Times New Roman"/>
          <w:sz w:val="24"/>
          <w:szCs w:val="24"/>
          <w:shd w:val="clear" w:color="auto" w:fill="FFFFFF"/>
          <w:lang w:eastAsia="es-ES"/>
        </w:rPr>
      </w:pPr>
      <w:r w:rsidRPr="00F0064D">
        <w:rPr>
          <w:rFonts w:ascii="Times New Roman" w:eastAsia="Times New Roman" w:hAnsi="Times New Roman" w:cs="Times New Roman"/>
          <w:sz w:val="24"/>
          <w:szCs w:val="24"/>
          <w:shd w:val="clear" w:color="auto" w:fill="FFFFFF"/>
          <w:lang w:eastAsia="es-ES"/>
        </w:rPr>
        <w:t>Cuando las cosas cambian es lógico que variemos nuestras opiniones. No hace falta ser Keynes para afirmarlo, de lo contrario seremos esclavos de esa estupidez impávida que los devotos llaman ortodoxia.</w:t>
      </w:r>
    </w:p>
    <w:p w:rsidR="001C678E" w:rsidRPr="00F0064D" w:rsidRDefault="001C678E" w:rsidP="001C678E">
      <w:pPr>
        <w:pStyle w:val="bbc-bm53ic"/>
        <w:shd w:val="clear" w:color="auto" w:fill="FDFDFD"/>
        <w:spacing w:after="0"/>
        <w:jc w:val="both"/>
        <w:rPr>
          <w:shd w:val="clear" w:color="auto" w:fill="FFFFFF"/>
        </w:rPr>
      </w:pPr>
      <w:r w:rsidRPr="00F0064D">
        <w:rPr>
          <w:shd w:val="clear" w:color="auto" w:fill="FFFFFF"/>
        </w:rPr>
        <w:t>Suprimir el consumo de gas ruso implicaría una subida de los costes eléctricos de en torno al 56%. Además, las infraestructuras suficientes para llevar a cabo esta transición costarán un billón de euros, un 36% más que el Plan de Reconstrucción de la UE.</w:t>
      </w:r>
    </w:p>
    <w:p w:rsidR="001C678E" w:rsidRPr="00F0064D" w:rsidRDefault="001C678E" w:rsidP="001C678E">
      <w:pPr>
        <w:pStyle w:val="bbc-bm53ic"/>
        <w:shd w:val="clear" w:color="auto" w:fill="FDFDFD"/>
        <w:spacing w:after="0"/>
        <w:jc w:val="both"/>
        <w:rPr>
          <w:shd w:val="clear" w:color="auto" w:fill="FFFFFF"/>
        </w:rPr>
      </w:pPr>
      <w:r w:rsidRPr="00F0064D">
        <w:rPr>
          <w:shd w:val="clear" w:color="auto" w:fill="FFFFFF"/>
        </w:rPr>
        <w:t>El ataque ruso a Ucrania ha pillado desprevenidos a los europeos en todos los sentidos. No es sólo que muchos de los gobernantes no se esperaran una ofensiva de este calado, tal como sí avanzaba la inteligencia estadounidense o temían muchos gobiernos…</w:t>
      </w:r>
    </w:p>
    <w:p w:rsidR="001C678E" w:rsidRPr="00F0064D" w:rsidRDefault="001C678E" w:rsidP="001C678E">
      <w:pPr>
        <w:spacing w:line="240" w:lineRule="auto"/>
        <w:jc w:val="both"/>
        <w:rPr>
          <w:rFonts w:ascii="Times New Roman" w:hAnsi="Times New Roman" w:cs="Times New Roman"/>
          <w:sz w:val="24"/>
          <w:szCs w:val="24"/>
        </w:rPr>
      </w:pPr>
      <w:r w:rsidRPr="00F0064D">
        <w:rPr>
          <w:rFonts w:ascii="Times New Roman" w:hAnsi="Times New Roman" w:cs="Times New Roman"/>
          <w:sz w:val="24"/>
          <w:szCs w:val="24"/>
        </w:rPr>
        <w:t>Como saben los académicos rigurosos</w:t>
      </w:r>
      <w:r w:rsidR="00F0064D">
        <w:rPr>
          <w:rFonts w:ascii="Times New Roman" w:hAnsi="Times New Roman" w:cs="Times New Roman"/>
          <w:sz w:val="24"/>
          <w:szCs w:val="24"/>
        </w:rPr>
        <w:t>, “</w:t>
      </w:r>
      <w:r w:rsidRPr="00F0064D">
        <w:rPr>
          <w:rFonts w:ascii="Times New Roman" w:hAnsi="Times New Roman" w:cs="Times New Roman"/>
          <w:sz w:val="24"/>
          <w:szCs w:val="24"/>
        </w:rPr>
        <w:t xml:space="preserve">la historia tiene mucho que enseñarnos si estamos </w:t>
      </w:r>
      <w:r w:rsidR="00F0064D">
        <w:rPr>
          <w:rFonts w:ascii="Times New Roman" w:hAnsi="Times New Roman" w:cs="Times New Roman"/>
          <w:sz w:val="24"/>
          <w:szCs w:val="24"/>
        </w:rPr>
        <w:t>dispuestos a escuchar”</w:t>
      </w:r>
      <w:r w:rsidRPr="00F0064D">
        <w:rPr>
          <w:rFonts w:ascii="Times New Roman" w:hAnsi="Times New Roman" w:cs="Times New Roman"/>
          <w:sz w:val="24"/>
          <w:szCs w:val="24"/>
        </w:rPr>
        <w:t>.</w:t>
      </w:r>
    </w:p>
    <w:p w:rsidR="001C678E" w:rsidRPr="00F0064D" w:rsidRDefault="00F0064D" w:rsidP="001C678E">
      <w:pPr>
        <w:spacing w:line="240" w:lineRule="auto"/>
        <w:jc w:val="both"/>
        <w:rPr>
          <w:rFonts w:ascii="Times New Roman" w:hAnsi="Times New Roman" w:cs="Times New Roman"/>
          <w:sz w:val="24"/>
          <w:szCs w:val="24"/>
        </w:rPr>
      </w:pPr>
      <w:r>
        <w:rPr>
          <w:rFonts w:ascii="Times New Roman" w:hAnsi="Times New Roman" w:cs="Times New Roman"/>
          <w:sz w:val="24"/>
          <w:szCs w:val="24"/>
        </w:rPr>
        <w:t>Como dijo Lope de Vega, “</w:t>
      </w:r>
      <w:r w:rsidR="001C678E" w:rsidRPr="00F0064D">
        <w:rPr>
          <w:rFonts w:ascii="Times New Roman" w:hAnsi="Times New Roman" w:cs="Times New Roman"/>
          <w:sz w:val="24"/>
          <w:szCs w:val="24"/>
        </w:rPr>
        <w:t xml:space="preserve">quien mira </w:t>
      </w:r>
      <w:r>
        <w:rPr>
          <w:rFonts w:ascii="Times New Roman" w:hAnsi="Times New Roman" w:cs="Times New Roman"/>
          <w:sz w:val="24"/>
          <w:szCs w:val="24"/>
        </w:rPr>
        <w:t>lo pasado, lo porvenir advierte”</w:t>
      </w:r>
      <w:r w:rsidR="001C678E" w:rsidRPr="00F0064D">
        <w:rPr>
          <w:rFonts w:ascii="Times New Roman" w:hAnsi="Times New Roman" w:cs="Times New Roman"/>
          <w:sz w:val="24"/>
          <w:szCs w:val="24"/>
        </w:rPr>
        <w:t>.</w:t>
      </w:r>
    </w:p>
    <w:p w:rsidR="001C678E" w:rsidRPr="00F0064D" w:rsidRDefault="001C678E" w:rsidP="001C678E">
      <w:pPr>
        <w:spacing w:line="240" w:lineRule="auto"/>
        <w:jc w:val="both"/>
        <w:rPr>
          <w:rFonts w:ascii="Times New Roman" w:hAnsi="Times New Roman" w:cs="Times New Roman"/>
          <w:sz w:val="24"/>
          <w:szCs w:val="24"/>
        </w:rPr>
      </w:pPr>
      <w:r w:rsidRPr="00F0064D">
        <w:rPr>
          <w:rFonts w:ascii="Times New Roman" w:hAnsi="Times New Roman" w:cs="Times New Roman"/>
          <w:sz w:val="24"/>
          <w:szCs w:val="24"/>
        </w:rPr>
        <w:t>Al final, tuvimos el deshonor (con EEUU y la UE, haciendo negocios), y ahora tenemos la guerra (en el patio trasero de la UE, y con la OTAN y EEUU, oficiando de Tartufos).</w:t>
      </w:r>
    </w:p>
    <w:p w:rsidR="001C678E" w:rsidRPr="00601F93" w:rsidRDefault="00DE55C2" w:rsidP="001C678E">
      <w:pPr>
        <w:spacing w:line="240" w:lineRule="auto"/>
        <w:jc w:val="both"/>
        <w:rPr>
          <w:rFonts w:ascii="Times New Roman" w:hAnsi="Times New Roman" w:cs="Times New Roman"/>
          <w:b/>
          <w:sz w:val="24"/>
          <w:szCs w:val="24"/>
        </w:rPr>
      </w:pPr>
      <w:r w:rsidRPr="00601F93">
        <w:rPr>
          <w:rFonts w:ascii="Times New Roman" w:hAnsi="Times New Roman" w:cs="Times New Roman"/>
          <w:b/>
          <w:sz w:val="24"/>
          <w:szCs w:val="24"/>
        </w:rPr>
        <w:lastRenderedPageBreak/>
        <w:t>¿Es la Unión Europea un caso de “gestión pasiva”?</w:t>
      </w:r>
      <w:r w:rsidR="00601F93">
        <w:rPr>
          <w:rFonts w:ascii="Times New Roman" w:hAnsi="Times New Roman" w:cs="Times New Roman"/>
          <w:b/>
          <w:sz w:val="24"/>
          <w:szCs w:val="24"/>
        </w:rPr>
        <w:t>(entre promesas vagas y tardías)</w:t>
      </w:r>
    </w:p>
    <w:p w:rsidR="0050739F" w:rsidRPr="00F0064D" w:rsidRDefault="0050739F" w:rsidP="0050739F">
      <w:pPr>
        <w:pStyle w:val="NormalWeb"/>
        <w:spacing w:after="0"/>
        <w:jc w:val="both"/>
        <w:textAlignment w:val="baseline"/>
      </w:pPr>
      <w:r w:rsidRPr="00F0064D">
        <w:t>La “ceguera voluntaria” de la UE: entre la inacción y la desmemoria (los burócratas europeos pretenden soplar y sorber a la vez: primero destruyen y luego subsidian)</w:t>
      </w:r>
    </w:p>
    <w:p w:rsidR="00002FF2" w:rsidRPr="00F0064D" w:rsidRDefault="00074218" w:rsidP="008C1FB8">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F0064D">
        <w:rPr>
          <w:rFonts w:ascii="Times New Roman" w:eastAsia="Times New Roman" w:hAnsi="Times New Roman" w:cs="Times New Roman"/>
          <w:sz w:val="24"/>
          <w:szCs w:val="24"/>
          <w:lang w:eastAsia="es-ES"/>
        </w:rPr>
        <w:t xml:space="preserve">Caretas fuera: </w:t>
      </w:r>
      <w:r w:rsidR="0050739F" w:rsidRPr="00F0064D">
        <w:rPr>
          <w:rFonts w:ascii="Times New Roman" w:eastAsia="Times New Roman" w:hAnsi="Times New Roman" w:cs="Times New Roman"/>
          <w:sz w:val="24"/>
          <w:szCs w:val="24"/>
          <w:lang w:eastAsia="es-ES"/>
        </w:rPr>
        <w:t xml:space="preserve">los líderes europeos, </w:t>
      </w:r>
      <w:r w:rsidRPr="00F0064D">
        <w:rPr>
          <w:rFonts w:ascii="Times New Roman" w:eastAsia="Times New Roman" w:hAnsi="Times New Roman" w:cs="Times New Roman"/>
          <w:sz w:val="24"/>
          <w:szCs w:val="24"/>
          <w:lang w:eastAsia="es-ES"/>
        </w:rPr>
        <w:t>mientras dicen, “es que no sabíamos nada”</w:t>
      </w:r>
      <w:r w:rsidR="00256D3B" w:rsidRPr="00F0064D">
        <w:rPr>
          <w:rFonts w:ascii="Times New Roman" w:eastAsia="Times New Roman" w:hAnsi="Times New Roman" w:cs="Times New Roman"/>
          <w:sz w:val="24"/>
          <w:szCs w:val="24"/>
          <w:lang w:eastAsia="es-ES"/>
        </w:rPr>
        <w:t>, se dedican</w:t>
      </w:r>
      <w:r w:rsidRPr="00F0064D">
        <w:rPr>
          <w:rFonts w:ascii="Times New Roman" w:eastAsia="Times New Roman" w:hAnsi="Times New Roman" w:cs="Times New Roman"/>
          <w:sz w:val="24"/>
          <w:szCs w:val="24"/>
          <w:lang w:eastAsia="es-ES"/>
        </w:rPr>
        <w:t xml:space="preserve"> “a robar, a robar, que el tiempo se va a acabar”.</w:t>
      </w:r>
      <w:r w:rsidR="001A20E5">
        <w:rPr>
          <w:rFonts w:ascii="Times New Roman" w:hAnsi="Times New Roman" w:cs="Times New Roman"/>
          <w:sz w:val="24"/>
          <w:szCs w:val="24"/>
        </w:rPr>
        <w:t>Los “sucios intereses”, los abducen, los ciegan.</w:t>
      </w:r>
    </w:p>
    <w:p w:rsidR="008C36C5" w:rsidRPr="00F0064D" w:rsidRDefault="00256D3B" w:rsidP="008C1FB8">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F0064D">
        <w:rPr>
          <w:rFonts w:ascii="Times New Roman" w:eastAsia="Times New Roman" w:hAnsi="Times New Roman" w:cs="Times New Roman"/>
          <w:sz w:val="24"/>
          <w:szCs w:val="24"/>
          <w:lang w:eastAsia="es-ES"/>
        </w:rPr>
        <w:t xml:space="preserve">En tanto corren para ser los primeros en abrazar a la viuda en el funeral, a la novia en la boda y al niño en el bautizo, o piden la palabra para reclamar “más cohesión y estabilidad”, continúan engañando al contribuyente, manejando los </w:t>
      </w:r>
      <w:r w:rsidR="008C36C5" w:rsidRPr="00F0064D">
        <w:rPr>
          <w:rFonts w:ascii="Times New Roman" w:eastAsia="Times New Roman" w:hAnsi="Times New Roman" w:cs="Times New Roman"/>
          <w:sz w:val="24"/>
          <w:szCs w:val="24"/>
          <w:lang w:eastAsia="es-ES"/>
        </w:rPr>
        <w:t>recursos públicos</w:t>
      </w:r>
      <w:r w:rsidRPr="00F0064D">
        <w:rPr>
          <w:rFonts w:ascii="Times New Roman" w:eastAsia="Times New Roman" w:hAnsi="Times New Roman" w:cs="Times New Roman"/>
          <w:sz w:val="24"/>
          <w:szCs w:val="24"/>
          <w:lang w:eastAsia="es-ES"/>
        </w:rPr>
        <w:t xml:space="preserve"> como un juguete, sin presentar ninguna propuesta, ningún plan</w:t>
      </w:r>
      <w:r w:rsidR="008C36C5" w:rsidRPr="00F0064D">
        <w:rPr>
          <w:rFonts w:ascii="Times New Roman" w:eastAsia="Times New Roman" w:hAnsi="Times New Roman" w:cs="Times New Roman"/>
          <w:sz w:val="24"/>
          <w:szCs w:val="24"/>
          <w:lang w:eastAsia="es-ES"/>
        </w:rPr>
        <w:t xml:space="preserve"> estratégico alternativo, nada de nada. </w:t>
      </w:r>
      <w:r w:rsidR="0050739F" w:rsidRPr="00F0064D">
        <w:rPr>
          <w:rFonts w:ascii="Times New Roman" w:eastAsia="Times New Roman" w:hAnsi="Times New Roman" w:cs="Times New Roman"/>
          <w:sz w:val="24"/>
          <w:szCs w:val="24"/>
          <w:lang w:eastAsia="es-ES"/>
        </w:rPr>
        <w:t>La “primacía inmoral”.</w:t>
      </w:r>
    </w:p>
    <w:p w:rsidR="00002FF2" w:rsidRPr="00F0064D" w:rsidRDefault="008C36C5" w:rsidP="008C1FB8">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F0064D">
        <w:rPr>
          <w:rFonts w:ascii="Times New Roman" w:eastAsia="Times New Roman" w:hAnsi="Times New Roman" w:cs="Times New Roman"/>
          <w:sz w:val="24"/>
          <w:szCs w:val="24"/>
          <w:lang w:eastAsia="es-ES"/>
        </w:rPr>
        <w:t>Por mucho menos</w:t>
      </w:r>
      <w:r w:rsidR="00590DE9" w:rsidRPr="00F0064D">
        <w:rPr>
          <w:rFonts w:ascii="Times New Roman" w:eastAsia="Times New Roman" w:hAnsi="Times New Roman" w:cs="Times New Roman"/>
          <w:sz w:val="24"/>
          <w:szCs w:val="24"/>
          <w:lang w:eastAsia="es-ES"/>
        </w:rPr>
        <w:t>,</w:t>
      </w:r>
      <w:r w:rsidRPr="00F0064D">
        <w:rPr>
          <w:rFonts w:ascii="Times New Roman" w:eastAsia="Times New Roman" w:hAnsi="Times New Roman" w:cs="Times New Roman"/>
          <w:sz w:val="24"/>
          <w:szCs w:val="24"/>
          <w:lang w:eastAsia="es-ES"/>
        </w:rPr>
        <w:t xml:space="preserve"> algunos</w:t>
      </w:r>
      <w:r w:rsidR="007A7042" w:rsidRPr="00F0064D">
        <w:rPr>
          <w:rFonts w:ascii="Times New Roman" w:eastAsia="Times New Roman" w:hAnsi="Times New Roman" w:cs="Times New Roman"/>
          <w:sz w:val="24"/>
          <w:szCs w:val="24"/>
          <w:lang w:eastAsia="es-ES"/>
        </w:rPr>
        <w:t xml:space="preserve"> “alquimistas”</w:t>
      </w:r>
      <w:r w:rsidRPr="00F0064D">
        <w:rPr>
          <w:rFonts w:ascii="Times New Roman" w:eastAsia="Times New Roman" w:hAnsi="Times New Roman" w:cs="Times New Roman"/>
          <w:sz w:val="24"/>
          <w:szCs w:val="24"/>
          <w:lang w:eastAsia="es-ES"/>
        </w:rPr>
        <w:t xml:space="preserve"> fueron a la cárcel</w:t>
      </w:r>
      <w:r w:rsidR="00590DE9" w:rsidRPr="00F0064D">
        <w:rPr>
          <w:rFonts w:ascii="Times New Roman" w:eastAsia="Times New Roman" w:hAnsi="Times New Roman" w:cs="Times New Roman"/>
          <w:sz w:val="24"/>
          <w:szCs w:val="24"/>
          <w:lang w:eastAsia="es-ES"/>
        </w:rPr>
        <w:t xml:space="preserve">, </w:t>
      </w:r>
      <w:r w:rsidRPr="00F0064D">
        <w:rPr>
          <w:rFonts w:ascii="Times New Roman" w:eastAsia="Times New Roman" w:hAnsi="Times New Roman" w:cs="Times New Roman"/>
          <w:sz w:val="24"/>
          <w:szCs w:val="24"/>
          <w:lang w:eastAsia="es-ES"/>
        </w:rPr>
        <w:t>y otros se pegaron un tiro.</w:t>
      </w:r>
    </w:p>
    <w:p w:rsidR="0071269A" w:rsidRPr="0071269A" w:rsidRDefault="009E511A" w:rsidP="009E511A">
      <w:pPr>
        <w:jc w:val="both"/>
        <w:rPr>
          <w:rFonts w:ascii="Times New Roman" w:hAnsi="Times New Roman" w:cs="Times New Roman"/>
          <w:b/>
          <w:sz w:val="24"/>
          <w:szCs w:val="24"/>
        </w:rPr>
      </w:pPr>
      <w:r>
        <w:rPr>
          <w:rFonts w:ascii="Times New Roman" w:hAnsi="Times New Roman" w:cs="Times New Roman"/>
          <w:b/>
          <w:sz w:val="24"/>
          <w:szCs w:val="24"/>
        </w:rPr>
        <w:t>¿Y d</w:t>
      </w:r>
      <w:r w:rsidR="0071269A">
        <w:rPr>
          <w:rFonts w:ascii="Times New Roman" w:hAnsi="Times New Roman" w:cs="Times New Roman"/>
          <w:b/>
          <w:sz w:val="24"/>
          <w:szCs w:val="24"/>
        </w:rPr>
        <w:t xml:space="preserve">ónde está el piloto? </w:t>
      </w:r>
      <w:r w:rsidR="0071269A" w:rsidRPr="0071269A">
        <w:rPr>
          <w:rFonts w:ascii="Times New Roman" w:hAnsi="Times New Roman" w:cs="Times New Roman"/>
          <w:b/>
          <w:sz w:val="24"/>
          <w:szCs w:val="24"/>
        </w:rPr>
        <w:t>El escenario</w:t>
      </w:r>
      <w:r w:rsidR="0071269A">
        <w:rPr>
          <w:rFonts w:ascii="Times New Roman" w:hAnsi="Times New Roman" w:cs="Times New Roman"/>
          <w:b/>
          <w:sz w:val="24"/>
          <w:szCs w:val="24"/>
        </w:rPr>
        <w:t xml:space="preserve"> global, y regional</w:t>
      </w:r>
      <w:r>
        <w:rPr>
          <w:rFonts w:ascii="Times New Roman" w:hAnsi="Times New Roman" w:cs="Times New Roman"/>
          <w:b/>
          <w:sz w:val="24"/>
          <w:szCs w:val="24"/>
        </w:rPr>
        <w:t xml:space="preserve"> (a finales </w:t>
      </w:r>
      <w:r w:rsidR="0071269A">
        <w:rPr>
          <w:rFonts w:ascii="Times New Roman" w:hAnsi="Times New Roman" w:cs="Times New Roman"/>
          <w:b/>
          <w:sz w:val="24"/>
          <w:szCs w:val="24"/>
        </w:rPr>
        <w:t>de junio de 2022)</w:t>
      </w:r>
    </w:p>
    <w:p w:rsidR="0071269A" w:rsidRPr="0071269A" w:rsidRDefault="0071269A" w:rsidP="0071269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w:t>
      </w:r>
      <w:r w:rsidRPr="0071269A">
        <w:rPr>
          <w:rFonts w:ascii="Times New Roman" w:hAnsi="Times New Roman" w:cs="Times New Roman"/>
          <w:sz w:val="24"/>
          <w:szCs w:val="24"/>
        </w:rPr>
        <w:t>esperaba una salida tumultuosa de la pandemia, pero en su lugar la economía global tiene que afrontar dos duros golpes, la fuerte inflación y la guerra en Ucrania, que pueden significar un cambio de era de baja inflación a otra de fuertes subidas de los precios.</w:t>
      </w:r>
    </w:p>
    <w:p w:rsidR="0071269A" w:rsidRPr="0071269A" w:rsidRDefault="0071269A" w:rsidP="0071269A">
      <w:pPr>
        <w:spacing w:line="240" w:lineRule="auto"/>
        <w:jc w:val="both"/>
        <w:rPr>
          <w:rFonts w:ascii="Times New Roman" w:hAnsi="Times New Roman" w:cs="Times New Roman"/>
          <w:sz w:val="24"/>
          <w:szCs w:val="24"/>
        </w:rPr>
      </w:pPr>
      <w:r w:rsidRPr="0071269A">
        <w:rPr>
          <w:rFonts w:ascii="Times New Roman" w:hAnsi="Times New Roman" w:cs="Times New Roman"/>
          <w:sz w:val="24"/>
          <w:szCs w:val="24"/>
        </w:rPr>
        <w:t>E, incluso, el fin de la era de la globalización establecido tras la Segunda Guerra Mundial.</w:t>
      </w:r>
    </w:p>
    <w:p w:rsidR="0071269A" w:rsidRPr="0071269A" w:rsidRDefault="0071269A" w:rsidP="0071269A">
      <w:pPr>
        <w:spacing w:line="240" w:lineRule="auto"/>
        <w:jc w:val="both"/>
        <w:rPr>
          <w:rFonts w:ascii="Times New Roman" w:hAnsi="Times New Roman" w:cs="Times New Roman"/>
          <w:sz w:val="24"/>
          <w:szCs w:val="24"/>
        </w:rPr>
      </w:pPr>
      <w:r w:rsidRPr="0071269A">
        <w:rPr>
          <w:rFonts w:ascii="Times New Roman" w:hAnsi="Times New Roman" w:cs="Times New Roman"/>
          <w:sz w:val="24"/>
          <w:szCs w:val="24"/>
        </w:rPr>
        <w:t>El impacto de la guerra se ha manifestado en la subida de los precios de las materias primas, de la energía y de los alimentos.</w:t>
      </w:r>
    </w:p>
    <w:p w:rsidR="0071269A" w:rsidRPr="0071269A" w:rsidRDefault="0071269A" w:rsidP="0071269A">
      <w:pPr>
        <w:spacing w:line="240" w:lineRule="auto"/>
        <w:jc w:val="both"/>
        <w:rPr>
          <w:rFonts w:ascii="Times New Roman" w:hAnsi="Times New Roman" w:cs="Times New Roman"/>
          <w:sz w:val="24"/>
          <w:szCs w:val="24"/>
        </w:rPr>
      </w:pPr>
      <w:r w:rsidRPr="0071269A">
        <w:rPr>
          <w:rFonts w:ascii="Times New Roman" w:hAnsi="Times New Roman" w:cs="Times New Roman"/>
          <w:sz w:val="24"/>
          <w:szCs w:val="24"/>
        </w:rPr>
        <w:t>En abril de 2022 tres cuartas partes de las economías del mundo tenían una inflación superior al 5%, en muchos países en niveles má</w:t>
      </w:r>
      <w:r>
        <w:rPr>
          <w:rFonts w:ascii="Times New Roman" w:hAnsi="Times New Roman" w:cs="Times New Roman"/>
          <w:sz w:val="24"/>
          <w:szCs w:val="24"/>
        </w:rPr>
        <w:t>ximos desde hace cuarenta años.</w:t>
      </w:r>
    </w:p>
    <w:p w:rsidR="0071269A" w:rsidRPr="0071269A" w:rsidRDefault="0071269A" w:rsidP="0071269A">
      <w:pPr>
        <w:spacing w:line="240" w:lineRule="auto"/>
        <w:jc w:val="both"/>
        <w:rPr>
          <w:rFonts w:ascii="Times New Roman" w:hAnsi="Times New Roman" w:cs="Times New Roman"/>
          <w:sz w:val="24"/>
          <w:szCs w:val="24"/>
        </w:rPr>
      </w:pPr>
      <w:r w:rsidRPr="0071269A">
        <w:rPr>
          <w:rFonts w:ascii="Times New Roman" w:hAnsi="Times New Roman" w:cs="Times New Roman"/>
          <w:sz w:val="24"/>
          <w:szCs w:val="24"/>
        </w:rPr>
        <w:t>El reto para</w:t>
      </w:r>
      <w:r>
        <w:rPr>
          <w:rFonts w:ascii="Times New Roman" w:hAnsi="Times New Roman" w:cs="Times New Roman"/>
          <w:sz w:val="24"/>
          <w:szCs w:val="24"/>
        </w:rPr>
        <w:t xml:space="preserve"> la banca central es lograr un “</w:t>
      </w:r>
      <w:r w:rsidRPr="0071269A">
        <w:rPr>
          <w:rFonts w:ascii="Times New Roman" w:hAnsi="Times New Roman" w:cs="Times New Roman"/>
          <w:sz w:val="24"/>
          <w:szCs w:val="24"/>
        </w:rPr>
        <w:t>aterri</w:t>
      </w:r>
      <w:r>
        <w:rPr>
          <w:rFonts w:ascii="Times New Roman" w:hAnsi="Times New Roman" w:cs="Times New Roman"/>
          <w:sz w:val="24"/>
          <w:szCs w:val="24"/>
        </w:rPr>
        <w:t>zaje suave”</w:t>
      </w:r>
      <w:r w:rsidRPr="0071269A">
        <w:rPr>
          <w:rFonts w:ascii="Times New Roman" w:hAnsi="Times New Roman" w:cs="Times New Roman"/>
          <w:sz w:val="24"/>
          <w:szCs w:val="24"/>
        </w:rPr>
        <w:t>, es decir, un ciclo de subidas de los tipos de interés que termina sin recesión (dos trimestres consecutivos de contracción del crecimiento), algo que históricamente ha sido difícil.</w:t>
      </w:r>
    </w:p>
    <w:p w:rsidR="0071269A" w:rsidRPr="0071269A" w:rsidRDefault="0071269A" w:rsidP="0071269A">
      <w:pPr>
        <w:spacing w:line="240" w:lineRule="auto"/>
        <w:jc w:val="both"/>
        <w:rPr>
          <w:rFonts w:ascii="Times New Roman" w:hAnsi="Times New Roman" w:cs="Times New Roman"/>
          <w:sz w:val="24"/>
          <w:szCs w:val="24"/>
        </w:rPr>
      </w:pPr>
      <w:r w:rsidRPr="0071269A">
        <w:rPr>
          <w:rFonts w:ascii="Times New Roman" w:hAnsi="Times New Roman" w:cs="Times New Roman"/>
          <w:sz w:val="24"/>
          <w:szCs w:val="24"/>
        </w:rPr>
        <w:t>Si una economía entra en recesión en los tres años después del pico más elevado del ciclo de la política monetaria, el aterrizaje se define como duro.</w:t>
      </w:r>
    </w:p>
    <w:p w:rsidR="0071269A" w:rsidRPr="0071269A" w:rsidRDefault="0071269A" w:rsidP="0071269A">
      <w:pPr>
        <w:spacing w:line="240" w:lineRule="auto"/>
        <w:jc w:val="both"/>
        <w:rPr>
          <w:rFonts w:ascii="Times New Roman" w:hAnsi="Times New Roman" w:cs="Times New Roman"/>
          <w:sz w:val="24"/>
          <w:szCs w:val="24"/>
        </w:rPr>
      </w:pPr>
      <w:r w:rsidRPr="0071269A">
        <w:rPr>
          <w:rFonts w:ascii="Times New Roman" w:hAnsi="Times New Roman" w:cs="Times New Roman"/>
          <w:sz w:val="24"/>
          <w:szCs w:val="24"/>
        </w:rPr>
        <w:t>Históricamente, la mitad de los ciclos de subidas de los tipos de interés ha terminado con aterrizajes suaves.</w:t>
      </w:r>
    </w:p>
    <w:p w:rsidR="0071269A" w:rsidRPr="0071269A" w:rsidRDefault="0071269A" w:rsidP="007126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1269A">
        <w:rPr>
          <w:rFonts w:ascii="Times New Roman" w:hAnsi="Times New Roman" w:cs="Times New Roman"/>
          <w:sz w:val="24"/>
          <w:szCs w:val="24"/>
        </w:rPr>
        <w:t xml:space="preserve">La clave para los bancos centrales es actuar rápida y decisivamente antes </w:t>
      </w:r>
      <w:r>
        <w:rPr>
          <w:rFonts w:ascii="Times New Roman" w:hAnsi="Times New Roman" w:cs="Times New Roman"/>
          <w:sz w:val="24"/>
          <w:szCs w:val="24"/>
        </w:rPr>
        <w:t xml:space="preserve">de que la inflación se arraigue”, decía el Director General del Banco de Pagos Internacionales (BPI), Agustín Carstens, al presentar el 26/6/22 su último Informe Económico Anual. </w:t>
      </w:r>
    </w:p>
    <w:p w:rsidR="0071269A" w:rsidRDefault="003E18A9" w:rsidP="007126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1269A" w:rsidRPr="0071269A">
        <w:rPr>
          <w:rFonts w:ascii="Times New Roman" w:hAnsi="Times New Roman" w:cs="Times New Roman"/>
          <w:sz w:val="24"/>
          <w:szCs w:val="24"/>
        </w:rPr>
        <w:t>Porque en caso de que la inflación se atrinchere, el coste de volver a tenerla bajo control será más elevado</w:t>
      </w:r>
      <w:r>
        <w:rPr>
          <w:rFonts w:ascii="Times New Roman" w:hAnsi="Times New Roman" w:cs="Times New Roman"/>
          <w:sz w:val="24"/>
          <w:szCs w:val="24"/>
        </w:rPr>
        <w:t>”</w:t>
      </w:r>
      <w:r w:rsidR="0071269A" w:rsidRPr="0071269A">
        <w:rPr>
          <w:rFonts w:ascii="Times New Roman" w:hAnsi="Times New Roman" w:cs="Times New Roman"/>
          <w:sz w:val="24"/>
          <w:szCs w:val="24"/>
        </w:rPr>
        <w:t>, añadió Carstens.</w:t>
      </w:r>
    </w:p>
    <w:p w:rsidR="00247B06" w:rsidRPr="00E527E0" w:rsidRDefault="00247B06" w:rsidP="00247B06">
      <w:pPr>
        <w:pStyle w:val="NormalWeb"/>
        <w:spacing w:after="0"/>
        <w:jc w:val="both"/>
        <w:textAlignment w:val="baseline"/>
        <w:rPr>
          <w:b/>
        </w:rPr>
      </w:pPr>
      <w:r w:rsidRPr="00E527E0">
        <w:rPr>
          <w:b/>
          <w:shd w:val="clear" w:color="auto" w:fill="FFFFFF"/>
        </w:rPr>
        <w:t>“Carpe diem” europeo: ¿demasiado tarde, para la rectificación o la enmienda?</w:t>
      </w:r>
    </w:p>
    <w:p w:rsidR="003E18A9" w:rsidRDefault="00F0064D" w:rsidP="00104144">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3E18A9">
        <w:rPr>
          <w:rFonts w:ascii="Times New Roman" w:eastAsia="Times New Roman" w:hAnsi="Times New Roman" w:cs="Times New Roman"/>
          <w:sz w:val="24"/>
          <w:szCs w:val="24"/>
          <w:lang w:eastAsia="es-ES"/>
        </w:rPr>
        <w:t>Déjeme</w:t>
      </w:r>
      <w:r w:rsidR="003E18A9" w:rsidRPr="003E18A9">
        <w:rPr>
          <w:rFonts w:ascii="Times New Roman" w:eastAsia="Times New Roman" w:hAnsi="Times New Roman" w:cs="Times New Roman"/>
          <w:sz w:val="24"/>
          <w:szCs w:val="24"/>
          <w:lang w:eastAsia="es-ES"/>
        </w:rPr>
        <w:t xml:space="preserve"> hacerle dos preguntas.</w:t>
      </w:r>
    </w:p>
    <w:p w:rsidR="00104144" w:rsidRPr="003E18A9" w:rsidRDefault="00104144" w:rsidP="00104144">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sidRPr="0080271B">
        <w:rPr>
          <w:rFonts w:ascii="Times New Roman" w:eastAsia="Times New Roman" w:hAnsi="Times New Roman" w:cs="Times New Roman"/>
          <w:sz w:val="24"/>
          <w:szCs w:val="24"/>
          <w:lang w:eastAsia="es-ES"/>
        </w:rPr>
        <w:t xml:space="preserve">Como europeo, ¿tiene la sensación de que los últimos años se han convertido en una sucesión de crisis permanentes? Cuando parecía que dejábamos atrás los largos años de la crisis </w:t>
      </w:r>
      <w:r w:rsidRPr="0080271B">
        <w:rPr>
          <w:rFonts w:ascii="Times New Roman" w:eastAsia="Times New Roman" w:hAnsi="Times New Roman" w:cs="Times New Roman"/>
          <w:sz w:val="24"/>
          <w:szCs w:val="24"/>
          <w:lang w:eastAsia="es-ES"/>
        </w:rPr>
        <w:lastRenderedPageBreak/>
        <w:t>financiera, pasamos a la de los refugiados. De ahí al Brexit y a las turbulencias transatlánticas con el ascenso de Donald Trump. Seguimos con la pandemia global y, como colofón, la guerra de Rusia en Ucrania. De trasfondo, la emergencia climática, el imparable ascenso de China como futura potencia dominante</w:t>
      </w:r>
      <w:r>
        <w:rPr>
          <w:rFonts w:ascii="Times New Roman" w:eastAsia="Times New Roman" w:hAnsi="Times New Roman" w:cs="Times New Roman"/>
          <w:sz w:val="24"/>
          <w:szCs w:val="24"/>
          <w:lang w:eastAsia="es-ES"/>
        </w:rPr>
        <w:t xml:space="preserve"> y un entorno económico hostil.</w:t>
      </w:r>
    </w:p>
    <w:p w:rsidR="00104144" w:rsidRDefault="00104144" w:rsidP="00104144">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0271B">
        <w:rPr>
          <w:rFonts w:ascii="Times New Roman" w:eastAsia="Times New Roman" w:hAnsi="Times New Roman" w:cs="Times New Roman"/>
          <w:sz w:val="24"/>
          <w:szCs w:val="24"/>
          <w:lang w:eastAsia="es-ES"/>
        </w:rPr>
        <w:t>Y, como europeo, ¿tiene la sensación de que en los últimos años a la Unión Europea le resulta cada vez más difícil avanzar? El crecimiento</w:t>
      </w:r>
      <w:r w:rsidR="00BF28A0">
        <w:rPr>
          <w:rFonts w:ascii="Times New Roman" w:eastAsia="Times New Roman" w:hAnsi="Times New Roman" w:cs="Times New Roman"/>
          <w:sz w:val="24"/>
          <w:szCs w:val="24"/>
          <w:lang w:eastAsia="es-ES"/>
        </w:rPr>
        <w:t xml:space="preserve"> del número de Estados miembro -</w:t>
      </w:r>
      <w:r w:rsidRPr="0080271B">
        <w:rPr>
          <w:rFonts w:ascii="Times New Roman" w:eastAsia="Times New Roman" w:hAnsi="Times New Roman" w:cs="Times New Roman"/>
          <w:sz w:val="24"/>
          <w:szCs w:val="24"/>
          <w:lang w:eastAsia="es-ES"/>
        </w:rPr>
        <w:t>y con e</w:t>
      </w:r>
      <w:r w:rsidR="00BF28A0">
        <w:rPr>
          <w:rFonts w:ascii="Times New Roman" w:eastAsia="Times New Roman" w:hAnsi="Times New Roman" w:cs="Times New Roman"/>
          <w:sz w:val="24"/>
          <w:szCs w:val="24"/>
          <w:lang w:eastAsia="es-ES"/>
        </w:rPr>
        <w:t>llos todas sus particularidades-</w:t>
      </w:r>
      <w:r w:rsidRPr="0080271B">
        <w:rPr>
          <w:rFonts w:ascii="Times New Roman" w:eastAsia="Times New Roman" w:hAnsi="Times New Roman" w:cs="Times New Roman"/>
          <w:sz w:val="24"/>
          <w:szCs w:val="24"/>
          <w:lang w:eastAsia="es-ES"/>
        </w:rPr>
        <w:t xml:space="preserve"> ha hecho que la confección de consensos sea cada vez más compleja. El euroescepticismo ha aumentado, así como los conflictos por competencias </w:t>
      </w:r>
      <w:r w:rsidR="00BF28A0">
        <w:rPr>
          <w:rFonts w:ascii="Times New Roman" w:eastAsia="Times New Roman" w:hAnsi="Times New Roman" w:cs="Times New Roman"/>
          <w:sz w:val="24"/>
          <w:szCs w:val="24"/>
          <w:lang w:eastAsia="es-ES"/>
        </w:rPr>
        <w:t>entre Bruselas y las capitales -</w:t>
      </w:r>
      <w:r w:rsidRPr="0080271B">
        <w:rPr>
          <w:rFonts w:ascii="Times New Roman" w:eastAsia="Times New Roman" w:hAnsi="Times New Roman" w:cs="Times New Roman"/>
          <w:sz w:val="24"/>
          <w:szCs w:val="24"/>
          <w:lang w:eastAsia="es-ES"/>
        </w:rPr>
        <w:t xml:space="preserve">en algunos, como el de Polonia y Hungría, con </w:t>
      </w:r>
      <w:r w:rsidR="00BF28A0">
        <w:rPr>
          <w:rFonts w:ascii="Times New Roman" w:eastAsia="Times New Roman" w:hAnsi="Times New Roman" w:cs="Times New Roman"/>
          <w:sz w:val="24"/>
          <w:szCs w:val="24"/>
          <w:lang w:eastAsia="es-ES"/>
        </w:rPr>
        <w:t>consecuencias todavía inciertas-</w:t>
      </w:r>
      <w:r w:rsidRPr="0080271B">
        <w:rPr>
          <w:rFonts w:ascii="Times New Roman" w:eastAsia="Times New Roman" w:hAnsi="Times New Roman" w:cs="Times New Roman"/>
          <w:sz w:val="24"/>
          <w:szCs w:val="24"/>
          <w:lang w:eastAsia="es-ES"/>
        </w:rPr>
        <w:t>. Y, aunque el coronavirus nos hizo reaccionar de forma conjunta, todavía no nos ponemos de acuerdo en asuntos tan trascendentales como la gestión de la inmigración, la actualización de la eco</w:t>
      </w:r>
      <w:r>
        <w:rPr>
          <w:rFonts w:ascii="Times New Roman" w:eastAsia="Times New Roman" w:hAnsi="Times New Roman" w:cs="Times New Roman"/>
          <w:sz w:val="24"/>
          <w:szCs w:val="24"/>
          <w:lang w:eastAsia="es-ES"/>
        </w:rPr>
        <w:t>nomía o la ampliación de la UE.</w:t>
      </w:r>
    </w:p>
    <w:p w:rsidR="00BF28A0" w:rsidRPr="0080271B" w:rsidRDefault="00BF28A0" w:rsidP="00104144">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Brexit, pandemia, guerra, rotura de las cadenas de abastecimiento, falta y encarecimiento de materias primas, productos agrícolas, y energéticos… ¿cómo vamos a lidiar con todo esto? Se preguntará usted. También me lo pregunto. </w:t>
      </w:r>
    </w:p>
    <w:p w:rsidR="00104144" w:rsidRDefault="00104144" w:rsidP="00104144">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80271B">
        <w:rPr>
          <w:rFonts w:ascii="Times New Roman" w:eastAsia="Times New Roman" w:hAnsi="Times New Roman" w:cs="Times New Roman"/>
          <w:sz w:val="24"/>
          <w:szCs w:val="24"/>
          <w:lang w:eastAsia="es-ES"/>
        </w:rPr>
        <w:t xml:space="preserve">A estas cuestiones </w:t>
      </w:r>
      <w:r w:rsidR="00BF28A0">
        <w:rPr>
          <w:rFonts w:ascii="Times New Roman" w:eastAsia="Times New Roman" w:hAnsi="Times New Roman" w:cs="Times New Roman"/>
          <w:sz w:val="24"/>
          <w:szCs w:val="24"/>
          <w:lang w:eastAsia="es-ES"/>
        </w:rPr>
        <w:t>inevitablemente les siguen estas: ¿C</w:t>
      </w:r>
      <w:r w:rsidRPr="0080271B">
        <w:rPr>
          <w:rFonts w:ascii="Times New Roman" w:eastAsia="Times New Roman" w:hAnsi="Times New Roman" w:cs="Times New Roman"/>
          <w:sz w:val="24"/>
          <w:szCs w:val="24"/>
          <w:lang w:eastAsia="es-ES"/>
        </w:rPr>
        <w:t>uáles deberían ser</w:t>
      </w:r>
      <w:r w:rsidR="00BF28A0">
        <w:rPr>
          <w:rFonts w:ascii="Times New Roman" w:eastAsia="Times New Roman" w:hAnsi="Times New Roman" w:cs="Times New Roman"/>
          <w:sz w:val="24"/>
          <w:szCs w:val="24"/>
          <w:lang w:eastAsia="es-ES"/>
        </w:rPr>
        <w:t xml:space="preserve"> las prioridades de Europa? ¿</w:t>
      </w:r>
      <w:r w:rsidR="001A20E5">
        <w:rPr>
          <w:rFonts w:ascii="Times New Roman" w:eastAsia="Times New Roman" w:hAnsi="Times New Roman" w:cs="Times New Roman"/>
          <w:sz w:val="24"/>
          <w:szCs w:val="24"/>
          <w:lang w:eastAsia="es-ES"/>
        </w:rPr>
        <w:t>q</w:t>
      </w:r>
      <w:r w:rsidR="00BF28A0">
        <w:rPr>
          <w:rFonts w:ascii="Times New Roman" w:eastAsia="Times New Roman" w:hAnsi="Times New Roman" w:cs="Times New Roman"/>
          <w:sz w:val="24"/>
          <w:szCs w:val="24"/>
          <w:lang w:eastAsia="es-ES"/>
        </w:rPr>
        <w:t>ué puede cambiar -o no-</w:t>
      </w:r>
      <w:r w:rsidR="001A20E5">
        <w:rPr>
          <w:rFonts w:ascii="Times New Roman" w:eastAsia="Times New Roman" w:hAnsi="Times New Roman" w:cs="Times New Roman"/>
          <w:sz w:val="24"/>
          <w:szCs w:val="24"/>
          <w:lang w:eastAsia="es-ES"/>
        </w:rPr>
        <w:t xml:space="preserve"> para superar estos desafíos? ¿e</w:t>
      </w:r>
      <w:r w:rsidRPr="0080271B">
        <w:rPr>
          <w:rFonts w:ascii="Times New Roman" w:eastAsia="Times New Roman" w:hAnsi="Times New Roman" w:cs="Times New Roman"/>
          <w:sz w:val="24"/>
          <w:szCs w:val="24"/>
          <w:lang w:eastAsia="es-ES"/>
        </w:rPr>
        <w:t>n qué direcc</w:t>
      </w:r>
      <w:r w:rsidR="00BF28A0">
        <w:rPr>
          <w:rFonts w:ascii="Times New Roman" w:eastAsia="Times New Roman" w:hAnsi="Times New Roman" w:cs="Times New Roman"/>
          <w:sz w:val="24"/>
          <w:szCs w:val="24"/>
          <w:lang w:eastAsia="es-ES"/>
        </w:rPr>
        <w:t xml:space="preserve">ión avanzar? </w:t>
      </w:r>
    </w:p>
    <w:p w:rsidR="00104144" w:rsidRDefault="001A20E5" w:rsidP="00104144">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BF28A0">
        <w:rPr>
          <w:rFonts w:ascii="Times New Roman" w:eastAsia="Times New Roman" w:hAnsi="Times New Roman" w:cs="Times New Roman"/>
          <w:sz w:val="24"/>
          <w:szCs w:val="24"/>
          <w:lang w:eastAsia="es-ES"/>
        </w:rPr>
        <w:t>¿Qué males sufre Europa?</w:t>
      </w:r>
      <w:r w:rsidR="00104144" w:rsidRPr="0056310B">
        <w:rPr>
          <w:rFonts w:ascii="Times New Roman" w:eastAsia="Times New Roman" w:hAnsi="Times New Roman" w:cs="Times New Roman"/>
          <w:sz w:val="24"/>
          <w:szCs w:val="24"/>
          <w:lang w:eastAsia="es-ES"/>
        </w:rPr>
        <w:t>, preguntan ustedes en el lema de esta sesión inaugural. ¿Sufre de melancolía? ¿De u</w:t>
      </w:r>
      <w:r w:rsidR="00BF28A0">
        <w:rPr>
          <w:rFonts w:ascii="Times New Roman" w:eastAsia="Times New Roman" w:hAnsi="Times New Roman" w:cs="Times New Roman"/>
          <w:sz w:val="24"/>
          <w:szCs w:val="24"/>
          <w:lang w:eastAsia="es-ES"/>
        </w:rPr>
        <w:t>n acceso de nostalgia? ¿De una “enfermedad de languidez”</w:t>
      </w:r>
      <w:r w:rsidR="00104144" w:rsidRPr="0056310B">
        <w:rPr>
          <w:rFonts w:ascii="Times New Roman" w:eastAsia="Times New Roman" w:hAnsi="Times New Roman" w:cs="Times New Roman"/>
          <w:sz w:val="24"/>
          <w:szCs w:val="24"/>
          <w:lang w:eastAsia="es-ES"/>
        </w:rPr>
        <w:t xml:space="preserve">, como ha dicho </w:t>
      </w:r>
      <w:r w:rsidR="00BF28A0">
        <w:rPr>
          <w:rFonts w:ascii="Times New Roman" w:eastAsia="Times New Roman" w:hAnsi="Times New Roman" w:cs="Times New Roman"/>
          <w:sz w:val="24"/>
          <w:szCs w:val="24"/>
          <w:lang w:eastAsia="es-ES"/>
        </w:rPr>
        <w:t>-la ministra francesa- Catherine Colonna? ¿De la “fatiga de la ampliación”</w:t>
      </w:r>
      <w:r w:rsidR="00104144" w:rsidRPr="0056310B">
        <w:rPr>
          <w:rFonts w:ascii="Times New Roman" w:eastAsia="Times New Roman" w:hAnsi="Times New Roman" w:cs="Times New Roman"/>
          <w:sz w:val="24"/>
          <w:szCs w:val="24"/>
          <w:lang w:eastAsia="es-ES"/>
        </w:rPr>
        <w:t>? Creo que, en efecto, hay un poco de todo eso. Es, hasta cierto pun</w:t>
      </w:r>
      <w:r w:rsidR="00BF28A0">
        <w:rPr>
          <w:rFonts w:ascii="Times New Roman" w:eastAsia="Times New Roman" w:hAnsi="Times New Roman" w:cs="Times New Roman"/>
          <w:sz w:val="24"/>
          <w:szCs w:val="24"/>
          <w:lang w:eastAsia="es-ES"/>
        </w:rPr>
        <w:t>to, la crisis de la cincuentena”</w:t>
      </w:r>
      <w:r w:rsidR="00104144" w:rsidRPr="0056310B">
        <w:rPr>
          <w:rFonts w:ascii="Times New Roman" w:eastAsia="Times New Roman" w:hAnsi="Times New Roman" w:cs="Times New Roman"/>
          <w:sz w:val="24"/>
          <w:szCs w:val="24"/>
          <w:lang w:eastAsia="es-ES"/>
        </w:rPr>
        <w:t>.</w:t>
      </w:r>
    </w:p>
    <w:p w:rsidR="00104144" w:rsidRDefault="00104144" w:rsidP="00104144">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56310B">
        <w:rPr>
          <w:rFonts w:ascii="Times New Roman" w:eastAsia="Times New Roman" w:hAnsi="Times New Roman" w:cs="Times New Roman"/>
          <w:sz w:val="24"/>
          <w:szCs w:val="24"/>
          <w:lang w:eastAsia="es-ES"/>
        </w:rPr>
        <w:t>Los europeos miran al futuro con incertidumbre ante un mundo crecientemente volátil. Las consecuencias de la guerra ya tienen un impacto directo en los bolsillos de los ciudadanos. El aumento del precio de los alimentos, la energía o los combustibles amenaza con desatar importantes protestas sociales. Y una generación cada vez más europea, pero también más desencantada, está llamada a expresarse en las urnas de la casa de la democracia europea en menos de dos años.</w:t>
      </w:r>
    </w:p>
    <w:p w:rsidR="002A72C5" w:rsidRDefault="002A72C5" w:rsidP="002A72C5">
      <w:pPr>
        <w:pStyle w:val="NormalWeb"/>
        <w:spacing w:after="360"/>
        <w:jc w:val="both"/>
        <w:rPr>
          <w:rFonts w:ascii="Sans" w:hAnsi="Sans"/>
          <w:b/>
        </w:rPr>
      </w:pPr>
      <w:r w:rsidRPr="00F238AD">
        <w:rPr>
          <w:rFonts w:ascii="Sans" w:hAnsi="Sans"/>
          <w:b/>
        </w:rPr>
        <w:t xml:space="preserve">(2022) El año en que “ha estallado la burbuja de todo”: el otoño infernal de la UE </w:t>
      </w:r>
    </w:p>
    <w:p w:rsidR="0041158E" w:rsidRPr="00F238AD" w:rsidRDefault="0041158E" w:rsidP="002A72C5">
      <w:pPr>
        <w:pStyle w:val="NormalWeb"/>
        <w:spacing w:after="360"/>
        <w:jc w:val="both"/>
        <w:rPr>
          <w:rFonts w:ascii="Sans" w:hAnsi="Sans"/>
          <w:b/>
        </w:rPr>
      </w:pPr>
      <w:r>
        <w:rPr>
          <w:noProof/>
          <w:lang w:val="en-GB" w:eastAsia="zh-CN"/>
        </w:rPr>
        <w:drawing>
          <wp:inline distT="0" distB="0" distL="0" distR="0">
            <wp:extent cx="5726218" cy="2921000"/>
            <wp:effectExtent l="0" t="0" r="8255" b="0"/>
            <wp:docPr id="96" name="Imagen 96" descr="Una caída de la actividad total: la eurozona, rumbo al declive económ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a caída de la actividad total: la eurozona, rumbo al declive económico"/>
                    <pic:cNvPicPr>
                      <a:picLocks noChangeAspect="1" noChangeArrowheads="1"/>
                    </pic:cNvPicPr>
                  </pic:nvPicPr>
                  <pic:blipFill>
                    <a:blip r:embed="rId2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23700"/>
                    </a:xfrm>
                    <a:prstGeom prst="rect">
                      <a:avLst/>
                    </a:prstGeom>
                    <a:noFill/>
                    <a:ln>
                      <a:noFill/>
                    </a:ln>
                  </pic:spPr>
                </pic:pic>
              </a:graphicData>
            </a:graphic>
          </wp:inline>
        </w:drawing>
      </w:r>
    </w:p>
    <w:p w:rsidR="00853290" w:rsidRPr="00853290" w:rsidRDefault="00853290" w:rsidP="00853290">
      <w:pPr>
        <w:pStyle w:val="NormalWeb"/>
        <w:spacing w:after="360"/>
        <w:jc w:val="both"/>
        <w:rPr>
          <w:b/>
        </w:rPr>
      </w:pPr>
      <w:r w:rsidRPr="00853290">
        <w:rPr>
          <w:b/>
        </w:rPr>
        <w:lastRenderedPageBreak/>
        <w:t>Europa en penumbra; en busca del “alma” perdida (¿susto, muerte… o reinvención?)</w:t>
      </w:r>
    </w:p>
    <w:p w:rsidR="00710B7A" w:rsidRDefault="00710B7A" w:rsidP="00710B7A">
      <w:pPr>
        <w:pStyle w:val="NormalWeb"/>
        <w:spacing w:after="360"/>
        <w:jc w:val="both"/>
        <w:rPr>
          <w:b/>
        </w:rPr>
      </w:pPr>
      <w:r w:rsidRPr="00710B7A">
        <w:rPr>
          <w:b/>
        </w:rPr>
        <w:t>Europa</w:t>
      </w:r>
      <w:r w:rsidR="00853290">
        <w:rPr>
          <w:b/>
        </w:rPr>
        <w:t xml:space="preserve"> es como un</w:t>
      </w:r>
      <w:r w:rsidRPr="00710B7A">
        <w:rPr>
          <w:b/>
        </w:rPr>
        <w:t xml:space="preserve"> señor entusiasta y sobreactuado que trata de calmar como sea a unos vecinos díscolos y pesados, y en esas seguimos. Tanto EEUU (en lo militar, tecnológico, y comercial), como China (en lo comercial)</w:t>
      </w:r>
      <w:r w:rsidR="003E18A9">
        <w:rPr>
          <w:b/>
        </w:rPr>
        <w:t xml:space="preserve"> tienen la sartén por el mango. </w:t>
      </w:r>
      <w:r w:rsidRPr="00710B7A">
        <w:rPr>
          <w:b/>
        </w:rPr>
        <w:t>Un juego de suma cero descontrolado, al que hay que agregar los goles en contra.</w:t>
      </w:r>
    </w:p>
    <w:p w:rsidR="00853290" w:rsidRPr="00853290" w:rsidRDefault="00853290" w:rsidP="00853290">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La gran cuestión europea es saber si se puede ser soberana en relación de dependencia.</w:t>
      </w:r>
    </w:p>
    <w:p w:rsidR="002A72C5" w:rsidRPr="00364F0A" w:rsidRDefault="002A72C5" w:rsidP="002A72C5">
      <w:pPr>
        <w:pStyle w:val="NormalWeb"/>
        <w:spacing w:after="360"/>
        <w:jc w:val="both"/>
        <w:rPr>
          <w:rFonts w:ascii="Sans" w:hAnsi="Sans"/>
          <w:b/>
        </w:rPr>
      </w:pPr>
      <w:r w:rsidRPr="00364F0A">
        <w:rPr>
          <w:rFonts w:ascii="Sans" w:hAnsi="Sans"/>
          <w:b/>
        </w:rPr>
        <w:t>Cuando nos hacían ver cómo importante lo que tenía de espectáculo, los europeos, venimos a descubrir, lastimosamente, que el “éxito” nos ha hecho infelices. Pero por lo demás seguimos perdidos en la ignorancia. Nos enteraremos con el tiempo y por sus efectos.</w:t>
      </w:r>
    </w:p>
    <w:p w:rsidR="002A72C5" w:rsidRPr="003E18A9" w:rsidRDefault="002A72C5" w:rsidP="002A72C5">
      <w:pPr>
        <w:pStyle w:val="NormalWeb"/>
        <w:spacing w:after="360"/>
        <w:jc w:val="both"/>
        <w:rPr>
          <w:b/>
        </w:rPr>
      </w:pPr>
      <w:r w:rsidRPr="00364F0A">
        <w:rPr>
          <w:b/>
        </w:rPr>
        <w:t>La crisis económica, no nos amenaza porque ya está aquí. La economía se derrumba, la ira social se dispara, el cabreo familiar crece y el ambiente se va tornando invivible. Todo lo que viene aho</w:t>
      </w:r>
      <w:r w:rsidR="003E18A9">
        <w:rPr>
          <w:b/>
        </w:rPr>
        <w:t xml:space="preserve">ra son reveses, malas noticias: </w:t>
      </w:r>
      <w:r w:rsidR="003E18A9">
        <w:rPr>
          <w:rFonts w:ascii="Sans" w:hAnsi="Sans"/>
          <w:b/>
        </w:rPr>
        <w:t>f</w:t>
      </w:r>
      <w:r w:rsidRPr="00364F0A">
        <w:rPr>
          <w:rFonts w:ascii="Sans" w:hAnsi="Sans"/>
          <w:b/>
        </w:rPr>
        <w:t>alta de insumos, recursos energéticos, productos agropecuarios, creciente déficit fiscal,  incremento exponencial de la deuda pública, imparable inflación, aumento de la prima de riesgo…  increíble bola de nieve, que pone a los países avanzados, al borde de la hecatombe.</w:t>
      </w:r>
    </w:p>
    <w:p w:rsidR="002A72C5" w:rsidRPr="00364F0A" w:rsidRDefault="002A72C5" w:rsidP="002A72C5">
      <w:pPr>
        <w:pStyle w:val="NormalWeb"/>
        <w:spacing w:after="360"/>
        <w:jc w:val="both"/>
        <w:rPr>
          <w:rFonts w:ascii="Sans" w:hAnsi="Sans"/>
          <w:b/>
          <w:shd w:val="clear" w:color="auto" w:fill="FFFFFF"/>
        </w:rPr>
      </w:pPr>
      <w:r w:rsidRPr="00364F0A">
        <w:rPr>
          <w:rFonts w:ascii="Sans" w:hAnsi="Sans"/>
          <w:b/>
        </w:rPr>
        <w:t>Mientras que en los países avanzados (ahora, en vías de subdesarrollo) los ricos comen chuletas bañadas en oro (sic), sus bancos centrales corren detrás de la inflación que ellos mismos generaron (glup), para dar a los ricos mayores posibilidades de come</w:t>
      </w:r>
      <w:r w:rsidR="000A40E1" w:rsidRPr="00364F0A">
        <w:rPr>
          <w:rFonts w:ascii="Sans" w:hAnsi="Sans"/>
          <w:b/>
        </w:rPr>
        <w:t>r chuletas bañadas en oro (glup,</w:t>
      </w:r>
      <w:r w:rsidRPr="00364F0A">
        <w:rPr>
          <w:rFonts w:ascii="Sans" w:hAnsi="Sans"/>
          <w:b/>
        </w:rPr>
        <w:t xml:space="preserve"> glup), sus ciudadanos </w:t>
      </w:r>
      <w:r w:rsidR="00285E6E">
        <w:rPr>
          <w:rFonts w:ascii="Sans" w:hAnsi="Sans"/>
          <w:b/>
        </w:rPr>
        <w:t xml:space="preserve">comunes (grandes paganos </w:t>
      </w:r>
      <w:r w:rsidRPr="00364F0A">
        <w:rPr>
          <w:rFonts w:ascii="Sans" w:hAnsi="Sans"/>
          <w:b/>
        </w:rPr>
        <w:t>de este</w:t>
      </w:r>
      <w:r w:rsidR="00285E6E">
        <w:rPr>
          <w:rFonts w:ascii="Sans" w:hAnsi="Sans"/>
          <w:b/>
        </w:rPr>
        <w:t xml:space="preserve"> tremendo</w:t>
      </w:r>
      <w:r w:rsidRPr="00364F0A">
        <w:rPr>
          <w:rFonts w:ascii="Sans" w:hAnsi="Sans"/>
          <w:b/>
        </w:rPr>
        <w:t xml:space="preserve"> desaguisado) </w:t>
      </w:r>
      <w:r w:rsidRPr="00364F0A">
        <w:rPr>
          <w:rFonts w:ascii="Sans" w:hAnsi="Sans"/>
          <w:b/>
          <w:shd w:val="clear" w:color="auto" w:fill="FFFFFF"/>
        </w:rPr>
        <w:t>cuando pueden ejercer el voto en libertad, a consecuencia de las enormes diferencias socio-económicas que padecen, agudizadas por la pandemia, están derrumbando a los oficialismos sin importar si se trata de regímenes de derecha o de izquierda (triple glup).</w:t>
      </w:r>
    </w:p>
    <w:p w:rsidR="002A72C5" w:rsidRPr="00364F0A" w:rsidRDefault="002A72C5" w:rsidP="002A72C5">
      <w:pPr>
        <w:pStyle w:val="NormalWeb"/>
        <w:spacing w:after="360"/>
        <w:jc w:val="both"/>
        <w:rPr>
          <w:rFonts w:ascii="Calibri" w:hAnsi="Calibri" w:cs="Calibri"/>
          <w:b/>
          <w:sz w:val="18"/>
          <w:szCs w:val="18"/>
        </w:rPr>
      </w:pPr>
      <w:r w:rsidRPr="00364F0A">
        <w:rPr>
          <w:rFonts w:ascii="Sans" w:hAnsi="Sans" w:cs="Calibri"/>
          <w:b/>
        </w:rPr>
        <w:t xml:space="preserve">En Europa, la criminal invasión a Ucrania parece transformarse en una guerra prolongada, y </w:t>
      </w:r>
      <w:r w:rsidR="000A40E1" w:rsidRPr="00364F0A">
        <w:rPr>
          <w:rFonts w:ascii="Sans" w:hAnsi="Sans" w:cs="Calibri"/>
          <w:b/>
        </w:rPr>
        <w:t xml:space="preserve">según algunos analistas </w:t>
      </w:r>
      <w:r w:rsidRPr="00364F0A">
        <w:rPr>
          <w:rFonts w:ascii="Sans" w:hAnsi="Sans" w:cs="Calibri"/>
          <w:b/>
        </w:rPr>
        <w:t>hasta es posible que se extienda a los países bálticos y a Moldavia, sobre el Mar Negro, con las enormes consecuencias que todo ello ya está produciendo sobre los senderos de los recursos energéticos y alimentarios globales. En el sur de Asia, Corea del Norte sigue amenazando con sus misiles al mundo y China continúa hostigando a Taiwán, mientras que, asociada a India en la empresa, diluye los efectos de las sanciones occidentales sobre Rusia al comprar sus combustibles.</w:t>
      </w:r>
      <w:r w:rsidRPr="00364F0A">
        <w:rPr>
          <w:rFonts w:ascii="Calibri" w:hAnsi="Calibri" w:cs="Calibri"/>
          <w:b/>
          <w:sz w:val="18"/>
          <w:szCs w:val="18"/>
        </w:rPr>
        <w:t>  </w:t>
      </w:r>
    </w:p>
    <w:p w:rsidR="002A72C5" w:rsidRPr="00364F0A" w:rsidRDefault="002A72C5" w:rsidP="002A72C5">
      <w:pPr>
        <w:pStyle w:val="NormalWeb"/>
        <w:spacing w:after="360"/>
        <w:jc w:val="both"/>
        <w:rPr>
          <w:b/>
        </w:rPr>
      </w:pPr>
      <w:r w:rsidRPr="00364F0A">
        <w:rPr>
          <w:b/>
        </w:rPr>
        <w:t>Las medidas económicas que toman los “alucinados” dirigentes europeos se van quedando obsoletas antes de nacer.</w:t>
      </w:r>
      <w:r w:rsidR="000A40E1" w:rsidRPr="00364F0A">
        <w:rPr>
          <w:b/>
        </w:rPr>
        <w:t xml:space="preserve"> La inflación anualizada está cerca del</w:t>
      </w:r>
      <w:r w:rsidRPr="00364F0A">
        <w:rPr>
          <w:b/>
        </w:rPr>
        <w:t xml:space="preserve"> 10 %</w:t>
      </w:r>
      <w:r w:rsidR="000A40E1" w:rsidRPr="00364F0A">
        <w:rPr>
          <w:b/>
        </w:rPr>
        <w:t xml:space="preserve"> -la subyacente del</w:t>
      </w:r>
      <w:r w:rsidRPr="00364F0A">
        <w:rPr>
          <w:b/>
        </w:rPr>
        <w:t xml:space="preserve"> 5%- (en junio), pese a que hace tan sólo unos meses, las “gallináceas”, aseguraban que iba a ser pasajera. El alza de precios absorbe de un golpe el efecto de las iniciativas para combatirla.</w:t>
      </w:r>
    </w:p>
    <w:p w:rsidR="002A72C5" w:rsidRPr="00364F0A" w:rsidRDefault="002A72C5" w:rsidP="002A72C5">
      <w:pPr>
        <w:pStyle w:val="NormalWeb"/>
        <w:spacing w:after="360"/>
        <w:jc w:val="both"/>
        <w:rPr>
          <w:b/>
        </w:rPr>
      </w:pPr>
      <w:r w:rsidRPr="00364F0A">
        <w:rPr>
          <w:b/>
        </w:rPr>
        <w:t>El final de la pandemia y la mejora del desempleo reducirán, sin duda, el dinero destinado a esos fines y la inflación incrementa la recaudación tributaria. Pero no hay dinero suficiente en el mundo para corregir los precios a golpe de talonario y por decreto ley, en lugar de acompañar las medidas con reformas y recortes del gasto.</w:t>
      </w:r>
    </w:p>
    <w:p w:rsidR="002A72C5" w:rsidRDefault="002A72C5" w:rsidP="002A72C5">
      <w:pPr>
        <w:pStyle w:val="NormalWeb"/>
        <w:spacing w:after="360"/>
        <w:jc w:val="both"/>
        <w:rPr>
          <w:b/>
        </w:rPr>
      </w:pPr>
      <w:r w:rsidRPr="00364F0A">
        <w:rPr>
          <w:b/>
        </w:rPr>
        <w:lastRenderedPageBreak/>
        <w:t>¿Y ahora qué harán?... ¿seguir incrementado el déficit público? ¿continuar aumentando la deuda soberana? ¿confiar en la connivencia del BCE ? ¿prolongar la carrera loca hacia el abismo?¿tirarse por el barranco? ¿renunciar, y convocar elecciones? ¿declararse dictadores políticos, militares e intelectuales (Pontifex Maximus)? ¿Incendiar Roma?</w:t>
      </w:r>
      <w:r w:rsidR="00285E6E">
        <w:rPr>
          <w:b/>
        </w:rPr>
        <w:t xml:space="preserve"> ¿Incendiar París?</w:t>
      </w:r>
    </w:p>
    <w:p w:rsidR="002A72C5" w:rsidRPr="00364F0A" w:rsidRDefault="002A72C5" w:rsidP="002A72C5">
      <w:pPr>
        <w:pStyle w:val="NormalWeb"/>
        <w:spacing w:after="360"/>
        <w:jc w:val="both"/>
        <w:rPr>
          <w:b/>
        </w:rPr>
      </w:pPr>
      <w:r w:rsidRPr="00364F0A">
        <w:rPr>
          <w:b/>
        </w:rPr>
        <w:t>¿Cómo reaccionará la ciudadanía (si aún le queda alguna capacidad crítica, después de haber sido abducidos, anestesiados, intoxicados, drogados, desinformados, espiados, controlados, manipulados, traficados por las redes sociales, las plataformas, la realidad virtual, el metaverso, y otras armas de “analfabetización” masiva) ante esta situación terminal?</w:t>
      </w:r>
    </w:p>
    <w:p w:rsidR="002A72C5" w:rsidRPr="00364F0A" w:rsidRDefault="002A72C5" w:rsidP="002A72C5">
      <w:pPr>
        <w:pStyle w:val="NormalWeb"/>
        <w:spacing w:after="360"/>
        <w:jc w:val="both"/>
        <w:rPr>
          <w:b/>
        </w:rPr>
      </w:pPr>
      <w:r w:rsidRPr="00364F0A">
        <w:rPr>
          <w:b/>
        </w:rPr>
        <w:t>El hundimiento se precipita y los partidarios del progreso están a dos telediarios de quedarse huérfanos y sin claro relevo. La Comisión Europea, con unos dirige</w:t>
      </w:r>
      <w:r w:rsidR="00710B7A">
        <w:rPr>
          <w:b/>
        </w:rPr>
        <w:t xml:space="preserve">ntes, faltos de recursos hasta </w:t>
      </w:r>
      <w:r w:rsidRPr="00364F0A">
        <w:rPr>
          <w:b/>
        </w:rPr>
        <w:t xml:space="preserve">para seguir mintiendo, llevan a pensar que la sepultura, sin bendiciones ni responsos, sería lo mejor para la Unión Europea. </w:t>
      </w:r>
    </w:p>
    <w:p w:rsidR="002A72C5" w:rsidRPr="00364F0A" w:rsidRDefault="002A72C5" w:rsidP="002A72C5">
      <w:pPr>
        <w:pStyle w:val="NormalWeb"/>
        <w:spacing w:after="360"/>
        <w:jc w:val="both"/>
        <w:rPr>
          <w:b/>
        </w:rPr>
      </w:pPr>
      <w:r w:rsidRPr="00364F0A">
        <w:rPr>
          <w:b/>
        </w:rPr>
        <w:t xml:space="preserve">Quizás esta vez haya suerte… pensarán en los Estados Unidos, el Reino Unido, o China, donde solo interesa Europa como “mercado” (cliente). Quizás esta vez  se convenzan que nos necesitan más ellos a nosotros, que nosotros a ellos… y ahora mucho más, pensarán en los Estados Unidos, el Reino Unido, o China, donde consideran a Europa como un museo vacío.   </w:t>
      </w:r>
    </w:p>
    <w:p w:rsidR="0041158E" w:rsidRPr="003E18A9" w:rsidRDefault="002A72C5" w:rsidP="002A72C5">
      <w:pPr>
        <w:pStyle w:val="NormalWeb"/>
        <w:spacing w:after="360"/>
        <w:jc w:val="both"/>
        <w:rPr>
          <w:rFonts w:ascii="Sans" w:hAnsi="Sans"/>
          <w:b/>
          <w:shd w:val="clear" w:color="auto" w:fill="FFFFFF"/>
        </w:rPr>
      </w:pPr>
      <w:r w:rsidRPr="00364F0A">
        <w:rPr>
          <w:b/>
        </w:rPr>
        <w:t xml:space="preserve">Tal vez </w:t>
      </w:r>
      <w:r w:rsidRPr="00364F0A">
        <w:rPr>
          <w:rFonts w:ascii="Sans" w:hAnsi="Sans"/>
          <w:b/>
          <w:shd w:val="clear" w:color="auto" w:fill="FFFFFF"/>
        </w:rPr>
        <w:t xml:space="preserve">por eso, porque únicamente cuando ya no les queda nada por perder, las sociedades consiguen hacer pie en el fondo para impulsarse hacia la superficie y volver a respirar, </w:t>
      </w:r>
      <w:r w:rsidR="00853290">
        <w:rPr>
          <w:rFonts w:ascii="Sans" w:hAnsi="Sans"/>
          <w:b/>
          <w:shd w:val="clear" w:color="auto" w:fill="FFFFFF"/>
        </w:rPr>
        <w:t xml:space="preserve">deseo, espero, y </w:t>
      </w:r>
      <w:r w:rsidR="003E18A9">
        <w:rPr>
          <w:rFonts w:ascii="Sans" w:hAnsi="Sans"/>
          <w:b/>
          <w:shd w:val="clear" w:color="auto" w:fill="FFFFFF"/>
        </w:rPr>
        <w:t xml:space="preserve">ruego: </w:t>
      </w:r>
      <w:r w:rsidR="003E18A9" w:rsidRPr="003E18A9">
        <w:rPr>
          <w:rFonts w:ascii="Sans" w:hAnsi="Sans"/>
          <w:b/>
          <w:shd w:val="clear" w:color="auto" w:fill="FFFFFF"/>
        </w:rPr>
        <w:t xml:space="preserve">¡Wake up Europe! </w:t>
      </w:r>
      <w:r w:rsidR="0041158E" w:rsidRPr="00285E6E">
        <w:rPr>
          <w:b/>
        </w:rPr>
        <w:t>¡Make Europe great again!</w:t>
      </w:r>
    </w:p>
    <w:p w:rsidR="006F4EFB" w:rsidRPr="003E18A9" w:rsidRDefault="006F4EFB" w:rsidP="006F4EFB">
      <w:pPr>
        <w:pStyle w:val="NormalWeb"/>
        <w:spacing w:after="360"/>
        <w:jc w:val="both"/>
        <w:rPr>
          <w:b/>
        </w:rPr>
      </w:pPr>
      <w:r w:rsidRPr="003E18A9">
        <w:rPr>
          <w:b/>
        </w:rPr>
        <w:t xml:space="preserve">Nota final (al “Apparátchik” de Bruselas): La </w:t>
      </w:r>
      <w:r w:rsidR="00905B55">
        <w:rPr>
          <w:b/>
        </w:rPr>
        <w:t>“</w:t>
      </w:r>
      <w:r w:rsidRPr="003E18A9">
        <w:rPr>
          <w:b/>
        </w:rPr>
        <w:t>adversidad</w:t>
      </w:r>
      <w:r w:rsidR="00905B55">
        <w:rPr>
          <w:b/>
        </w:rPr>
        <w:t>”</w:t>
      </w:r>
      <w:r w:rsidRPr="003E18A9">
        <w:rPr>
          <w:b/>
        </w:rPr>
        <w:t xml:space="preserve"> de Europa </w:t>
      </w:r>
      <w:r w:rsidR="00905B55">
        <w:rPr>
          <w:b/>
        </w:rPr>
        <w:t>“</w:t>
      </w:r>
      <w:r w:rsidRPr="003E18A9">
        <w:rPr>
          <w:b/>
        </w:rPr>
        <w:t>son ustedes</w:t>
      </w:r>
      <w:r w:rsidR="00905B55">
        <w:rPr>
          <w:b/>
        </w:rPr>
        <w:t>”</w:t>
      </w:r>
    </w:p>
    <w:p w:rsidR="006F4EFB" w:rsidRPr="003E18A9" w:rsidRDefault="006F4EFB" w:rsidP="006F4EFB">
      <w:pPr>
        <w:pStyle w:val="NormalWeb"/>
        <w:spacing w:after="360"/>
        <w:jc w:val="both"/>
        <w:rPr>
          <w:b/>
        </w:rPr>
      </w:pPr>
      <w:r w:rsidRPr="003E18A9">
        <w:rPr>
          <w:b/>
        </w:rPr>
        <w:t>En este escenario de pesadilla donde la Unión Europea exhibe sus desgracias, iluminados “burócratas depredadores”</w:t>
      </w:r>
      <w:r w:rsidR="0003689D">
        <w:rPr>
          <w:b/>
        </w:rPr>
        <w:t>, lo mejor que pueden hacer</w:t>
      </w:r>
      <w:r w:rsidR="00285E6E">
        <w:rPr>
          <w:b/>
        </w:rPr>
        <w:t xml:space="preserve"> ustedes</w:t>
      </w:r>
      <w:r w:rsidR="0003689D">
        <w:rPr>
          <w:b/>
        </w:rPr>
        <w:t xml:space="preserve"> es “</w:t>
      </w:r>
      <w:r w:rsidRPr="003E18A9">
        <w:rPr>
          <w:b/>
        </w:rPr>
        <w:t>dejar en liberta</w:t>
      </w:r>
      <w:r w:rsidR="0003689D">
        <w:rPr>
          <w:b/>
        </w:rPr>
        <w:t>d a los ciudadanos europeos”</w:t>
      </w:r>
      <w:r w:rsidRPr="003E18A9">
        <w:rPr>
          <w:b/>
        </w:rPr>
        <w:t xml:space="preserve">, </w:t>
      </w:r>
      <w:r w:rsidR="0003689D">
        <w:rPr>
          <w:b/>
        </w:rPr>
        <w:t>“</w:t>
      </w:r>
      <w:r w:rsidRPr="003E18A9">
        <w:rPr>
          <w:b/>
        </w:rPr>
        <w:t>aband</w:t>
      </w:r>
      <w:r w:rsidR="003E18A9" w:rsidRPr="003E18A9">
        <w:rPr>
          <w:b/>
        </w:rPr>
        <w:t>onar sus juguetes preferidos</w:t>
      </w:r>
      <w:r w:rsidR="0003689D">
        <w:rPr>
          <w:b/>
        </w:rPr>
        <w:t>”</w:t>
      </w:r>
      <w:r w:rsidR="003E18A9" w:rsidRPr="003E18A9">
        <w:rPr>
          <w:b/>
        </w:rPr>
        <w:t>, y ante</w:t>
      </w:r>
      <w:r w:rsidRPr="003E18A9">
        <w:rPr>
          <w:b/>
        </w:rPr>
        <w:t xml:space="preserve"> todo, “no hacer (más) daño”, porque si no, más pronto que tarde, serán culpables de la desaparición, con estrépito y deshonor, de la Unión Europea, de la escena mundial. </w:t>
      </w:r>
    </w:p>
    <w:p w:rsidR="003E18A9" w:rsidRPr="003E18A9" w:rsidRDefault="006F4EFB" w:rsidP="006F4EFB">
      <w:pPr>
        <w:pStyle w:val="NormalWeb"/>
        <w:spacing w:after="360"/>
        <w:jc w:val="both"/>
        <w:rPr>
          <w:b/>
        </w:rPr>
      </w:pPr>
      <w:r w:rsidRPr="003E18A9">
        <w:rPr>
          <w:b/>
        </w:rPr>
        <w:t>Tengo claro que es muy difícil pedir coherencia a unos maestros del cortoplacismo,   improvisadores habituales,</w:t>
      </w:r>
      <w:r w:rsidR="00285E6E">
        <w:rPr>
          <w:b/>
        </w:rPr>
        <w:t xml:space="preserve"> especializados en crear pobres</w:t>
      </w:r>
      <w:r w:rsidR="00224EF0">
        <w:rPr>
          <w:b/>
        </w:rPr>
        <w:t xml:space="preserve"> para socorrerlos</w:t>
      </w:r>
      <w:r w:rsidRPr="003E18A9">
        <w:rPr>
          <w:b/>
        </w:rPr>
        <w:t xml:space="preserve"> después, escapistas de todo a 100 (</w:t>
      </w:r>
      <w:r w:rsidR="0003689D">
        <w:rPr>
          <w:b/>
        </w:rPr>
        <w:t>“</w:t>
      </w:r>
      <w:r w:rsidRPr="003E18A9">
        <w:rPr>
          <w:b/>
        </w:rPr>
        <w:t>no se podía saber y lo estamos haciendo mejor que nadie</w:t>
      </w:r>
      <w:r w:rsidR="0003689D">
        <w:rPr>
          <w:b/>
        </w:rPr>
        <w:t>”</w:t>
      </w:r>
      <w:r w:rsidRPr="003E18A9">
        <w:rPr>
          <w:b/>
        </w:rPr>
        <w:t>), cargados  de discursos de baratija que se pretenden épicos y derivan en ridículo: “Nos vamos  a dejar la piel”, “vamos a por todas”, “haremos todo y más”, “no vamos a dejar a nadie atrás” “saldremos más fuertes”. “El culpable de la pandemia fue un virus y el de la inflación, Putin”. Tal cual. Y en ambos casos, la Comisión Europea reaccionó -está reaccionando- en forma eficaz y ejemplar. Mejor que nadie.</w:t>
      </w:r>
    </w:p>
    <w:p w:rsidR="003E18A9" w:rsidRPr="003E18A9" w:rsidRDefault="006F4EFB" w:rsidP="006F4EFB">
      <w:pPr>
        <w:pStyle w:val="NormalWeb"/>
        <w:spacing w:after="360"/>
        <w:jc w:val="both"/>
        <w:rPr>
          <w:b/>
        </w:rPr>
      </w:pPr>
      <w:r w:rsidRPr="003E18A9">
        <w:rPr>
          <w:b/>
        </w:rPr>
        <w:t>Y así, de “plan de choque”</w:t>
      </w:r>
      <w:r w:rsidR="00285E6E">
        <w:rPr>
          <w:b/>
        </w:rPr>
        <w:t xml:space="preserve"> en “plan de choque”, el “a</w:t>
      </w:r>
      <w:r w:rsidR="00285E6E" w:rsidRPr="003E18A9">
        <w:rPr>
          <w:b/>
        </w:rPr>
        <w:t xml:space="preserve">pparátchik” </w:t>
      </w:r>
      <w:r w:rsidRPr="003E18A9">
        <w:rPr>
          <w:b/>
        </w:rPr>
        <w:t>hipertrofiado de Bruselas, se va llevando por delante a las clases medias y bajas</w:t>
      </w:r>
      <w:r w:rsidR="0003689D">
        <w:rPr>
          <w:b/>
        </w:rPr>
        <w:t>, de una Unión Europea</w:t>
      </w:r>
      <w:r w:rsidRPr="003E18A9">
        <w:rPr>
          <w:b/>
        </w:rPr>
        <w:t xml:space="preserve">, </w:t>
      </w:r>
      <w:r w:rsidR="0003689D">
        <w:rPr>
          <w:b/>
        </w:rPr>
        <w:t>“</w:t>
      </w:r>
      <w:r w:rsidRPr="003E18A9">
        <w:rPr>
          <w:b/>
        </w:rPr>
        <w:t>en vías de subdesarrollo</w:t>
      </w:r>
      <w:r w:rsidR="0003689D">
        <w:rPr>
          <w:b/>
        </w:rPr>
        <w:t>”</w:t>
      </w:r>
      <w:r w:rsidRPr="003E18A9">
        <w:rPr>
          <w:b/>
        </w:rPr>
        <w:t>.</w:t>
      </w:r>
    </w:p>
    <w:p w:rsidR="00CC4B93" w:rsidRPr="0003689D" w:rsidRDefault="006F4EFB" w:rsidP="0003689D">
      <w:pPr>
        <w:pStyle w:val="NormalWeb"/>
        <w:spacing w:after="360"/>
        <w:jc w:val="both"/>
        <w:rPr>
          <w:b/>
        </w:rPr>
      </w:pPr>
      <w:r w:rsidRPr="003E18A9">
        <w:rPr>
          <w:b/>
        </w:rPr>
        <w:t>Si</w:t>
      </w:r>
      <w:r w:rsidR="00285E6E">
        <w:rPr>
          <w:b/>
        </w:rPr>
        <w:t xml:space="preserve"> no fuera tan grave, daría risa. P</w:t>
      </w:r>
      <w:r w:rsidRPr="003E18A9">
        <w:rPr>
          <w:b/>
        </w:rPr>
        <w:t>ero, de s</w:t>
      </w:r>
      <w:r w:rsidR="0003689D">
        <w:rPr>
          <w:b/>
        </w:rPr>
        <w:t>eguir así, van a</w:t>
      </w:r>
      <w:r w:rsidR="00285E6E">
        <w:rPr>
          <w:b/>
        </w:rPr>
        <w:t xml:space="preserve"> terminar mandando</w:t>
      </w:r>
      <w:r w:rsidR="0003689D">
        <w:rPr>
          <w:b/>
        </w:rPr>
        <w:t xml:space="preserve"> a la Unión Europea</w:t>
      </w:r>
      <w:r w:rsidRPr="003E18A9">
        <w:rPr>
          <w:b/>
        </w:rPr>
        <w:t xml:space="preserve"> a la mierda.</w:t>
      </w:r>
      <w:r w:rsidR="0003689D">
        <w:rPr>
          <w:b/>
        </w:rPr>
        <w:t xml:space="preserve"> E</w:t>
      </w:r>
      <w:r w:rsidR="0003689D" w:rsidRPr="0003689D">
        <w:rPr>
          <w:b/>
        </w:rPr>
        <w:t>l tiempo será testigo</w:t>
      </w:r>
      <w:r w:rsidR="0003689D">
        <w:rPr>
          <w:b/>
        </w:rPr>
        <w:t>.</w:t>
      </w:r>
    </w:p>
    <w:sectPr w:rsidR="00CC4B93" w:rsidRPr="0003689D" w:rsidSect="0038402B">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ans">
    <w:altName w:val="Times New Roman"/>
    <w:panose1 w:val="00000000000000000000"/>
    <w:charset w:val="00"/>
    <w:family w:val="roman"/>
    <w:notTrueType/>
    <w:pitch w:val="default"/>
    <w:sig w:usb0="00000000" w:usb1="00000000" w:usb2="00000000" w:usb3="00000000" w:csb0="00000000" w:csb1="00000000"/>
  </w:font>
  <w:font w:name="oxygen">
    <w:altName w:val="Times New Roman"/>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https://s.libertaddigital.com/images/trans.png" style="width:.75pt;height:.75pt;visibility:visible;mso-wrap-style:square" o:bullet="t">
        <v:imagedata r:id="rId1" o:title="trans"/>
      </v:shape>
    </w:pict>
  </w:numPicBullet>
  <w:abstractNum w:abstractNumId="0">
    <w:nsid w:val="07EA4F30"/>
    <w:multiLevelType w:val="multilevel"/>
    <w:tmpl w:val="62605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10925A2D"/>
    <w:multiLevelType w:val="multilevel"/>
    <w:tmpl w:val="925E9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5865CF2"/>
    <w:multiLevelType w:val="multilevel"/>
    <w:tmpl w:val="DB4C9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C592973"/>
    <w:multiLevelType w:val="multilevel"/>
    <w:tmpl w:val="DC2AF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C657F53"/>
    <w:multiLevelType w:val="multilevel"/>
    <w:tmpl w:val="DC2C0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21A44FC1"/>
    <w:multiLevelType w:val="multilevel"/>
    <w:tmpl w:val="B622C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24C4323E"/>
    <w:multiLevelType w:val="multilevel"/>
    <w:tmpl w:val="7548A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26344AC4"/>
    <w:multiLevelType w:val="hybridMultilevel"/>
    <w:tmpl w:val="28220556"/>
    <w:lvl w:ilvl="0" w:tplc="1D2225E2">
      <w:start w:val="1"/>
      <w:numFmt w:val="bullet"/>
      <w:lvlText w:val=""/>
      <w:lvlPicBulletId w:val="0"/>
      <w:lvlJc w:val="left"/>
      <w:pPr>
        <w:tabs>
          <w:tab w:val="num" w:pos="720"/>
        </w:tabs>
        <w:ind w:left="720" w:hanging="360"/>
      </w:pPr>
      <w:rPr>
        <w:rFonts w:ascii="Symbol" w:hAnsi="Symbol" w:hint="default"/>
      </w:rPr>
    </w:lvl>
    <w:lvl w:ilvl="1" w:tplc="D40ED2AC" w:tentative="1">
      <w:start w:val="1"/>
      <w:numFmt w:val="bullet"/>
      <w:lvlText w:val=""/>
      <w:lvlJc w:val="left"/>
      <w:pPr>
        <w:tabs>
          <w:tab w:val="num" w:pos="1440"/>
        </w:tabs>
        <w:ind w:left="1440" w:hanging="360"/>
      </w:pPr>
      <w:rPr>
        <w:rFonts w:ascii="Symbol" w:hAnsi="Symbol" w:hint="default"/>
      </w:rPr>
    </w:lvl>
    <w:lvl w:ilvl="2" w:tplc="BB843ED2" w:tentative="1">
      <w:start w:val="1"/>
      <w:numFmt w:val="bullet"/>
      <w:lvlText w:val=""/>
      <w:lvlJc w:val="left"/>
      <w:pPr>
        <w:tabs>
          <w:tab w:val="num" w:pos="2160"/>
        </w:tabs>
        <w:ind w:left="2160" w:hanging="360"/>
      </w:pPr>
      <w:rPr>
        <w:rFonts w:ascii="Symbol" w:hAnsi="Symbol" w:hint="default"/>
      </w:rPr>
    </w:lvl>
    <w:lvl w:ilvl="3" w:tplc="71E24E46" w:tentative="1">
      <w:start w:val="1"/>
      <w:numFmt w:val="bullet"/>
      <w:lvlText w:val=""/>
      <w:lvlJc w:val="left"/>
      <w:pPr>
        <w:tabs>
          <w:tab w:val="num" w:pos="2880"/>
        </w:tabs>
        <w:ind w:left="2880" w:hanging="360"/>
      </w:pPr>
      <w:rPr>
        <w:rFonts w:ascii="Symbol" w:hAnsi="Symbol" w:hint="default"/>
      </w:rPr>
    </w:lvl>
    <w:lvl w:ilvl="4" w:tplc="594C35C8" w:tentative="1">
      <w:start w:val="1"/>
      <w:numFmt w:val="bullet"/>
      <w:lvlText w:val=""/>
      <w:lvlJc w:val="left"/>
      <w:pPr>
        <w:tabs>
          <w:tab w:val="num" w:pos="3600"/>
        </w:tabs>
        <w:ind w:left="3600" w:hanging="360"/>
      </w:pPr>
      <w:rPr>
        <w:rFonts w:ascii="Symbol" w:hAnsi="Symbol" w:hint="default"/>
      </w:rPr>
    </w:lvl>
    <w:lvl w:ilvl="5" w:tplc="C448A408" w:tentative="1">
      <w:start w:val="1"/>
      <w:numFmt w:val="bullet"/>
      <w:lvlText w:val=""/>
      <w:lvlJc w:val="left"/>
      <w:pPr>
        <w:tabs>
          <w:tab w:val="num" w:pos="4320"/>
        </w:tabs>
        <w:ind w:left="4320" w:hanging="360"/>
      </w:pPr>
      <w:rPr>
        <w:rFonts w:ascii="Symbol" w:hAnsi="Symbol" w:hint="default"/>
      </w:rPr>
    </w:lvl>
    <w:lvl w:ilvl="6" w:tplc="3AC609C6" w:tentative="1">
      <w:start w:val="1"/>
      <w:numFmt w:val="bullet"/>
      <w:lvlText w:val=""/>
      <w:lvlJc w:val="left"/>
      <w:pPr>
        <w:tabs>
          <w:tab w:val="num" w:pos="5040"/>
        </w:tabs>
        <w:ind w:left="5040" w:hanging="360"/>
      </w:pPr>
      <w:rPr>
        <w:rFonts w:ascii="Symbol" w:hAnsi="Symbol" w:hint="default"/>
      </w:rPr>
    </w:lvl>
    <w:lvl w:ilvl="7" w:tplc="4614F752" w:tentative="1">
      <w:start w:val="1"/>
      <w:numFmt w:val="bullet"/>
      <w:lvlText w:val=""/>
      <w:lvlJc w:val="left"/>
      <w:pPr>
        <w:tabs>
          <w:tab w:val="num" w:pos="5760"/>
        </w:tabs>
        <w:ind w:left="5760" w:hanging="360"/>
      </w:pPr>
      <w:rPr>
        <w:rFonts w:ascii="Symbol" w:hAnsi="Symbol" w:hint="default"/>
      </w:rPr>
    </w:lvl>
    <w:lvl w:ilvl="8" w:tplc="A3E63780" w:tentative="1">
      <w:start w:val="1"/>
      <w:numFmt w:val="bullet"/>
      <w:lvlText w:val=""/>
      <w:lvlJc w:val="left"/>
      <w:pPr>
        <w:tabs>
          <w:tab w:val="num" w:pos="6480"/>
        </w:tabs>
        <w:ind w:left="6480" w:hanging="360"/>
      </w:pPr>
      <w:rPr>
        <w:rFonts w:ascii="Symbol" w:hAnsi="Symbol" w:hint="default"/>
      </w:rPr>
    </w:lvl>
  </w:abstractNum>
  <w:abstractNum w:abstractNumId="8">
    <w:nsid w:val="33D81EC4"/>
    <w:multiLevelType w:val="multilevel"/>
    <w:tmpl w:val="0B727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39E00DC9"/>
    <w:multiLevelType w:val="multilevel"/>
    <w:tmpl w:val="2D98A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42DC4541"/>
    <w:multiLevelType w:val="hybridMultilevel"/>
    <w:tmpl w:val="E3AAB33A"/>
    <w:lvl w:ilvl="0" w:tplc="5B702E9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44F65747"/>
    <w:multiLevelType w:val="multilevel"/>
    <w:tmpl w:val="2A683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AE61A20"/>
    <w:multiLevelType w:val="hybridMultilevel"/>
    <w:tmpl w:val="B0BEEA0C"/>
    <w:lvl w:ilvl="0" w:tplc="CCA6917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50E8151C"/>
    <w:multiLevelType w:val="multilevel"/>
    <w:tmpl w:val="02D04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61E9641E"/>
    <w:multiLevelType w:val="multilevel"/>
    <w:tmpl w:val="465CC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6C222F86"/>
    <w:multiLevelType w:val="multilevel"/>
    <w:tmpl w:val="CAC0D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7ACF2941"/>
    <w:multiLevelType w:val="multilevel"/>
    <w:tmpl w:val="D4FEB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C35419F"/>
    <w:multiLevelType w:val="hybridMultilevel"/>
    <w:tmpl w:val="61684828"/>
    <w:lvl w:ilvl="0" w:tplc="A476B72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0"/>
  </w:num>
  <w:num w:numId="2">
    <w:abstractNumId w:val="7"/>
  </w:num>
  <w:num w:numId="3">
    <w:abstractNumId w:val="16"/>
  </w:num>
  <w:num w:numId="4">
    <w:abstractNumId w:val="13"/>
  </w:num>
  <w:num w:numId="5">
    <w:abstractNumId w:val="14"/>
  </w:num>
  <w:num w:numId="6">
    <w:abstractNumId w:val="17"/>
  </w:num>
  <w:num w:numId="7">
    <w:abstractNumId w:val="11"/>
  </w:num>
  <w:num w:numId="8">
    <w:abstractNumId w:val="2"/>
  </w:num>
  <w:num w:numId="9">
    <w:abstractNumId w:val="9"/>
  </w:num>
  <w:num w:numId="10">
    <w:abstractNumId w:val="1"/>
  </w:num>
  <w:num w:numId="11">
    <w:abstractNumId w:val="6"/>
  </w:num>
  <w:num w:numId="12">
    <w:abstractNumId w:val="3"/>
  </w:num>
  <w:num w:numId="13">
    <w:abstractNumId w:val="15"/>
  </w:num>
  <w:num w:numId="14">
    <w:abstractNumId w:val="0"/>
  </w:num>
  <w:num w:numId="15">
    <w:abstractNumId w:val="5"/>
  </w:num>
  <w:num w:numId="16">
    <w:abstractNumId w:val="4"/>
  </w:num>
  <w:num w:numId="17">
    <w:abstractNumId w:val="8"/>
  </w:num>
  <w:num w:numId="18">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compat/>
  <w:rsids>
    <w:rsidRoot w:val="00D60B84"/>
    <w:rsid w:val="000003FF"/>
    <w:rsid w:val="00002FF2"/>
    <w:rsid w:val="00004B6E"/>
    <w:rsid w:val="00006C56"/>
    <w:rsid w:val="000268F6"/>
    <w:rsid w:val="00034043"/>
    <w:rsid w:val="0003689D"/>
    <w:rsid w:val="000441B2"/>
    <w:rsid w:val="00046B0C"/>
    <w:rsid w:val="00056CDE"/>
    <w:rsid w:val="00074218"/>
    <w:rsid w:val="0007527A"/>
    <w:rsid w:val="00090337"/>
    <w:rsid w:val="0009037B"/>
    <w:rsid w:val="00090AE8"/>
    <w:rsid w:val="000A40E1"/>
    <w:rsid w:val="000C0709"/>
    <w:rsid w:val="000C197A"/>
    <w:rsid w:val="000C7117"/>
    <w:rsid w:val="000D1DA2"/>
    <w:rsid w:val="000E3409"/>
    <w:rsid w:val="000E3F79"/>
    <w:rsid w:val="000E7DA6"/>
    <w:rsid w:val="00104144"/>
    <w:rsid w:val="001206E4"/>
    <w:rsid w:val="00122D80"/>
    <w:rsid w:val="0012435A"/>
    <w:rsid w:val="00126F8C"/>
    <w:rsid w:val="00130793"/>
    <w:rsid w:val="0015319A"/>
    <w:rsid w:val="0015425D"/>
    <w:rsid w:val="00156D3B"/>
    <w:rsid w:val="00157AB6"/>
    <w:rsid w:val="00160607"/>
    <w:rsid w:val="0016137C"/>
    <w:rsid w:val="00161E82"/>
    <w:rsid w:val="001638F1"/>
    <w:rsid w:val="00164657"/>
    <w:rsid w:val="00180B8E"/>
    <w:rsid w:val="00184EDE"/>
    <w:rsid w:val="00186D0A"/>
    <w:rsid w:val="001A20E5"/>
    <w:rsid w:val="001C678E"/>
    <w:rsid w:val="001D751B"/>
    <w:rsid w:val="001D7570"/>
    <w:rsid w:val="001F69FD"/>
    <w:rsid w:val="001F7020"/>
    <w:rsid w:val="00215613"/>
    <w:rsid w:val="00216A85"/>
    <w:rsid w:val="00224EF0"/>
    <w:rsid w:val="00236371"/>
    <w:rsid w:val="00236741"/>
    <w:rsid w:val="00243F2F"/>
    <w:rsid w:val="0024463A"/>
    <w:rsid w:val="00244C56"/>
    <w:rsid w:val="00247B06"/>
    <w:rsid w:val="00254497"/>
    <w:rsid w:val="0025483B"/>
    <w:rsid w:val="00256D3B"/>
    <w:rsid w:val="002634E7"/>
    <w:rsid w:val="00271626"/>
    <w:rsid w:val="00280B3A"/>
    <w:rsid w:val="0028167D"/>
    <w:rsid w:val="002828BA"/>
    <w:rsid w:val="00285E6E"/>
    <w:rsid w:val="00295A07"/>
    <w:rsid w:val="002A31C5"/>
    <w:rsid w:val="002A72C5"/>
    <w:rsid w:val="002B27DE"/>
    <w:rsid w:val="002B4FF0"/>
    <w:rsid w:val="002C3860"/>
    <w:rsid w:val="002C4C0D"/>
    <w:rsid w:val="002E3DDF"/>
    <w:rsid w:val="003053F8"/>
    <w:rsid w:val="00306926"/>
    <w:rsid w:val="0031305D"/>
    <w:rsid w:val="00320A1F"/>
    <w:rsid w:val="003245F4"/>
    <w:rsid w:val="00327593"/>
    <w:rsid w:val="00346701"/>
    <w:rsid w:val="00354289"/>
    <w:rsid w:val="00361C1A"/>
    <w:rsid w:val="00364F0A"/>
    <w:rsid w:val="0037067C"/>
    <w:rsid w:val="00372E47"/>
    <w:rsid w:val="0038402B"/>
    <w:rsid w:val="003912FD"/>
    <w:rsid w:val="003B2151"/>
    <w:rsid w:val="003C08AC"/>
    <w:rsid w:val="003E18A9"/>
    <w:rsid w:val="003E4E67"/>
    <w:rsid w:val="003F5E93"/>
    <w:rsid w:val="0041158E"/>
    <w:rsid w:val="00416DA0"/>
    <w:rsid w:val="00417459"/>
    <w:rsid w:val="00420868"/>
    <w:rsid w:val="00425A89"/>
    <w:rsid w:val="00430FF2"/>
    <w:rsid w:val="0045096A"/>
    <w:rsid w:val="00463F24"/>
    <w:rsid w:val="00465736"/>
    <w:rsid w:val="00470AAD"/>
    <w:rsid w:val="00482C1B"/>
    <w:rsid w:val="004866EF"/>
    <w:rsid w:val="004A36AB"/>
    <w:rsid w:val="004A7B77"/>
    <w:rsid w:val="004B5F6B"/>
    <w:rsid w:val="004D15D6"/>
    <w:rsid w:val="004D3975"/>
    <w:rsid w:val="004D4FC4"/>
    <w:rsid w:val="004E4B3B"/>
    <w:rsid w:val="004F115E"/>
    <w:rsid w:val="0050739F"/>
    <w:rsid w:val="00511845"/>
    <w:rsid w:val="005137F4"/>
    <w:rsid w:val="00520710"/>
    <w:rsid w:val="00534BAD"/>
    <w:rsid w:val="0054360D"/>
    <w:rsid w:val="00551824"/>
    <w:rsid w:val="00551B2C"/>
    <w:rsid w:val="0058272F"/>
    <w:rsid w:val="00585E14"/>
    <w:rsid w:val="00586092"/>
    <w:rsid w:val="00590DE9"/>
    <w:rsid w:val="00593D5E"/>
    <w:rsid w:val="00595EF7"/>
    <w:rsid w:val="005B122F"/>
    <w:rsid w:val="005B1384"/>
    <w:rsid w:val="005B3E66"/>
    <w:rsid w:val="005C0018"/>
    <w:rsid w:val="005C6109"/>
    <w:rsid w:val="005C7DB0"/>
    <w:rsid w:val="005D607E"/>
    <w:rsid w:val="005D63E0"/>
    <w:rsid w:val="005E59C2"/>
    <w:rsid w:val="005F156F"/>
    <w:rsid w:val="005F1DB4"/>
    <w:rsid w:val="005F2DE7"/>
    <w:rsid w:val="006019A3"/>
    <w:rsid w:val="00601F93"/>
    <w:rsid w:val="00603CE5"/>
    <w:rsid w:val="00604022"/>
    <w:rsid w:val="00607E6B"/>
    <w:rsid w:val="00611AB2"/>
    <w:rsid w:val="00612CC4"/>
    <w:rsid w:val="006144DC"/>
    <w:rsid w:val="0062407D"/>
    <w:rsid w:val="006263D6"/>
    <w:rsid w:val="00662B03"/>
    <w:rsid w:val="006639D3"/>
    <w:rsid w:val="0066717C"/>
    <w:rsid w:val="00667ADF"/>
    <w:rsid w:val="00670E45"/>
    <w:rsid w:val="00682354"/>
    <w:rsid w:val="006B2E70"/>
    <w:rsid w:val="006B57D9"/>
    <w:rsid w:val="006D3BE9"/>
    <w:rsid w:val="006E5AE2"/>
    <w:rsid w:val="006E6DBA"/>
    <w:rsid w:val="006F128C"/>
    <w:rsid w:val="006F4EFB"/>
    <w:rsid w:val="007031A1"/>
    <w:rsid w:val="00710A21"/>
    <w:rsid w:val="00710B7A"/>
    <w:rsid w:val="0071269A"/>
    <w:rsid w:val="00717082"/>
    <w:rsid w:val="00717E24"/>
    <w:rsid w:val="00720F60"/>
    <w:rsid w:val="00755DF9"/>
    <w:rsid w:val="0076513D"/>
    <w:rsid w:val="007678F7"/>
    <w:rsid w:val="00775F1F"/>
    <w:rsid w:val="00792471"/>
    <w:rsid w:val="007953EE"/>
    <w:rsid w:val="007958FC"/>
    <w:rsid w:val="00795EAD"/>
    <w:rsid w:val="007A417F"/>
    <w:rsid w:val="007A5AD6"/>
    <w:rsid w:val="007A7042"/>
    <w:rsid w:val="007B10E8"/>
    <w:rsid w:val="007B5930"/>
    <w:rsid w:val="007D1234"/>
    <w:rsid w:val="007D7692"/>
    <w:rsid w:val="007E4618"/>
    <w:rsid w:val="007E52F9"/>
    <w:rsid w:val="007E5B48"/>
    <w:rsid w:val="007F0CD5"/>
    <w:rsid w:val="00801674"/>
    <w:rsid w:val="008022F5"/>
    <w:rsid w:val="00805A26"/>
    <w:rsid w:val="00807A37"/>
    <w:rsid w:val="0081504A"/>
    <w:rsid w:val="00815CE6"/>
    <w:rsid w:val="0081746F"/>
    <w:rsid w:val="0083496D"/>
    <w:rsid w:val="00836A57"/>
    <w:rsid w:val="00840B3B"/>
    <w:rsid w:val="00853290"/>
    <w:rsid w:val="00857B04"/>
    <w:rsid w:val="0086070A"/>
    <w:rsid w:val="00860CA6"/>
    <w:rsid w:val="00867604"/>
    <w:rsid w:val="008B6BB9"/>
    <w:rsid w:val="008C0415"/>
    <w:rsid w:val="008C1FB8"/>
    <w:rsid w:val="008C36C5"/>
    <w:rsid w:val="008C3829"/>
    <w:rsid w:val="008C4527"/>
    <w:rsid w:val="008E61EB"/>
    <w:rsid w:val="00903016"/>
    <w:rsid w:val="00905B55"/>
    <w:rsid w:val="0090697F"/>
    <w:rsid w:val="00906BF1"/>
    <w:rsid w:val="00907CD4"/>
    <w:rsid w:val="0092270F"/>
    <w:rsid w:val="009274F9"/>
    <w:rsid w:val="00937E77"/>
    <w:rsid w:val="00940A8C"/>
    <w:rsid w:val="009423E0"/>
    <w:rsid w:val="009447A0"/>
    <w:rsid w:val="00944AF8"/>
    <w:rsid w:val="00954B1A"/>
    <w:rsid w:val="00974164"/>
    <w:rsid w:val="00977DDF"/>
    <w:rsid w:val="00990E47"/>
    <w:rsid w:val="009A1172"/>
    <w:rsid w:val="009A3A60"/>
    <w:rsid w:val="009A5AC5"/>
    <w:rsid w:val="009B3DB8"/>
    <w:rsid w:val="009C4C57"/>
    <w:rsid w:val="009D5ECE"/>
    <w:rsid w:val="009E3EE8"/>
    <w:rsid w:val="009E511A"/>
    <w:rsid w:val="009F55ED"/>
    <w:rsid w:val="00A0045F"/>
    <w:rsid w:val="00A019CD"/>
    <w:rsid w:val="00A075BD"/>
    <w:rsid w:val="00A115F5"/>
    <w:rsid w:val="00A24BC4"/>
    <w:rsid w:val="00A26D89"/>
    <w:rsid w:val="00A3631C"/>
    <w:rsid w:val="00A5375E"/>
    <w:rsid w:val="00A539BA"/>
    <w:rsid w:val="00A55E30"/>
    <w:rsid w:val="00A62FFD"/>
    <w:rsid w:val="00A72681"/>
    <w:rsid w:val="00A72E0A"/>
    <w:rsid w:val="00A83D16"/>
    <w:rsid w:val="00A87879"/>
    <w:rsid w:val="00AA21B2"/>
    <w:rsid w:val="00AB6B85"/>
    <w:rsid w:val="00AC198E"/>
    <w:rsid w:val="00AC491F"/>
    <w:rsid w:val="00AC65A9"/>
    <w:rsid w:val="00AD7D5D"/>
    <w:rsid w:val="00AE636F"/>
    <w:rsid w:val="00B019DD"/>
    <w:rsid w:val="00B1142A"/>
    <w:rsid w:val="00B20080"/>
    <w:rsid w:val="00B316C9"/>
    <w:rsid w:val="00B43168"/>
    <w:rsid w:val="00B45F93"/>
    <w:rsid w:val="00B622CE"/>
    <w:rsid w:val="00B75D5A"/>
    <w:rsid w:val="00B809C3"/>
    <w:rsid w:val="00B82C3F"/>
    <w:rsid w:val="00B97574"/>
    <w:rsid w:val="00BA168B"/>
    <w:rsid w:val="00BA7235"/>
    <w:rsid w:val="00BA798A"/>
    <w:rsid w:val="00BA7FCE"/>
    <w:rsid w:val="00BC170D"/>
    <w:rsid w:val="00BF28A0"/>
    <w:rsid w:val="00C2689D"/>
    <w:rsid w:val="00C26DB2"/>
    <w:rsid w:val="00C306CB"/>
    <w:rsid w:val="00C42CF5"/>
    <w:rsid w:val="00C55602"/>
    <w:rsid w:val="00C77091"/>
    <w:rsid w:val="00C930B7"/>
    <w:rsid w:val="00C93329"/>
    <w:rsid w:val="00C96793"/>
    <w:rsid w:val="00CA22C8"/>
    <w:rsid w:val="00CA5407"/>
    <w:rsid w:val="00CC2D89"/>
    <w:rsid w:val="00CC4B93"/>
    <w:rsid w:val="00CC5715"/>
    <w:rsid w:val="00CD0828"/>
    <w:rsid w:val="00CE0CC2"/>
    <w:rsid w:val="00CE2927"/>
    <w:rsid w:val="00CE753C"/>
    <w:rsid w:val="00CF408C"/>
    <w:rsid w:val="00CF71B8"/>
    <w:rsid w:val="00D03891"/>
    <w:rsid w:val="00D21EF2"/>
    <w:rsid w:val="00D25C74"/>
    <w:rsid w:val="00D60B84"/>
    <w:rsid w:val="00D71863"/>
    <w:rsid w:val="00DB662E"/>
    <w:rsid w:val="00DC1240"/>
    <w:rsid w:val="00DD6529"/>
    <w:rsid w:val="00DD78C0"/>
    <w:rsid w:val="00DE040A"/>
    <w:rsid w:val="00DE1FE8"/>
    <w:rsid w:val="00DE55C2"/>
    <w:rsid w:val="00DE5763"/>
    <w:rsid w:val="00DE700D"/>
    <w:rsid w:val="00DF01AC"/>
    <w:rsid w:val="00DF5545"/>
    <w:rsid w:val="00DF596D"/>
    <w:rsid w:val="00E00D1A"/>
    <w:rsid w:val="00E12D2A"/>
    <w:rsid w:val="00E20040"/>
    <w:rsid w:val="00E204FA"/>
    <w:rsid w:val="00E30227"/>
    <w:rsid w:val="00E33AB3"/>
    <w:rsid w:val="00E350C4"/>
    <w:rsid w:val="00E35F0C"/>
    <w:rsid w:val="00E50045"/>
    <w:rsid w:val="00E5328C"/>
    <w:rsid w:val="00E644C8"/>
    <w:rsid w:val="00E74FE4"/>
    <w:rsid w:val="00E82DE9"/>
    <w:rsid w:val="00E84282"/>
    <w:rsid w:val="00E860A2"/>
    <w:rsid w:val="00EA50F5"/>
    <w:rsid w:val="00EB2371"/>
    <w:rsid w:val="00EB6201"/>
    <w:rsid w:val="00EE46C6"/>
    <w:rsid w:val="00EF5757"/>
    <w:rsid w:val="00F0064D"/>
    <w:rsid w:val="00F0551F"/>
    <w:rsid w:val="00F06149"/>
    <w:rsid w:val="00F20BEE"/>
    <w:rsid w:val="00F20D20"/>
    <w:rsid w:val="00F229BE"/>
    <w:rsid w:val="00F22A02"/>
    <w:rsid w:val="00F238AD"/>
    <w:rsid w:val="00F27E3B"/>
    <w:rsid w:val="00F41011"/>
    <w:rsid w:val="00F52CFB"/>
    <w:rsid w:val="00F61BF8"/>
    <w:rsid w:val="00F73809"/>
    <w:rsid w:val="00F759AC"/>
    <w:rsid w:val="00F83A66"/>
    <w:rsid w:val="00F9366E"/>
    <w:rsid w:val="00FA3AA6"/>
    <w:rsid w:val="00FB5D4A"/>
    <w:rsid w:val="00FC2AD8"/>
    <w:rsid w:val="00FC7C0C"/>
    <w:rsid w:val="00FD3383"/>
    <w:rsid w:val="00FD34A1"/>
    <w:rsid w:val="00FE128D"/>
    <w:rsid w:val="00FE2AF2"/>
    <w:rsid w:val="00FE6010"/>
    <w:rsid w:val="00FE6052"/>
  </w:rsids>
  <m:mathPr>
    <m:mathFont m:val="Cambria Math"/>
    <m:brkBin m:val="before"/>
    <m:brkBinSub m:val="--"/>
    <m:smallFrac/>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0B84"/>
  </w:style>
  <w:style w:type="paragraph" w:styleId="Ttulo1">
    <w:name w:val="heading 1"/>
    <w:basedOn w:val="Normal"/>
    <w:link w:val="Ttulo1Car"/>
    <w:uiPriority w:val="9"/>
    <w:qFormat/>
    <w:rsid w:val="008C1FB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semiHidden/>
    <w:unhideWhenUsed/>
    <w:qFormat/>
    <w:rsid w:val="00470AA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DD78C0"/>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DD78C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D60B8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60B84"/>
    <w:rPr>
      <w:rFonts w:ascii="Tahoma" w:hAnsi="Tahoma" w:cs="Tahoma"/>
      <w:sz w:val="16"/>
      <w:szCs w:val="16"/>
    </w:rPr>
  </w:style>
  <w:style w:type="paragraph" w:styleId="Prrafodelista">
    <w:name w:val="List Paragraph"/>
    <w:basedOn w:val="Normal"/>
    <w:uiPriority w:val="34"/>
    <w:qFormat/>
    <w:rsid w:val="007A5AD6"/>
    <w:pPr>
      <w:ind w:left="720"/>
      <w:contextualSpacing/>
    </w:pPr>
  </w:style>
  <w:style w:type="character" w:styleId="Hipervnculo">
    <w:name w:val="Hyperlink"/>
    <w:basedOn w:val="Fuentedeprrafopredeter"/>
    <w:uiPriority w:val="99"/>
    <w:unhideWhenUsed/>
    <w:rsid w:val="00CD0828"/>
    <w:rPr>
      <w:color w:val="0000FF"/>
      <w:u w:val="single"/>
    </w:rPr>
  </w:style>
  <w:style w:type="character" w:styleId="Textoennegrita">
    <w:name w:val="Strong"/>
    <w:basedOn w:val="Fuentedeprrafopredeter"/>
    <w:uiPriority w:val="22"/>
    <w:qFormat/>
    <w:rsid w:val="00CD0828"/>
    <w:rPr>
      <w:b/>
      <w:bCs/>
    </w:rPr>
  </w:style>
  <w:style w:type="character" w:customStyle="1" w:styleId="Ttulo1Car">
    <w:name w:val="Título 1 Car"/>
    <w:basedOn w:val="Fuentedeprrafopredeter"/>
    <w:link w:val="Ttulo1"/>
    <w:uiPriority w:val="9"/>
    <w:rsid w:val="008C1FB8"/>
    <w:rPr>
      <w:rFonts w:ascii="Times New Roman" w:eastAsia="Times New Roman" w:hAnsi="Times New Roman" w:cs="Times New Roman"/>
      <w:b/>
      <w:bCs/>
      <w:kern w:val="36"/>
      <w:sz w:val="48"/>
      <w:szCs w:val="48"/>
      <w:lang w:eastAsia="es-ES"/>
    </w:rPr>
  </w:style>
  <w:style w:type="paragraph" w:styleId="NormalWeb">
    <w:name w:val="Normal (Web)"/>
    <w:basedOn w:val="Normal"/>
    <w:uiPriority w:val="99"/>
    <w:unhideWhenUsed/>
    <w:rsid w:val="008C1FB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rsid w:val="001C678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5C0018"/>
    <w:rPr>
      <w:i/>
      <w:iCs/>
    </w:rPr>
  </w:style>
  <w:style w:type="character" w:customStyle="1" w:styleId="Ttulo2Car">
    <w:name w:val="Título 2 Car"/>
    <w:basedOn w:val="Fuentedeprrafopredeter"/>
    <w:link w:val="Ttulo2"/>
    <w:uiPriority w:val="9"/>
    <w:semiHidden/>
    <w:rsid w:val="00470AAD"/>
    <w:rPr>
      <w:rFonts w:asciiTheme="majorHAnsi" w:eastAsiaTheme="majorEastAsia" w:hAnsiTheme="majorHAnsi" w:cstheme="majorBidi"/>
      <w:b/>
      <w:bCs/>
      <w:color w:val="4F81BD" w:themeColor="accent1"/>
      <w:sz w:val="26"/>
      <w:szCs w:val="26"/>
    </w:rPr>
  </w:style>
  <w:style w:type="paragraph" w:customStyle="1" w:styleId="pie">
    <w:name w:val="pie"/>
    <w:basedOn w:val="Normal"/>
    <w:uiPriority w:val="99"/>
    <w:rsid w:val="00470AA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
    <w:name w:val="autor"/>
    <w:basedOn w:val="Fuentedeprrafopredeter"/>
    <w:rsid w:val="00470AAD"/>
  </w:style>
  <w:style w:type="character" w:customStyle="1" w:styleId="agencia">
    <w:name w:val="agencia"/>
    <w:basedOn w:val="Fuentedeprrafopredeter"/>
    <w:rsid w:val="00470AAD"/>
  </w:style>
  <w:style w:type="paragraph" w:styleId="Textoindependiente">
    <w:name w:val="Body Text"/>
    <w:basedOn w:val="Normal"/>
    <w:link w:val="TextoindependienteCar"/>
    <w:semiHidden/>
    <w:unhideWhenUsed/>
    <w:rsid w:val="004D15D6"/>
    <w:pPr>
      <w:spacing w:after="0" w:line="240" w:lineRule="auto"/>
      <w:jc w:val="both"/>
    </w:pPr>
    <w:rPr>
      <w:rFonts w:ascii="Arial Narrow" w:eastAsia="Times New Roman" w:hAnsi="Arial Narrow" w:cs="Times New Roman"/>
      <w:shadow/>
      <w:sz w:val="24"/>
      <w:szCs w:val="20"/>
      <w:lang w:val="en-GB" w:eastAsia="es-MX"/>
    </w:rPr>
  </w:style>
  <w:style w:type="character" w:customStyle="1" w:styleId="TextoindependienteCar">
    <w:name w:val="Texto independiente Car"/>
    <w:basedOn w:val="Fuentedeprrafopredeter"/>
    <w:link w:val="Textoindependiente"/>
    <w:semiHidden/>
    <w:rsid w:val="004D15D6"/>
    <w:rPr>
      <w:rFonts w:ascii="Arial Narrow" w:eastAsia="Times New Roman" w:hAnsi="Arial Narrow" w:cs="Times New Roman"/>
      <w:shadow/>
      <w:sz w:val="24"/>
      <w:szCs w:val="20"/>
      <w:lang w:val="en-GB" w:eastAsia="es-MX"/>
    </w:rPr>
  </w:style>
  <w:style w:type="character" w:customStyle="1" w:styleId="Ttulo3Car">
    <w:name w:val="Título 3 Car"/>
    <w:basedOn w:val="Fuentedeprrafopredeter"/>
    <w:link w:val="Ttulo3"/>
    <w:uiPriority w:val="9"/>
    <w:rsid w:val="00DD78C0"/>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DD78C0"/>
    <w:rPr>
      <w:rFonts w:asciiTheme="majorHAnsi" w:eastAsiaTheme="majorEastAsia" w:hAnsiTheme="majorHAnsi" w:cstheme="majorBidi"/>
      <w:b/>
      <w:bCs/>
      <w:i/>
      <w:iCs/>
      <w:color w:val="4F81BD" w:themeColor="accent1"/>
    </w:rPr>
  </w:style>
  <w:style w:type="character" w:customStyle="1" w:styleId="mw-headline">
    <w:name w:val="mw-headline"/>
    <w:basedOn w:val="Fuentedeprrafopredeter"/>
    <w:rsid w:val="00DD78C0"/>
  </w:style>
  <w:style w:type="paragraph" w:customStyle="1" w:styleId="titulo">
    <w:name w:val="titulo"/>
    <w:basedOn w:val="Normal"/>
    <w:rsid w:val="00CC571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CF40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C96793"/>
    <w:pPr>
      <w:spacing w:after="0" w:line="240" w:lineRule="auto"/>
    </w:pPr>
    <w:rPr>
      <w:rFonts w:ascii="Times New Roman" w:eastAsia="Times New Roman" w:hAnsi="Times New Roman" w:cs="Times New Roman"/>
      <w:color w:val="000000"/>
      <w:sz w:val="24"/>
      <w:szCs w:val="20"/>
      <w:lang w:val="es-ES_tradnl" w:eastAsia="es-ES"/>
    </w:rPr>
  </w:style>
  <w:style w:type="paragraph" w:customStyle="1" w:styleId="yiv1590713332msonormal">
    <w:name w:val="yiv1590713332msonormal"/>
    <w:basedOn w:val="Normal"/>
    <w:rsid w:val="005E59C2"/>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0B84"/>
  </w:style>
  <w:style w:type="paragraph" w:styleId="Ttulo1">
    <w:name w:val="heading 1"/>
    <w:basedOn w:val="Normal"/>
    <w:link w:val="Ttulo1Car"/>
    <w:uiPriority w:val="9"/>
    <w:qFormat/>
    <w:rsid w:val="008C1FB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semiHidden/>
    <w:unhideWhenUsed/>
    <w:qFormat/>
    <w:rsid w:val="00470AA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DD78C0"/>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DD78C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D60B8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60B84"/>
    <w:rPr>
      <w:rFonts w:ascii="Tahoma" w:hAnsi="Tahoma" w:cs="Tahoma"/>
      <w:sz w:val="16"/>
      <w:szCs w:val="16"/>
    </w:rPr>
  </w:style>
  <w:style w:type="paragraph" w:styleId="Prrafodelista">
    <w:name w:val="List Paragraph"/>
    <w:basedOn w:val="Normal"/>
    <w:uiPriority w:val="34"/>
    <w:qFormat/>
    <w:rsid w:val="007A5AD6"/>
    <w:pPr>
      <w:ind w:left="720"/>
      <w:contextualSpacing/>
    </w:pPr>
  </w:style>
  <w:style w:type="character" w:styleId="Hipervnculo">
    <w:name w:val="Hyperlink"/>
    <w:basedOn w:val="Fuentedeprrafopredeter"/>
    <w:uiPriority w:val="99"/>
    <w:unhideWhenUsed/>
    <w:rsid w:val="00CD0828"/>
    <w:rPr>
      <w:color w:val="0000FF"/>
      <w:u w:val="single"/>
    </w:rPr>
  </w:style>
  <w:style w:type="character" w:styleId="Textoennegrita">
    <w:name w:val="Strong"/>
    <w:basedOn w:val="Fuentedeprrafopredeter"/>
    <w:uiPriority w:val="22"/>
    <w:qFormat/>
    <w:rsid w:val="00CD0828"/>
    <w:rPr>
      <w:b/>
      <w:bCs/>
    </w:rPr>
  </w:style>
  <w:style w:type="character" w:customStyle="1" w:styleId="Ttulo1Car">
    <w:name w:val="Título 1 Car"/>
    <w:basedOn w:val="Fuentedeprrafopredeter"/>
    <w:link w:val="Ttulo1"/>
    <w:uiPriority w:val="9"/>
    <w:rsid w:val="008C1FB8"/>
    <w:rPr>
      <w:rFonts w:ascii="Times New Roman" w:eastAsia="Times New Roman" w:hAnsi="Times New Roman" w:cs="Times New Roman"/>
      <w:b/>
      <w:bCs/>
      <w:kern w:val="36"/>
      <w:sz w:val="48"/>
      <w:szCs w:val="48"/>
      <w:lang w:eastAsia="es-ES"/>
    </w:rPr>
  </w:style>
  <w:style w:type="paragraph" w:styleId="NormalWeb">
    <w:name w:val="Normal (Web)"/>
    <w:basedOn w:val="Normal"/>
    <w:uiPriority w:val="99"/>
    <w:unhideWhenUsed/>
    <w:rsid w:val="008C1FB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rsid w:val="001C678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5C0018"/>
    <w:rPr>
      <w:i/>
      <w:iCs/>
    </w:rPr>
  </w:style>
  <w:style w:type="character" w:customStyle="1" w:styleId="Ttulo2Car">
    <w:name w:val="Título 2 Car"/>
    <w:basedOn w:val="Fuentedeprrafopredeter"/>
    <w:link w:val="Ttulo2"/>
    <w:uiPriority w:val="9"/>
    <w:semiHidden/>
    <w:rsid w:val="00470AAD"/>
    <w:rPr>
      <w:rFonts w:asciiTheme="majorHAnsi" w:eastAsiaTheme="majorEastAsia" w:hAnsiTheme="majorHAnsi" w:cstheme="majorBidi"/>
      <w:b/>
      <w:bCs/>
      <w:color w:val="4F81BD" w:themeColor="accent1"/>
      <w:sz w:val="26"/>
      <w:szCs w:val="26"/>
    </w:rPr>
  </w:style>
  <w:style w:type="paragraph" w:customStyle="1" w:styleId="pie">
    <w:name w:val="pie"/>
    <w:basedOn w:val="Normal"/>
    <w:uiPriority w:val="99"/>
    <w:rsid w:val="00470AA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
    <w:name w:val="autor"/>
    <w:basedOn w:val="Fuentedeprrafopredeter"/>
    <w:rsid w:val="00470AAD"/>
  </w:style>
  <w:style w:type="character" w:customStyle="1" w:styleId="agencia">
    <w:name w:val="agencia"/>
    <w:basedOn w:val="Fuentedeprrafopredeter"/>
    <w:rsid w:val="00470AAD"/>
  </w:style>
  <w:style w:type="paragraph" w:styleId="Textoindependiente">
    <w:name w:val="Body Text"/>
    <w:basedOn w:val="Normal"/>
    <w:link w:val="TextoindependienteCar"/>
    <w:semiHidden/>
    <w:unhideWhenUsed/>
    <w:rsid w:val="004D15D6"/>
    <w:pPr>
      <w:spacing w:after="0" w:line="240" w:lineRule="auto"/>
      <w:jc w:val="both"/>
    </w:pPr>
    <w:rPr>
      <w:rFonts w:ascii="Arial Narrow" w:eastAsia="Times New Roman" w:hAnsi="Arial Narrow" w:cs="Times New Roman"/>
      <w:shadow/>
      <w:sz w:val="24"/>
      <w:szCs w:val="20"/>
      <w:lang w:val="en-GB" w:eastAsia="es-MX"/>
    </w:rPr>
  </w:style>
  <w:style w:type="character" w:customStyle="1" w:styleId="TextoindependienteCar">
    <w:name w:val="Texto independiente Car"/>
    <w:basedOn w:val="Fuentedeprrafopredeter"/>
    <w:link w:val="Textoindependiente"/>
    <w:semiHidden/>
    <w:rsid w:val="004D15D6"/>
    <w:rPr>
      <w:rFonts w:ascii="Arial Narrow" w:eastAsia="Times New Roman" w:hAnsi="Arial Narrow" w:cs="Times New Roman"/>
      <w:shadow/>
      <w:sz w:val="24"/>
      <w:szCs w:val="20"/>
      <w:lang w:val="en-GB" w:eastAsia="es-MX"/>
    </w:rPr>
  </w:style>
  <w:style w:type="character" w:customStyle="1" w:styleId="Ttulo3Car">
    <w:name w:val="Título 3 Car"/>
    <w:basedOn w:val="Fuentedeprrafopredeter"/>
    <w:link w:val="Ttulo3"/>
    <w:uiPriority w:val="9"/>
    <w:rsid w:val="00DD78C0"/>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DD78C0"/>
    <w:rPr>
      <w:rFonts w:asciiTheme="majorHAnsi" w:eastAsiaTheme="majorEastAsia" w:hAnsiTheme="majorHAnsi" w:cstheme="majorBidi"/>
      <w:b/>
      <w:bCs/>
      <w:i/>
      <w:iCs/>
      <w:color w:val="4F81BD" w:themeColor="accent1"/>
    </w:rPr>
  </w:style>
  <w:style w:type="character" w:customStyle="1" w:styleId="mw-headline">
    <w:name w:val="mw-headline"/>
    <w:basedOn w:val="Fuentedeprrafopredeter"/>
    <w:rsid w:val="00DD78C0"/>
  </w:style>
  <w:style w:type="paragraph" w:customStyle="1" w:styleId="titulo">
    <w:name w:val="titulo"/>
    <w:basedOn w:val="Normal"/>
    <w:rsid w:val="00CC571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CF40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C96793"/>
    <w:pPr>
      <w:spacing w:after="0" w:line="240" w:lineRule="auto"/>
    </w:pPr>
    <w:rPr>
      <w:rFonts w:ascii="Times New Roman" w:eastAsia="Times New Roman" w:hAnsi="Times New Roman" w:cs="Times New Roman"/>
      <w:color w:val="000000"/>
      <w:sz w:val="24"/>
      <w:szCs w:val="20"/>
      <w:lang w:val="es-ES_tradnl" w:eastAsia="es-ES"/>
    </w:rPr>
  </w:style>
  <w:style w:type="paragraph" w:customStyle="1" w:styleId="yiv1590713332msonormal">
    <w:name w:val="yiv1590713332msonormal"/>
    <w:basedOn w:val="Normal"/>
    <w:rsid w:val="005E59C2"/>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r="http://schemas.openxmlformats.org/officeDocument/2006/relationships" xmlns:w="http://schemas.openxmlformats.org/wordprocessingml/2006/main">
  <w:divs>
    <w:div w:id="77753979">
      <w:bodyDiv w:val="1"/>
      <w:marLeft w:val="0"/>
      <w:marRight w:val="0"/>
      <w:marTop w:val="0"/>
      <w:marBottom w:val="0"/>
      <w:divBdr>
        <w:top w:val="none" w:sz="0" w:space="0" w:color="auto"/>
        <w:left w:val="none" w:sz="0" w:space="0" w:color="auto"/>
        <w:bottom w:val="none" w:sz="0" w:space="0" w:color="auto"/>
        <w:right w:val="none" w:sz="0" w:space="0" w:color="auto"/>
      </w:divBdr>
    </w:div>
    <w:div w:id="173153122">
      <w:bodyDiv w:val="1"/>
      <w:marLeft w:val="0"/>
      <w:marRight w:val="0"/>
      <w:marTop w:val="0"/>
      <w:marBottom w:val="0"/>
      <w:divBdr>
        <w:top w:val="none" w:sz="0" w:space="0" w:color="auto"/>
        <w:left w:val="none" w:sz="0" w:space="0" w:color="auto"/>
        <w:bottom w:val="none" w:sz="0" w:space="0" w:color="auto"/>
        <w:right w:val="none" w:sz="0" w:space="0" w:color="auto"/>
      </w:divBdr>
    </w:div>
    <w:div w:id="208884106">
      <w:bodyDiv w:val="1"/>
      <w:marLeft w:val="0"/>
      <w:marRight w:val="0"/>
      <w:marTop w:val="0"/>
      <w:marBottom w:val="0"/>
      <w:divBdr>
        <w:top w:val="none" w:sz="0" w:space="0" w:color="auto"/>
        <w:left w:val="none" w:sz="0" w:space="0" w:color="auto"/>
        <w:bottom w:val="none" w:sz="0" w:space="0" w:color="auto"/>
        <w:right w:val="none" w:sz="0" w:space="0" w:color="auto"/>
      </w:divBdr>
    </w:div>
    <w:div w:id="239144699">
      <w:bodyDiv w:val="1"/>
      <w:marLeft w:val="0"/>
      <w:marRight w:val="0"/>
      <w:marTop w:val="0"/>
      <w:marBottom w:val="0"/>
      <w:divBdr>
        <w:top w:val="none" w:sz="0" w:space="0" w:color="auto"/>
        <w:left w:val="none" w:sz="0" w:space="0" w:color="auto"/>
        <w:bottom w:val="none" w:sz="0" w:space="0" w:color="auto"/>
        <w:right w:val="none" w:sz="0" w:space="0" w:color="auto"/>
      </w:divBdr>
    </w:div>
    <w:div w:id="240871744">
      <w:bodyDiv w:val="1"/>
      <w:marLeft w:val="0"/>
      <w:marRight w:val="0"/>
      <w:marTop w:val="0"/>
      <w:marBottom w:val="0"/>
      <w:divBdr>
        <w:top w:val="none" w:sz="0" w:space="0" w:color="auto"/>
        <w:left w:val="none" w:sz="0" w:space="0" w:color="auto"/>
        <w:bottom w:val="none" w:sz="0" w:space="0" w:color="auto"/>
        <w:right w:val="none" w:sz="0" w:space="0" w:color="auto"/>
      </w:divBdr>
    </w:div>
    <w:div w:id="365252561">
      <w:bodyDiv w:val="1"/>
      <w:marLeft w:val="0"/>
      <w:marRight w:val="0"/>
      <w:marTop w:val="0"/>
      <w:marBottom w:val="0"/>
      <w:divBdr>
        <w:top w:val="none" w:sz="0" w:space="0" w:color="auto"/>
        <w:left w:val="none" w:sz="0" w:space="0" w:color="auto"/>
        <w:bottom w:val="none" w:sz="0" w:space="0" w:color="auto"/>
        <w:right w:val="none" w:sz="0" w:space="0" w:color="auto"/>
      </w:divBdr>
    </w:div>
    <w:div w:id="397049268">
      <w:bodyDiv w:val="1"/>
      <w:marLeft w:val="0"/>
      <w:marRight w:val="0"/>
      <w:marTop w:val="0"/>
      <w:marBottom w:val="0"/>
      <w:divBdr>
        <w:top w:val="none" w:sz="0" w:space="0" w:color="auto"/>
        <w:left w:val="none" w:sz="0" w:space="0" w:color="auto"/>
        <w:bottom w:val="none" w:sz="0" w:space="0" w:color="auto"/>
        <w:right w:val="none" w:sz="0" w:space="0" w:color="auto"/>
      </w:divBdr>
    </w:div>
    <w:div w:id="446434198">
      <w:bodyDiv w:val="1"/>
      <w:marLeft w:val="0"/>
      <w:marRight w:val="0"/>
      <w:marTop w:val="0"/>
      <w:marBottom w:val="0"/>
      <w:divBdr>
        <w:top w:val="none" w:sz="0" w:space="0" w:color="auto"/>
        <w:left w:val="none" w:sz="0" w:space="0" w:color="auto"/>
        <w:bottom w:val="none" w:sz="0" w:space="0" w:color="auto"/>
        <w:right w:val="none" w:sz="0" w:space="0" w:color="auto"/>
      </w:divBdr>
    </w:div>
    <w:div w:id="661468239">
      <w:bodyDiv w:val="1"/>
      <w:marLeft w:val="0"/>
      <w:marRight w:val="0"/>
      <w:marTop w:val="0"/>
      <w:marBottom w:val="0"/>
      <w:divBdr>
        <w:top w:val="none" w:sz="0" w:space="0" w:color="auto"/>
        <w:left w:val="none" w:sz="0" w:space="0" w:color="auto"/>
        <w:bottom w:val="none" w:sz="0" w:space="0" w:color="auto"/>
        <w:right w:val="none" w:sz="0" w:space="0" w:color="auto"/>
      </w:divBdr>
    </w:div>
    <w:div w:id="663582692">
      <w:bodyDiv w:val="1"/>
      <w:marLeft w:val="0"/>
      <w:marRight w:val="0"/>
      <w:marTop w:val="0"/>
      <w:marBottom w:val="0"/>
      <w:divBdr>
        <w:top w:val="none" w:sz="0" w:space="0" w:color="auto"/>
        <w:left w:val="none" w:sz="0" w:space="0" w:color="auto"/>
        <w:bottom w:val="none" w:sz="0" w:space="0" w:color="auto"/>
        <w:right w:val="none" w:sz="0" w:space="0" w:color="auto"/>
      </w:divBdr>
    </w:div>
    <w:div w:id="742526697">
      <w:bodyDiv w:val="1"/>
      <w:marLeft w:val="0"/>
      <w:marRight w:val="0"/>
      <w:marTop w:val="0"/>
      <w:marBottom w:val="0"/>
      <w:divBdr>
        <w:top w:val="none" w:sz="0" w:space="0" w:color="auto"/>
        <w:left w:val="none" w:sz="0" w:space="0" w:color="auto"/>
        <w:bottom w:val="none" w:sz="0" w:space="0" w:color="auto"/>
        <w:right w:val="none" w:sz="0" w:space="0" w:color="auto"/>
      </w:divBdr>
    </w:div>
    <w:div w:id="934941768">
      <w:bodyDiv w:val="1"/>
      <w:marLeft w:val="0"/>
      <w:marRight w:val="0"/>
      <w:marTop w:val="0"/>
      <w:marBottom w:val="0"/>
      <w:divBdr>
        <w:top w:val="none" w:sz="0" w:space="0" w:color="auto"/>
        <w:left w:val="none" w:sz="0" w:space="0" w:color="auto"/>
        <w:bottom w:val="none" w:sz="0" w:space="0" w:color="auto"/>
        <w:right w:val="none" w:sz="0" w:space="0" w:color="auto"/>
      </w:divBdr>
    </w:div>
    <w:div w:id="951131373">
      <w:bodyDiv w:val="1"/>
      <w:marLeft w:val="0"/>
      <w:marRight w:val="0"/>
      <w:marTop w:val="0"/>
      <w:marBottom w:val="0"/>
      <w:divBdr>
        <w:top w:val="none" w:sz="0" w:space="0" w:color="auto"/>
        <w:left w:val="none" w:sz="0" w:space="0" w:color="auto"/>
        <w:bottom w:val="none" w:sz="0" w:space="0" w:color="auto"/>
        <w:right w:val="none" w:sz="0" w:space="0" w:color="auto"/>
      </w:divBdr>
    </w:div>
    <w:div w:id="959992706">
      <w:bodyDiv w:val="1"/>
      <w:marLeft w:val="0"/>
      <w:marRight w:val="0"/>
      <w:marTop w:val="0"/>
      <w:marBottom w:val="0"/>
      <w:divBdr>
        <w:top w:val="none" w:sz="0" w:space="0" w:color="auto"/>
        <w:left w:val="none" w:sz="0" w:space="0" w:color="auto"/>
        <w:bottom w:val="none" w:sz="0" w:space="0" w:color="auto"/>
        <w:right w:val="none" w:sz="0" w:space="0" w:color="auto"/>
      </w:divBdr>
    </w:div>
    <w:div w:id="1004551099">
      <w:bodyDiv w:val="1"/>
      <w:marLeft w:val="0"/>
      <w:marRight w:val="0"/>
      <w:marTop w:val="0"/>
      <w:marBottom w:val="0"/>
      <w:divBdr>
        <w:top w:val="none" w:sz="0" w:space="0" w:color="auto"/>
        <w:left w:val="none" w:sz="0" w:space="0" w:color="auto"/>
        <w:bottom w:val="none" w:sz="0" w:space="0" w:color="auto"/>
        <w:right w:val="none" w:sz="0" w:space="0" w:color="auto"/>
      </w:divBdr>
    </w:div>
    <w:div w:id="1168405098">
      <w:bodyDiv w:val="1"/>
      <w:marLeft w:val="0"/>
      <w:marRight w:val="0"/>
      <w:marTop w:val="0"/>
      <w:marBottom w:val="0"/>
      <w:divBdr>
        <w:top w:val="none" w:sz="0" w:space="0" w:color="auto"/>
        <w:left w:val="none" w:sz="0" w:space="0" w:color="auto"/>
        <w:bottom w:val="none" w:sz="0" w:space="0" w:color="auto"/>
        <w:right w:val="none" w:sz="0" w:space="0" w:color="auto"/>
      </w:divBdr>
    </w:div>
    <w:div w:id="1229459035">
      <w:bodyDiv w:val="1"/>
      <w:marLeft w:val="0"/>
      <w:marRight w:val="0"/>
      <w:marTop w:val="0"/>
      <w:marBottom w:val="0"/>
      <w:divBdr>
        <w:top w:val="none" w:sz="0" w:space="0" w:color="auto"/>
        <w:left w:val="none" w:sz="0" w:space="0" w:color="auto"/>
        <w:bottom w:val="none" w:sz="0" w:space="0" w:color="auto"/>
        <w:right w:val="none" w:sz="0" w:space="0" w:color="auto"/>
      </w:divBdr>
    </w:div>
    <w:div w:id="1235775249">
      <w:bodyDiv w:val="1"/>
      <w:marLeft w:val="0"/>
      <w:marRight w:val="0"/>
      <w:marTop w:val="0"/>
      <w:marBottom w:val="0"/>
      <w:divBdr>
        <w:top w:val="none" w:sz="0" w:space="0" w:color="auto"/>
        <w:left w:val="none" w:sz="0" w:space="0" w:color="auto"/>
        <w:bottom w:val="none" w:sz="0" w:space="0" w:color="auto"/>
        <w:right w:val="none" w:sz="0" w:space="0" w:color="auto"/>
      </w:divBdr>
    </w:div>
    <w:div w:id="1315449309">
      <w:bodyDiv w:val="1"/>
      <w:marLeft w:val="0"/>
      <w:marRight w:val="0"/>
      <w:marTop w:val="0"/>
      <w:marBottom w:val="0"/>
      <w:divBdr>
        <w:top w:val="none" w:sz="0" w:space="0" w:color="auto"/>
        <w:left w:val="none" w:sz="0" w:space="0" w:color="auto"/>
        <w:bottom w:val="none" w:sz="0" w:space="0" w:color="auto"/>
        <w:right w:val="none" w:sz="0" w:space="0" w:color="auto"/>
      </w:divBdr>
    </w:div>
    <w:div w:id="1355761786">
      <w:bodyDiv w:val="1"/>
      <w:marLeft w:val="0"/>
      <w:marRight w:val="0"/>
      <w:marTop w:val="0"/>
      <w:marBottom w:val="0"/>
      <w:divBdr>
        <w:top w:val="none" w:sz="0" w:space="0" w:color="auto"/>
        <w:left w:val="none" w:sz="0" w:space="0" w:color="auto"/>
        <w:bottom w:val="none" w:sz="0" w:space="0" w:color="auto"/>
        <w:right w:val="none" w:sz="0" w:space="0" w:color="auto"/>
      </w:divBdr>
    </w:div>
    <w:div w:id="1412698330">
      <w:bodyDiv w:val="1"/>
      <w:marLeft w:val="0"/>
      <w:marRight w:val="0"/>
      <w:marTop w:val="0"/>
      <w:marBottom w:val="0"/>
      <w:divBdr>
        <w:top w:val="none" w:sz="0" w:space="0" w:color="auto"/>
        <w:left w:val="none" w:sz="0" w:space="0" w:color="auto"/>
        <w:bottom w:val="none" w:sz="0" w:space="0" w:color="auto"/>
        <w:right w:val="none" w:sz="0" w:space="0" w:color="auto"/>
      </w:divBdr>
      <w:divsChild>
        <w:div w:id="2140369963">
          <w:marLeft w:val="0"/>
          <w:marRight w:val="0"/>
          <w:marTop w:val="300"/>
          <w:marBottom w:val="300"/>
          <w:divBdr>
            <w:top w:val="none" w:sz="0" w:space="0" w:color="auto"/>
            <w:left w:val="none" w:sz="0" w:space="0" w:color="auto"/>
            <w:bottom w:val="none" w:sz="0" w:space="0" w:color="auto"/>
            <w:right w:val="none" w:sz="0" w:space="0" w:color="auto"/>
          </w:divBdr>
        </w:div>
        <w:div w:id="1032073742">
          <w:marLeft w:val="0"/>
          <w:marRight w:val="0"/>
          <w:marTop w:val="0"/>
          <w:marBottom w:val="0"/>
          <w:divBdr>
            <w:top w:val="none" w:sz="0" w:space="0" w:color="auto"/>
            <w:left w:val="none" w:sz="0" w:space="0" w:color="auto"/>
            <w:bottom w:val="none" w:sz="0" w:space="0" w:color="auto"/>
            <w:right w:val="none" w:sz="0" w:space="0" w:color="auto"/>
          </w:divBdr>
          <w:divsChild>
            <w:div w:id="355272025">
              <w:marLeft w:val="0"/>
              <w:marRight w:val="0"/>
              <w:marTop w:val="0"/>
              <w:marBottom w:val="0"/>
              <w:divBdr>
                <w:top w:val="none" w:sz="0" w:space="0" w:color="auto"/>
                <w:left w:val="none" w:sz="0" w:space="0" w:color="auto"/>
                <w:bottom w:val="none" w:sz="0" w:space="0" w:color="auto"/>
                <w:right w:val="none" w:sz="0" w:space="0" w:color="auto"/>
              </w:divBdr>
              <w:divsChild>
                <w:div w:id="1009216065">
                  <w:blockQuote w:val="1"/>
                  <w:marLeft w:val="0"/>
                  <w:marRight w:val="0"/>
                  <w:marTop w:val="0"/>
                  <w:marBottom w:val="0"/>
                  <w:divBdr>
                    <w:top w:val="none" w:sz="0" w:space="0" w:color="auto"/>
                    <w:left w:val="none" w:sz="0" w:space="0" w:color="auto"/>
                    <w:bottom w:val="none" w:sz="0" w:space="0" w:color="auto"/>
                    <w:right w:val="none" w:sz="0" w:space="0" w:color="auto"/>
                  </w:divBdr>
                  <w:divsChild>
                    <w:div w:id="1885480440">
                      <w:blockQuote w:val="1"/>
                      <w:marLeft w:val="0"/>
                      <w:marRight w:val="0"/>
                      <w:marTop w:val="0"/>
                      <w:marBottom w:val="0"/>
                      <w:divBdr>
                        <w:top w:val="none" w:sz="0" w:space="0" w:color="auto"/>
                        <w:left w:val="none" w:sz="0" w:space="0" w:color="auto"/>
                        <w:bottom w:val="none" w:sz="0" w:space="0" w:color="auto"/>
                        <w:right w:val="none" w:sz="0" w:space="0" w:color="auto"/>
                      </w:divBdr>
                      <w:divsChild>
                        <w:div w:id="2137332217">
                          <w:blockQuote w:val="1"/>
                          <w:marLeft w:val="0"/>
                          <w:marRight w:val="0"/>
                          <w:marTop w:val="0"/>
                          <w:marBottom w:val="0"/>
                          <w:divBdr>
                            <w:top w:val="none" w:sz="0" w:space="0" w:color="auto"/>
                            <w:left w:val="none" w:sz="0" w:space="0" w:color="auto"/>
                            <w:bottom w:val="none" w:sz="0" w:space="0" w:color="auto"/>
                            <w:right w:val="none" w:sz="0" w:space="0" w:color="auto"/>
                          </w:divBdr>
                          <w:divsChild>
                            <w:div w:id="1704091304">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887030962">
                          <w:blockQuote w:val="1"/>
                          <w:marLeft w:val="0"/>
                          <w:marRight w:val="0"/>
                          <w:marTop w:val="0"/>
                          <w:marBottom w:val="0"/>
                          <w:divBdr>
                            <w:top w:val="none" w:sz="0" w:space="0" w:color="auto"/>
                            <w:left w:val="none" w:sz="0" w:space="0" w:color="auto"/>
                            <w:bottom w:val="none" w:sz="0" w:space="0" w:color="auto"/>
                            <w:right w:val="none" w:sz="0" w:space="0" w:color="auto"/>
                          </w:divBdr>
                          <w:divsChild>
                            <w:div w:id="41833039">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437411365">
                          <w:blockQuote w:val="1"/>
                          <w:marLeft w:val="0"/>
                          <w:marRight w:val="0"/>
                          <w:marTop w:val="0"/>
                          <w:marBottom w:val="0"/>
                          <w:divBdr>
                            <w:top w:val="none" w:sz="0" w:space="0" w:color="auto"/>
                            <w:left w:val="none" w:sz="0" w:space="0" w:color="auto"/>
                            <w:bottom w:val="none" w:sz="0" w:space="0" w:color="auto"/>
                            <w:right w:val="none" w:sz="0" w:space="0" w:color="auto"/>
                          </w:divBdr>
                          <w:divsChild>
                            <w:div w:id="990406021">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662198768">
                          <w:blockQuote w:val="1"/>
                          <w:marLeft w:val="0"/>
                          <w:marRight w:val="0"/>
                          <w:marTop w:val="0"/>
                          <w:marBottom w:val="0"/>
                          <w:divBdr>
                            <w:top w:val="none" w:sz="0" w:space="0" w:color="auto"/>
                            <w:left w:val="none" w:sz="0" w:space="0" w:color="auto"/>
                            <w:bottom w:val="none" w:sz="0" w:space="0" w:color="auto"/>
                            <w:right w:val="none" w:sz="0" w:space="0" w:color="auto"/>
                          </w:divBdr>
                          <w:divsChild>
                            <w:div w:id="753669411">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401417367">
                          <w:blockQuote w:val="1"/>
                          <w:marLeft w:val="0"/>
                          <w:marRight w:val="0"/>
                          <w:marTop w:val="0"/>
                          <w:marBottom w:val="0"/>
                          <w:divBdr>
                            <w:top w:val="none" w:sz="0" w:space="0" w:color="auto"/>
                            <w:left w:val="none" w:sz="0" w:space="0" w:color="auto"/>
                            <w:bottom w:val="none" w:sz="0" w:space="0" w:color="auto"/>
                            <w:right w:val="none" w:sz="0" w:space="0" w:color="auto"/>
                          </w:divBdr>
                          <w:divsChild>
                            <w:div w:id="801195981">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622684102">
                          <w:blockQuote w:val="1"/>
                          <w:marLeft w:val="0"/>
                          <w:marRight w:val="0"/>
                          <w:marTop w:val="0"/>
                          <w:marBottom w:val="0"/>
                          <w:divBdr>
                            <w:top w:val="none" w:sz="0" w:space="0" w:color="auto"/>
                            <w:left w:val="none" w:sz="0" w:space="0" w:color="auto"/>
                            <w:bottom w:val="none" w:sz="0" w:space="0" w:color="auto"/>
                            <w:right w:val="none" w:sz="0" w:space="0" w:color="auto"/>
                          </w:divBdr>
                          <w:divsChild>
                            <w:div w:id="104098111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203902888">
                          <w:blockQuote w:val="1"/>
                          <w:marLeft w:val="0"/>
                          <w:marRight w:val="0"/>
                          <w:marTop w:val="0"/>
                          <w:marBottom w:val="0"/>
                          <w:divBdr>
                            <w:top w:val="none" w:sz="0" w:space="0" w:color="auto"/>
                            <w:left w:val="none" w:sz="0" w:space="0" w:color="auto"/>
                            <w:bottom w:val="none" w:sz="0" w:space="0" w:color="auto"/>
                            <w:right w:val="none" w:sz="0" w:space="0" w:color="auto"/>
                          </w:divBdr>
                          <w:divsChild>
                            <w:div w:id="509687183">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387023099">
                          <w:blockQuote w:val="1"/>
                          <w:marLeft w:val="0"/>
                          <w:marRight w:val="0"/>
                          <w:marTop w:val="0"/>
                          <w:marBottom w:val="0"/>
                          <w:divBdr>
                            <w:top w:val="none" w:sz="0" w:space="0" w:color="auto"/>
                            <w:left w:val="none" w:sz="0" w:space="0" w:color="auto"/>
                            <w:bottom w:val="none" w:sz="0" w:space="0" w:color="auto"/>
                            <w:right w:val="none" w:sz="0" w:space="0" w:color="auto"/>
                          </w:divBdr>
                          <w:divsChild>
                            <w:div w:id="1219707083">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583075381">
                          <w:blockQuote w:val="1"/>
                          <w:marLeft w:val="0"/>
                          <w:marRight w:val="0"/>
                          <w:marTop w:val="0"/>
                          <w:marBottom w:val="0"/>
                          <w:divBdr>
                            <w:top w:val="none" w:sz="0" w:space="0" w:color="auto"/>
                            <w:left w:val="none" w:sz="0" w:space="0" w:color="auto"/>
                            <w:bottom w:val="none" w:sz="0" w:space="0" w:color="auto"/>
                            <w:right w:val="none" w:sz="0" w:space="0" w:color="auto"/>
                          </w:divBdr>
                          <w:divsChild>
                            <w:div w:id="63144831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826626792">
                          <w:blockQuote w:val="1"/>
                          <w:marLeft w:val="0"/>
                          <w:marRight w:val="0"/>
                          <w:marTop w:val="0"/>
                          <w:marBottom w:val="0"/>
                          <w:divBdr>
                            <w:top w:val="none" w:sz="0" w:space="0" w:color="auto"/>
                            <w:left w:val="none" w:sz="0" w:space="0" w:color="auto"/>
                            <w:bottom w:val="none" w:sz="0" w:space="0" w:color="auto"/>
                            <w:right w:val="none" w:sz="0" w:space="0" w:color="auto"/>
                          </w:divBdr>
                          <w:divsChild>
                            <w:div w:id="551579313">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554779475">
                          <w:blockQuote w:val="1"/>
                          <w:marLeft w:val="0"/>
                          <w:marRight w:val="0"/>
                          <w:marTop w:val="0"/>
                          <w:marBottom w:val="0"/>
                          <w:divBdr>
                            <w:top w:val="none" w:sz="0" w:space="0" w:color="auto"/>
                            <w:left w:val="none" w:sz="0" w:space="0" w:color="auto"/>
                            <w:bottom w:val="none" w:sz="0" w:space="0" w:color="auto"/>
                            <w:right w:val="none" w:sz="0" w:space="0" w:color="auto"/>
                          </w:divBdr>
                          <w:divsChild>
                            <w:div w:id="609243242">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272778620">
                          <w:blockQuote w:val="1"/>
                          <w:marLeft w:val="0"/>
                          <w:marRight w:val="0"/>
                          <w:marTop w:val="0"/>
                          <w:marBottom w:val="0"/>
                          <w:divBdr>
                            <w:top w:val="none" w:sz="0" w:space="0" w:color="auto"/>
                            <w:left w:val="none" w:sz="0" w:space="0" w:color="auto"/>
                            <w:bottom w:val="none" w:sz="0" w:space="0" w:color="auto"/>
                            <w:right w:val="none" w:sz="0" w:space="0" w:color="auto"/>
                          </w:divBdr>
                          <w:divsChild>
                            <w:div w:id="162700803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277758485">
                          <w:blockQuote w:val="1"/>
                          <w:marLeft w:val="0"/>
                          <w:marRight w:val="0"/>
                          <w:marTop w:val="0"/>
                          <w:marBottom w:val="0"/>
                          <w:divBdr>
                            <w:top w:val="none" w:sz="0" w:space="0" w:color="auto"/>
                            <w:left w:val="none" w:sz="0" w:space="0" w:color="auto"/>
                            <w:bottom w:val="none" w:sz="0" w:space="0" w:color="auto"/>
                            <w:right w:val="none" w:sz="0" w:space="0" w:color="auto"/>
                          </w:divBdr>
                          <w:divsChild>
                            <w:div w:id="222060341">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327788337">
                          <w:blockQuote w:val="1"/>
                          <w:marLeft w:val="0"/>
                          <w:marRight w:val="0"/>
                          <w:marTop w:val="0"/>
                          <w:marBottom w:val="0"/>
                          <w:divBdr>
                            <w:top w:val="none" w:sz="0" w:space="0" w:color="auto"/>
                            <w:left w:val="none" w:sz="0" w:space="0" w:color="auto"/>
                            <w:bottom w:val="none" w:sz="0" w:space="0" w:color="auto"/>
                            <w:right w:val="none" w:sz="0" w:space="0" w:color="auto"/>
                          </w:divBdr>
                          <w:divsChild>
                            <w:div w:id="96804684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758871139">
                          <w:blockQuote w:val="1"/>
                          <w:marLeft w:val="0"/>
                          <w:marRight w:val="0"/>
                          <w:marTop w:val="0"/>
                          <w:marBottom w:val="0"/>
                          <w:divBdr>
                            <w:top w:val="none" w:sz="0" w:space="0" w:color="auto"/>
                            <w:left w:val="none" w:sz="0" w:space="0" w:color="auto"/>
                            <w:bottom w:val="none" w:sz="0" w:space="0" w:color="auto"/>
                            <w:right w:val="none" w:sz="0" w:space="0" w:color="auto"/>
                          </w:divBdr>
                          <w:divsChild>
                            <w:div w:id="54614029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847326573">
                          <w:blockQuote w:val="1"/>
                          <w:marLeft w:val="0"/>
                          <w:marRight w:val="0"/>
                          <w:marTop w:val="0"/>
                          <w:marBottom w:val="0"/>
                          <w:divBdr>
                            <w:top w:val="none" w:sz="0" w:space="0" w:color="auto"/>
                            <w:left w:val="none" w:sz="0" w:space="0" w:color="auto"/>
                            <w:bottom w:val="none" w:sz="0" w:space="0" w:color="auto"/>
                            <w:right w:val="none" w:sz="0" w:space="0" w:color="auto"/>
                          </w:divBdr>
                          <w:divsChild>
                            <w:div w:id="44985806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507603434">
                          <w:blockQuote w:val="1"/>
                          <w:marLeft w:val="0"/>
                          <w:marRight w:val="0"/>
                          <w:marTop w:val="0"/>
                          <w:marBottom w:val="0"/>
                          <w:divBdr>
                            <w:top w:val="none" w:sz="0" w:space="0" w:color="auto"/>
                            <w:left w:val="none" w:sz="0" w:space="0" w:color="auto"/>
                            <w:bottom w:val="none" w:sz="0" w:space="0" w:color="auto"/>
                            <w:right w:val="none" w:sz="0" w:space="0" w:color="auto"/>
                          </w:divBdr>
                          <w:divsChild>
                            <w:div w:id="140772525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708914239">
                          <w:blockQuote w:val="1"/>
                          <w:marLeft w:val="0"/>
                          <w:marRight w:val="0"/>
                          <w:marTop w:val="0"/>
                          <w:marBottom w:val="0"/>
                          <w:divBdr>
                            <w:top w:val="none" w:sz="0" w:space="0" w:color="auto"/>
                            <w:left w:val="none" w:sz="0" w:space="0" w:color="auto"/>
                            <w:bottom w:val="none" w:sz="0" w:space="0" w:color="auto"/>
                            <w:right w:val="none" w:sz="0" w:space="0" w:color="auto"/>
                          </w:divBdr>
                          <w:divsChild>
                            <w:div w:id="1262957479">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446074869">
                          <w:blockQuote w:val="1"/>
                          <w:marLeft w:val="0"/>
                          <w:marRight w:val="0"/>
                          <w:marTop w:val="0"/>
                          <w:marBottom w:val="0"/>
                          <w:divBdr>
                            <w:top w:val="none" w:sz="0" w:space="0" w:color="auto"/>
                            <w:left w:val="none" w:sz="0" w:space="0" w:color="auto"/>
                            <w:bottom w:val="none" w:sz="0" w:space="0" w:color="auto"/>
                            <w:right w:val="none" w:sz="0" w:space="0" w:color="auto"/>
                          </w:divBdr>
                          <w:divsChild>
                            <w:div w:id="204290153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527376506">
                          <w:blockQuote w:val="1"/>
                          <w:marLeft w:val="0"/>
                          <w:marRight w:val="0"/>
                          <w:marTop w:val="0"/>
                          <w:marBottom w:val="0"/>
                          <w:divBdr>
                            <w:top w:val="none" w:sz="0" w:space="0" w:color="auto"/>
                            <w:left w:val="none" w:sz="0" w:space="0" w:color="auto"/>
                            <w:bottom w:val="none" w:sz="0" w:space="0" w:color="auto"/>
                            <w:right w:val="none" w:sz="0" w:space="0" w:color="auto"/>
                          </w:divBdr>
                          <w:divsChild>
                            <w:div w:id="67404012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560109">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6528382">
      <w:bodyDiv w:val="1"/>
      <w:marLeft w:val="0"/>
      <w:marRight w:val="0"/>
      <w:marTop w:val="0"/>
      <w:marBottom w:val="0"/>
      <w:divBdr>
        <w:top w:val="none" w:sz="0" w:space="0" w:color="auto"/>
        <w:left w:val="none" w:sz="0" w:space="0" w:color="auto"/>
        <w:bottom w:val="none" w:sz="0" w:space="0" w:color="auto"/>
        <w:right w:val="none" w:sz="0" w:space="0" w:color="auto"/>
      </w:divBdr>
    </w:div>
    <w:div w:id="1669595187">
      <w:bodyDiv w:val="1"/>
      <w:marLeft w:val="0"/>
      <w:marRight w:val="0"/>
      <w:marTop w:val="0"/>
      <w:marBottom w:val="0"/>
      <w:divBdr>
        <w:top w:val="none" w:sz="0" w:space="0" w:color="auto"/>
        <w:left w:val="none" w:sz="0" w:space="0" w:color="auto"/>
        <w:bottom w:val="none" w:sz="0" w:space="0" w:color="auto"/>
        <w:right w:val="none" w:sz="0" w:space="0" w:color="auto"/>
      </w:divBdr>
    </w:div>
    <w:div w:id="1794322161">
      <w:bodyDiv w:val="1"/>
      <w:marLeft w:val="0"/>
      <w:marRight w:val="0"/>
      <w:marTop w:val="0"/>
      <w:marBottom w:val="0"/>
      <w:divBdr>
        <w:top w:val="none" w:sz="0" w:space="0" w:color="auto"/>
        <w:left w:val="none" w:sz="0" w:space="0" w:color="auto"/>
        <w:bottom w:val="none" w:sz="0" w:space="0" w:color="auto"/>
        <w:right w:val="none" w:sz="0" w:space="0" w:color="auto"/>
      </w:divBdr>
    </w:div>
    <w:div w:id="1973945824">
      <w:bodyDiv w:val="1"/>
      <w:marLeft w:val="0"/>
      <w:marRight w:val="0"/>
      <w:marTop w:val="0"/>
      <w:marBottom w:val="0"/>
      <w:divBdr>
        <w:top w:val="none" w:sz="0" w:space="0" w:color="auto"/>
        <w:left w:val="none" w:sz="0" w:space="0" w:color="auto"/>
        <w:bottom w:val="none" w:sz="0" w:space="0" w:color="auto"/>
        <w:right w:val="none" w:sz="0" w:space="0" w:color="auto"/>
      </w:divBdr>
    </w:div>
    <w:div w:id="2017534549">
      <w:bodyDiv w:val="1"/>
      <w:marLeft w:val="0"/>
      <w:marRight w:val="0"/>
      <w:marTop w:val="0"/>
      <w:marBottom w:val="0"/>
      <w:divBdr>
        <w:top w:val="none" w:sz="0" w:space="0" w:color="auto"/>
        <w:left w:val="none" w:sz="0" w:space="0" w:color="auto"/>
        <w:bottom w:val="none" w:sz="0" w:space="0" w:color="auto"/>
        <w:right w:val="none" w:sz="0" w:space="0" w:color="auto"/>
      </w:divBdr>
    </w:div>
    <w:div w:id="2114085492">
      <w:bodyDiv w:val="1"/>
      <w:marLeft w:val="0"/>
      <w:marRight w:val="0"/>
      <w:marTop w:val="0"/>
      <w:marBottom w:val="0"/>
      <w:divBdr>
        <w:top w:val="none" w:sz="0" w:space="0" w:color="auto"/>
        <w:left w:val="none" w:sz="0" w:space="0" w:color="auto"/>
        <w:bottom w:val="none" w:sz="0" w:space="0" w:color="auto"/>
        <w:right w:val="none" w:sz="0" w:space="0" w:color="auto"/>
      </w:divBdr>
    </w:div>
    <w:div w:id="2124415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c.europa.eu/food/plant/pesticides/sustainable_use_pesticides/harmonised-risk-indicators_en" TargetMode="External"/><Relationship Id="rId21" Type="http://schemas.openxmlformats.org/officeDocument/2006/relationships/hyperlink" Target="https://ec.europa.eu/eurostat/statistics-explained/index.php?title=Glossary:Income_quintile_group" TargetMode="External"/><Relationship Id="rId42" Type="http://schemas.openxmlformats.org/officeDocument/2006/relationships/image" Target="media/image15.png"/><Relationship Id="rId63" Type="http://schemas.openxmlformats.org/officeDocument/2006/relationships/image" Target="media/image34.png"/><Relationship Id="rId84" Type="http://schemas.openxmlformats.org/officeDocument/2006/relationships/hyperlink" Target="https://ec.europa.eu/info/strategy/priorities-2019-2024/european-green-deal_es" TargetMode="External"/><Relationship Id="rId138" Type="http://schemas.openxmlformats.org/officeDocument/2006/relationships/image" Target="media/image66.png"/><Relationship Id="rId159" Type="http://schemas.openxmlformats.org/officeDocument/2006/relationships/image" Target="media/image83.png"/><Relationship Id="rId170" Type="http://schemas.openxmlformats.org/officeDocument/2006/relationships/hyperlink" Target="https://www.elconfidencial.com/economia/2021-12-27/fondos-europa-ayudas-empresas-autonomos-bra_3342938/" TargetMode="External"/><Relationship Id="rId191" Type="http://schemas.openxmlformats.org/officeDocument/2006/relationships/image" Target="media/image95.png"/><Relationship Id="rId205" Type="http://schemas.openxmlformats.org/officeDocument/2006/relationships/image" Target="media/image109.png"/><Relationship Id="rId226" Type="http://schemas.microsoft.com/office/2007/relationships/stylesWithEffects" Target="stylesWithEffects.xml"/><Relationship Id="rId107" Type="http://schemas.openxmlformats.org/officeDocument/2006/relationships/hyperlink" Target="https://ec.europa.eu/eurostat/statistics-explained/index.php?title=Agri-environmental_indicator_-_consumption_of_pesticides" TargetMode="External"/><Relationship Id="rId11" Type="http://schemas.openxmlformats.org/officeDocument/2006/relationships/image" Target="media/image5.jpeg"/><Relationship Id="rId32" Type="http://schemas.openxmlformats.org/officeDocument/2006/relationships/hyperlink" Target="https://www.elconfidencial.com/mundo/2014-11-05/la-formula-portuguesa-para-reducir-el-paro-quinientos-euristas-y-dando-gracias_434664/" TargetMode="External"/><Relationship Id="rId53" Type="http://schemas.openxmlformats.org/officeDocument/2006/relationships/image" Target="media/image25.png"/><Relationship Id="rId74" Type="http://schemas.openxmlformats.org/officeDocument/2006/relationships/image" Target="media/image45.png"/><Relationship Id="rId128" Type="http://schemas.openxmlformats.org/officeDocument/2006/relationships/image" Target="media/image60.png"/><Relationship Id="rId149" Type="http://schemas.openxmlformats.org/officeDocument/2006/relationships/image" Target="media/image73.png"/><Relationship Id="rId5" Type="http://schemas.openxmlformats.org/officeDocument/2006/relationships/image" Target="media/image2.jpeg"/><Relationship Id="rId95" Type="http://schemas.openxmlformats.org/officeDocument/2006/relationships/hyperlink" Target="https://ec.europa.eu/info/food-farming-fisheries/sustainability/environmental-sustainability/natural-resources/clean-air_es" TargetMode="External"/><Relationship Id="rId160" Type="http://schemas.openxmlformats.org/officeDocument/2006/relationships/image" Target="media/image84.png"/><Relationship Id="rId181" Type="http://schemas.openxmlformats.org/officeDocument/2006/relationships/hyperlink" Target="https://core.ac.uk/download/pdf/159127168.pdf" TargetMode="External"/><Relationship Id="rId216" Type="http://schemas.openxmlformats.org/officeDocument/2006/relationships/image" Target="media/image120.png"/><Relationship Id="rId211" Type="http://schemas.openxmlformats.org/officeDocument/2006/relationships/image" Target="media/image115.png"/><Relationship Id="rId22" Type="http://schemas.openxmlformats.org/officeDocument/2006/relationships/hyperlink" Target="https://ec.europa.eu/eurostat/documents/4187653/11581515/20210702-FB-POVERTY-EMPLOYMENT-INCOME-VS.jpg" TargetMode="External"/><Relationship Id="rId27" Type="http://schemas.openxmlformats.org/officeDocument/2006/relationships/image" Target="media/image10.png"/><Relationship Id="rId43" Type="http://schemas.openxmlformats.org/officeDocument/2006/relationships/hyperlink" Target="https://www.vozpopuli.com/espana/feijoo-podemos-bloque-investidura.html" TargetMode="External"/><Relationship Id="rId48" Type="http://schemas.openxmlformats.org/officeDocument/2006/relationships/image" Target="media/image20.png"/><Relationship Id="rId64" Type="http://schemas.openxmlformats.org/officeDocument/2006/relationships/image" Target="media/image35.png"/><Relationship Id="rId69" Type="http://schemas.openxmlformats.org/officeDocument/2006/relationships/image" Target="media/image40.png"/><Relationship Id="rId113" Type="http://schemas.openxmlformats.org/officeDocument/2006/relationships/hyperlink" Target="https://ec.europa.eu/eurostat/statistics-explained/index.php?title=Agri-environmental_indicator_-_soil_cover" TargetMode="External"/><Relationship Id="rId118" Type="http://schemas.openxmlformats.org/officeDocument/2006/relationships/hyperlink" Target="https://ec.europa.eu/eurostat/statistics-explained/index.php/Climate_change_-_driving_forces" TargetMode="External"/><Relationship Id="rId134" Type="http://schemas.openxmlformats.org/officeDocument/2006/relationships/image" Target="media/image62.jpeg"/><Relationship Id="rId139" Type="http://schemas.openxmlformats.org/officeDocument/2006/relationships/hyperlink" Target="https://s.libertaddigital.com/2022/06/11/tamano-bancos-centrales.jpg" TargetMode="External"/><Relationship Id="rId80" Type="http://schemas.openxmlformats.org/officeDocument/2006/relationships/image" Target="media/image51.png"/><Relationship Id="rId85" Type="http://schemas.openxmlformats.org/officeDocument/2006/relationships/hyperlink" Target="https://ec.europa.eu/info/strategy/priorities-2019-2024/european-green-deal/actions-being-taken-eu/farm-fork_es" TargetMode="External"/><Relationship Id="rId150" Type="http://schemas.openxmlformats.org/officeDocument/2006/relationships/image" Target="media/image74.png"/><Relationship Id="rId155" Type="http://schemas.openxmlformats.org/officeDocument/2006/relationships/image" Target="media/image79.jpeg"/><Relationship Id="rId171" Type="http://schemas.openxmlformats.org/officeDocument/2006/relationships/hyperlink" Target="https://www.ftm.eu/recoveryfiles." TargetMode="External"/><Relationship Id="rId176" Type="http://schemas.openxmlformats.org/officeDocument/2006/relationships/hyperlink" Target="https://www.elconfidencial.com/espana/2021-03-01/consejo-estado-denuncia-eliminacion-control-fondos-ue_2972096/" TargetMode="External"/><Relationship Id="rId192" Type="http://schemas.openxmlformats.org/officeDocument/2006/relationships/image" Target="media/image96.png"/><Relationship Id="rId197" Type="http://schemas.openxmlformats.org/officeDocument/2006/relationships/image" Target="media/image101.png"/><Relationship Id="rId206" Type="http://schemas.openxmlformats.org/officeDocument/2006/relationships/image" Target="media/image110.png"/><Relationship Id="rId201" Type="http://schemas.openxmlformats.org/officeDocument/2006/relationships/image" Target="media/image105.png"/><Relationship Id="rId222" Type="http://schemas.openxmlformats.org/officeDocument/2006/relationships/hyperlink" Target="https://www.elconfidencial.com/mundo/europa/2021-09-22/como-espana-paso-odiar-merkel-llorar-despedida_3293245/" TargetMode="External"/><Relationship Id="rId12" Type="http://schemas.openxmlformats.org/officeDocument/2006/relationships/hyperlink" Target="https://ec.europa.eu/eurostat/statistics-explained/index.php?title=Glossary:Median" TargetMode="External"/><Relationship Id="rId17" Type="http://schemas.openxmlformats.org/officeDocument/2006/relationships/hyperlink" Target="https://ec.europa.eu/eurostat/web/experimental-statistics/income-inequality-and-poverty-indicators" TargetMode="External"/><Relationship Id="rId33" Type="http://schemas.openxmlformats.org/officeDocument/2006/relationships/hyperlink" Target="https://www.elconfidencial.com/mundo/2014-01-15/francia-el-nuevo-enfermo-de-europa-es-un-pais-de-ninos-mimados-por-el-estado_76145/" TargetMode="External"/><Relationship Id="rId38" Type="http://schemas.openxmlformats.org/officeDocument/2006/relationships/image" Target="media/image11.png"/><Relationship Id="rId59" Type="http://schemas.openxmlformats.org/officeDocument/2006/relationships/image" Target="media/image30.png"/><Relationship Id="rId103" Type="http://schemas.openxmlformats.org/officeDocument/2006/relationships/hyperlink" Target="https://ec.europa.eu/info/research-and-innovation/research-area/agriculture-forestry-and-rural-areas_es" TargetMode="External"/><Relationship Id="rId108" Type="http://schemas.openxmlformats.org/officeDocument/2006/relationships/hyperlink" Target="https://ec.europa.eu/eurostat/statistics-explained/index.php?title=Agri-environmental_indicator_-_irrigation" TargetMode="External"/><Relationship Id="rId124" Type="http://schemas.openxmlformats.org/officeDocument/2006/relationships/image" Target="media/image56.png"/><Relationship Id="rId129" Type="http://schemas.openxmlformats.org/officeDocument/2006/relationships/image" Target="media/image61.jpeg"/><Relationship Id="rId54" Type="http://schemas.openxmlformats.org/officeDocument/2006/relationships/image" Target="media/image26.png"/><Relationship Id="rId70" Type="http://schemas.openxmlformats.org/officeDocument/2006/relationships/image" Target="media/image41.png"/><Relationship Id="rId75" Type="http://schemas.openxmlformats.org/officeDocument/2006/relationships/image" Target="media/image46.png"/><Relationship Id="rId91" Type="http://schemas.openxmlformats.org/officeDocument/2006/relationships/hyperlink" Target="https://ec.europa.eu/info/food-farming-fisheries/key-policies/common-agricultural-policy/new-cap-2023-27_es" TargetMode="External"/><Relationship Id="rId96" Type="http://schemas.openxmlformats.org/officeDocument/2006/relationships/hyperlink" Target="https://ec.europa.eu/info/food-farming-fisheries/forestry/forestry-explained_es" TargetMode="External"/><Relationship Id="rId140" Type="http://schemas.openxmlformats.org/officeDocument/2006/relationships/image" Target="media/image67.jpeg"/><Relationship Id="rId145" Type="http://schemas.openxmlformats.org/officeDocument/2006/relationships/hyperlink" Target="https://s.libertaddigital.com/2022/06/11/sp-500.jpg" TargetMode="External"/><Relationship Id="rId161" Type="http://schemas.openxmlformats.org/officeDocument/2006/relationships/image" Target="media/image85.png"/><Relationship Id="rId166" Type="http://schemas.openxmlformats.org/officeDocument/2006/relationships/hyperlink" Target="https://www.elconfidencial.com/autores/javier-g-jorrin-1715/" TargetMode="External"/><Relationship Id="rId182" Type="http://schemas.openxmlformats.org/officeDocument/2006/relationships/hyperlink" Target="https://www.elconfidencial.com/mundo/2022-04-05/hungria-batalla-orban-bruselas-bloqueo-fondos-europeos_3403838/" TargetMode="External"/><Relationship Id="rId187" Type="http://schemas.openxmlformats.org/officeDocument/2006/relationships/image" Target="media/image91.png"/><Relationship Id="rId217" Type="http://schemas.openxmlformats.org/officeDocument/2006/relationships/image" Target="media/image121.png"/><Relationship Id="rId1" Type="http://schemas.openxmlformats.org/officeDocument/2006/relationships/numbering" Target="numbering.xml"/><Relationship Id="rId6" Type="http://schemas.openxmlformats.org/officeDocument/2006/relationships/image" Target="media/image3.png"/><Relationship Id="rId212" Type="http://schemas.openxmlformats.org/officeDocument/2006/relationships/image" Target="media/image116.png"/><Relationship Id="rId23" Type="http://schemas.openxmlformats.org/officeDocument/2006/relationships/image" Target="media/image7.jpeg"/><Relationship Id="rId28" Type="http://schemas.openxmlformats.org/officeDocument/2006/relationships/hyperlink" Target="https://www.elconfidencial.com/mundo/2014-10-15/lo-que-la-crisis-se-llevo-donde-estariamos-si-no-hubiese-existido_190958/" TargetMode="External"/><Relationship Id="rId49" Type="http://schemas.openxmlformats.org/officeDocument/2006/relationships/image" Target="media/image21.png"/><Relationship Id="rId114" Type="http://schemas.openxmlformats.org/officeDocument/2006/relationships/hyperlink" Target="https://ec.europa.eu/eurostat/statistics-explained/index.php?title=Agri-environmental_indicator_-_tillage_practices" TargetMode="External"/><Relationship Id="rId119" Type="http://schemas.openxmlformats.org/officeDocument/2006/relationships/hyperlink" Target="https://ec.europa.eu/info/sites/info/files/food-farming-fisheries/farming/documents/cap-indicators-doc-c39_2018_en.pdf" TargetMode="External"/><Relationship Id="rId44" Type="http://schemas.openxmlformats.org/officeDocument/2006/relationships/image" Target="media/image16.png"/><Relationship Id="rId60" Type="http://schemas.openxmlformats.org/officeDocument/2006/relationships/image" Target="media/image31.png"/><Relationship Id="rId65" Type="http://schemas.openxmlformats.org/officeDocument/2006/relationships/image" Target="media/image36.png"/><Relationship Id="rId81" Type="http://schemas.openxmlformats.org/officeDocument/2006/relationships/image" Target="media/image52.png"/><Relationship Id="rId86" Type="http://schemas.openxmlformats.org/officeDocument/2006/relationships/hyperlink" Target="https://ec.europa.eu/info/food-farming-fisheries/farming/organic-farming_es" TargetMode="External"/><Relationship Id="rId130" Type="http://schemas.openxmlformats.org/officeDocument/2006/relationships/hyperlink" Target="https://www.elmundo.es/cronica/2019/05/02/5cc86b7bfdddff69ad8b457b.html" TargetMode="External"/><Relationship Id="rId135" Type="http://schemas.openxmlformats.org/officeDocument/2006/relationships/image" Target="media/image63.jpeg"/><Relationship Id="rId151" Type="http://schemas.openxmlformats.org/officeDocument/2006/relationships/image" Target="media/image75.png"/><Relationship Id="rId156" Type="http://schemas.openxmlformats.org/officeDocument/2006/relationships/image" Target="media/image80.png"/><Relationship Id="rId177" Type="http://schemas.openxmlformats.org/officeDocument/2006/relationships/hyperlink" Target="https://www.elconfidencial.com/economia/2022-05-12/airef-acusa-gobierno-no-tener-estrategia-fiscal-reducir-deuda_3423393/" TargetMode="External"/><Relationship Id="rId198" Type="http://schemas.openxmlformats.org/officeDocument/2006/relationships/image" Target="media/image102.png"/><Relationship Id="rId172" Type="http://schemas.openxmlformats.org/officeDocument/2006/relationships/hyperlink" Target="https://www.elconfidencial.com/economia/2020-07-21/la-ue-acuerda-un-paquete-de-750-000m-para-reactivar-la-economia_2690104/" TargetMode="External"/><Relationship Id="rId193" Type="http://schemas.openxmlformats.org/officeDocument/2006/relationships/image" Target="media/image97.png"/><Relationship Id="rId202" Type="http://schemas.openxmlformats.org/officeDocument/2006/relationships/image" Target="media/image106.png"/><Relationship Id="rId207" Type="http://schemas.openxmlformats.org/officeDocument/2006/relationships/image" Target="media/image111.png"/><Relationship Id="rId223" Type="http://schemas.openxmlformats.org/officeDocument/2006/relationships/image" Target="media/image126.jpeg"/><Relationship Id="rId13" Type="http://schemas.openxmlformats.org/officeDocument/2006/relationships/hyperlink" Target="https://ec.europa.eu/eurostat/statistics-explained/index.php?title=Glossary:Median" TargetMode="External"/><Relationship Id="rId18" Type="http://schemas.openxmlformats.org/officeDocument/2006/relationships/hyperlink" Target="https://ec.europa.eu/eurostat/documents/4187653/11581515/20210702-FB-POVERTY-EMPLOYMENT-INCOME-AND.jpg" TargetMode="External"/><Relationship Id="rId39" Type="http://schemas.openxmlformats.org/officeDocument/2006/relationships/image" Target="media/image12.png"/><Relationship Id="rId109" Type="http://schemas.openxmlformats.org/officeDocument/2006/relationships/hyperlink" Target="https://ec.europa.eu/eurostat/statistics-explained/index.php?title=Agri-environmental_indicator_-_energy_use" TargetMode="External"/><Relationship Id="rId34" Type="http://schemas.openxmlformats.org/officeDocument/2006/relationships/hyperlink" Target="https://www.elconfidencial.com/mundo/2014-10-28/austeros-contra-estimuladores-cinco-anos-despues-quien-va-ganando_419489/" TargetMode="External"/><Relationship Id="rId50" Type="http://schemas.openxmlformats.org/officeDocument/2006/relationships/image" Target="media/image22.png"/><Relationship Id="rId55" Type="http://schemas.openxmlformats.org/officeDocument/2006/relationships/hyperlink" Target="https://ec.europa.eu/commission/presscorner/detail/en/ip_21_4626" TargetMode="External"/><Relationship Id="rId76" Type="http://schemas.openxmlformats.org/officeDocument/2006/relationships/image" Target="media/image47.png"/><Relationship Id="rId97" Type="http://schemas.openxmlformats.org/officeDocument/2006/relationships/hyperlink" Target="https://ec.europa.eu/commission/presscorner/detail/en/fs_19_6729" TargetMode="External"/><Relationship Id="rId104" Type="http://schemas.openxmlformats.org/officeDocument/2006/relationships/hyperlink" Target="https://ec.europa.eu/info/food-farming-fisheries/key-policies/common-agricultural-policy/income-support/cross-compliance/fas_es" TargetMode="External"/><Relationship Id="rId120" Type="http://schemas.openxmlformats.org/officeDocument/2006/relationships/hyperlink" Target="https://ec.europa.eu/eurostat/statistics-explained/index.php?title=Agri-environmental_indicator_-_soil_erosion" TargetMode="External"/><Relationship Id="rId125" Type="http://schemas.openxmlformats.org/officeDocument/2006/relationships/image" Target="media/image57.png"/><Relationship Id="rId141" Type="http://schemas.openxmlformats.org/officeDocument/2006/relationships/hyperlink" Target="https://s.libertaddigital.com/2022/06/11/tipos-de-interes.jpg" TargetMode="External"/><Relationship Id="rId146" Type="http://schemas.openxmlformats.org/officeDocument/2006/relationships/image" Target="media/image70.jpeg"/><Relationship Id="rId167" Type="http://schemas.openxmlformats.org/officeDocument/2006/relationships/hyperlink" Target="https://www.elconfidencial.com/autores/marta-ley-4163/" TargetMode="External"/><Relationship Id="rId188" Type="http://schemas.openxmlformats.org/officeDocument/2006/relationships/image" Target="media/image92.png"/><Relationship Id="rId7" Type="http://schemas.openxmlformats.org/officeDocument/2006/relationships/image" Target="media/image4.jpeg"/><Relationship Id="rId71" Type="http://schemas.openxmlformats.org/officeDocument/2006/relationships/image" Target="media/image42.png"/><Relationship Id="rId92" Type="http://schemas.openxmlformats.org/officeDocument/2006/relationships/hyperlink" Target="https://ec.europa.eu/clima/index_en" TargetMode="External"/><Relationship Id="rId162" Type="http://schemas.openxmlformats.org/officeDocument/2006/relationships/image" Target="media/image86.jpeg"/><Relationship Id="rId183" Type="http://schemas.openxmlformats.org/officeDocument/2006/relationships/hyperlink" Target="https://www.bbc.com/news/world-europe-60400112" TargetMode="External"/><Relationship Id="rId213" Type="http://schemas.openxmlformats.org/officeDocument/2006/relationships/image" Target="media/image117.png"/><Relationship Id="rId218" Type="http://schemas.openxmlformats.org/officeDocument/2006/relationships/image" Target="media/image122.png"/><Relationship Id="rId2" Type="http://schemas.openxmlformats.org/officeDocument/2006/relationships/styles" Target="styles.xml"/><Relationship Id="rId29" Type="http://schemas.openxmlformats.org/officeDocument/2006/relationships/hyperlink" Target="https://www.elconfidencial.com/mundo/2014-04-11/berlin-capital-de-los-sintecho-dirigia-una-gran-empresa-y-en-meses-acabe-en-la-calle_114296/" TargetMode="External"/><Relationship Id="rId24" Type="http://schemas.openxmlformats.org/officeDocument/2006/relationships/hyperlink" Target="https://ec.europa.eu/eurostat/documents/4187653/11581515/poverty_map_2020_v5.png" TargetMode="External"/><Relationship Id="rId40" Type="http://schemas.openxmlformats.org/officeDocument/2006/relationships/image" Target="media/image13.gif"/><Relationship Id="rId45" Type="http://schemas.openxmlformats.org/officeDocument/2006/relationships/image" Target="media/image17.png"/><Relationship Id="rId66" Type="http://schemas.openxmlformats.org/officeDocument/2006/relationships/image" Target="media/image37.png"/><Relationship Id="rId87" Type="http://schemas.openxmlformats.org/officeDocument/2006/relationships/hyperlink" Target="https://ec.europa.eu/info/food-farming-fisheries/sustainability/environmental-sustainability/low-input-farming_es" TargetMode="External"/><Relationship Id="rId110" Type="http://schemas.openxmlformats.org/officeDocument/2006/relationships/hyperlink" Target="https://www.eea.europa.eu/themes/landuse" TargetMode="External"/><Relationship Id="rId115" Type="http://schemas.openxmlformats.org/officeDocument/2006/relationships/hyperlink" Target="https://ec.europa.eu/info/sites/info/files/food-farming-fisheries/farming/documents/cap-indicators-doc-c33_2018_en.pdf" TargetMode="External"/><Relationship Id="rId131" Type="http://schemas.openxmlformats.org/officeDocument/2006/relationships/hyperlink" Target="https://www.elmundo.es/papel/historias/2016/06/05/57517b5422601d11558b45c0.html" TargetMode="External"/><Relationship Id="rId136" Type="http://schemas.openxmlformats.org/officeDocument/2006/relationships/image" Target="media/image64.jpeg"/><Relationship Id="rId157" Type="http://schemas.openxmlformats.org/officeDocument/2006/relationships/image" Target="media/image81.jpeg"/><Relationship Id="rId178" Type="http://schemas.openxmlformats.org/officeDocument/2006/relationships/hyperlink" Target="https://www.elconfidencial.com/economia/2022-01-31/gobierno-movilizara-22000-millones-fondos-europeos_3367360/" TargetMode="External"/><Relationship Id="rId61" Type="http://schemas.openxmlformats.org/officeDocument/2006/relationships/image" Target="media/image32.png"/><Relationship Id="rId82" Type="http://schemas.openxmlformats.org/officeDocument/2006/relationships/image" Target="media/image53.png"/><Relationship Id="rId152" Type="http://schemas.openxmlformats.org/officeDocument/2006/relationships/image" Target="media/image76.png"/><Relationship Id="rId173" Type="http://schemas.openxmlformats.org/officeDocument/2006/relationships/hyperlink" Target="https://www.elconfidencial.com/mundo/2020-12-21/ha-llegado-el-momento-de-gastar-por-que-alemania-esta-diciendo-adios-a-la-austeridad_2878595/" TargetMode="External"/><Relationship Id="rId194" Type="http://schemas.openxmlformats.org/officeDocument/2006/relationships/image" Target="media/image98.png"/><Relationship Id="rId199" Type="http://schemas.openxmlformats.org/officeDocument/2006/relationships/image" Target="media/image103.png"/><Relationship Id="rId203" Type="http://schemas.openxmlformats.org/officeDocument/2006/relationships/image" Target="media/image107.png"/><Relationship Id="rId208" Type="http://schemas.openxmlformats.org/officeDocument/2006/relationships/image" Target="media/image112.png"/><Relationship Id="rId19" Type="http://schemas.openxmlformats.org/officeDocument/2006/relationships/image" Target="media/image6.jpeg"/><Relationship Id="rId224" Type="http://schemas.openxmlformats.org/officeDocument/2006/relationships/fontTable" Target="fontTable.xml"/><Relationship Id="rId14" Type="http://schemas.openxmlformats.org/officeDocument/2006/relationships/hyperlink" Target="https://ec.europa.eu/eurostat/statistics-explained/index.php?title=Glossary:European_Union_(EU)" TargetMode="External"/><Relationship Id="rId30" Type="http://schemas.openxmlformats.org/officeDocument/2006/relationships/hyperlink" Target="https://www.elconfidencial.com/mundo/2014-11-03/bancos-rescatados-ciudadanos-castigados-asi-perdieron-los-ahorros-de-toda-una-vida_429357/" TargetMode="External"/><Relationship Id="rId35" Type="http://schemas.openxmlformats.org/officeDocument/2006/relationships/hyperlink" Target="https://www.elconfidencial.com/mundo/2014-10-01/los-kurdos-se-rearman-en-el-bazar_220858/" TargetMode="External"/><Relationship Id="rId56" Type="http://schemas.openxmlformats.org/officeDocument/2006/relationships/image" Target="media/image27.png"/><Relationship Id="rId77" Type="http://schemas.openxmlformats.org/officeDocument/2006/relationships/image" Target="media/image48.png"/><Relationship Id="rId100" Type="http://schemas.openxmlformats.org/officeDocument/2006/relationships/hyperlink" Target="https://ec.europa.eu/info/food-farming-fisheries/key-policies/common-agricultural-policy/cmef_es" TargetMode="External"/><Relationship Id="rId105" Type="http://schemas.openxmlformats.org/officeDocument/2006/relationships/hyperlink" Target="https://ec.europa.eu/info/research-and-innovation/research-area/agriculture-forestry-and-rural-areas/interactive-innovation-and-eip-agri_es" TargetMode="External"/><Relationship Id="rId126" Type="http://schemas.openxmlformats.org/officeDocument/2006/relationships/image" Target="media/image58.png"/><Relationship Id="rId147" Type="http://schemas.openxmlformats.org/officeDocument/2006/relationships/image" Target="media/image71.png"/><Relationship Id="rId168" Type="http://schemas.openxmlformats.org/officeDocument/2006/relationships/hyperlink" Target="https://www.elconfidencial.com/autores/maria-zuil-1419/" TargetMode="External"/><Relationship Id="rId8" Type="http://schemas.openxmlformats.org/officeDocument/2006/relationships/hyperlink" Target="https://www.elconfidencial.com/mercados/the-wall-street-journal/2020-05-03/globalizacion-tocada-no-hundida_2574748/" TargetMode="External"/><Relationship Id="rId51" Type="http://schemas.openxmlformats.org/officeDocument/2006/relationships/image" Target="media/image23.png"/><Relationship Id="rId72" Type="http://schemas.openxmlformats.org/officeDocument/2006/relationships/image" Target="media/image43.png"/><Relationship Id="rId93" Type="http://schemas.openxmlformats.org/officeDocument/2006/relationships/hyperlink" Target="https://ec.europa.eu/info/food-farming-fisheries/sustainability/environmental-sustainability/natural-resources/water_es" TargetMode="External"/><Relationship Id="rId98" Type="http://schemas.openxmlformats.org/officeDocument/2006/relationships/hyperlink" Target="https://ec.europa.eu/info/strategy/priorities-2019-2024/european-green-deal/actions-being-taken-eu/eu-biodiversity-strategy-2030_es" TargetMode="External"/><Relationship Id="rId121" Type="http://schemas.openxmlformats.org/officeDocument/2006/relationships/hyperlink" Target="https://ec.europa.eu/eurostat/statistics-explained/index.php?title=Agri-environmental_indicator_-_High_Nature_Value_farmland" TargetMode="External"/><Relationship Id="rId142" Type="http://schemas.openxmlformats.org/officeDocument/2006/relationships/image" Target="media/image68.jpeg"/><Relationship Id="rId163" Type="http://schemas.openxmlformats.org/officeDocument/2006/relationships/image" Target="media/image87.png"/><Relationship Id="rId184" Type="http://schemas.openxmlformats.org/officeDocument/2006/relationships/hyperlink" Target="https://www.europarl.europa.eu/news/en/press-room/20220620IPR33417/national-recovery-plans-meps-assess-the-performance-of-crisis-funding" TargetMode="External"/><Relationship Id="rId189" Type="http://schemas.openxmlformats.org/officeDocument/2006/relationships/image" Target="media/image93.jpeg"/><Relationship Id="rId219" Type="http://schemas.openxmlformats.org/officeDocument/2006/relationships/image" Target="media/image123.png"/><Relationship Id="rId3" Type="http://schemas.openxmlformats.org/officeDocument/2006/relationships/settings" Target="settings.xml"/><Relationship Id="rId214" Type="http://schemas.openxmlformats.org/officeDocument/2006/relationships/image" Target="media/image118.png"/><Relationship Id="rId25" Type="http://schemas.openxmlformats.org/officeDocument/2006/relationships/image" Target="media/image8.png"/><Relationship Id="rId46" Type="http://schemas.openxmlformats.org/officeDocument/2006/relationships/image" Target="media/image18.png"/><Relationship Id="rId67" Type="http://schemas.openxmlformats.org/officeDocument/2006/relationships/image" Target="media/image38.png"/><Relationship Id="rId116" Type="http://schemas.openxmlformats.org/officeDocument/2006/relationships/hyperlink" Target="https://ec.europa.eu/eurostat/statistics-explained/index.php?title=Agri-environmental_indicator_-_specialisation" TargetMode="External"/><Relationship Id="rId137" Type="http://schemas.openxmlformats.org/officeDocument/2006/relationships/image" Target="media/image65.jpeg"/><Relationship Id="rId158" Type="http://schemas.openxmlformats.org/officeDocument/2006/relationships/image" Target="media/image82.jpeg"/><Relationship Id="rId20" Type="http://schemas.openxmlformats.org/officeDocument/2006/relationships/hyperlink" Target="https://ec.europa.eu/eurostat/statistics-explained/index.php?title=Glossary:Income_quintile_group" TargetMode="External"/><Relationship Id="rId41" Type="http://schemas.openxmlformats.org/officeDocument/2006/relationships/image" Target="media/image14.png"/><Relationship Id="rId62" Type="http://schemas.openxmlformats.org/officeDocument/2006/relationships/image" Target="media/image33.png"/><Relationship Id="rId83" Type="http://schemas.openxmlformats.org/officeDocument/2006/relationships/image" Target="media/image54.png"/><Relationship Id="rId88" Type="http://schemas.openxmlformats.org/officeDocument/2006/relationships/hyperlink" Target="https://ec.europa.eu/info/food-farming-fisheries/key-policies/common-agricultural-policy/income-support/cross-compliance_es" TargetMode="External"/><Relationship Id="rId111" Type="http://schemas.openxmlformats.org/officeDocument/2006/relationships/hyperlink" Target="https://ec.europa.eu/eurostat/statistics-explained/index.php?title=Agri-environmental_indicator_-_cropping_patterns" TargetMode="External"/><Relationship Id="rId132" Type="http://schemas.openxmlformats.org/officeDocument/2006/relationships/hyperlink" Target="https://twitter.com/hashtag/machismo?src=hash" TargetMode="External"/><Relationship Id="rId153" Type="http://schemas.openxmlformats.org/officeDocument/2006/relationships/image" Target="media/image77.png"/><Relationship Id="rId174" Type="http://schemas.openxmlformats.org/officeDocument/2006/relationships/hyperlink" Target="https://www.elconfidencial.com/mundo/2021-08-23/paises-nordicos-politica-interna-peligro-ue_3243582/" TargetMode="External"/><Relationship Id="rId179" Type="http://schemas.openxmlformats.org/officeDocument/2006/relationships/hyperlink" Target="https://www.elconfidencial.com/empresas/2021-02-01/cepsa-ficha-deloitte-fondos-europeos-covid-ue_2929784/" TargetMode="External"/><Relationship Id="rId195" Type="http://schemas.openxmlformats.org/officeDocument/2006/relationships/image" Target="media/image99.png"/><Relationship Id="rId209" Type="http://schemas.openxmlformats.org/officeDocument/2006/relationships/image" Target="media/image113.png"/><Relationship Id="rId190" Type="http://schemas.openxmlformats.org/officeDocument/2006/relationships/image" Target="media/image94.jpeg"/><Relationship Id="rId204" Type="http://schemas.openxmlformats.org/officeDocument/2006/relationships/image" Target="media/image108.png"/><Relationship Id="rId220" Type="http://schemas.openxmlformats.org/officeDocument/2006/relationships/image" Target="media/image124.png"/><Relationship Id="rId225" Type="http://schemas.openxmlformats.org/officeDocument/2006/relationships/theme" Target="theme/theme1.xml"/><Relationship Id="rId15" Type="http://schemas.openxmlformats.org/officeDocument/2006/relationships/hyperlink" Target="https://ec.europa.eu/eurostat/statistics-explained/index.php?title=Glossary:Equivalised_disposable_income" TargetMode="External"/><Relationship Id="rId36" Type="http://schemas.openxmlformats.org/officeDocument/2006/relationships/hyperlink" Target="https://www.elconfidencial.com/mundo/2014-10-25/historia-de-un-superviviente-fui-de-los-primeros-infectados-de-ebola-decidi-luchar_408554/" TargetMode="External"/><Relationship Id="rId57" Type="http://schemas.openxmlformats.org/officeDocument/2006/relationships/image" Target="media/image28.png"/><Relationship Id="rId106" Type="http://schemas.openxmlformats.org/officeDocument/2006/relationships/hyperlink" Target="https://ec.europa.eu/eurostat/statistics-explained/index.php?title=Agri-environmental_indicator_-_mineral_fertiliser_consumption" TargetMode="External"/><Relationship Id="rId127" Type="http://schemas.openxmlformats.org/officeDocument/2006/relationships/image" Target="media/image59.png"/><Relationship Id="rId10" Type="http://schemas.openxmlformats.org/officeDocument/2006/relationships/hyperlink" Target="https://blogs.elconfidencial.com/espana/mientras-tanto/2020-03-29/coronavirus-liberalismo-fmi-presupuestos-china_2523451/" TargetMode="External"/><Relationship Id="rId31" Type="http://schemas.openxmlformats.org/officeDocument/2006/relationships/hyperlink" Target="https://www.elconfidencial.com/mundo/2014-01-09/grecia-reinventa-su-economia-sin-euro-sin-intermediarios-y-con-autogestion-obrera_73868/" TargetMode="External"/><Relationship Id="rId52" Type="http://schemas.openxmlformats.org/officeDocument/2006/relationships/image" Target="media/image24.png"/><Relationship Id="rId73" Type="http://schemas.openxmlformats.org/officeDocument/2006/relationships/image" Target="media/image44.png"/><Relationship Id="rId78" Type="http://schemas.openxmlformats.org/officeDocument/2006/relationships/image" Target="media/image49.png"/><Relationship Id="rId94" Type="http://schemas.openxmlformats.org/officeDocument/2006/relationships/hyperlink" Target="https://ec.europa.eu/info/food-farming-fisheries/sustainability/environmental-sustainability/natural-resources/soil_es" TargetMode="External"/><Relationship Id="rId99" Type="http://schemas.openxmlformats.org/officeDocument/2006/relationships/hyperlink" Target="https://ec.europa.eu/info/food-farming-fisheries/farming/facts-and-figures/performance-agricultural-policy/cap-indicators_es" TargetMode="External"/><Relationship Id="rId101" Type="http://schemas.openxmlformats.org/officeDocument/2006/relationships/hyperlink" Target="http://ec.europa.eu/eurostat/web/agri-environmental-indicators/indicators" TargetMode="External"/><Relationship Id="rId122" Type="http://schemas.openxmlformats.org/officeDocument/2006/relationships/hyperlink" Target="https://ec.europa.eu/info/sites/info/files/food-farming-fisheries/farming/documents/cap-indicators-doc-c43_2018_en.pdf" TargetMode="External"/><Relationship Id="rId143" Type="http://schemas.openxmlformats.org/officeDocument/2006/relationships/hyperlink" Target="https://s.libertaddigital.com/2022/06/11/crecimiento-ocde.jpg" TargetMode="External"/><Relationship Id="rId148" Type="http://schemas.openxmlformats.org/officeDocument/2006/relationships/image" Target="media/image72.png"/><Relationship Id="rId164" Type="http://schemas.openxmlformats.org/officeDocument/2006/relationships/image" Target="media/image88.jpeg"/><Relationship Id="rId169" Type="http://schemas.openxmlformats.org/officeDocument/2006/relationships/hyperlink" Target="https://www.elconfidencial.com/economia/2022-06-27/bruselas-valida-segundo-pago-fondo-recuperacion_3450450/" TargetMode="External"/><Relationship Id="rId185" Type="http://schemas.openxmlformats.org/officeDocument/2006/relationships/hyperlink" Target="https://www.ftm.eu/recoveryfiles." TargetMode="External"/><Relationship Id="rId4" Type="http://schemas.openxmlformats.org/officeDocument/2006/relationships/webSettings" Target="webSettings.xml"/><Relationship Id="rId9" Type="http://schemas.openxmlformats.org/officeDocument/2006/relationships/hyperlink" Target="https://www.elconfidencial.com/espana/2020-05-23/consejeros-veronica-casado-jesus-fernandez-hemos-llorado-covid_2607364/" TargetMode="External"/><Relationship Id="rId180" Type="http://schemas.openxmlformats.org/officeDocument/2006/relationships/hyperlink" Target="https://www.elconfidencial.com/espana/2022-06-01/ue-investiga-red-fraude-ayudas-agricolas-funcionario-murcia_3433924/" TargetMode="External"/><Relationship Id="rId210" Type="http://schemas.openxmlformats.org/officeDocument/2006/relationships/image" Target="media/image114.png"/><Relationship Id="rId215" Type="http://schemas.openxmlformats.org/officeDocument/2006/relationships/image" Target="media/image119.png"/><Relationship Id="rId26" Type="http://schemas.openxmlformats.org/officeDocument/2006/relationships/image" Target="media/image9.png"/><Relationship Id="rId47" Type="http://schemas.openxmlformats.org/officeDocument/2006/relationships/image" Target="media/image19.png"/><Relationship Id="rId68" Type="http://schemas.openxmlformats.org/officeDocument/2006/relationships/image" Target="media/image39.png"/><Relationship Id="rId89" Type="http://schemas.openxmlformats.org/officeDocument/2006/relationships/hyperlink" Target="https://ec.europa.eu/info/food-farming-fisheries/key-policies/common-agricultural-policy/income-support/greening_es" TargetMode="External"/><Relationship Id="rId112" Type="http://schemas.openxmlformats.org/officeDocument/2006/relationships/hyperlink" Target="https://ec.europa.eu/eurostat/statistics-explained/index.php?title=Agri-environmental_indicator_-_livestock_patterns" TargetMode="External"/><Relationship Id="rId133" Type="http://schemas.openxmlformats.org/officeDocument/2006/relationships/hyperlink" Target="https://twitter.com/AnastasiaTB1/status/708294619314974721" TargetMode="External"/><Relationship Id="rId154" Type="http://schemas.openxmlformats.org/officeDocument/2006/relationships/image" Target="media/image78.jpeg"/><Relationship Id="rId175" Type="http://schemas.openxmlformats.org/officeDocument/2006/relationships/hyperlink" Target="https://www.elconfidencial.com/economia/2021-03-26/el-tc-aleman-amenaza-retrasar-puesta-marcha-fondo-recuperacion_3009819/" TargetMode="External"/><Relationship Id="rId196" Type="http://schemas.openxmlformats.org/officeDocument/2006/relationships/image" Target="media/image100.png"/><Relationship Id="rId200" Type="http://schemas.openxmlformats.org/officeDocument/2006/relationships/image" Target="media/image104.png"/><Relationship Id="rId16" Type="http://schemas.openxmlformats.org/officeDocument/2006/relationships/hyperlink" Target="https://ec.europa.eu/eurostat/statistics-explained/index.php?title=Glossary:At-risk-of-poverty_rate" TargetMode="External"/><Relationship Id="rId221" Type="http://schemas.openxmlformats.org/officeDocument/2006/relationships/image" Target="media/image125.png"/><Relationship Id="rId37" Type="http://schemas.openxmlformats.org/officeDocument/2006/relationships/hyperlink" Target="https://www.elconfidencial.com/mundo/2013-11-27/la-economia-destruida-del-alumno-mas-aventajado-de-la-troika_59394/" TargetMode="External"/><Relationship Id="rId58" Type="http://schemas.openxmlformats.org/officeDocument/2006/relationships/image" Target="media/image29.png"/><Relationship Id="rId79" Type="http://schemas.openxmlformats.org/officeDocument/2006/relationships/image" Target="media/image50.png"/><Relationship Id="rId102" Type="http://schemas.openxmlformats.org/officeDocument/2006/relationships/hyperlink" Target="https://ec.europa.eu/info/food-farming-fisheries/key-policies/common-agricultural-policy/cmef/sustainability_es" TargetMode="External"/><Relationship Id="rId123" Type="http://schemas.openxmlformats.org/officeDocument/2006/relationships/image" Target="media/image55.png"/><Relationship Id="rId144" Type="http://schemas.openxmlformats.org/officeDocument/2006/relationships/image" Target="media/image69.jpeg"/><Relationship Id="rId90" Type="http://schemas.openxmlformats.org/officeDocument/2006/relationships/hyperlink" Target="https://ec.europa.eu/info/food-farming-fisheries/key-policies/common-agricultural-policy/rural-development_es" TargetMode="External"/><Relationship Id="rId165" Type="http://schemas.openxmlformats.org/officeDocument/2006/relationships/image" Target="media/image89.png"/><Relationship Id="rId186" Type="http://schemas.openxmlformats.org/officeDocument/2006/relationships/image" Target="media/image9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302</Pages>
  <Words>125839</Words>
  <Characters>717286</Characters>
  <Application>Microsoft Office Word</Application>
  <DocSecurity>0</DocSecurity>
  <Lines>5977</Lines>
  <Paragraphs>1682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841443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3</cp:revision>
  <dcterms:created xsi:type="dcterms:W3CDTF">2022-07-16T11:08:00Z</dcterms:created>
  <dcterms:modified xsi:type="dcterms:W3CDTF">2022-12-14T11:51:00Z</dcterms:modified>
</cp:coreProperties>
</file>