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C5C1E" w:rsidRPr="008A0E88" w:rsidRDefault="002C5C1E" w:rsidP="002C5C1E">
      <w:pPr>
        <w:pStyle w:val="NormalWeb"/>
        <w:spacing w:before="0" w:beforeAutospacing="0" w:after="0" w:afterAutospacing="0"/>
        <w:jc w:val="both"/>
        <w:rPr>
          <w:b/>
        </w:rPr>
      </w:pPr>
      <w:r>
        <w:rPr>
          <w:b/>
        </w:rPr>
        <w:t xml:space="preserve">Paper - </w:t>
      </w:r>
      <w:r w:rsidRPr="008A0E88">
        <w:rPr>
          <w:b/>
        </w:rPr>
        <w:t>La grave enfermedad de la deuda (¿epidemia, plaga, adicción, o ficción?) - ¿Qué se puede hacer cuando a los bancos centrales se les acaba la mecha?</w:t>
      </w:r>
    </w:p>
    <w:p w:rsidR="002C5C1E" w:rsidRPr="008A0E88" w:rsidRDefault="002C5C1E" w:rsidP="002C5C1E">
      <w:pPr>
        <w:pStyle w:val="NormalWeb"/>
        <w:spacing w:before="0" w:beforeAutospacing="0" w:after="0" w:afterAutospacing="0"/>
        <w:jc w:val="both"/>
        <w:rPr>
          <w:b/>
        </w:rPr>
      </w:pPr>
    </w:p>
    <w:p w:rsidR="002C5C1E" w:rsidRDefault="002C5C1E" w:rsidP="002C5C1E">
      <w:pPr>
        <w:pStyle w:val="NormalWeb"/>
        <w:spacing w:before="0" w:beforeAutospacing="0" w:after="0" w:afterAutospacing="0"/>
        <w:jc w:val="both"/>
        <w:rPr>
          <w:b/>
          <w:color w:val="FF0000"/>
        </w:rPr>
      </w:pPr>
      <w:r>
        <w:rPr>
          <w:b/>
          <w:color w:val="FF0000"/>
        </w:rPr>
        <w:t xml:space="preserve">                </w:t>
      </w:r>
      <w:r>
        <w:rPr>
          <w:noProof/>
        </w:rPr>
        <w:drawing>
          <wp:inline distT="0" distB="0" distL="0" distR="0" wp14:anchorId="7A8E3ECA" wp14:editId="3E0BB721">
            <wp:extent cx="4648200" cy="2794000"/>
            <wp:effectExtent l="0" t="0" r="0" b="6350"/>
            <wp:docPr id="9" name="Imagen 9" descr="Deuda pública y pensiones en España: el principio del fin - Gestoría  Integ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euda pública y pensiones en España: el principio del fin - Gestoría  Integral"/>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648200" cy="2794000"/>
                    </a:xfrm>
                    <a:prstGeom prst="rect">
                      <a:avLst/>
                    </a:prstGeom>
                    <a:noFill/>
                    <a:ln>
                      <a:noFill/>
                    </a:ln>
                  </pic:spPr>
                </pic:pic>
              </a:graphicData>
            </a:graphic>
          </wp:inline>
        </w:drawing>
      </w:r>
    </w:p>
    <w:p w:rsidR="002C5C1E" w:rsidRDefault="002C5C1E" w:rsidP="002C5C1E">
      <w:pPr>
        <w:pStyle w:val="NormalWeb"/>
        <w:spacing w:before="0" w:beforeAutospacing="0" w:after="0" w:afterAutospacing="0"/>
        <w:jc w:val="both"/>
        <w:rPr>
          <w:b/>
          <w:color w:val="FF0000"/>
        </w:rPr>
      </w:pPr>
      <w:r>
        <w:rPr>
          <w:b/>
          <w:color w:val="FF0000"/>
        </w:rPr>
        <w:t xml:space="preserve">                             </w:t>
      </w:r>
    </w:p>
    <w:p w:rsidR="002C5C1E" w:rsidRPr="008A0E88" w:rsidRDefault="008A0E88" w:rsidP="002C5C1E">
      <w:pPr>
        <w:pStyle w:val="NormalWeb"/>
        <w:spacing w:before="0" w:beforeAutospacing="0" w:after="0" w:afterAutospacing="0"/>
        <w:jc w:val="both"/>
        <w:rPr>
          <w:b/>
        </w:rPr>
      </w:pPr>
      <w:r>
        <w:rPr>
          <w:b/>
        </w:rPr>
        <w:t xml:space="preserve">- </w:t>
      </w:r>
      <w:r w:rsidR="002C5C1E" w:rsidRPr="008A0E88">
        <w:rPr>
          <w:b/>
        </w:rPr>
        <w:t>Introducción - La era de la creditocracia (la multiplicación de los panes y los peces)</w:t>
      </w:r>
    </w:p>
    <w:p w:rsidR="002C5C1E" w:rsidRDefault="002C5C1E" w:rsidP="002C5C1E">
      <w:pPr>
        <w:pStyle w:val="NormalWeb"/>
        <w:spacing w:before="0" w:beforeAutospacing="0" w:after="0" w:afterAutospacing="0"/>
        <w:jc w:val="both"/>
        <w:rPr>
          <w:b/>
          <w:color w:val="FF0000"/>
        </w:rPr>
      </w:pPr>
    </w:p>
    <w:p w:rsidR="002C5C1E" w:rsidRDefault="002C5C1E" w:rsidP="002C5C1E">
      <w:pPr>
        <w:pStyle w:val="NormalWeb"/>
        <w:spacing w:before="0" w:beforeAutospacing="0" w:after="0" w:afterAutospacing="0"/>
        <w:jc w:val="both"/>
        <w:rPr>
          <w:b/>
          <w:color w:val="FF0000"/>
        </w:rPr>
      </w:pPr>
      <w:r>
        <w:rPr>
          <w:noProof/>
        </w:rPr>
        <w:drawing>
          <wp:inline distT="0" distB="0" distL="0" distR="0" wp14:anchorId="627D4E9E" wp14:editId="7C3DF73C">
            <wp:extent cx="5708650" cy="3219450"/>
            <wp:effectExtent l="0" t="0" r="6350" b="0"/>
            <wp:docPr id="6" name="Imagen 6" descr="La Multiplicacion De Los Panes Y Los Pe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La Multiplicacion De Los Panes Y Los Peces"/>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08650" cy="3219450"/>
                    </a:xfrm>
                    <a:prstGeom prst="rect">
                      <a:avLst/>
                    </a:prstGeom>
                    <a:noFill/>
                    <a:ln>
                      <a:noFill/>
                    </a:ln>
                  </pic:spPr>
                </pic:pic>
              </a:graphicData>
            </a:graphic>
          </wp:inline>
        </w:drawing>
      </w:r>
    </w:p>
    <w:p w:rsidR="002C5C1E" w:rsidRDefault="002C5C1E" w:rsidP="002C5C1E">
      <w:pPr>
        <w:pStyle w:val="NormalWeb"/>
        <w:spacing w:before="0" w:beforeAutospacing="0" w:after="0" w:afterAutospacing="0"/>
        <w:jc w:val="both"/>
        <w:rPr>
          <w:b/>
          <w:color w:val="FF0000"/>
        </w:rPr>
      </w:pPr>
    </w:p>
    <w:p w:rsidR="002C5C1E" w:rsidRPr="002C5C1E" w:rsidRDefault="002C5C1E" w:rsidP="002C5C1E">
      <w:pPr>
        <w:pStyle w:val="NormalWeb"/>
        <w:spacing w:after="0"/>
        <w:jc w:val="both"/>
        <w:rPr>
          <w:b/>
        </w:rPr>
      </w:pPr>
      <w:r w:rsidRPr="002C5C1E">
        <w:rPr>
          <w:b/>
        </w:rPr>
        <w:t>El drama de la deuda y el “patinazo” inflacionario (¿todos ganan? ¿todos pierden? ¿hay ganadores y perdedores? ¿cuándo explotará la bomba?)</w:t>
      </w:r>
    </w:p>
    <w:p w:rsidR="002C5C1E" w:rsidRPr="002C5C1E" w:rsidRDefault="002C5C1E" w:rsidP="002C5C1E">
      <w:pPr>
        <w:pStyle w:val="NormalWeb"/>
        <w:spacing w:before="0" w:beforeAutospacing="0" w:after="0" w:afterAutospacing="0"/>
        <w:jc w:val="both"/>
        <w:rPr>
          <w:b/>
        </w:rPr>
      </w:pPr>
      <w:r w:rsidRPr="002C5C1E">
        <w:rPr>
          <w:b/>
        </w:rPr>
        <w:t>El tren de la deuda y la resiliencia de la patraña (el camarote de los Hermanos Marx: gobiernos, empresas, entidades financieras, particulares, y bancos centrales)… ¡“Más madera”!</w:t>
      </w:r>
    </w:p>
    <w:p w:rsidR="002C5C1E" w:rsidRPr="002C5C1E" w:rsidRDefault="002C5C1E" w:rsidP="002C5C1E">
      <w:pPr>
        <w:spacing w:line="240" w:lineRule="auto"/>
        <w:jc w:val="both"/>
        <w:rPr>
          <w:rFonts w:ascii="Times New Roman" w:hAnsi="Times New Roman" w:cs="Times New Roman"/>
          <w:b/>
          <w:sz w:val="24"/>
          <w:szCs w:val="24"/>
        </w:rPr>
      </w:pPr>
      <w:r w:rsidRPr="002C5C1E">
        <w:rPr>
          <w:rFonts w:ascii="Times New Roman" w:hAnsi="Times New Roman" w:cs="Times New Roman"/>
          <w:b/>
          <w:sz w:val="24"/>
          <w:szCs w:val="24"/>
        </w:rPr>
        <w:lastRenderedPageBreak/>
        <w:t>No practican la autocrítica, desoyen los consejos y desprecian los reproches. Viven en su estólida burbuja y no atienden más razones que las propias. Siempre tienen un culpable a mano para endosarle los fracasos… ¡Vaya tropa!</w:t>
      </w:r>
    </w:p>
    <w:p w:rsidR="002C5C1E" w:rsidRPr="002C5C1E" w:rsidRDefault="002C5C1E" w:rsidP="002C5C1E">
      <w:pPr>
        <w:spacing w:line="240" w:lineRule="auto"/>
        <w:jc w:val="both"/>
        <w:rPr>
          <w:rFonts w:ascii="Times New Roman" w:hAnsi="Times New Roman" w:cs="Times New Roman"/>
          <w:b/>
          <w:sz w:val="24"/>
          <w:szCs w:val="24"/>
        </w:rPr>
      </w:pPr>
      <w:r w:rsidRPr="002C5C1E">
        <w:rPr>
          <w:rFonts w:ascii="Times New Roman" w:hAnsi="Times New Roman" w:cs="Times New Roman"/>
          <w:b/>
          <w:sz w:val="24"/>
          <w:szCs w:val="24"/>
        </w:rPr>
        <w:t xml:space="preserve">“No se podía saber”: la crisis de las hipotecas subprime, la pandemia, la ruptura de la cadena de abastecimientos, la escases de materias primas, el fracaso de la globalización, la guerra de Ucrania, el chantaje energético de Rusia, la inflación planetaria… </w:t>
      </w:r>
    </w:p>
    <w:p w:rsidR="002C5C1E" w:rsidRPr="002C5C1E" w:rsidRDefault="002C5C1E" w:rsidP="002C5C1E">
      <w:pPr>
        <w:spacing w:line="240" w:lineRule="auto"/>
        <w:jc w:val="both"/>
        <w:rPr>
          <w:rFonts w:ascii="Times New Roman" w:hAnsi="Times New Roman" w:cs="Times New Roman"/>
          <w:b/>
          <w:sz w:val="24"/>
          <w:szCs w:val="24"/>
        </w:rPr>
      </w:pPr>
      <w:r w:rsidRPr="002C5C1E">
        <w:rPr>
          <w:rFonts w:ascii="Times New Roman" w:hAnsi="Times New Roman" w:cs="Times New Roman"/>
          <w:b/>
          <w:sz w:val="24"/>
          <w:szCs w:val="24"/>
        </w:rPr>
        <w:t>Los bancos centrales no podían escapar de la trampa (que ellos mismos crearon), no podían huir de la cueva (en la que moraban con los sospechosos habituales). Hasta que emergió el monstruo inflacionario y destrozó el tinglado. Ahí acabó todo. ¿Será así?</w:t>
      </w:r>
    </w:p>
    <w:p w:rsidR="002C5C1E" w:rsidRPr="002C5C1E" w:rsidRDefault="002C5C1E" w:rsidP="002C5C1E">
      <w:pPr>
        <w:spacing w:line="240" w:lineRule="auto"/>
        <w:jc w:val="both"/>
        <w:rPr>
          <w:rFonts w:ascii="Times New Roman" w:hAnsi="Times New Roman" w:cs="Times New Roman"/>
          <w:b/>
          <w:sz w:val="24"/>
          <w:szCs w:val="24"/>
        </w:rPr>
      </w:pPr>
      <w:r w:rsidRPr="002C5C1E">
        <w:rPr>
          <w:rFonts w:ascii="Times New Roman" w:hAnsi="Times New Roman" w:cs="Times New Roman"/>
          <w:b/>
          <w:sz w:val="24"/>
          <w:szCs w:val="24"/>
        </w:rPr>
        <w:t>Los gobernadores de los BC necesitan dar un puñetazo en la mesa, mostrar su enjundia de líderes de la ortodoxia, su firmeza monetaria, su rectitud ética y hasta su valentía personal. ¿Posible? SI ¿Probable? NO.</w:t>
      </w:r>
    </w:p>
    <w:p w:rsidR="002C5C1E" w:rsidRPr="002C5C1E" w:rsidRDefault="002C5C1E" w:rsidP="002C5C1E">
      <w:pPr>
        <w:spacing w:line="240" w:lineRule="auto"/>
        <w:jc w:val="both"/>
        <w:rPr>
          <w:rFonts w:ascii="Times New Roman" w:hAnsi="Times New Roman" w:cs="Times New Roman"/>
          <w:b/>
          <w:sz w:val="24"/>
          <w:szCs w:val="24"/>
        </w:rPr>
      </w:pPr>
      <w:r w:rsidRPr="002C5C1E">
        <w:rPr>
          <w:rFonts w:ascii="Times New Roman" w:hAnsi="Times New Roman" w:cs="Times New Roman"/>
          <w:b/>
          <w:sz w:val="24"/>
          <w:szCs w:val="24"/>
        </w:rPr>
        <w:t>Ahora tienen una oportunidad de oro (el horror a la inflación) para darle la vuelta al decorado, para aferrarse al estandarte de la independencia, de la defensa del rigor monetario. ¿Sabrán aprovecharla? Bala de plata. ¿Los dejarán actuar libremente? NO.</w:t>
      </w:r>
    </w:p>
    <w:p w:rsidR="002C5C1E" w:rsidRPr="002C5C1E" w:rsidRDefault="002C5C1E" w:rsidP="002C5C1E">
      <w:pPr>
        <w:spacing w:line="240" w:lineRule="auto"/>
        <w:jc w:val="both"/>
        <w:rPr>
          <w:rFonts w:ascii="Times New Roman" w:hAnsi="Times New Roman" w:cs="Times New Roman"/>
          <w:b/>
          <w:sz w:val="24"/>
          <w:szCs w:val="24"/>
        </w:rPr>
      </w:pPr>
      <w:r w:rsidRPr="002C5C1E">
        <w:rPr>
          <w:rFonts w:ascii="Times New Roman" w:hAnsi="Times New Roman" w:cs="Times New Roman"/>
          <w:b/>
          <w:sz w:val="24"/>
          <w:szCs w:val="24"/>
        </w:rPr>
        <w:t>La “ratio de sacrificio” que Isabel Schnabel, miembro del Comité Ejecutivo del Banco Central Europeo, mencionó en un discurso a finales de agosto (2022). Esto, en lenguaje del BCE, significa “vamos a subir los intereses para bajar la inflación y ustedes harán un sacrificio en forma de pérdida de poder adquisitivo y empleos”.</w:t>
      </w:r>
    </w:p>
    <w:p w:rsidR="002C5C1E" w:rsidRDefault="002C5C1E" w:rsidP="002C5C1E">
      <w:pPr>
        <w:spacing w:line="240" w:lineRule="auto"/>
        <w:jc w:val="both"/>
        <w:rPr>
          <w:rFonts w:ascii="Times New Roman" w:hAnsi="Times New Roman" w:cs="Times New Roman"/>
          <w:b/>
          <w:sz w:val="24"/>
          <w:szCs w:val="24"/>
        </w:rPr>
      </w:pPr>
      <w:r w:rsidRPr="002C5C1E">
        <w:rPr>
          <w:rFonts w:ascii="Times New Roman" w:hAnsi="Times New Roman" w:cs="Times New Roman"/>
          <w:b/>
          <w:sz w:val="24"/>
          <w:szCs w:val="24"/>
        </w:rPr>
        <w:t>De forma reiterada, se van dando nuevos pasos hacia ese sacrificio a través de una fuerte subida de tipos. ¿Por qué nadie se pregunta si es esto normal?</w:t>
      </w:r>
    </w:p>
    <w:p w:rsidR="005A533F" w:rsidRPr="005A533F" w:rsidRDefault="005A533F" w:rsidP="002C5C1E">
      <w:pPr>
        <w:spacing w:line="240" w:lineRule="auto"/>
        <w:jc w:val="both"/>
        <w:rPr>
          <w:rFonts w:ascii="Times New Roman" w:eastAsiaTheme="majorEastAsia" w:hAnsi="Times New Roman" w:cs="Times New Roman"/>
          <w:sz w:val="24"/>
          <w:szCs w:val="24"/>
        </w:rPr>
      </w:pPr>
      <w:r w:rsidRPr="005A533F">
        <w:rPr>
          <w:rFonts w:ascii="Times New Roman" w:hAnsi="Times New Roman" w:cs="Times New Roman"/>
          <w:sz w:val="24"/>
          <w:szCs w:val="24"/>
        </w:rPr>
        <w:t>Bajemos al quiosco, para ver lo que se cuece</w:t>
      </w:r>
      <w:r>
        <w:rPr>
          <w:rFonts w:ascii="Times New Roman" w:hAnsi="Times New Roman" w:cs="Times New Roman"/>
          <w:sz w:val="24"/>
          <w:szCs w:val="24"/>
        </w:rPr>
        <w:t>,</w:t>
      </w:r>
      <w:r>
        <w:rPr>
          <w:rFonts w:ascii="Times New Roman" w:eastAsiaTheme="majorEastAsia" w:hAnsi="Times New Roman" w:cs="Times New Roman"/>
          <w:sz w:val="24"/>
          <w:szCs w:val="24"/>
        </w:rPr>
        <w:t xml:space="preserve"> en estos momentos:</w:t>
      </w:r>
      <w:r w:rsidRPr="005A533F">
        <w:rPr>
          <w:rFonts w:ascii="Times New Roman" w:eastAsiaTheme="majorEastAsia" w:hAnsi="Times New Roman" w:cs="Times New Roman"/>
          <w:sz w:val="24"/>
          <w:szCs w:val="24"/>
        </w:rPr>
        <w:t xml:space="preserve"> </w:t>
      </w:r>
    </w:p>
    <w:p w:rsidR="002C5C1E" w:rsidRPr="002C5C1E" w:rsidRDefault="002C5C1E" w:rsidP="002C5C1E">
      <w:pPr>
        <w:pStyle w:val="Ttulo1"/>
        <w:shd w:val="clear" w:color="auto" w:fill="FDFDFD"/>
        <w:spacing w:before="0"/>
        <w:jc w:val="both"/>
        <w:rPr>
          <w:rFonts w:ascii="Times New Roman" w:hAnsi="Times New Roman" w:cs="Times New Roman"/>
          <w:b w:val="0"/>
          <w:bCs w:val="0"/>
          <w:color w:val="auto"/>
          <w:sz w:val="24"/>
          <w:szCs w:val="24"/>
        </w:rPr>
      </w:pPr>
      <w:r w:rsidRPr="002C5C1E">
        <w:rPr>
          <w:rFonts w:ascii="Times New Roman" w:hAnsi="Times New Roman" w:cs="Times New Roman"/>
          <w:b w:val="0"/>
          <w:bCs w:val="0"/>
          <w:color w:val="auto"/>
          <w:sz w:val="24"/>
          <w:szCs w:val="24"/>
        </w:rPr>
        <w:t>- “</w:t>
      </w:r>
      <w:r w:rsidRPr="002C5C1E">
        <w:rPr>
          <w:rFonts w:ascii="Times New Roman" w:hAnsi="Times New Roman" w:cs="Times New Roman"/>
          <w:b w:val="0"/>
          <w:bCs w:val="0"/>
          <w:color w:val="auto"/>
          <w:sz w:val="24"/>
          <w:szCs w:val="24"/>
          <w:u w:val="single"/>
        </w:rPr>
        <w:t>Nos hemos convertido en una sociedad atrapada en la creditocracia, el objetivo es mantenerte endeudado el mayor tiempo posible</w:t>
      </w:r>
      <w:r w:rsidRPr="002C5C1E">
        <w:rPr>
          <w:rFonts w:ascii="Times New Roman" w:hAnsi="Times New Roman" w:cs="Times New Roman"/>
          <w:b w:val="0"/>
          <w:bCs w:val="0"/>
          <w:color w:val="auto"/>
          <w:sz w:val="24"/>
          <w:szCs w:val="24"/>
        </w:rPr>
        <w:t xml:space="preserve">” (BBCMundo - </w:t>
      </w:r>
      <w:r w:rsidRPr="002C5C1E">
        <w:rPr>
          <w:rFonts w:ascii="Times New Roman" w:hAnsi="Times New Roman" w:cs="Times New Roman"/>
          <w:bCs w:val="0"/>
          <w:color w:val="auto"/>
          <w:sz w:val="24"/>
          <w:szCs w:val="24"/>
        </w:rPr>
        <w:t>24/10/22</w:t>
      </w:r>
      <w:r w:rsidRPr="002C5C1E">
        <w:rPr>
          <w:rFonts w:ascii="Times New Roman" w:hAnsi="Times New Roman" w:cs="Times New Roman"/>
          <w:b w:val="0"/>
          <w:bCs w:val="0"/>
          <w:color w:val="auto"/>
          <w:sz w:val="24"/>
          <w:szCs w:val="24"/>
        </w:rPr>
        <w:t>)</w:t>
      </w:r>
    </w:p>
    <w:p w:rsidR="002C5C1E" w:rsidRPr="002C5C1E" w:rsidRDefault="002C5C1E" w:rsidP="002C5C1E">
      <w:pPr>
        <w:shd w:val="clear" w:color="auto" w:fill="FDFDFD"/>
        <w:spacing w:before="100" w:beforeAutospacing="1" w:after="100" w:afterAutospacing="1" w:line="240" w:lineRule="auto"/>
        <w:jc w:val="both"/>
        <w:rPr>
          <w:rFonts w:ascii="Times New Roman" w:hAnsi="Times New Roman" w:cs="Times New Roman"/>
          <w:sz w:val="24"/>
          <w:szCs w:val="24"/>
        </w:rPr>
      </w:pPr>
      <w:r w:rsidRPr="002C5C1E">
        <w:rPr>
          <w:rFonts w:ascii="Times New Roman" w:hAnsi="Times New Roman" w:cs="Times New Roman"/>
          <w:sz w:val="24"/>
          <w:szCs w:val="24"/>
        </w:rPr>
        <w:t>(Por Cristina J. Orgaz)</w:t>
      </w:r>
    </w:p>
    <w:p w:rsidR="002C5C1E" w:rsidRPr="000F38A8" w:rsidRDefault="002C5C1E" w:rsidP="002C5C1E">
      <w:pPr>
        <w:shd w:val="clear" w:color="auto" w:fill="F2F2F2"/>
        <w:jc w:val="both"/>
        <w:rPr>
          <w:rFonts w:ascii="Times New Roman" w:hAnsi="Times New Roman" w:cs="Times New Roman"/>
          <w:color w:val="000000"/>
          <w:sz w:val="24"/>
          <w:szCs w:val="24"/>
        </w:rPr>
      </w:pPr>
      <w:r w:rsidRPr="000F38A8">
        <w:rPr>
          <w:rFonts w:ascii="Times New Roman" w:hAnsi="Times New Roman" w:cs="Times New Roman"/>
          <w:noProof/>
          <w:color w:val="000000"/>
          <w:sz w:val="24"/>
          <w:szCs w:val="24"/>
          <w:lang w:eastAsia="es-ES"/>
        </w:rPr>
        <w:drawing>
          <wp:inline distT="0" distB="0" distL="0" distR="0" wp14:anchorId="6EAF4A83" wp14:editId="55CA87D6">
            <wp:extent cx="5822950" cy="3016250"/>
            <wp:effectExtent l="0" t="0" r="6350" b="0"/>
            <wp:docPr id="60" name="Imagen 60" descr="Un hombre durmiendo en un banco con una manta con el dibujo de la bandera de Estados Unid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n hombre durmiendo en un banco con una manta con el dibujo de la bandera de Estados Unidos"/>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822950" cy="3016250"/>
                    </a:xfrm>
                    <a:prstGeom prst="rect">
                      <a:avLst/>
                    </a:prstGeom>
                    <a:noFill/>
                    <a:ln>
                      <a:noFill/>
                    </a:ln>
                  </pic:spPr>
                </pic:pic>
              </a:graphicData>
            </a:graphic>
          </wp:inline>
        </w:drawing>
      </w:r>
    </w:p>
    <w:p w:rsidR="002C5C1E" w:rsidRPr="006B2866" w:rsidRDefault="002C5C1E" w:rsidP="002C5C1E">
      <w:pPr>
        <w:pStyle w:val="bbc-1s1cxbv"/>
        <w:shd w:val="clear" w:color="auto" w:fill="F2F2F2"/>
        <w:spacing w:before="0" w:beforeAutospacing="0" w:after="0" w:afterAutospacing="0"/>
        <w:jc w:val="both"/>
        <w:rPr>
          <w:caps/>
          <w:color w:val="FFFFFF"/>
        </w:rPr>
      </w:pPr>
      <w:r w:rsidRPr="000F38A8">
        <w:rPr>
          <w:b/>
          <w:bCs/>
          <w:color w:val="141414"/>
        </w:rPr>
        <w:lastRenderedPageBreak/>
        <w:t xml:space="preserve">Somos prisioneros de los bancos. Nos hemos convertido </w:t>
      </w:r>
      <w:r>
        <w:rPr>
          <w:b/>
          <w:bCs/>
          <w:color w:val="141414"/>
        </w:rPr>
        <w:t>en una sociedad atrapada en la “creditocracia”</w:t>
      </w:r>
      <w:r w:rsidRPr="000F38A8">
        <w:rPr>
          <w:b/>
          <w:bCs/>
          <w:color w:val="141414"/>
        </w:rPr>
        <w:t>, un sistema en el que la ciudadanía tiene que pedir dinero prestado para satisfacer sus necesidades básicas.</w:t>
      </w:r>
    </w:p>
    <w:p w:rsidR="002C5C1E" w:rsidRPr="000F38A8" w:rsidRDefault="002C5C1E" w:rsidP="002C5C1E">
      <w:pPr>
        <w:pStyle w:val="bbc-hhl7in"/>
        <w:shd w:val="clear" w:color="auto" w:fill="FDFDFD"/>
        <w:spacing w:before="0" w:beforeAutospacing="0" w:after="0" w:afterAutospacing="0"/>
        <w:jc w:val="both"/>
        <w:rPr>
          <w:color w:val="141414"/>
        </w:rPr>
      </w:pPr>
    </w:p>
    <w:p w:rsidR="002C5C1E" w:rsidRDefault="002C5C1E" w:rsidP="002C5C1E">
      <w:pPr>
        <w:pStyle w:val="bbc-hhl7in"/>
        <w:shd w:val="clear" w:color="auto" w:fill="FDFDFD"/>
        <w:spacing w:before="0" w:beforeAutospacing="0" w:after="0" w:afterAutospacing="0"/>
        <w:jc w:val="both"/>
        <w:rPr>
          <w:color w:val="141414"/>
        </w:rPr>
      </w:pPr>
      <w:r w:rsidRPr="000F38A8">
        <w:rPr>
          <w:color w:val="141414"/>
        </w:rPr>
        <w:t>Un mundo en el que las casas de bolsa, los fondos de cobertura, las firmas de capital privado y todas las demás entidades del sistema bancario se han convertido en herramientas de acumulación de capital para sus propietarios, clientes y accionistas.</w:t>
      </w:r>
    </w:p>
    <w:p w:rsidR="002C5C1E" w:rsidRPr="000F38A8" w:rsidRDefault="002C5C1E" w:rsidP="002C5C1E">
      <w:pPr>
        <w:pStyle w:val="bbc-hhl7in"/>
        <w:shd w:val="clear" w:color="auto" w:fill="FDFDFD"/>
        <w:spacing w:before="0" w:beforeAutospacing="0" w:after="0" w:afterAutospacing="0"/>
        <w:jc w:val="both"/>
        <w:rPr>
          <w:color w:val="141414"/>
        </w:rPr>
      </w:pPr>
    </w:p>
    <w:p w:rsidR="002C5C1E" w:rsidRPr="002F4074" w:rsidRDefault="002C5C1E" w:rsidP="002C5C1E">
      <w:pPr>
        <w:pStyle w:val="bbc-hhl7in"/>
        <w:shd w:val="clear" w:color="auto" w:fill="FDFDFD"/>
        <w:spacing w:before="0" w:beforeAutospacing="0" w:after="0" w:afterAutospacing="0"/>
        <w:jc w:val="both"/>
        <w:rPr>
          <w:color w:val="FF0000"/>
          <w:u w:val="single"/>
        </w:rPr>
      </w:pPr>
      <w:r w:rsidRPr="002F4074">
        <w:rPr>
          <w:color w:val="FF0000"/>
          <w:u w:val="single"/>
        </w:rPr>
        <w:t>A fin de cuentas, “lo que hace </w:t>
      </w:r>
      <w:r w:rsidRPr="002F4074">
        <w:rPr>
          <w:bCs/>
          <w:color w:val="FF0000"/>
          <w:u w:val="single"/>
        </w:rPr>
        <w:t>la deuda es redistribuir la riqueza hacia arriba </w:t>
      </w:r>
      <w:r w:rsidRPr="002F4074">
        <w:rPr>
          <w:color w:val="FF0000"/>
          <w:u w:val="single"/>
        </w:rPr>
        <w:t>y restringir la democracia hacia abajo”, dice Andrew Ross, catedrático de Análisis Social y Cultural de la Universidad de Nueva York.</w:t>
      </w:r>
    </w:p>
    <w:p w:rsidR="002C5C1E" w:rsidRPr="000F38A8" w:rsidRDefault="002C5C1E" w:rsidP="002C5C1E">
      <w:pPr>
        <w:pStyle w:val="bbc-hhl7in"/>
        <w:shd w:val="clear" w:color="auto" w:fill="FDFDFD"/>
        <w:spacing w:before="0" w:beforeAutospacing="0" w:after="0" w:afterAutospacing="0"/>
        <w:jc w:val="both"/>
        <w:rPr>
          <w:color w:val="141414"/>
        </w:rPr>
      </w:pPr>
    </w:p>
    <w:p w:rsidR="002C5C1E" w:rsidRPr="002C5C1E" w:rsidRDefault="002C5C1E" w:rsidP="002C5C1E">
      <w:pPr>
        <w:pStyle w:val="bbc-hhl7in"/>
        <w:shd w:val="clear" w:color="auto" w:fill="FDFDFD"/>
        <w:spacing w:before="0" w:beforeAutospacing="0" w:after="0" w:afterAutospacing="0"/>
        <w:jc w:val="both"/>
        <w:rPr>
          <w:color w:val="141414"/>
        </w:rPr>
      </w:pPr>
      <w:r w:rsidRPr="002C5C1E">
        <w:rPr>
          <w:color w:val="141414"/>
        </w:rPr>
        <w:t>Estas son las ideas centrales del</w:t>
      </w:r>
      <w:r w:rsidRPr="002C5C1E">
        <w:rPr>
          <w:bCs/>
          <w:color w:val="141414"/>
        </w:rPr>
        <w:t> libro “</w:t>
      </w:r>
      <w:r w:rsidRPr="002C5C1E">
        <w:rPr>
          <w:b/>
          <w:bCs/>
          <w:color w:val="141414"/>
        </w:rPr>
        <w:t>Creditocracia y las razones para no tener deudas</w:t>
      </w:r>
      <w:r w:rsidRPr="002C5C1E">
        <w:rPr>
          <w:bCs/>
          <w:color w:val="141414"/>
        </w:rPr>
        <w:t>”</w:t>
      </w:r>
      <w:r w:rsidRPr="002C5C1E">
        <w:rPr>
          <w:color w:val="141414"/>
        </w:rPr>
        <w:t>.</w:t>
      </w:r>
    </w:p>
    <w:p w:rsidR="002C5C1E" w:rsidRDefault="002C5C1E" w:rsidP="002C5C1E">
      <w:pPr>
        <w:pStyle w:val="bbc-hhl7in"/>
        <w:shd w:val="clear" w:color="auto" w:fill="FDFDFD"/>
        <w:spacing w:before="0" w:beforeAutospacing="0" w:after="0" w:afterAutospacing="0"/>
        <w:jc w:val="both"/>
        <w:rPr>
          <w:rFonts w:eastAsiaTheme="minorHAnsi"/>
          <w:lang w:eastAsia="en-US"/>
        </w:rPr>
      </w:pPr>
    </w:p>
    <w:p w:rsidR="002C5C1E" w:rsidRPr="002F4074" w:rsidRDefault="002C5C1E" w:rsidP="002C5C1E">
      <w:pPr>
        <w:pStyle w:val="bbc-hhl7in"/>
        <w:shd w:val="clear" w:color="auto" w:fill="FDFDFD"/>
        <w:spacing w:before="0" w:beforeAutospacing="0" w:after="0" w:afterAutospacing="0"/>
        <w:jc w:val="both"/>
        <w:rPr>
          <w:color w:val="FF0000"/>
          <w:u w:val="single"/>
        </w:rPr>
      </w:pPr>
      <w:r w:rsidRPr="002F4074">
        <w:rPr>
          <w:color w:val="FF0000"/>
          <w:u w:val="single"/>
        </w:rPr>
        <w:t>El sociólogo y autor de más una decena de ensayos argumenta que el negocio de estas entidades es obtener la </w:t>
      </w:r>
      <w:r w:rsidRPr="002F4074">
        <w:rPr>
          <w:bCs/>
          <w:color w:val="FF0000"/>
          <w:u w:val="single"/>
        </w:rPr>
        <w:t>mayor cantidad posible de beneficio manteniendo a todos los demás endeudados</w:t>
      </w:r>
      <w:r w:rsidRPr="002F4074">
        <w:rPr>
          <w:color w:val="FF0000"/>
          <w:u w:val="single"/>
        </w:rPr>
        <w:t>, durante el mayor tiempo posible.</w:t>
      </w:r>
    </w:p>
    <w:p w:rsidR="002C5C1E" w:rsidRPr="000F38A8" w:rsidRDefault="002C5C1E" w:rsidP="002C5C1E">
      <w:pPr>
        <w:shd w:val="clear" w:color="auto" w:fill="F6F6F6"/>
        <w:spacing w:after="0" w:line="240" w:lineRule="auto"/>
        <w:jc w:val="both"/>
        <w:textAlignment w:val="top"/>
        <w:rPr>
          <w:rFonts w:ascii="Times New Roman" w:hAnsi="Times New Roman" w:cs="Times New Roman"/>
          <w:color w:val="000000"/>
          <w:sz w:val="24"/>
          <w:szCs w:val="24"/>
        </w:rPr>
      </w:pPr>
    </w:p>
    <w:p w:rsidR="002C5C1E" w:rsidRDefault="002C5C1E" w:rsidP="002C5C1E">
      <w:pPr>
        <w:pStyle w:val="bbc-hhl7in"/>
        <w:shd w:val="clear" w:color="auto" w:fill="FDFDFD"/>
        <w:spacing w:before="0" w:beforeAutospacing="0" w:after="0" w:afterAutospacing="0"/>
        <w:jc w:val="both"/>
        <w:rPr>
          <w:color w:val="141414"/>
        </w:rPr>
      </w:pPr>
      <w:r>
        <w:rPr>
          <w:color w:val="141414"/>
        </w:rPr>
        <w:t>Es lo que él llama la “trampa de la deuda”</w:t>
      </w:r>
      <w:r w:rsidRPr="000F38A8">
        <w:rPr>
          <w:color w:val="141414"/>
        </w:rPr>
        <w:t>.</w:t>
      </w:r>
    </w:p>
    <w:p w:rsidR="002C5C1E" w:rsidRPr="000F38A8" w:rsidRDefault="002C5C1E" w:rsidP="002C5C1E">
      <w:pPr>
        <w:pStyle w:val="bbc-hhl7in"/>
        <w:shd w:val="clear" w:color="auto" w:fill="FDFDFD"/>
        <w:spacing w:before="0" w:beforeAutospacing="0" w:after="0" w:afterAutospacing="0"/>
        <w:jc w:val="both"/>
        <w:rPr>
          <w:color w:val="141414"/>
        </w:rPr>
      </w:pPr>
    </w:p>
    <w:p w:rsidR="002C5C1E" w:rsidRPr="002C5C1E" w:rsidRDefault="002C5C1E" w:rsidP="002C5C1E">
      <w:pPr>
        <w:pStyle w:val="bbc-hhl7in"/>
        <w:shd w:val="clear" w:color="auto" w:fill="FDFDFD"/>
        <w:spacing w:before="0" w:beforeAutospacing="0" w:after="0" w:afterAutospacing="0"/>
        <w:jc w:val="both"/>
        <w:rPr>
          <w:b/>
          <w:color w:val="141414"/>
        </w:rPr>
      </w:pPr>
      <w:r w:rsidRPr="002C5C1E">
        <w:rPr>
          <w:b/>
          <w:color w:val="141414"/>
        </w:rPr>
        <w:t>"Una creditocracia surge cuando el </w:t>
      </w:r>
      <w:r w:rsidRPr="002C5C1E">
        <w:rPr>
          <w:b/>
          <w:bCs/>
          <w:color w:val="141414"/>
        </w:rPr>
        <w:t>costo de los bienes, sin importar cuán básico sea, tiene que ser financiado con deuda</w:t>
      </w:r>
      <w:r w:rsidRPr="002C5C1E">
        <w:rPr>
          <w:b/>
          <w:color w:val="141414"/>
        </w:rPr>
        <w:t>, y cuando el endeudamiento se convierte en la condición previa no solo para las mejoras materiales en la calidad de vida, sino también para cubrir las necesidades básicas”, explica Ross.</w:t>
      </w:r>
    </w:p>
    <w:p w:rsidR="002C5C1E" w:rsidRPr="002C5C1E" w:rsidRDefault="002C5C1E" w:rsidP="002C5C1E">
      <w:pPr>
        <w:pStyle w:val="bbc-hhl7in"/>
        <w:shd w:val="clear" w:color="auto" w:fill="FDFDFD"/>
        <w:spacing w:before="0" w:beforeAutospacing="0" w:after="0" w:afterAutospacing="0"/>
        <w:jc w:val="both"/>
        <w:rPr>
          <w:b/>
          <w:color w:val="141414"/>
        </w:rPr>
      </w:pPr>
    </w:p>
    <w:p w:rsidR="002C5C1E" w:rsidRDefault="002C5C1E" w:rsidP="002C5C1E">
      <w:pPr>
        <w:pStyle w:val="bbc-hhl7in"/>
        <w:shd w:val="clear" w:color="auto" w:fill="FDFDFD"/>
        <w:spacing w:before="0" w:beforeAutospacing="0" w:after="0" w:afterAutospacing="0"/>
        <w:jc w:val="both"/>
        <w:rPr>
          <w:color w:val="141414"/>
        </w:rPr>
      </w:pPr>
      <w:r>
        <w:rPr>
          <w:color w:val="141414"/>
        </w:rPr>
        <w:t>“</w:t>
      </w:r>
      <w:r w:rsidRPr="000F38A8">
        <w:rPr>
          <w:color w:val="141414"/>
        </w:rPr>
        <w:t xml:space="preserve">Para los trabajadores pobres, este tipo de endeudamiento obligatorio es muy común y ha sobrevivido siglos. Bajo el feudalismo, </w:t>
      </w:r>
      <w:r>
        <w:rPr>
          <w:color w:val="141414"/>
        </w:rPr>
        <w:t>la contratación o la esclavitud”</w:t>
      </w:r>
      <w:r w:rsidRPr="000F38A8">
        <w:rPr>
          <w:color w:val="141414"/>
        </w:rPr>
        <w:t>.</w:t>
      </w:r>
    </w:p>
    <w:p w:rsidR="002C5C1E" w:rsidRPr="000F38A8" w:rsidRDefault="002C5C1E" w:rsidP="002C5C1E">
      <w:pPr>
        <w:pStyle w:val="bbc-hhl7in"/>
        <w:shd w:val="clear" w:color="auto" w:fill="FDFDFD"/>
        <w:spacing w:before="0" w:beforeAutospacing="0" w:after="0" w:afterAutospacing="0"/>
        <w:jc w:val="both"/>
        <w:rPr>
          <w:color w:val="141414"/>
        </w:rPr>
      </w:pPr>
    </w:p>
    <w:p w:rsidR="002C5C1E" w:rsidRPr="002F4074" w:rsidRDefault="002C5C1E" w:rsidP="002C5C1E">
      <w:pPr>
        <w:pStyle w:val="bbc-hhl7in"/>
        <w:shd w:val="clear" w:color="auto" w:fill="FDFDFD"/>
        <w:spacing w:before="0" w:beforeAutospacing="0" w:after="0" w:afterAutospacing="0"/>
        <w:jc w:val="both"/>
        <w:rPr>
          <w:bCs/>
          <w:color w:val="141414"/>
        </w:rPr>
      </w:pPr>
      <w:r w:rsidRPr="002F4074">
        <w:rPr>
          <w:color w:val="141414"/>
        </w:rPr>
        <w:t>En las páginas de su libro repasa las </w:t>
      </w:r>
      <w:r w:rsidRPr="002F4074">
        <w:rPr>
          <w:bCs/>
          <w:color w:val="141414"/>
        </w:rPr>
        <w:t>implicaciones del endeudamiento masivo para cualquier democracia.</w:t>
      </w:r>
    </w:p>
    <w:p w:rsidR="002C5C1E" w:rsidRPr="002F4074" w:rsidRDefault="002C5C1E" w:rsidP="002C5C1E">
      <w:pPr>
        <w:pStyle w:val="bbc-hhl7in"/>
        <w:shd w:val="clear" w:color="auto" w:fill="FDFDFD"/>
        <w:spacing w:before="0" w:beforeAutospacing="0" w:after="0" w:afterAutospacing="0"/>
        <w:jc w:val="both"/>
        <w:rPr>
          <w:color w:val="141414"/>
        </w:rPr>
      </w:pPr>
    </w:p>
    <w:p w:rsidR="002C5C1E" w:rsidRPr="002F4074" w:rsidRDefault="002C5C1E" w:rsidP="002C5C1E">
      <w:pPr>
        <w:pStyle w:val="bbc-hhl7in"/>
        <w:shd w:val="clear" w:color="auto" w:fill="FDFDFD"/>
        <w:spacing w:before="0" w:beforeAutospacing="0" w:after="0" w:afterAutospacing="0"/>
        <w:jc w:val="both"/>
        <w:rPr>
          <w:color w:val="141414"/>
        </w:rPr>
      </w:pPr>
      <w:r w:rsidRPr="002F4074">
        <w:rPr>
          <w:color w:val="141414"/>
        </w:rPr>
        <w:t>Como cuando los gobiernos de Italia y Grecia, tras la crisis financiera mundial de 2008 tuvieron que recortar el gasto público masivamente -</w:t>
      </w:r>
      <w:r w:rsidRPr="002F4074">
        <w:rPr>
          <w:bCs/>
          <w:color w:val="141414"/>
        </w:rPr>
        <w:t xml:space="preserve">dañando a sus ciudadanos- </w:t>
      </w:r>
      <w:r w:rsidRPr="002F4074">
        <w:rPr>
          <w:color w:val="141414"/>
        </w:rPr>
        <w:t>“</w:t>
      </w:r>
      <w:r w:rsidRPr="002F4074">
        <w:rPr>
          <w:bCs/>
          <w:color w:val="141414"/>
        </w:rPr>
        <w:t>para satisfacer a los acreedores</w:t>
      </w:r>
      <w:r w:rsidRPr="002F4074">
        <w:rPr>
          <w:color w:val="141414"/>
        </w:rPr>
        <w:t> extranjeros alemanes, franceses, suizos y holandeses”, en una decisión que avivó el debate de dónde empieza y dónde acaba la soberanía de un estado.</w:t>
      </w:r>
    </w:p>
    <w:p w:rsidR="002C5C1E" w:rsidRPr="000F38A8" w:rsidRDefault="002C5C1E" w:rsidP="002C5C1E">
      <w:pPr>
        <w:pStyle w:val="bbc-hhl7in"/>
        <w:shd w:val="clear" w:color="auto" w:fill="FDFDFD"/>
        <w:spacing w:before="0" w:beforeAutospacing="0" w:after="0" w:afterAutospacing="0"/>
        <w:jc w:val="both"/>
        <w:rPr>
          <w:color w:val="141414"/>
        </w:rPr>
      </w:pPr>
    </w:p>
    <w:p w:rsidR="002C5C1E" w:rsidRPr="002F4074" w:rsidRDefault="002C5C1E" w:rsidP="002C5C1E">
      <w:pPr>
        <w:pStyle w:val="bbc-hhl7in"/>
        <w:shd w:val="clear" w:color="auto" w:fill="FDFDFD"/>
        <w:spacing w:before="0" w:beforeAutospacing="0" w:after="0" w:afterAutospacing="0"/>
        <w:jc w:val="both"/>
        <w:rPr>
          <w:color w:val="FF0000"/>
          <w:u w:val="single"/>
        </w:rPr>
      </w:pPr>
      <w:r w:rsidRPr="002F4074">
        <w:rPr>
          <w:color w:val="FF0000"/>
          <w:u w:val="single"/>
        </w:rPr>
        <w:t>En esta entrevista con BBC Mundo, el investigador estadounidense </w:t>
      </w:r>
      <w:r w:rsidRPr="002F4074">
        <w:rPr>
          <w:bCs/>
          <w:color w:val="FF0000"/>
          <w:u w:val="single"/>
        </w:rPr>
        <w:t>Andrew Ross advierte de los peligros de la deuda, de vivir constantemente del crédito</w:t>
      </w:r>
      <w:r w:rsidRPr="002F4074">
        <w:rPr>
          <w:color w:val="FF0000"/>
          <w:u w:val="single"/>
        </w:rPr>
        <w:t> y aporta soluciones para escapar de este nuevo modelo de “servidumbre”.</w:t>
      </w:r>
    </w:p>
    <w:p w:rsidR="002C5C1E" w:rsidRPr="000F38A8" w:rsidRDefault="002C5C1E" w:rsidP="002C5C1E">
      <w:pPr>
        <w:pStyle w:val="bbc-hhl7in"/>
        <w:shd w:val="clear" w:color="auto" w:fill="FDFDFD"/>
        <w:spacing w:before="0" w:beforeAutospacing="0" w:after="0" w:afterAutospacing="0"/>
        <w:jc w:val="both"/>
        <w:rPr>
          <w:color w:val="141414"/>
        </w:rPr>
      </w:pPr>
    </w:p>
    <w:p w:rsidR="002C5C1E" w:rsidRDefault="002C5C1E" w:rsidP="002C5C1E">
      <w:pPr>
        <w:pStyle w:val="bbc-1s1cxbv"/>
        <w:shd w:val="clear" w:color="auto" w:fill="FDFDFD"/>
        <w:spacing w:before="0" w:beforeAutospacing="0" w:after="0" w:afterAutospacing="0"/>
        <w:jc w:val="both"/>
        <w:rPr>
          <w:b/>
          <w:bCs/>
          <w:color w:val="141414"/>
        </w:rPr>
      </w:pPr>
      <w:r w:rsidRPr="000F38A8">
        <w:rPr>
          <w:b/>
          <w:bCs/>
          <w:color w:val="141414"/>
        </w:rPr>
        <w:t>¿Qué significa el término creditocracia que da título a uno de sus últimos libros?</w:t>
      </w:r>
    </w:p>
    <w:p w:rsidR="002C5C1E" w:rsidRPr="000F38A8" w:rsidRDefault="002C5C1E" w:rsidP="002C5C1E">
      <w:pPr>
        <w:pStyle w:val="bbc-1s1cxbv"/>
        <w:shd w:val="clear" w:color="auto" w:fill="FDFDFD"/>
        <w:spacing w:before="0" w:beforeAutospacing="0" w:after="0" w:afterAutospacing="0"/>
        <w:jc w:val="both"/>
        <w:rPr>
          <w:caps/>
          <w:color w:val="FFFFFF"/>
        </w:rPr>
      </w:pPr>
    </w:p>
    <w:p w:rsidR="002C5C1E" w:rsidRPr="002F4074" w:rsidRDefault="002C5C1E" w:rsidP="002C5C1E">
      <w:pPr>
        <w:pStyle w:val="bbc-hhl7in"/>
        <w:shd w:val="clear" w:color="auto" w:fill="FDFDFD"/>
        <w:spacing w:before="0" w:beforeAutospacing="0" w:after="0" w:afterAutospacing="0"/>
        <w:jc w:val="both"/>
        <w:rPr>
          <w:color w:val="FF0000"/>
          <w:u w:val="single"/>
        </w:rPr>
      </w:pPr>
      <w:r w:rsidRPr="002F4074">
        <w:rPr>
          <w:color w:val="FF0000"/>
          <w:u w:val="single"/>
        </w:rPr>
        <w:t>Vivimos en una sociedad en la que, cada vez más, un porcentaje muy grande de la población, si no la mayoría de los hogares, se están ahogando en deudas. En la mayoría de los países industrializados, especialmente en EEUU, los préstamos destinados a la vivienda, a los automóviles, las deudas estudiantiles o para el transporte se han disparado.</w:t>
      </w:r>
    </w:p>
    <w:p w:rsidR="002C5C1E" w:rsidRPr="002F4074" w:rsidRDefault="002C5C1E" w:rsidP="002C5C1E">
      <w:pPr>
        <w:pStyle w:val="bbc-hhl7in"/>
        <w:shd w:val="clear" w:color="auto" w:fill="FDFDFD"/>
        <w:spacing w:before="0" w:beforeAutospacing="0" w:after="0" w:afterAutospacing="0"/>
        <w:jc w:val="both"/>
        <w:rPr>
          <w:color w:val="FF0000"/>
          <w:u w:val="single"/>
        </w:rPr>
      </w:pPr>
    </w:p>
    <w:p w:rsidR="002C5C1E" w:rsidRPr="002F4074" w:rsidRDefault="002C5C1E" w:rsidP="002C5C1E">
      <w:pPr>
        <w:pStyle w:val="bbc-hhl7in"/>
        <w:shd w:val="clear" w:color="auto" w:fill="FDFDFD"/>
        <w:spacing w:before="0" w:beforeAutospacing="0" w:after="0" w:afterAutospacing="0"/>
        <w:jc w:val="both"/>
        <w:rPr>
          <w:color w:val="FF0000"/>
          <w:u w:val="single"/>
        </w:rPr>
      </w:pPr>
      <w:r w:rsidRPr="002F4074">
        <w:rPr>
          <w:color w:val="FF0000"/>
          <w:u w:val="single"/>
        </w:rPr>
        <w:t xml:space="preserve">Nos hemos convertido en una sociedad en la que la clase acreedora es dominante y obtiene la mayor parte de sus ingresos y beneficios de los préstamos y donde la ciudadanía en muchos países nunca podrá pagar sus deudas. El 77% de los hogares estadounidenses están </w:t>
      </w:r>
      <w:r w:rsidRPr="002F4074">
        <w:rPr>
          <w:color w:val="FF0000"/>
          <w:u w:val="single"/>
        </w:rPr>
        <w:lastRenderedPageBreak/>
        <w:t>seriamente endeudados. Los principales bancos son más grandes y rentables que antes de la crisis de 2008, y los legisladores son prácticamente impotentes para someterlos.</w:t>
      </w:r>
    </w:p>
    <w:p w:rsidR="002C5C1E" w:rsidRPr="002F4074" w:rsidRDefault="002C5C1E" w:rsidP="002C5C1E">
      <w:pPr>
        <w:pStyle w:val="bbc-hhl7in"/>
        <w:shd w:val="clear" w:color="auto" w:fill="FDFDFD"/>
        <w:spacing w:before="0" w:beforeAutospacing="0" w:after="0" w:afterAutospacing="0"/>
        <w:jc w:val="both"/>
        <w:rPr>
          <w:color w:val="FF0000"/>
          <w:u w:val="single"/>
        </w:rPr>
      </w:pPr>
    </w:p>
    <w:p w:rsidR="002C5C1E" w:rsidRPr="002F4074" w:rsidRDefault="002C5C1E" w:rsidP="002C5C1E">
      <w:pPr>
        <w:pStyle w:val="bbc-hhl7in"/>
        <w:shd w:val="clear" w:color="auto" w:fill="FDFDFD"/>
        <w:spacing w:before="0" w:beforeAutospacing="0" w:after="0" w:afterAutospacing="0"/>
        <w:jc w:val="both"/>
        <w:rPr>
          <w:color w:val="FF0000"/>
          <w:u w:val="single"/>
        </w:rPr>
      </w:pPr>
      <w:r w:rsidRPr="002F4074">
        <w:rPr>
          <w:color w:val="FF0000"/>
          <w:u w:val="single"/>
        </w:rPr>
        <w:t>A todo esto hay que sumar que a los acreedores no les interesa que la gente pague sus deudas.</w:t>
      </w:r>
    </w:p>
    <w:p w:rsidR="002C5C1E" w:rsidRPr="002F4074" w:rsidRDefault="002C5C1E" w:rsidP="002C5C1E">
      <w:pPr>
        <w:pStyle w:val="bbc-1s1cxbv"/>
        <w:shd w:val="clear" w:color="auto" w:fill="FDFDFD"/>
        <w:spacing w:before="0" w:beforeAutospacing="0" w:after="0" w:afterAutospacing="0"/>
        <w:jc w:val="both"/>
        <w:rPr>
          <w:caps/>
          <w:color w:val="FF0000"/>
          <w:u w:val="single"/>
        </w:rPr>
      </w:pPr>
    </w:p>
    <w:p w:rsidR="002C5C1E" w:rsidRDefault="002C5C1E" w:rsidP="002C5C1E">
      <w:pPr>
        <w:pStyle w:val="bbc-hhl7in"/>
        <w:shd w:val="clear" w:color="auto" w:fill="FDFDFD"/>
        <w:spacing w:before="0" w:beforeAutospacing="0" w:after="0" w:afterAutospacing="0"/>
        <w:jc w:val="both"/>
        <w:rPr>
          <w:b/>
          <w:bCs/>
          <w:color w:val="141414"/>
        </w:rPr>
      </w:pPr>
      <w:r w:rsidRPr="000F38A8">
        <w:rPr>
          <w:b/>
          <w:bCs/>
          <w:color w:val="141414"/>
        </w:rPr>
        <w:t>¿Por qué?</w:t>
      </w:r>
    </w:p>
    <w:p w:rsidR="002C5C1E" w:rsidRPr="000F38A8" w:rsidRDefault="002C5C1E" w:rsidP="002C5C1E">
      <w:pPr>
        <w:pStyle w:val="bbc-hhl7in"/>
        <w:shd w:val="clear" w:color="auto" w:fill="FDFDFD"/>
        <w:spacing w:before="0" w:beforeAutospacing="0" w:after="0" w:afterAutospacing="0"/>
        <w:jc w:val="both"/>
        <w:rPr>
          <w:color w:val="141414"/>
        </w:rPr>
      </w:pPr>
    </w:p>
    <w:p w:rsidR="002C5C1E" w:rsidRPr="008A0E88" w:rsidRDefault="002C5C1E" w:rsidP="002C5C1E">
      <w:pPr>
        <w:pStyle w:val="bbc-hhl7in"/>
        <w:shd w:val="clear" w:color="auto" w:fill="FDFDFD"/>
        <w:spacing w:before="0" w:beforeAutospacing="0" w:after="0" w:afterAutospacing="0"/>
        <w:jc w:val="both"/>
        <w:rPr>
          <w:color w:val="FF0000"/>
          <w:u w:val="single"/>
        </w:rPr>
      </w:pPr>
      <w:r w:rsidRPr="008A0E88">
        <w:rPr>
          <w:color w:val="FF0000"/>
          <w:u w:val="single"/>
        </w:rPr>
        <w:t>Mientras estés endeudado, los acreedores pueden ganar dinero contigo. Si pagas todo por completo, entonces no les sirves de nada. Ya no eres una fuente de ingresos para ellos. Así que en una creditocracia, el objetivo es mantenerte endeudado durante el mayor tiempo posible, de muchas maneras hasta el día de tu muerte y más allá si es posible.</w:t>
      </w:r>
    </w:p>
    <w:p w:rsidR="002C5C1E" w:rsidRPr="008A0E88" w:rsidRDefault="002C5C1E" w:rsidP="002C5C1E">
      <w:pPr>
        <w:pStyle w:val="bbc-hhl7in"/>
        <w:shd w:val="clear" w:color="auto" w:fill="FDFDFD"/>
        <w:spacing w:before="0" w:beforeAutospacing="0" w:after="0" w:afterAutospacing="0"/>
        <w:jc w:val="both"/>
        <w:rPr>
          <w:color w:val="FF0000"/>
          <w:u w:val="single"/>
        </w:rPr>
      </w:pPr>
    </w:p>
    <w:p w:rsidR="002C5C1E" w:rsidRPr="008A0E88" w:rsidRDefault="002C5C1E" w:rsidP="002C5C1E">
      <w:pPr>
        <w:pStyle w:val="bbc-hhl7in"/>
        <w:shd w:val="clear" w:color="auto" w:fill="FDFDFD"/>
        <w:spacing w:before="0" w:beforeAutospacing="0" w:after="0" w:afterAutospacing="0"/>
        <w:jc w:val="both"/>
        <w:rPr>
          <w:color w:val="FF0000"/>
          <w:u w:val="single"/>
        </w:rPr>
      </w:pPr>
      <w:r w:rsidRPr="008A0E88">
        <w:rPr>
          <w:color w:val="FF0000"/>
          <w:u w:val="single"/>
        </w:rPr>
        <w:t>Este es un tipo de sociedad en la que la reestructuración capitalista ha significado que la mayoría de las ganancias para las empresas llegan gracias a las actividades financieras, como los préstamos. Y el tipo de sociedad industrializada en la que solíamos vivir, donde las ganancias se obtenían de la producción, ha dado paso a este nuevo tipo de economía.</w:t>
      </w:r>
    </w:p>
    <w:p w:rsidR="002C5C1E" w:rsidRPr="002F4074" w:rsidRDefault="002C5C1E" w:rsidP="002C5C1E">
      <w:pPr>
        <w:pStyle w:val="bbc-hhl7in"/>
        <w:shd w:val="clear" w:color="auto" w:fill="FDFDFD"/>
        <w:spacing w:before="0" w:beforeAutospacing="0" w:after="0" w:afterAutospacing="0"/>
        <w:jc w:val="both"/>
        <w:rPr>
          <w:color w:val="FF0000"/>
          <w:u w:val="single"/>
        </w:rPr>
      </w:pPr>
    </w:p>
    <w:p w:rsidR="002C5C1E" w:rsidRPr="000F38A8" w:rsidRDefault="002C5C1E" w:rsidP="002C5C1E">
      <w:pPr>
        <w:shd w:val="clear" w:color="auto" w:fill="FDFDFD"/>
        <w:jc w:val="both"/>
        <w:rPr>
          <w:rFonts w:ascii="Times New Roman" w:hAnsi="Times New Roman" w:cs="Times New Roman"/>
          <w:color w:val="000000"/>
          <w:sz w:val="24"/>
          <w:szCs w:val="24"/>
        </w:rPr>
      </w:pPr>
      <w:r w:rsidRPr="000F38A8">
        <w:rPr>
          <w:rFonts w:ascii="Times New Roman" w:hAnsi="Times New Roman" w:cs="Times New Roman"/>
          <w:noProof/>
          <w:color w:val="000000"/>
          <w:sz w:val="24"/>
          <w:szCs w:val="24"/>
          <w:lang w:eastAsia="es-ES"/>
        </w:rPr>
        <w:drawing>
          <wp:inline distT="0" distB="0" distL="0" distR="0" wp14:anchorId="45F4CC19" wp14:editId="5B46AF4D">
            <wp:extent cx="5632450" cy="2914650"/>
            <wp:effectExtent l="0" t="0" r="6350" b="0"/>
            <wp:docPr id="65" name="Imagen 65" descr="Un hombre pide dine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n hombre pide dinero"/>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632450" cy="2914650"/>
                    </a:xfrm>
                    <a:prstGeom prst="rect">
                      <a:avLst/>
                    </a:prstGeom>
                    <a:noFill/>
                    <a:ln>
                      <a:noFill/>
                    </a:ln>
                  </pic:spPr>
                </pic:pic>
              </a:graphicData>
            </a:graphic>
          </wp:inline>
        </w:drawing>
      </w:r>
    </w:p>
    <w:p w:rsidR="002C5C1E" w:rsidRPr="000F38A8" w:rsidRDefault="002C5C1E" w:rsidP="002C5C1E">
      <w:pPr>
        <w:pStyle w:val="bbc-1s1cxbv"/>
        <w:shd w:val="clear" w:color="auto" w:fill="FDFDFD"/>
        <w:spacing w:before="0" w:beforeAutospacing="0" w:after="0" w:afterAutospacing="0"/>
        <w:jc w:val="both"/>
        <w:rPr>
          <w:caps/>
          <w:color w:val="FFFFFF"/>
        </w:rPr>
      </w:pPr>
      <w:r w:rsidRPr="000F38A8">
        <w:rPr>
          <w:rStyle w:val="bbc-1gnhmg2"/>
          <w:caps/>
          <w:color w:val="FFFFFF"/>
        </w:rPr>
        <w:t xml:space="preserve">FUENTE DE LA </w:t>
      </w:r>
    </w:p>
    <w:p w:rsidR="002C5C1E" w:rsidRDefault="002C5C1E" w:rsidP="002C5C1E">
      <w:pPr>
        <w:pStyle w:val="bbc-hhl7in"/>
        <w:shd w:val="clear" w:color="auto" w:fill="FDFDFD"/>
        <w:spacing w:before="0" w:beforeAutospacing="0" w:after="0" w:afterAutospacing="0"/>
        <w:jc w:val="both"/>
        <w:rPr>
          <w:b/>
          <w:bCs/>
          <w:color w:val="141414"/>
        </w:rPr>
      </w:pPr>
      <w:r w:rsidRPr="000F38A8">
        <w:rPr>
          <w:b/>
          <w:bCs/>
          <w:color w:val="141414"/>
        </w:rPr>
        <w:t>¿Es una sociedad enganchada a la deuda?</w:t>
      </w:r>
    </w:p>
    <w:p w:rsidR="002C5C1E" w:rsidRPr="000F38A8" w:rsidRDefault="002C5C1E" w:rsidP="002C5C1E">
      <w:pPr>
        <w:pStyle w:val="bbc-hhl7in"/>
        <w:shd w:val="clear" w:color="auto" w:fill="FDFDFD"/>
        <w:spacing w:before="0" w:beforeAutospacing="0" w:after="0" w:afterAutospacing="0"/>
        <w:jc w:val="both"/>
        <w:rPr>
          <w:color w:val="141414"/>
        </w:rPr>
      </w:pPr>
    </w:p>
    <w:p w:rsidR="002C5C1E" w:rsidRDefault="002C5C1E" w:rsidP="002C5C1E">
      <w:pPr>
        <w:pStyle w:val="bbc-hhl7in"/>
        <w:shd w:val="clear" w:color="auto" w:fill="FDFDFD"/>
        <w:spacing w:before="0" w:beforeAutospacing="0" w:after="0" w:afterAutospacing="0"/>
        <w:jc w:val="both"/>
        <w:rPr>
          <w:color w:val="141414"/>
        </w:rPr>
      </w:pPr>
      <w:r w:rsidRPr="000F38A8">
        <w:rPr>
          <w:color w:val="141414"/>
        </w:rPr>
        <w:t>Cada vez más, todos los bienes públicos o sociales a los que estábamos acostumbrados a poder acceder de manera asequible ahora tienen que ser financiados con deuda.</w:t>
      </w:r>
      <w:r>
        <w:rPr>
          <w:color w:val="141414"/>
        </w:rPr>
        <w:t xml:space="preserve"> </w:t>
      </w:r>
      <w:r w:rsidRPr="000F38A8">
        <w:rPr>
          <w:color w:val="141414"/>
        </w:rPr>
        <w:t>Por lo tanto, hay que solicitar préstamos para acceder a estos bienes esenciales, que necesitamos para vivir.</w:t>
      </w:r>
    </w:p>
    <w:p w:rsidR="002C5C1E" w:rsidRPr="000F38A8" w:rsidRDefault="002C5C1E" w:rsidP="002C5C1E">
      <w:pPr>
        <w:pStyle w:val="bbc-hhl7in"/>
        <w:shd w:val="clear" w:color="auto" w:fill="FDFDFD"/>
        <w:spacing w:before="0" w:beforeAutospacing="0" w:after="0" w:afterAutospacing="0"/>
        <w:jc w:val="both"/>
        <w:rPr>
          <w:color w:val="141414"/>
        </w:rPr>
      </w:pPr>
    </w:p>
    <w:p w:rsidR="002C5C1E" w:rsidRDefault="002C5C1E" w:rsidP="002C5C1E">
      <w:pPr>
        <w:pStyle w:val="bbc-hhl7in"/>
        <w:shd w:val="clear" w:color="auto" w:fill="FDFDFD"/>
        <w:spacing w:before="0" w:beforeAutospacing="0" w:after="0" w:afterAutospacing="0"/>
        <w:jc w:val="both"/>
        <w:rPr>
          <w:b/>
          <w:bCs/>
          <w:color w:val="141414"/>
        </w:rPr>
      </w:pPr>
      <w:r w:rsidRPr="000F38A8">
        <w:rPr>
          <w:b/>
          <w:bCs/>
          <w:color w:val="141414"/>
        </w:rPr>
        <w:t>Entonces, ¿estamos hablando de viajes para vacaciones, iPhones o estamos hablando de cosas más básicas?</w:t>
      </w:r>
    </w:p>
    <w:p w:rsidR="002C5C1E" w:rsidRDefault="002C5C1E" w:rsidP="002C5C1E">
      <w:pPr>
        <w:pStyle w:val="bbc-hhl7in"/>
        <w:shd w:val="clear" w:color="auto" w:fill="FDFDFD"/>
        <w:spacing w:before="0" w:beforeAutospacing="0" w:after="0" w:afterAutospacing="0"/>
        <w:jc w:val="both"/>
        <w:rPr>
          <w:color w:val="141414"/>
        </w:rPr>
      </w:pPr>
    </w:p>
    <w:p w:rsidR="002C5C1E" w:rsidRDefault="002C5C1E" w:rsidP="002C5C1E">
      <w:pPr>
        <w:pStyle w:val="bbc-hhl7in"/>
        <w:shd w:val="clear" w:color="auto" w:fill="FDFDFD"/>
        <w:spacing w:before="0" w:beforeAutospacing="0" w:after="0" w:afterAutospacing="0"/>
        <w:jc w:val="both"/>
        <w:rPr>
          <w:color w:val="141414"/>
        </w:rPr>
      </w:pPr>
      <w:r w:rsidRPr="000F38A8">
        <w:rPr>
          <w:color w:val="141414"/>
        </w:rPr>
        <w:t>Bueno, para los hogares que viven al límite, en realidad estamos hablando de facturas básicas para el sustento, que muchas personas pagan con sus tarjetas de crédito.</w:t>
      </w:r>
      <w:r>
        <w:rPr>
          <w:color w:val="141414"/>
        </w:rPr>
        <w:t xml:space="preserve"> </w:t>
      </w:r>
      <w:r w:rsidRPr="000F38A8">
        <w:rPr>
          <w:color w:val="141414"/>
        </w:rPr>
        <w:t>Esta es una parte importante de la deuda de los hogares.</w:t>
      </w:r>
    </w:p>
    <w:p w:rsidR="002C5C1E" w:rsidRDefault="002C5C1E" w:rsidP="002C5C1E">
      <w:pPr>
        <w:pStyle w:val="bbc-hhl7in"/>
        <w:shd w:val="clear" w:color="auto" w:fill="FDFDFD"/>
        <w:spacing w:before="0" w:beforeAutospacing="0" w:after="0" w:afterAutospacing="0"/>
        <w:jc w:val="both"/>
        <w:rPr>
          <w:color w:val="141414"/>
        </w:rPr>
      </w:pPr>
      <w:r w:rsidRPr="002F4074">
        <w:rPr>
          <w:color w:val="141414"/>
          <w:u w:val="single"/>
        </w:rPr>
        <w:lastRenderedPageBreak/>
        <w:t>Y hay muchos hogares ahogados que nunca llegan a cancelar sus cuentas mensuales.</w:t>
      </w:r>
      <w:r>
        <w:rPr>
          <w:color w:val="141414"/>
        </w:rPr>
        <w:t xml:space="preserve"> </w:t>
      </w:r>
      <w:r w:rsidRPr="000F38A8">
        <w:rPr>
          <w:color w:val="141414"/>
        </w:rPr>
        <w:t>Renuevan el principal, pagan recargos por mora o pagan multas.</w:t>
      </w:r>
      <w:r>
        <w:rPr>
          <w:color w:val="141414"/>
        </w:rPr>
        <w:t xml:space="preserve"> </w:t>
      </w:r>
      <w:r w:rsidRPr="000F38A8">
        <w:rPr>
          <w:color w:val="141414"/>
        </w:rPr>
        <w:t xml:space="preserve">Y al hacerlo, se convierten en lo que se conoce en la industria como </w:t>
      </w:r>
      <w:r>
        <w:rPr>
          <w:color w:val="141414"/>
        </w:rPr>
        <w:t>“</w:t>
      </w:r>
      <w:r w:rsidR="002F4074">
        <w:rPr>
          <w:color w:val="141414"/>
        </w:rPr>
        <w:t>giratorios</w:t>
      </w:r>
      <w:r>
        <w:rPr>
          <w:color w:val="141414"/>
        </w:rPr>
        <w:t>”</w:t>
      </w:r>
      <w:r w:rsidR="002F4074">
        <w:rPr>
          <w:color w:val="141414"/>
        </w:rPr>
        <w:t xml:space="preserve"> (revolving)</w:t>
      </w:r>
      <w:r w:rsidRPr="000F38A8">
        <w:rPr>
          <w:color w:val="141414"/>
        </w:rPr>
        <w:t>.</w:t>
      </w:r>
    </w:p>
    <w:p w:rsidR="002C5C1E" w:rsidRPr="000F38A8" w:rsidRDefault="002C5C1E" w:rsidP="002C5C1E">
      <w:pPr>
        <w:pStyle w:val="bbc-hhl7in"/>
        <w:shd w:val="clear" w:color="auto" w:fill="FDFDFD"/>
        <w:spacing w:before="0" w:beforeAutospacing="0" w:after="0" w:afterAutospacing="0"/>
        <w:jc w:val="both"/>
        <w:rPr>
          <w:color w:val="141414"/>
        </w:rPr>
      </w:pPr>
    </w:p>
    <w:p w:rsidR="002C5C1E" w:rsidRPr="002F4074" w:rsidRDefault="002C5C1E" w:rsidP="002C5C1E">
      <w:pPr>
        <w:pStyle w:val="bbc-hhl7in"/>
        <w:shd w:val="clear" w:color="auto" w:fill="FDFDFD"/>
        <w:spacing w:before="0" w:beforeAutospacing="0" w:after="0" w:afterAutospacing="0"/>
        <w:jc w:val="both"/>
        <w:rPr>
          <w:color w:val="141414"/>
          <w:u w:val="single"/>
        </w:rPr>
      </w:pPr>
      <w:r w:rsidRPr="002F4074">
        <w:rPr>
          <w:color w:val="141414"/>
          <w:u w:val="single"/>
        </w:rPr>
        <w:t>Son los clientes favoritos: los que no pueden llegar a fin de mes pero que pagan el mínimo mensual junto con multas o recargos por pagos atrasados. Esto garantiza a los bancos un flujo constante de ingresos. Sus ganancias dependen de mantenernos endeudados.</w:t>
      </w:r>
    </w:p>
    <w:p w:rsidR="002C5C1E" w:rsidRPr="002F4074" w:rsidRDefault="002C5C1E" w:rsidP="002C5C1E">
      <w:pPr>
        <w:pStyle w:val="bbc-1s1cxbv"/>
        <w:shd w:val="clear" w:color="auto" w:fill="FDFDFD"/>
        <w:spacing w:before="0" w:beforeAutospacing="0" w:after="0" w:afterAutospacing="0"/>
        <w:jc w:val="both"/>
        <w:rPr>
          <w:caps/>
          <w:color w:val="FFFFFF"/>
          <w:u w:val="single"/>
        </w:rPr>
      </w:pPr>
      <w:r w:rsidRPr="002F4074">
        <w:rPr>
          <w:rStyle w:val="bbc-1gnhmg2"/>
          <w:caps/>
          <w:color w:val="FFFFFF"/>
          <w:u w:val="single"/>
        </w:rPr>
        <w:t>FUENTE DE LA IMAGEN</w:t>
      </w:r>
    </w:p>
    <w:p w:rsidR="002C5C1E" w:rsidRDefault="002C5C1E" w:rsidP="002C5C1E">
      <w:pPr>
        <w:pStyle w:val="bbc-hhl7in"/>
        <w:shd w:val="clear" w:color="auto" w:fill="FDFDFD"/>
        <w:spacing w:before="0" w:beforeAutospacing="0" w:after="0" w:afterAutospacing="0"/>
        <w:jc w:val="both"/>
        <w:rPr>
          <w:b/>
          <w:bCs/>
          <w:color w:val="141414"/>
        </w:rPr>
      </w:pPr>
      <w:r w:rsidRPr="000F38A8">
        <w:rPr>
          <w:b/>
          <w:bCs/>
          <w:color w:val="141414"/>
        </w:rPr>
        <w:t>En su libro cita los "bancos de la pobreza". ¿Qué son?</w:t>
      </w:r>
    </w:p>
    <w:p w:rsidR="002C5C1E" w:rsidRPr="000F38A8" w:rsidRDefault="002C5C1E" w:rsidP="002C5C1E">
      <w:pPr>
        <w:pStyle w:val="bbc-hhl7in"/>
        <w:shd w:val="clear" w:color="auto" w:fill="FDFDFD"/>
        <w:spacing w:before="0" w:beforeAutospacing="0" w:after="0" w:afterAutospacing="0"/>
        <w:jc w:val="both"/>
        <w:rPr>
          <w:color w:val="141414"/>
        </w:rPr>
      </w:pPr>
    </w:p>
    <w:p w:rsidR="002C5C1E" w:rsidRDefault="002C5C1E" w:rsidP="002C5C1E">
      <w:pPr>
        <w:pStyle w:val="bbc-hhl7in"/>
        <w:shd w:val="clear" w:color="auto" w:fill="FDFDFD"/>
        <w:spacing w:before="0" w:beforeAutospacing="0" w:after="0" w:afterAutospacing="0"/>
        <w:jc w:val="both"/>
        <w:rPr>
          <w:color w:val="141414"/>
        </w:rPr>
      </w:pPr>
      <w:r w:rsidRPr="000F38A8">
        <w:rPr>
          <w:color w:val="141414"/>
        </w:rPr>
        <w:t>Son el tipo de prestamistas que se benefician de los pobres.</w:t>
      </w:r>
      <w:r w:rsidR="001E4CD8">
        <w:rPr>
          <w:color w:val="141414"/>
        </w:rPr>
        <w:t xml:space="preserve"> </w:t>
      </w:r>
      <w:r w:rsidRPr="000F38A8">
        <w:rPr>
          <w:color w:val="141414"/>
        </w:rPr>
        <w:t>Déjame darte un ejemplo.</w:t>
      </w:r>
      <w:r>
        <w:rPr>
          <w:color w:val="141414"/>
        </w:rPr>
        <w:t xml:space="preserve"> </w:t>
      </w:r>
      <w:r w:rsidRPr="000F38A8">
        <w:rPr>
          <w:color w:val="141414"/>
        </w:rPr>
        <w:t>Si sales de prisión, eres muy pobre. No tienes puntaje crediticio. Pero necesitas comprar un carro para encontrar un trabajo.</w:t>
      </w:r>
      <w:r>
        <w:rPr>
          <w:color w:val="141414"/>
        </w:rPr>
        <w:t xml:space="preserve"> </w:t>
      </w:r>
      <w:r w:rsidRPr="000F38A8">
        <w:rPr>
          <w:color w:val="141414"/>
        </w:rPr>
        <w:t>Siempre encontrarás a alguien dispuesto a venderte un automóvil muy caro con un préstamo abusivo.</w:t>
      </w:r>
      <w:r>
        <w:rPr>
          <w:color w:val="141414"/>
        </w:rPr>
        <w:t xml:space="preserve"> </w:t>
      </w:r>
      <w:r w:rsidRPr="000F38A8">
        <w:rPr>
          <w:color w:val="141414"/>
        </w:rPr>
        <w:t>Y las entidades saben que no podrás cumplir con el pago, pero se beneficiarán de tu incapacidad para hacerlo.</w:t>
      </w:r>
      <w:r>
        <w:rPr>
          <w:color w:val="141414"/>
        </w:rPr>
        <w:t xml:space="preserve"> </w:t>
      </w:r>
      <w:r w:rsidRPr="000F38A8">
        <w:rPr>
          <w:color w:val="141414"/>
        </w:rPr>
        <w:t>De hecho, si te encuentras en esa situación en Estados Unidos es más fácil comprar un automóvil caro que encontrar un apartamento para alquilar.</w:t>
      </w:r>
    </w:p>
    <w:p w:rsidR="002C5C1E" w:rsidRPr="000F38A8" w:rsidRDefault="002C5C1E" w:rsidP="002C5C1E">
      <w:pPr>
        <w:pStyle w:val="bbc-hhl7in"/>
        <w:shd w:val="clear" w:color="auto" w:fill="FDFDFD"/>
        <w:spacing w:before="0" w:beforeAutospacing="0" w:after="0" w:afterAutospacing="0"/>
        <w:jc w:val="both"/>
        <w:rPr>
          <w:color w:val="141414"/>
        </w:rPr>
      </w:pPr>
    </w:p>
    <w:p w:rsidR="002C5C1E" w:rsidRPr="000F38A8" w:rsidRDefault="002C5C1E" w:rsidP="002C5C1E">
      <w:pPr>
        <w:shd w:val="clear" w:color="auto" w:fill="FDFDFD"/>
        <w:jc w:val="both"/>
        <w:rPr>
          <w:rFonts w:ascii="Times New Roman" w:hAnsi="Times New Roman" w:cs="Times New Roman"/>
          <w:color w:val="000000"/>
          <w:sz w:val="24"/>
          <w:szCs w:val="24"/>
        </w:rPr>
      </w:pPr>
      <w:r w:rsidRPr="000F38A8">
        <w:rPr>
          <w:rFonts w:ascii="Times New Roman" w:hAnsi="Times New Roman" w:cs="Times New Roman"/>
          <w:noProof/>
          <w:color w:val="000000"/>
          <w:sz w:val="24"/>
          <w:szCs w:val="24"/>
          <w:lang w:eastAsia="es-ES"/>
        </w:rPr>
        <w:drawing>
          <wp:inline distT="0" distB="0" distL="0" distR="0" wp14:anchorId="41BFFD1B" wp14:editId="7D5DD05E">
            <wp:extent cx="5753100" cy="3187700"/>
            <wp:effectExtent l="0" t="0" r="0" b="0"/>
            <wp:docPr id="68" name="Imagen 68" descr="Un área pobre en una ciud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Un área pobre en una ciuda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53100" cy="3187700"/>
                    </a:xfrm>
                    <a:prstGeom prst="rect">
                      <a:avLst/>
                    </a:prstGeom>
                    <a:noFill/>
                    <a:ln>
                      <a:noFill/>
                    </a:ln>
                  </pic:spPr>
                </pic:pic>
              </a:graphicData>
            </a:graphic>
          </wp:inline>
        </w:drawing>
      </w:r>
    </w:p>
    <w:p w:rsidR="002C5C1E" w:rsidRPr="00681851" w:rsidRDefault="002C5C1E" w:rsidP="002C5C1E">
      <w:pPr>
        <w:pStyle w:val="bbc-1s1cxbv"/>
        <w:shd w:val="clear" w:color="auto" w:fill="FDFDFD"/>
        <w:spacing w:before="0" w:beforeAutospacing="0" w:after="0" w:afterAutospacing="0"/>
        <w:jc w:val="both"/>
        <w:rPr>
          <w:caps/>
          <w:color w:val="FFFFFF"/>
        </w:rPr>
      </w:pPr>
      <w:r w:rsidRPr="000F38A8">
        <w:rPr>
          <w:b/>
          <w:bCs/>
          <w:color w:val="141414"/>
        </w:rPr>
        <w:t>¿Cuáles son las implicaciones del endeudamiento masivo?</w:t>
      </w:r>
    </w:p>
    <w:p w:rsidR="002C5C1E" w:rsidRPr="000F38A8" w:rsidRDefault="002C5C1E" w:rsidP="002C5C1E">
      <w:pPr>
        <w:pStyle w:val="bbc-hhl7in"/>
        <w:shd w:val="clear" w:color="auto" w:fill="FDFDFD"/>
        <w:spacing w:before="0" w:beforeAutospacing="0" w:after="0" w:afterAutospacing="0"/>
        <w:jc w:val="both"/>
        <w:rPr>
          <w:color w:val="141414"/>
        </w:rPr>
      </w:pPr>
    </w:p>
    <w:p w:rsidR="002C5C1E" w:rsidRDefault="002C5C1E" w:rsidP="002C5C1E">
      <w:pPr>
        <w:pStyle w:val="bbc-hhl7in"/>
        <w:shd w:val="clear" w:color="auto" w:fill="FDFDFD"/>
        <w:spacing w:before="0" w:beforeAutospacing="0" w:after="0" w:afterAutospacing="0"/>
        <w:jc w:val="both"/>
        <w:rPr>
          <w:color w:val="141414"/>
        </w:rPr>
      </w:pPr>
      <w:r w:rsidRPr="000F38A8">
        <w:rPr>
          <w:color w:val="141414"/>
        </w:rPr>
        <w:t>Por un lado tenemos las implicaciones cotidianas para muchas personas que viven al límite. Pero también hay algunas consecuencias a gran escala para la democracia.</w:t>
      </w:r>
      <w:r>
        <w:rPr>
          <w:color w:val="141414"/>
        </w:rPr>
        <w:t xml:space="preserve"> </w:t>
      </w:r>
      <w:r w:rsidRPr="000F38A8">
        <w:rPr>
          <w:color w:val="141414"/>
        </w:rPr>
        <w:t>Hay muy pocos países que han podido mejorar su relación deuda/PIB desde la crisis financiera, lo que significa que para los políticos al mando la prioridad es asegurarse de que estas deudas se paguen.</w:t>
      </w:r>
      <w:r>
        <w:rPr>
          <w:color w:val="141414"/>
        </w:rPr>
        <w:t xml:space="preserve"> </w:t>
      </w:r>
      <w:r w:rsidRPr="000F38A8">
        <w:rPr>
          <w:color w:val="141414"/>
        </w:rPr>
        <w:t>Y si los presupuestos estatales están en problemas, deben priorizar ese pago a los acreedores extranjeros y deben hacerlo por encima de las necesidades de la ciudadanía.</w:t>
      </w:r>
    </w:p>
    <w:p w:rsidR="002C5C1E" w:rsidRPr="000F38A8" w:rsidRDefault="002C5C1E" w:rsidP="002C5C1E">
      <w:pPr>
        <w:pStyle w:val="bbc-hhl7in"/>
        <w:shd w:val="clear" w:color="auto" w:fill="FDFDFD"/>
        <w:spacing w:before="0" w:beforeAutospacing="0" w:after="0" w:afterAutospacing="0"/>
        <w:jc w:val="both"/>
        <w:rPr>
          <w:color w:val="141414"/>
        </w:rPr>
      </w:pPr>
    </w:p>
    <w:p w:rsidR="002C5C1E" w:rsidRPr="000F38A8" w:rsidRDefault="002C5C1E" w:rsidP="002C5C1E">
      <w:pPr>
        <w:pStyle w:val="bbc-hhl7in"/>
        <w:shd w:val="clear" w:color="auto" w:fill="FDFDFD"/>
        <w:spacing w:before="0" w:beforeAutospacing="0" w:after="0" w:afterAutospacing="0"/>
        <w:jc w:val="both"/>
        <w:rPr>
          <w:color w:val="141414"/>
        </w:rPr>
      </w:pPr>
      <w:r w:rsidRPr="000F38A8">
        <w:rPr>
          <w:color w:val="141414"/>
        </w:rPr>
        <w:t xml:space="preserve">Esto hace que, en efecto, </w:t>
      </w:r>
      <w:r w:rsidRPr="005A533F">
        <w:rPr>
          <w:color w:val="FF0000"/>
          <w:u w:val="single"/>
        </w:rPr>
        <w:t>los políticos están actuando básicamente como cobradores de deudas en nombre de los bancos extranjeros. Esto solía pasar en el hemisferio sur, pero después de la crisis financiera, la llamada “trampa de la deuda” migró hacia el norte</w:t>
      </w:r>
      <w:r w:rsidRPr="000F38A8">
        <w:rPr>
          <w:color w:val="141414"/>
        </w:rPr>
        <w:t>.</w:t>
      </w:r>
      <w:r>
        <w:rPr>
          <w:color w:val="141414"/>
        </w:rPr>
        <w:t xml:space="preserve"> </w:t>
      </w:r>
      <w:r w:rsidRPr="000F38A8">
        <w:rPr>
          <w:color w:val="141414"/>
        </w:rPr>
        <w:t xml:space="preserve">Hemos </w:t>
      </w:r>
      <w:r w:rsidRPr="000F38A8">
        <w:rPr>
          <w:color w:val="141414"/>
        </w:rPr>
        <w:lastRenderedPageBreak/>
        <w:t>visto todo tipo de países entre los ricos caer en la misma trampa donde, básicamente, es el poder de los acreedores extranjeros el que impulsa las decisiones del gobierno.</w:t>
      </w:r>
    </w:p>
    <w:p w:rsidR="002C5C1E" w:rsidRPr="000F38A8" w:rsidRDefault="002C5C1E" w:rsidP="002C5C1E">
      <w:pPr>
        <w:pStyle w:val="bbc-1s1cxbv"/>
        <w:shd w:val="clear" w:color="auto" w:fill="FDFDFD"/>
        <w:spacing w:before="0" w:beforeAutospacing="0" w:after="0" w:afterAutospacing="0"/>
        <w:jc w:val="both"/>
        <w:rPr>
          <w:color w:val="000000"/>
        </w:rPr>
      </w:pPr>
      <w:r>
        <w:rPr>
          <w:rStyle w:val="bbc-1gnhmg2"/>
          <w:caps/>
          <w:color w:val="FFFFFF"/>
        </w:rPr>
        <w:t xml:space="preserve">FUENTE DE LA </w:t>
      </w:r>
    </w:p>
    <w:p w:rsidR="002C5C1E" w:rsidRDefault="002C5C1E" w:rsidP="002C5C1E">
      <w:pPr>
        <w:pStyle w:val="bbc-hhl7in"/>
        <w:shd w:val="clear" w:color="auto" w:fill="FDFDFD"/>
        <w:spacing w:before="0" w:beforeAutospacing="0" w:after="0" w:afterAutospacing="0"/>
        <w:jc w:val="both"/>
        <w:rPr>
          <w:b/>
          <w:bCs/>
          <w:color w:val="141414"/>
        </w:rPr>
      </w:pPr>
      <w:r w:rsidRPr="000F38A8">
        <w:rPr>
          <w:b/>
          <w:bCs/>
          <w:color w:val="141414"/>
        </w:rPr>
        <w:t>¿Cómo el problema de la deuda ha provocado "democracias fallidas" en todo el mundo?</w:t>
      </w:r>
    </w:p>
    <w:p w:rsidR="002C5C1E" w:rsidRPr="000F38A8" w:rsidRDefault="002C5C1E" w:rsidP="002C5C1E">
      <w:pPr>
        <w:pStyle w:val="bbc-hhl7in"/>
        <w:shd w:val="clear" w:color="auto" w:fill="FDFDFD"/>
        <w:spacing w:before="0" w:beforeAutospacing="0" w:after="0" w:afterAutospacing="0"/>
        <w:jc w:val="both"/>
        <w:rPr>
          <w:color w:val="141414"/>
        </w:rPr>
      </w:pPr>
    </w:p>
    <w:p w:rsidR="002C5C1E" w:rsidRDefault="002C5C1E" w:rsidP="002C5C1E">
      <w:pPr>
        <w:pStyle w:val="bbc-hhl7in"/>
        <w:shd w:val="clear" w:color="auto" w:fill="FDFDFD"/>
        <w:spacing w:before="0" w:beforeAutospacing="0" w:after="0" w:afterAutospacing="0"/>
        <w:jc w:val="both"/>
        <w:rPr>
          <w:color w:val="141414"/>
        </w:rPr>
      </w:pPr>
      <w:r w:rsidRPr="000F38A8">
        <w:rPr>
          <w:color w:val="141414"/>
        </w:rPr>
        <w:t>Esto ha ocurrido muchas veces en la historia. Y creo que ya no estamos hablando solo de países más pobres.</w:t>
      </w:r>
      <w:r>
        <w:rPr>
          <w:color w:val="141414"/>
        </w:rPr>
        <w:t xml:space="preserve"> </w:t>
      </w:r>
      <w:r w:rsidRPr="000F38A8">
        <w:rPr>
          <w:color w:val="141414"/>
        </w:rPr>
        <w:t>Esto también pasa entre países muy ricos.</w:t>
      </w:r>
      <w:r>
        <w:rPr>
          <w:color w:val="141414"/>
        </w:rPr>
        <w:t xml:space="preserve"> </w:t>
      </w:r>
      <w:r w:rsidRPr="000F38A8">
        <w:rPr>
          <w:color w:val="141414"/>
        </w:rPr>
        <w:t>Lo vimos tras la crisis financiera mundial con Italia y con Grecia.</w:t>
      </w:r>
      <w:r>
        <w:rPr>
          <w:color w:val="141414"/>
        </w:rPr>
        <w:t xml:space="preserve"> </w:t>
      </w:r>
      <w:r w:rsidRPr="000F38A8">
        <w:rPr>
          <w:color w:val="141414"/>
        </w:rPr>
        <w:t>Sus gobiernos tuvieron que recortar el gasto público masivamente -dañando a sus ciudadanos- para satisfacer a los acreedores extranjeros.</w:t>
      </w:r>
    </w:p>
    <w:p w:rsidR="002C5C1E" w:rsidRPr="000F38A8" w:rsidRDefault="002C5C1E" w:rsidP="002C5C1E">
      <w:pPr>
        <w:pStyle w:val="bbc-hhl7in"/>
        <w:shd w:val="clear" w:color="auto" w:fill="FDFDFD"/>
        <w:spacing w:before="0" w:beforeAutospacing="0" w:after="0" w:afterAutospacing="0"/>
        <w:jc w:val="both"/>
        <w:rPr>
          <w:color w:val="141414"/>
        </w:rPr>
      </w:pPr>
    </w:p>
    <w:p w:rsidR="002C5C1E" w:rsidRDefault="002C5C1E" w:rsidP="002C5C1E">
      <w:pPr>
        <w:pStyle w:val="bbc-hhl7in"/>
        <w:shd w:val="clear" w:color="auto" w:fill="FDFDFD"/>
        <w:spacing w:before="0" w:beforeAutospacing="0" w:after="0" w:afterAutospacing="0"/>
        <w:jc w:val="both"/>
        <w:rPr>
          <w:b/>
          <w:bCs/>
          <w:color w:val="141414"/>
        </w:rPr>
      </w:pPr>
      <w:r w:rsidRPr="000F38A8">
        <w:rPr>
          <w:b/>
          <w:bCs/>
          <w:color w:val="141414"/>
        </w:rPr>
        <w:t>¿Cómo ha llegado la sociedad a esta situación?</w:t>
      </w:r>
    </w:p>
    <w:p w:rsidR="002C5C1E" w:rsidRPr="000F38A8" w:rsidRDefault="002C5C1E" w:rsidP="002C5C1E">
      <w:pPr>
        <w:pStyle w:val="bbc-hhl7in"/>
        <w:shd w:val="clear" w:color="auto" w:fill="FDFDFD"/>
        <w:spacing w:before="0" w:beforeAutospacing="0" w:after="0" w:afterAutospacing="0"/>
        <w:jc w:val="both"/>
        <w:rPr>
          <w:color w:val="141414"/>
        </w:rPr>
      </w:pPr>
    </w:p>
    <w:p w:rsidR="002C5C1E" w:rsidRPr="005A533F" w:rsidRDefault="002C5C1E" w:rsidP="002C5C1E">
      <w:pPr>
        <w:pStyle w:val="bbc-hhl7in"/>
        <w:shd w:val="clear" w:color="auto" w:fill="FDFDFD"/>
        <w:spacing w:before="0" w:beforeAutospacing="0" w:after="0" w:afterAutospacing="0"/>
        <w:jc w:val="both"/>
        <w:rPr>
          <w:b/>
          <w:color w:val="141414"/>
        </w:rPr>
      </w:pPr>
      <w:r w:rsidRPr="005A533F">
        <w:rPr>
          <w:b/>
          <w:color w:val="141414"/>
        </w:rPr>
        <w:t>Hemos asistido a una reestructuración del capitalismo. Básicamente, es un capitalismo que ya no obtiene sus beneficios de la producción. Obtiene la mayor parte de sus ganancias e ingresos de los préstamos y de la actividad financiera. Los beneficios del sistema financiero son mucho mayores que los de la producción de bienes.</w:t>
      </w:r>
    </w:p>
    <w:p w:rsidR="002C5C1E" w:rsidRPr="000F38A8" w:rsidRDefault="002C5C1E" w:rsidP="002C5C1E">
      <w:pPr>
        <w:pStyle w:val="bbc-1s1cxbv"/>
        <w:shd w:val="clear" w:color="auto" w:fill="FDFDFD"/>
        <w:spacing w:before="0" w:beforeAutospacing="0" w:after="0" w:afterAutospacing="0"/>
        <w:jc w:val="both"/>
        <w:rPr>
          <w:caps/>
          <w:color w:val="FFFFFF"/>
        </w:rPr>
      </w:pPr>
      <w:r>
        <w:rPr>
          <w:rStyle w:val="bbc-1gnhmg2"/>
          <w:caps/>
          <w:color w:val="FFFFFF"/>
        </w:rPr>
        <w:t>UENTE DE LA</w:t>
      </w:r>
    </w:p>
    <w:p w:rsidR="002C5C1E" w:rsidRDefault="002C5C1E" w:rsidP="002C5C1E">
      <w:pPr>
        <w:pStyle w:val="bbc-hhl7in"/>
        <w:shd w:val="clear" w:color="auto" w:fill="FDFDFD"/>
        <w:spacing w:before="0" w:beforeAutospacing="0" w:after="0" w:afterAutospacing="0"/>
        <w:jc w:val="both"/>
        <w:rPr>
          <w:b/>
          <w:bCs/>
          <w:color w:val="141414"/>
        </w:rPr>
      </w:pPr>
      <w:r w:rsidRPr="000F38A8">
        <w:rPr>
          <w:b/>
          <w:bCs/>
          <w:color w:val="141414"/>
        </w:rPr>
        <w:t>¿Estamos hablando de una nueva forma de esclavitud?</w:t>
      </w:r>
    </w:p>
    <w:p w:rsidR="002C5C1E" w:rsidRPr="000F38A8" w:rsidRDefault="002C5C1E" w:rsidP="002C5C1E">
      <w:pPr>
        <w:pStyle w:val="bbc-hhl7in"/>
        <w:shd w:val="clear" w:color="auto" w:fill="FDFDFD"/>
        <w:spacing w:before="0" w:beforeAutospacing="0" w:after="0" w:afterAutospacing="0"/>
        <w:jc w:val="both"/>
        <w:rPr>
          <w:color w:val="141414"/>
        </w:rPr>
      </w:pPr>
    </w:p>
    <w:p w:rsidR="002C5C1E" w:rsidRPr="005A533F" w:rsidRDefault="002C5C1E" w:rsidP="002C5C1E">
      <w:pPr>
        <w:pStyle w:val="bbc-hhl7in"/>
        <w:shd w:val="clear" w:color="auto" w:fill="FDFDFD"/>
        <w:spacing w:before="0" w:beforeAutospacing="0" w:after="0" w:afterAutospacing="0"/>
        <w:jc w:val="both"/>
        <w:rPr>
          <w:color w:val="FF0000"/>
          <w:u w:val="single"/>
        </w:rPr>
      </w:pPr>
      <w:r w:rsidRPr="000F38A8">
        <w:rPr>
          <w:color w:val="141414"/>
        </w:rPr>
        <w:t>Yo no usaría el término esclavitud porque tiene ciertas connotaciones, especialmente en este país.</w:t>
      </w:r>
      <w:r>
        <w:rPr>
          <w:color w:val="141414"/>
        </w:rPr>
        <w:t xml:space="preserve"> </w:t>
      </w:r>
      <w:r w:rsidRPr="000F38A8">
        <w:rPr>
          <w:color w:val="141414"/>
        </w:rPr>
        <w:t>Estos acreedores externos tienen un poder sobre ti que puede ser similar a la esclavitud, pero eso es solo un</w:t>
      </w:r>
      <w:r>
        <w:rPr>
          <w:color w:val="141414"/>
        </w:rPr>
        <w:t>a</w:t>
      </w:r>
      <w:r w:rsidRPr="000F38A8">
        <w:rPr>
          <w:color w:val="141414"/>
        </w:rPr>
        <w:t xml:space="preserve"> analogía.</w:t>
      </w:r>
      <w:r>
        <w:rPr>
          <w:color w:val="141414"/>
        </w:rPr>
        <w:t xml:space="preserve"> </w:t>
      </w:r>
      <w:r w:rsidRPr="005A533F">
        <w:rPr>
          <w:color w:val="FF0000"/>
          <w:u w:val="single"/>
        </w:rPr>
        <w:t>No usaría el término esclavitud, pero si es una servidumbre.</w:t>
      </w:r>
    </w:p>
    <w:p w:rsidR="002C5C1E" w:rsidRPr="000F38A8" w:rsidRDefault="002C5C1E" w:rsidP="002C5C1E">
      <w:pPr>
        <w:pStyle w:val="bbc-hhl7in"/>
        <w:shd w:val="clear" w:color="auto" w:fill="FDFDFD"/>
        <w:spacing w:before="0" w:beforeAutospacing="0" w:after="0" w:afterAutospacing="0"/>
        <w:jc w:val="both"/>
        <w:rPr>
          <w:color w:val="141414"/>
        </w:rPr>
      </w:pPr>
    </w:p>
    <w:p w:rsidR="002C5C1E" w:rsidRDefault="002C5C1E" w:rsidP="002C5C1E">
      <w:pPr>
        <w:pStyle w:val="bbc-hhl7in"/>
        <w:shd w:val="clear" w:color="auto" w:fill="FDFDFD"/>
        <w:spacing w:before="0" w:beforeAutospacing="0" w:after="0" w:afterAutospacing="0"/>
        <w:jc w:val="both"/>
        <w:rPr>
          <w:b/>
          <w:bCs/>
          <w:color w:val="141414"/>
        </w:rPr>
      </w:pPr>
      <w:r w:rsidRPr="000F38A8">
        <w:rPr>
          <w:b/>
          <w:bCs/>
          <w:color w:val="141414"/>
        </w:rPr>
        <w:t>¿Y es la gente realmente consciente de esta servidumbre?</w:t>
      </w:r>
    </w:p>
    <w:p w:rsidR="002C5C1E" w:rsidRPr="000F38A8" w:rsidRDefault="002C5C1E" w:rsidP="002C5C1E">
      <w:pPr>
        <w:pStyle w:val="bbc-hhl7in"/>
        <w:shd w:val="clear" w:color="auto" w:fill="FDFDFD"/>
        <w:spacing w:before="0" w:beforeAutospacing="0" w:after="0" w:afterAutospacing="0"/>
        <w:jc w:val="both"/>
        <w:rPr>
          <w:color w:val="141414"/>
        </w:rPr>
      </w:pPr>
    </w:p>
    <w:p w:rsidR="002C5C1E" w:rsidRDefault="002C5C1E" w:rsidP="002C5C1E">
      <w:pPr>
        <w:pStyle w:val="bbc-hhl7in"/>
        <w:shd w:val="clear" w:color="auto" w:fill="FDFDFD"/>
        <w:spacing w:before="0" w:beforeAutospacing="0" w:after="0" w:afterAutospacing="0"/>
        <w:jc w:val="both"/>
        <w:rPr>
          <w:color w:val="141414"/>
        </w:rPr>
      </w:pPr>
      <w:r w:rsidRPr="000F38A8">
        <w:rPr>
          <w:color w:val="141414"/>
        </w:rPr>
        <w:t>Creo que la gente es plenamente consciente de ello.</w:t>
      </w:r>
      <w:r>
        <w:rPr>
          <w:color w:val="141414"/>
        </w:rPr>
        <w:t xml:space="preserve"> </w:t>
      </w:r>
      <w:r w:rsidRPr="000F38A8">
        <w:rPr>
          <w:color w:val="141414"/>
        </w:rPr>
        <w:t>Sin embargo, hay un sentido muy profundo en nuestra cultura de que siempre tienes que pagar tus deudas.</w:t>
      </w:r>
      <w:r>
        <w:rPr>
          <w:color w:val="141414"/>
        </w:rPr>
        <w:t xml:space="preserve"> </w:t>
      </w:r>
      <w:r w:rsidRPr="000F38A8">
        <w:rPr>
          <w:color w:val="141414"/>
        </w:rPr>
        <w:t>Parece que si no pagas, algo horrible te sucederá.</w:t>
      </w:r>
      <w:r>
        <w:rPr>
          <w:color w:val="141414"/>
        </w:rPr>
        <w:t xml:space="preserve"> </w:t>
      </w:r>
      <w:r w:rsidRPr="000F38A8">
        <w:rPr>
          <w:color w:val="141414"/>
        </w:rPr>
        <w:t>Hay una fuerte corriente subyacente de moralidad asociada a no pagar tus deudas.</w:t>
      </w:r>
      <w:r>
        <w:rPr>
          <w:color w:val="141414"/>
        </w:rPr>
        <w:t xml:space="preserve"> </w:t>
      </w:r>
      <w:r w:rsidRPr="000F38A8">
        <w:rPr>
          <w:color w:val="141414"/>
        </w:rPr>
        <w:t>Esta debe ser una de las prioridades del ser humano responsable.</w:t>
      </w:r>
    </w:p>
    <w:p w:rsidR="002C5C1E" w:rsidRPr="000F38A8" w:rsidRDefault="002C5C1E" w:rsidP="002C5C1E">
      <w:pPr>
        <w:pStyle w:val="bbc-hhl7in"/>
        <w:shd w:val="clear" w:color="auto" w:fill="FDFDFD"/>
        <w:spacing w:before="0" w:beforeAutospacing="0" w:after="0" w:afterAutospacing="0"/>
        <w:jc w:val="both"/>
        <w:rPr>
          <w:color w:val="141414"/>
        </w:rPr>
      </w:pPr>
    </w:p>
    <w:p w:rsidR="002C5C1E" w:rsidRDefault="002C5C1E" w:rsidP="002C5C1E">
      <w:pPr>
        <w:pStyle w:val="bbc-hhl7in"/>
        <w:shd w:val="clear" w:color="auto" w:fill="FDFDFD"/>
        <w:spacing w:before="0" w:beforeAutospacing="0" w:after="0" w:afterAutospacing="0"/>
        <w:jc w:val="both"/>
        <w:rPr>
          <w:color w:val="141414"/>
        </w:rPr>
      </w:pPr>
      <w:r w:rsidRPr="000F38A8">
        <w:rPr>
          <w:color w:val="141414"/>
        </w:rPr>
        <w:t>Pero si miramos al sector financiero, encontramos organizaciones, entidades y empresas que no pagan sus deudas.</w:t>
      </w:r>
      <w:r>
        <w:rPr>
          <w:color w:val="141414"/>
        </w:rPr>
        <w:t xml:space="preserve"> </w:t>
      </w:r>
      <w:r w:rsidRPr="000F38A8">
        <w:rPr>
          <w:color w:val="141414"/>
        </w:rPr>
        <w:t>Las personas ricas y las instituciones son rescatadas por sus amigos o por los políticos. No sufren las mismas consecuencias que el resto de nosotros.</w:t>
      </w:r>
      <w:r>
        <w:rPr>
          <w:color w:val="141414"/>
        </w:rPr>
        <w:t xml:space="preserve"> </w:t>
      </w:r>
      <w:r w:rsidRPr="005A533F">
        <w:rPr>
          <w:color w:val="FF0000"/>
          <w:u w:val="single"/>
        </w:rPr>
        <w:t>Así que hay un doble estándar allí. La moralidad sólo funciona en una dirección. Los ricos piden préstamos para ganar más dinero. El resto de nosotros tomamos préstamos para sobrevivir</w:t>
      </w:r>
      <w:r w:rsidRPr="000F38A8">
        <w:rPr>
          <w:color w:val="141414"/>
        </w:rPr>
        <w:t>.</w:t>
      </w:r>
    </w:p>
    <w:p w:rsidR="002C5C1E" w:rsidRPr="000F38A8" w:rsidRDefault="002C5C1E" w:rsidP="002C5C1E">
      <w:pPr>
        <w:pStyle w:val="bbc-hhl7in"/>
        <w:shd w:val="clear" w:color="auto" w:fill="FDFDFD"/>
        <w:spacing w:before="0" w:beforeAutospacing="0" w:after="0" w:afterAutospacing="0"/>
        <w:jc w:val="both"/>
        <w:rPr>
          <w:color w:val="141414"/>
        </w:rPr>
      </w:pPr>
    </w:p>
    <w:p w:rsidR="002C5C1E" w:rsidRPr="00172EE1" w:rsidRDefault="002C5C1E" w:rsidP="002C5C1E">
      <w:pPr>
        <w:pStyle w:val="bbc-1s1cxbv"/>
        <w:shd w:val="clear" w:color="auto" w:fill="FDFDFD"/>
        <w:spacing w:before="0" w:beforeAutospacing="0" w:after="0" w:afterAutospacing="0"/>
        <w:jc w:val="both"/>
        <w:rPr>
          <w:caps/>
          <w:color w:val="FFFFFF"/>
        </w:rPr>
      </w:pPr>
      <w:r w:rsidRPr="000F38A8">
        <w:rPr>
          <w:b/>
          <w:bCs/>
          <w:color w:val="141414"/>
        </w:rPr>
        <w:t>¿Por eso dice en su libro que cuando un gobierno no puede proteger a su gente de los daños infligidos por los extractores de rentas, entonces la negativa a pagar es un acto de desobediencia civil?</w:t>
      </w:r>
    </w:p>
    <w:p w:rsidR="002C5C1E" w:rsidRPr="000F38A8" w:rsidRDefault="002C5C1E" w:rsidP="002C5C1E">
      <w:pPr>
        <w:pStyle w:val="bbc-hhl7in"/>
        <w:shd w:val="clear" w:color="auto" w:fill="FDFDFD"/>
        <w:spacing w:before="0" w:beforeAutospacing="0" w:after="0" w:afterAutospacing="0"/>
        <w:jc w:val="both"/>
        <w:rPr>
          <w:color w:val="141414"/>
        </w:rPr>
      </w:pPr>
    </w:p>
    <w:p w:rsidR="002C5C1E" w:rsidRDefault="002C5C1E" w:rsidP="002C5C1E">
      <w:pPr>
        <w:pStyle w:val="bbc-hhl7in"/>
        <w:shd w:val="clear" w:color="auto" w:fill="FDFDFD"/>
        <w:spacing w:before="0" w:beforeAutospacing="0" w:after="0" w:afterAutospacing="0"/>
        <w:jc w:val="both"/>
        <w:rPr>
          <w:color w:val="141414"/>
        </w:rPr>
      </w:pPr>
      <w:r w:rsidRPr="000F38A8">
        <w:rPr>
          <w:color w:val="141414"/>
        </w:rPr>
        <w:t>Si su gobierno no puede proteger a sus ciudadanos del daño, entonces estás viviendo en una democracia fallida.</w:t>
      </w:r>
      <w:r>
        <w:rPr>
          <w:color w:val="141414"/>
        </w:rPr>
        <w:t xml:space="preserve"> </w:t>
      </w:r>
      <w:r w:rsidRPr="000F38A8">
        <w:rPr>
          <w:color w:val="141414"/>
        </w:rPr>
        <w:t>Y hemos visto una serie de movimientos sociales que se han levantado en contra de eso en muchos países, especialmente en América Latina.</w:t>
      </w:r>
      <w:r>
        <w:rPr>
          <w:color w:val="141414"/>
        </w:rPr>
        <w:t xml:space="preserve"> </w:t>
      </w:r>
      <w:r w:rsidRPr="000F38A8">
        <w:rPr>
          <w:color w:val="141414"/>
        </w:rPr>
        <w:t>Y esos son momentos en los que están perfectamente justificados porque los gobiernos no los están protegiendo.</w:t>
      </w:r>
    </w:p>
    <w:p w:rsidR="002C5C1E" w:rsidRPr="000F38A8" w:rsidRDefault="002C5C1E" w:rsidP="002C5C1E">
      <w:pPr>
        <w:pStyle w:val="bbc-hhl7in"/>
        <w:shd w:val="clear" w:color="auto" w:fill="FDFDFD"/>
        <w:spacing w:before="0" w:beforeAutospacing="0" w:after="0" w:afterAutospacing="0"/>
        <w:jc w:val="both"/>
        <w:rPr>
          <w:color w:val="141414"/>
        </w:rPr>
      </w:pPr>
    </w:p>
    <w:p w:rsidR="002C5C1E" w:rsidRDefault="002C5C1E" w:rsidP="002C5C1E">
      <w:pPr>
        <w:pStyle w:val="bbc-hhl7in"/>
        <w:shd w:val="clear" w:color="auto" w:fill="FDFDFD"/>
        <w:spacing w:before="0" w:beforeAutospacing="0" w:after="0" w:afterAutospacing="0"/>
        <w:jc w:val="both"/>
        <w:rPr>
          <w:color w:val="141414"/>
        </w:rPr>
      </w:pPr>
      <w:r w:rsidRPr="000F38A8">
        <w:rPr>
          <w:color w:val="141414"/>
        </w:rPr>
        <w:t>La primera prioridad de un gobierno es proteger a la ciudadanía y si no puede, entonces los ciudadanos tienen que tomar el asunto en sus propias manos.</w:t>
      </w:r>
      <w:r>
        <w:rPr>
          <w:color w:val="141414"/>
        </w:rPr>
        <w:t xml:space="preserve"> </w:t>
      </w:r>
      <w:r w:rsidRPr="000F38A8">
        <w:rPr>
          <w:color w:val="141414"/>
        </w:rPr>
        <w:t>Pero el dolor por no cumplir con los pagos al Fondo Monetario Internacional será interminable.</w:t>
      </w:r>
    </w:p>
    <w:p w:rsidR="002C5C1E" w:rsidRPr="000F38A8" w:rsidRDefault="002C5C1E" w:rsidP="002C5C1E">
      <w:pPr>
        <w:pStyle w:val="bbc-hhl7in"/>
        <w:shd w:val="clear" w:color="auto" w:fill="FDFDFD"/>
        <w:spacing w:before="0" w:beforeAutospacing="0" w:after="0" w:afterAutospacing="0"/>
        <w:jc w:val="both"/>
        <w:rPr>
          <w:color w:val="141414"/>
        </w:rPr>
      </w:pPr>
    </w:p>
    <w:p w:rsidR="002C5C1E" w:rsidRDefault="002C5C1E" w:rsidP="002C5C1E">
      <w:pPr>
        <w:pStyle w:val="bbc-hhl7in"/>
        <w:shd w:val="clear" w:color="auto" w:fill="FDFDFD"/>
        <w:spacing w:before="0" w:beforeAutospacing="0" w:after="0" w:afterAutospacing="0"/>
        <w:jc w:val="both"/>
        <w:rPr>
          <w:color w:val="141414"/>
        </w:rPr>
      </w:pPr>
      <w:r w:rsidRPr="000F38A8">
        <w:rPr>
          <w:color w:val="141414"/>
        </w:rPr>
        <w:lastRenderedPageBreak/>
        <w:t>Los países que deciden no hacerlo o no pueden, pierden acceso a los mercados internacionales, su reputación y su rating queda dañado…</w:t>
      </w:r>
      <w:r>
        <w:rPr>
          <w:color w:val="141414"/>
        </w:rPr>
        <w:t xml:space="preserve"> </w:t>
      </w:r>
      <w:r w:rsidRPr="000F38A8">
        <w:rPr>
          <w:color w:val="141414"/>
        </w:rPr>
        <w:t>Por supuesto. Es algo arriesgado que los países lo hagan por su cuenta, al igual que es arriesgado para las personas porque sus calificaciones crediticias se ven afectadas.</w:t>
      </w:r>
    </w:p>
    <w:p w:rsidR="002C5C1E" w:rsidRPr="000F38A8" w:rsidRDefault="002C5C1E" w:rsidP="002C5C1E">
      <w:pPr>
        <w:pStyle w:val="bbc-hhl7in"/>
        <w:shd w:val="clear" w:color="auto" w:fill="FDFDFD"/>
        <w:spacing w:before="0" w:beforeAutospacing="0" w:after="0" w:afterAutospacing="0"/>
        <w:jc w:val="both"/>
        <w:rPr>
          <w:color w:val="141414"/>
        </w:rPr>
      </w:pPr>
    </w:p>
    <w:p w:rsidR="002C5C1E" w:rsidRDefault="002C5C1E" w:rsidP="002C5C1E">
      <w:pPr>
        <w:pStyle w:val="bbc-hhl7in"/>
        <w:shd w:val="clear" w:color="auto" w:fill="FDFDFD"/>
        <w:spacing w:before="0" w:beforeAutospacing="0" w:after="0" w:afterAutospacing="0"/>
        <w:jc w:val="both"/>
        <w:rPr>
          <w:color w:val="141414"/>
        </w:rPr>
      </w:pPr>
      <w:r w:rsidRPr="000F38A8">
        <w:rPr>
          <w:color w:val="141414"/>
        </w:rPr>
        <w:t>Y por eso en el movimiento del que soy parte -Debt Collective Union- promovemos la desobediencia colectiva, no la desobediencia individual.</w:t>
      </w:r>
      <w:r>
        <w:rPr>
          <w:color w:val="141414"/>
        </w:rPr>
        <w:t xml:space="preserve"> </w:t>
      </w:r>
      <w:r w:rsidRPr="000F38A8">
        <w:rPr>
          <w:color w:val="141414"/>
        </w:rPr>
        <w:t>Como un individuo, si vas a un banco o a tu acreedor, siempre están dispuestos a renegociar contigo de forma individual, pero no negociarán contigo de forma colectiva.</w:t>
      </w:r>
    </w:p>
    <w:p w:rsidR="002C5C1E" w:rsidRPr="000F38A8" w:rsidRDefault="002C5C1E" w:rsidP="002C5C1E">
      <w:pPr>
        <w:pStyle w:val="bbc-hhl7in"/>
        <w:shd w:val="clear" w:color="auto" w:fill="FDFDFD"/>
        <w:spacing w:before="0" w:beforeAutospacing="0" w:after="0" w:afterAutospacing="0"/>
        <w:jc w:val="both"/>
        <w:rPr>
          <w:color w:val="141414"/>
        </w:rPr>
      </w:pPr>
    </w:p>
    <w:p w:rsidR="002C5C1E" w:rsidRDefault="002C5C1E" w:rsidP="002C5C1E">
      <w:pPr>
        <w:pStyle w:val="bbc-hhl7in"/>
        <w:shd w:val="clear" w:color="auto" w:fill="FDFDFD"/>
        <w:spacing w:before="0" w:beforeAutospacing="0" w:after="0" w:afterAutospacing="0"/>
        <w:jc w:val="both"/>
        <w:rPr>
          <w:color w:val="141414"/>
        </w:rPr>
      </w:pPr>
      <w:r w:rsidRPr="000F38A8">
        <w:rPr>
          <w:color w:val="141414"/>
        </w:rPr>
        <w:t>Esto también ocurre a nivel de la deuda nacional.</w:t>
      </w:r>
      <w:r>
        <w:rPr>
          <w:color w:val="141414"/>
        </w:rPr>
        <w:t xml:space="preserve"> </w:t>
      </w:r>
      <w:r w:rsidRPr="000F38A8">
        <w:rPr>
          <w:color w:val="141414"/>
        </w:rPr>
        <w:t>Si quieres renegociar una deuda con el Club de París, solo te verá individualmente.</w:t>
      </w:r>
      <w:r>
        <w:rPr>
          <w:color w:val="141414"/>
        </w:rPr>
        <w:t xml:space="preserve"> </w:t>
      </w:r>
      <w:r w:rsidRPr="000F38A8">
        <w:rPr>
          <w:color w:val="141414"/>
        </w:rPr>
        <w:t>Si te juntas con otras naciones no te atenderán.</w:t>
      </w:r>
      <w:r w:rsidR="002F4074">
        <w:rPr>
          <w:color w:val="141414"/>
        </w:rPr>
        <w:t xml:space="preserve"> </w:t>
      </w:r>
      <w:r w:rsidRPr="000F38A8">
        <w:rPr>
          <w:color w:val="141414"/>
        </w:rPr>
        <w:t>Si un grupo de naciones en la misma trágica circunstancia se uniera y actuara en conjunto, entonces sería más poderoso.</w:t>
      </w:r>
    </w:p>
    <w:p w:rsidR="002C5C1E" w:rsidRPr="000F38A8" w:rsidRDefault="002C5C1E" w:rsidP="002C5C1E">
      <w:pPr>
        <w:pStyle w:val="bbc-hhl7in"/>
        <w:shd w:val="clear" w:color="auto" w:fill="FDFDFD"/>
        <w:spacing w:before="0" w:beforeAutospacing="0" w:after="0" w:afterAutospacing="0"/>
        <w:jc w:val="both"/>
        <w:rPr>
          <w:color w:val="141414"/>
        </w:rPr>
      </w:pPr>
    </w:p>
    <w:p w:rsidR="002C5C1E" w:rsidRPr="000F38A8" w:rsidRDefault="002C5C1E" w:rsidP="002C5C1E">
      <w:pPr>
        <w:shd w:val="clear" w:color="auto" w:fill="FDFDFD"/>
        <w:jc w:val="both"/>
        <w:rPr>
          <w:rFonts w:ascii="Times New Roman" w:hAnsi="Times New Roman" w:cs="Times New Roman"/>
          <w:color w:val="000000"/>
          <w:sz w:val="24"/>
          <w:szCs w:val="24"/>
        </w:rPr>
      </w:pPr>
      <w:r w:rsidRPr="000F38A8">
        <w:rPr>
          <w:rFonts w:ascii="Times New Roman" w:hAnsi="Times New Roman" w:cs="Times New Roman"/>
          <w:noProof/>
          <w:color w:val="000000"/>
          <w:sz w:val="24"/>
          <w:szCs w:val="24"/>
          <w:lang w:eastAsia="es-ES"/>
        </w:rPr>
        <w:drawing>
          <wp:inline distT="0" distB="0" distL="0" distR="0" wp14:anchorId="130FA501" wp14:editId="5A39DEC5">
            <wp:extent cx="5568950" cy="2794000"/>
            <wp:effectExtent l="0" t="0" r="0" b="6350"/>
            <wp:docPr id="70" name="Imagen 70" descr="Un hombre pidiendo dinero enfrente de un caje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Un hombre pidiendo dinero enfrente de un cajero."/>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568950" cy="2794000"/>
                    </a:xfrm>
                    <a:prstGeom prst="rect">
                      <a:avLst/>
                    </a:prstGeom>
                    <a:noFill/>
                    <a:ln>
                      <a:noFill/>
                    </a:ln>
                  </pic:spPr>
                </pic:pic>
              </a:graphicData>
            </a:graphic>
          </wp:inline>
        </w:drawing>
      </w:r>
    </w:p>
    <w:p w:rsidR="002C5C1E" w:rsidRPr="000F38A8" w:rsidRDefault="002C5C1E" w:rsidP="002C5C1E">
      <w:pPr>
        <w:pStyle w:val="bbc-1s1cxbv"/>
        <w:shd w:val="clear" w:color="auto" w:fill="FDFDFD"/>
        <w:spacing w:before="0" w:beforeAutospacing="0" w:after="0" w:afterAutospacing="0"/>
        <w:jc w:val="both"/>
        <w:rPr>
          <w:caps/>
          <w:color w:val="FFFFFF"/>
        </w:rPr>
      </w:pPr>
      <w:r>
        <w:rPr>
          <w:rStyle w:val="bbc-1gnhmg2"/>
          <w:caps/>
          <w:color w:val="FFFFFF"/>
        </w:rPr>
        <w:t>FUENTE DE L</w:t>
      </w:r>
    </w:p>
    <w:p w:rsidR="002C5C1E" w:rsidRDefault="002C5C1E" w:rsidP="002C5C1E">
      <w:pPr>
        <w:pStyle w:val="bbc-hhl7in"/>
        <w:shd w:val="clear" w:color="auto" w:fill="FDFDFD"/>
        <w:spacing w:before="0" w:beforeAutospacing="0" w:after="0" w:afterAutospacing="0"/>
        <w:jc w:val="both"/>
        <w:rPr>
          <w:b/>
          <w:bCs/>
          <w:color w:val="141414"/>
        </w:rPr>
      </w:pPr>
      <w:r w:rsidRPr="000F38A8">
        <w:rPr>
          <w:b/>
          <w:bCs/>
          <w:color w:val="141414"/>
        </w:rPr>
        <w:t>¿Cómo podemos escapar de esta rueda de crédito?</w:t>
      </w:r>
    </w:p>
    <w:p w:rsidR="002C5C1E" w:rsidRPr="000F38A8" w:rsidRDefault="002C5C1E" w:rsidP="002C5C1E">
      <w:pPr>
        <w:pStyle w:val="bbc-hhl7in"/>
        <w:shd w:val="clear" w:color="auto" w:fill="FDFDFD"/>
        <w:spacing w:before="0" w:beforeAutospacing="0" w:after="0" w:afterAutospacing="0"/>
        <w:jc w:val="both"/>
        <w:rPr>
          <w:color w:val="141414"/>
        </w:rPr>
      </w:pPr>
    </w:p>
    <w:p w:rsidR="002C5C1E" w:rsidRDefault="002C5C1E" w:rsidP="002C5C1E">
      <w:pPr>
        <w:pStyle w:val="bbc-hhl7in"/>
        <w:shd w:val="clear" w:color="auto" w:fill="FDFDFD"/>
        <w:spacing w:before="0" w:beforeAutospacing="0" w:after="0" w:afterAutospacing="0"/>
        <w:jc w:val="both"/>
        <w:rPr>
          <w:color w:val="141414"/>
        </w:rPr>
      </w:pPr>
      <w:r w:rsidRPr="000F38A8">
        <w:rPr>
          <w:color w:val="141414"/>
        </w:rPr>
        <w:t>A corto plazo, promovemos, como decía, la acción colectiva.</w:t>
      </w:r>
      <w:r w:rsidR="002F4074">
        <w:rPr>
          <w:color w:val="141414"/>
        </w:rPr>
        <w:t xml:space="preserve"> </w:t>
      </w:r>
      <w:r w:rsidRPr="000F38A8">
        <w:rPr>
          <w:color w:val="141414"/>
        </w:rPr>
        <w:t>Las personas que actúan juntas tienen mucho más poder en una economía financiarizada que los individuos.</w:t>
      </w:r>
      <w:r w:rsidR="002F4074">
        <w:rPr>
          <w:color w:val="141414"/>
        </w:rPr>
        <w:t xml:space="preserve"> </w:t>
      </w:r>
      <w:r w:rsidRPr="000F38A8">
        <w:rPr>
          <w:color w:val="141414"/>
        </w:rPr>
        <w:t>Si le debes un millón de dólares al banco, entonces estás en problemas.</w:t>
      </w:r>
      <w:r w:rsidR="002F4074">
        <w:rPr>
          <w:color w:val="141414"/>
        </w:rPr>
        <w:t xml:space="preserve"> </w:t>
      </w:r>
      <w:r w:rsidRPr="000F38A8">
        <w:rPr>
          <w:color w:val="141414"/>
        </w:rPr>
        <w:t>Pero si le debes al banco colectivamente, si le debes al banco US$100 millones, entonces eres dueño del banco.</w:t>
      </w:r>
    </w:p>
    <w:p w:rsidR="002C5C1E" w:rsidRPr="000F38A8" w:rsidRDefault="002C5C1E" w:rsidP="002C5C1E">
      <w:pPr>
        <w:pStyle w:val="bbc-hhl7in"/>
        <w:shd w:val="clear" w:color="auto" w:fill="FDFDFD"/>
        <w:spacing w:before="0" w:beforeAutospacing="0" w:after="0" w:afterAutospacing="0"/>
        <w:jc w:val="both"/>
        <w:rPr>
          <w:color w:val="141414"/>
        </w:rPr>
      </w:pPr>
    </w:p>
    <w:p w:rsidR="002C5C1E" w:rsidRDefault="002C5C1E" w:rsidP="002C5C1E">
      <w:pPr>
        <w:pStyle w:val="bbc-hhl7in"/>
        <w:shd w:val="clear" w:color="auto" w:fill="FDFDFD"/>
        <w:spacing w:before="0" w:beforeAutospacing="0" w:after="0" w:afterAutospacing="0"/>
        <w:jc w:val="both"/>
        <w:rPr>
          <w:b/>
          <w:bCs/>
          <w:color w:val="141414"/>
        </w:rPr>
      </w:pPr>
      <w:r w:rsidRPr="000F38A8">
        <w:rPr>
          <w:b/>
          <w:bCs/>
          <w:color w:val="141414"/>
        </w:rPr>
        <w:t>¿Crees que es posible que los bancos y las entidades financieras tengan demasiado poder en este momento que es imposible controlar eso?</w:t>
      </w:r>
    </w:p>
    <w:p w:rsidR="002C5C1E" w:rsidRPr="000F38A8" w:rsidRDefault="002C5C1E" w:rsidP="002C5C1E">
      <w:pPr>
        <w:pStyle w:val="bbc-hhl7in"/>
        <w:shd w:val="clear" w:color="auto" w:fill="FDFDFD"/>
        <w:spacing w:before="0" w:beforeAutospacing="0" w:after="0" w:afterAutospacing="0"/>
        <w:jc w:val="both"/>
        <w:rPr>
          <w:color w:val="141414"/>
        </w:rPr>
      </w:pPr>
    </w:p>
    <w:p w:rsidR="002C5C1E" w:rsidRPr="005A533F" w:rsidRDefault="002C5C1E" w:rsidP="002C5C1E">
      <w:pPr>
        <w:pStyle w:val="bbc-hhl7in"/>
        <w:shd w:val="clear" w:color="auto" w:fill="FDFDFD"/>
        <w:spacing w:before="0" w:beforeAutospacing="0" w:after="0" w:afterAutospacing="0"/>
        <w:jc w:val="both"/>
        <w:rPr>
          <w:color w:val="FF0000"/>
          <w:u w:val="single"/>
        </w:rPr>
      </w:pPr>
      <w:r w:rsidRPr="005A533F">
        <w:rPr>
          <w:color w:val="FF0000"/>
          <w:u w:val="single"/>
        </w:rPr>
        <w:t>Bueno, definitivamente tienen demasiado poder y la regulación es parte de eso.</w:t>
      </w:r>
      <w:r w:rsidR="002F4074" w:rsidRPr="005A533F">
        <w:rPr>
          <w:color w:val="FF0000"/>
          <w:u w:val="single"/>
        </w:rPr>
        <w:t xml:space="preserve"> </w:t>
      </w:r>
      <w:r w:rsidRPr="005A533F">
        <w:rPr>
          <w:color w:val="FF0000"/>
          <w:u w:val="single"/>
        </w:rPr>
        <w:t>Estos no son dos temas se</w:t>
      </w:r>
      <w:r w:rsidR="0018621F">
        <w:rPr>
          <w:color w:val="FF0000"/>
          <w:u w:val="single"/>
        </w:rPr>
        <w:t>parados: tienen mucho poder por</w:t>
      </w:r>
      <w:bookmarkStart w:id="0" w:name="_GoBack"/>
      <w:bookmarkEnd w:id="0"/>
      <w:r w:rsidRPr="005A533F">
        <w:rPr>
          <w:color w:val="FF0000"/>
          <w:u w:val="single"/>
        </w:rPr>
        <w:t>que no están regulados.</w:t>
      </w:r>
      <w:r w:rsidR="002F4074" w:rsidRPr="005A533F">
        <w:rPr>
          <w:color w:val="FF0000"/>
          <w:u w:val="single"/>
        </w:rPr>
        <w:t xml:space="preserve"> </w:t>
      </w:r>
      <w:r w:rsidRPr="005A533F">
        <w:rPr>
          <w:color w:val="FF0000"/>
          <w:u w:val="single"/>
        </w:rPr>
        <w:t>Creo que, en última instancia, estamos más interesados en empoderar a la gente común y a la gente común para que actúe por sí mismos en lugar de depender de los políticos para que hagan todo el trabajo.</w:t>
      </w:r>
    </w:p>
    <w:p w:rsidR="002C5C1E" w:rsidRPr="005A533F" w:rsidRDefault="002C5C1E" w:rsidP="002C5C1E">
      <w:pPr>
        <w:pStyle w:val="bbc-hhl7in"/>
        <w:shd w:val="clear" w:color="auto" w:fill="FDFDFD"/>
        <w:spacing w:before="0" w:beforeAutospacing="0" w:after="0" w:afterAutospacing="0"/>
        <w:jc w:val="both"/>
        <w:rPr>
          <w:color w:val="FF0000"/>
          <w:u w:val="single"/>
        </w:rPr>
      </w:pPr>
      <w:r w:rsidRPr="005A533F">
        <w:rPr>
          <w:color w:val="FF0000"/>
          <w:u w:val="single"/>
        </w:rPr>
        <w:t>Porque los funcionarios electos tenían muchas oportunidades de controlar el poder de la comunidad financiera. Y está claro que no han sido capaces de hacerlo. Los acreedores son demasiado poderosos.</w:t>
      </w:r>
    </w:p>
    <w:p w:rsidR="002C5C1E" w:rsidRPr="000D5D9C" w:rsidRDefault="002C5C1E" w:rsidP="002C5C1E">
      <w:pPr>
        <w:pStyle w:val="NormalWeb"/>
        <w:spacing w:after="0"/>
        <w:jc w:val="both"/>
        <w:rPr>
          <w:shd w:val="clear" w:color="auto" w:fill="FFFFFF"/>
        </w:rPr>
      </w:pPr>
      <w:r w:rsidRPr="001E4CD8">
        <w:rPr>
          <w:shd w:val="clear" w:color="auto" w:fill="FFFFFF"/>
        </w:rPr>
        <w:lastRenderedPageBreak/>
        <w:t>-</w:t>
      </w:r>
      <w:r>
        <w:rPr>
          <w:color w:val="FF0000"/>
          <w:shd w:val="clear" w:color="auto" w:fill="FFFFFF"/>
        </w:rPr>
        <w:t xml:space="preserve"> </w:t>
      </w:r>
      <w:r w:rsidRPr="000D5D9C">
        <w:rPr>
          <w:u w:val="single"/>
          <w:shd w:val="clear" w:color="auto" w:fill="FFFFFF"/>
        </w:rPr>
        <w:t>Los gobiernos se están convirtiendo en los nuevos bancos centrales</w:t>
      </w:r>
      <w:r>
        <w:rPr>
          <w:shd w:val="clear" w:color="auto" w:fill="FFFFFF"/>
        </w:rPr>
        <w:t xml:space="preserve"> (El Confidencial - </w:t>
      </w:r>
      <w:r w:rsidRPr="000D5D9C">
        <w:rPr>
          <w:b/>
          <w:shd w:val="clear" w:color="auto" w:fill="FFFFFF"/>
        </w:rPr>
        <w:t>26/10/22</w:t>
      </w:r>
      <w:r>
        <w:rPr>
          <w:shd w:val="clear" w:color="auto" w:fill="FFFFFF"/>
        </w:rPr>
        <w:t>)</w:t>
      </w:r>
    </w:p>
    <w:p w:rsidR="002C5C1E" w:rsidRPr="006850D0" w:rsidRDefault="002F4074" w:rsidP="002C5C1E">
      <w:pPr>
        <w:pStyle w:val="NormalWeb"/>
        <w:spacing w:after="0"/>
        <w:jc w:val="both"/>
        <w:rPr>
          <w:color w:val="FF0000"/>
          <w:shd w:val="clear" w:color="auto" w:fill="FFFFFF"/>
        </w:rPr>
      </w:pPr>
      <w:r>
        <w:rPr>
          <w:color w:val="FF0000"/>
          <w:shd w:val="clear" w:color="auto" w:fill="FFFFFF"/>
        </w:rPr>
        <w:t>Ya están armando el “relato”</w:t>
      </w:r>
      <w:r w:rsidR="002C5C1E" w:rsidRPr="006850D0">
        <w:rPr>
          <w:color w:val="FF0000"/>
          <w:shd w:val="clear" w:color="auto" w:fill="FFFFFF"/>
        </w:rPr>
        <w:t xml:space="preserve"> que permita ampliar la máquina de fabricar deuda. P</w:t>
      </w:r>
      <w:r>
        <w:rPr>
          <w:color w:val="FF0000"/>
          <w:shd w:val="clear" w:color="auto" w:fill="FFFFFF"/>
        </w:rPr>
        <w:t>or eso ahora se habla tanto de “mutualizar” la deuda, de emisiones “conjuntas”</w:t>
      </w:r>
      <w:r w:rsidR="002C5C1E" w:rsidRPr="006850D0">
        <w:rPr>
          <w:color w:val="FF0000"/>
          <w:shd w:val="clear" w:color="auto" w:fill="FFFFFF"/>
        </w:rPr>
        <w:t>, etc</w:t>
      </w:r>
      <w:r w:rsidR="0030344B">
        <w:rPr>
          <w:color w:val="FF0000"/>
          <w:shd w:val="clear" w:color="auto" w:fill="FFFFFF"/>
        </w:rPr>
        <w:t>.</w:t>
      </w:r>
    </w:p>
    <w:p w:rsidR="002C5C1E" w:rsidRPr="000D5D9C" w:rsidRDefault="002C5C1E" w:rsidP="002C5C1E">
      <w:pPr>
        <w:pStyle w:val="NormalWeb"/>
        <w:spacing w:after="0"/>
        <w:jc w:val="both"/>
        <w:rPr>
          <w:shd w:val="clear" w:color="auto" w:fill="FFFFFF"/>
        </w:rPr>
      </w:pPr>
      <w:r>
        <w:rPr>
          <w:shd w:val="clear" w:color="auto" w:fill="FFFFFF"/>
        </w:rPr>
        <w:t>(</w:t>
      </w:r>
      <w:r w:rsidRPr="000D5D9C">
        <w:rPr>
          <w:shd w:val="clear" w:color="auto" w:fill="FFFFFF"/>
        </w:rPr>
        <w:t>Por Víctor Alvargonzález</w:t>
      </w:r>
      <w:r>
        <w:rPr>
          <w:shd w:val="clear" w:color="auto" w:fill="FFFFFF"/>
        </w:rPr>
        <w:t>)</w:t>
      </w:r>
    </w:p>
    <w:p w:rsidR="002C5C1E" w:rsidRPr="006850D0" w:rsidRDefault="002C5C1E" w:rsidP="002C5C1E">
      <w:pPr>
        <w:pStyle w:val="NormalWeb"/>
        <w:spacing w:after="0"/>
        <w:jc w:val="both"/>
        <w:rPr>
          <w:u w:val="single"/>
          <w:shd w:val="clear" w:color="auto" w:fill="FFFFFF"/>
        </w:rPr>
      </w:pPr>
      <w:r w:rsidRPr="000D5D9C">
        <w:rPr>
          <w:shd w:val="clear" w:color="auto" w:fill="FFFFFF"/>
        </w:rPr>
        <w:t xml:space="preserve">¿Nos quejamos de Lagarde? Pues ya verán cuando en su lugar estén Sánchez, Scholz, Macron y Meloni. Bueno, en realidad ya lo están. </w:t>
      </w:r>
      <w:r w:rsidRPr="006850D0">
        <w:rPr>
          <w:color w:val="FF0000"/>
          <w:u w:val="single"/>
          <w:shd w:val="clear" w:color="auto" w:fill="FFFFFF"/>
        </w:rPr>
        <w:t>Los políticos han visto que no pueden apretar más a los banqueros centrales para que sigan fabricando dinero -que era la fórmula para solucionar cualquier problema-, pero han descubierto otra fórmula infalible: fabricarlo ellos</w:t>
      </w:r>
      <w:r w:rsidRPr="000D5D9C">
        <w:rPr>
          <w:shd w:val="clear" w:color="auto" w:fill="FFFFFF"/>
        </w:rPr>
        <w:t xml:space="preserve">. </w:t>
      </w:r>
      <w:r w:rsidR="005A533F">
        <w:rPr>
          <w:u w:val="single"/>
          <w:shd w:val="clear" w:color="auto" w:fill="FFFFFF"/>
        </w:rPr>
        <w:t>Como todas las ideas “brillantes”</w:t>
      </w:r>
      <w:r w:rsidRPr="006850D0">
        <w:rPr>
          <w:u w:val="single"/>
          <w:shd w:val="clear" w:color="auto" w:fill="FFFFFF"/>
        </w:rPr>
        <w:t xml:space="preserve"> (es ironía), esta es muy simple: los gobiernos no pueden fabricar dinero, pero pueden pedirlo a crédito. En lugar de fabricar dinero, pueden fabricar bonos y cambiarlos por dinero.</w:t>
      </w:r>
      <w:r w:rsidRPr="000D5D9C">
        <w:rPr>
          <w:shd w:val="clear" w:color="auto" w:fill="FFFFFF"/>
        </w:rPr>
        <w:t xml:space="preserve"> </w:t>
      </w:r>
      <w:r w:rsidRPr="006850D0">
        <w:rPr>
          <w:u w:val="single"/>
          <w:shd w:val="clear" w:color="auto" w:fill="FFFFFF"/>
        </w:rPr>
        <w:t>Ya lo sabían, pero se han dado cuenta de que, con un buen relato detrás y un buen aparato de propaganda</w:t>
      </w:r>
      <w:r w:rsidR="001D02F7">
        <w:rPr>
          <w:u w:val="single"/>
          <w:shd w:val="clear" w:color="auto" w:fill="FFFFFF"/>
        </w:rPr>
        <w:t>,</w:t>
      </w:r>
      <w:r w:rsidRPr="006850D0">
        <w:rPr>
          <w:u w:val="single"/>
          <w:shd w:val="clear" w:color="auto" w:fill="FFFFFF"/>
        </w:rPr>
        <w:t xml:space="preserve"> pueden estirar mucho más el chicle que sus antecesores. Y también el de su capacidad de dirigir la asignación de recursos del sistema financiero.</w:t>
      </w:r>
    </w:p>
    <w:p w:rsidR="002C5C1E" w:rsidRPr="006850D0" w:rsidRDefault="002C5C1E" w:rsidP="002C5C1E">
      <w:pPr>
        <w:pStyle w:val="NormalWeb"/>
        <w:spacing w:after="0"/>
        <w:jc w:val="both"/>
        <w:rPr>
          <w:u w:val="single"/>
          <w:shd w:val="clear" w:color="auto" w:fill="FFFFFF"/>
        </w:rPr>
      </w:pPr>
      <w:r w:rsidRPr="006850D0">
        <w:rPr>
          <w:u w:val="single"/>
          <w:shd w:val="clear" w:color="auto" w:fill="FFFFFF"/>
        </w:rPr>
        <w:t>Todo el mundo sabe que la deuda pública española o de cualquier otro país de la Unión Europea no hace más que aumentar desde hace años. Y nadie se queja. Y como los políticos han comprobado que el mercado parece no tener problema en comprar toda la deuda que emiten, ancha es Castill</w:t>
      </w:r>
      <w:r w:rsidR="002F4074">
        <w:rPr>
          <w:u w:val="single"/>
          <w:shd w:val="clear" w:color="auto" w:fill="FFFFFF"/>
        </w:rPr>
        <w:t>a. Así que ya están armando el “relato”</w:t>
      </w:r>
      <w:r w:rsidRPr="006850D0">
        <w:rPr>
          <w:u w:val="single"/>
          <w:shd w:val="clear" w:color="auto" w:fill="FFFFFF"/>
        </w:rPr>
        <w:t xml:space="preserve"> que permita ampliar la máquina de fabricar deuda. P</w:t>
      </w:r>
      <w:r w:rsidR="002F4074">
        <w:rPr>
          <w:u w:val="single"/>
          <w:shd w:val="clear" w:color="auto" w:fill="FFFFFF"/>
        </w:rPr>
        <w:t>or eso ahora se habla tanto de “mutualizar”</w:t>
      </w:r>
      <w:r w:rsidRPr="006850D0">
        <w:rPr>
          <w:u w:val="single"/>
          <w:shd w:val="clear" w:color="auto" w:fill="FFFFFF"/>
        </w:rPr>
        <w:t xml:space="preserve"> la deuda, de emisiones</w:t>
      </w:r>
      <w:r w:rsidR="002F4074">
        <w:rPr>
          <w:u w:val="single"/>
          <w:shd w:val="clear" w:color="auto" w:fill="FFFFFF"/>
        </w:rPr>
        <w:t xml:space="preserve"> “conjuntas”</w:t>
      </w:r>
      <w:r w:rsidRPr="006850D0">
        <w:rPr>
          <w:u w:val="single"/>
          <w:shd w:val="clear" w:color="auto" w:fill="FFFFFF"/>
        </w:rPr>
        <w:t>, etc. Por ejemplo: España, por si sola, no puede pretender alcanzar el ratio Deuda Pública / PIB de Japón (230 %). Pero si la deuda española se empaqueta junto con la del resto de la Unión Europea, la cosa cambia. O por lo menos esa es la idea.</w:t>
      </w:r>
    </w:p>
    <w:p w:rsidR="002C5C1E" w:rsidRPr="006850D0" w:rsidRDefault="002C5C1E" w:rsidP="002C5C1E">
      <w:pPr>
        <w:pStyle w:val="NormalWeb"/>
        <w:spacing w:after="0"/>
        <w:jc w:val="both"/>
        <w:rPr>
          <w:color w:val="FF0000"/>
          <w:u w:val="single"/>
          <w:shd w:val="clear" w:color="auto" w:fill="FFFFFF"/>
        </w:rPr>
      </w:pPr>
      <w:r w:rsidRPr="006850D0">
        <w:rPr>
          <w:color w:val="FF0000"/>
          <w:u w:val="single"/>
          <w:shd w:val="clear" w:color="auto" w:fill="FFFFFF"/>
        </w:rPr>
        <w:t>El problema es que e</w:t>
      </w:r>
      <w:r w:rsidR="002F4074">
        <w:rPr>
          <w:color w:val="FF0000"/>
          <w:u w:val="single"/>
          <w:shd w:val="clear" w:color="auto" w:fill="FFFFFF"/>
        </w:rPr>
        <w:t>se truco ya se utilizó con las “subprime”</w:t>
      </w:r>
      <w:r w:rsidRPr="006850D0">
        <w:rPr>
          <w:color w:val="FF0000"/>
          <w:u w:val="single"/>
          <w:shd w:val="clear" w:color="auto" w:fill="FFFFFF"/>
        </w:rPr>
        <w:t xml:space="preserve"> y la cosa acabó fatal. Se empaquetaban créditos hipotecarios de buena calidad con créditos que jamás </w:t>
      </w:r>
      <w:r w:rsidR="002F4074">
        <w:rPr>
          <w:color w:val="FF0000"/>
          <w:u w:val="single"/>
          <w:shd w:val="clear" w:color="auto" w:fill="FFFFFF"/>
        </w:rPr>
        <w:t>se recuperarían y se vendía el “paquete”</w:t>
      </w:r>
      <w:r w:rsidRPr="006850D0">
        <w:rPr>
          <w:color w:val="FF0000"/>
          <w:u w:val="single"/>
          <w:shd w:val="clear" w:color="auto" w:fill="FFFFFF"/>
        </w:rPr>
        <w:t xml:space="preserve"> -nunca mejor dicho- como un solo crédito. Y efecti</w:t>
      </w:r>
      <w:r w:rsidR="002F4074">
        <w:rPr>
          <w:color w:val="FF0000"/>
          <w:u w:val="single"/>
          <w:shd w:val="clear" w:color="auto" w:fill="FFFFFF"/>
        </w:rPr>
        <w:t>vamente, se vendía, porque el “paquete”</w:t>
      </w:r>
      <w:r w:rsidRPr="006850D0">
        <w:rPr>
          <w:color w:val="FF0000"/>
          <w:u w:val="single"/>
          <w:shd w:val="clear" w:color="auto" w:fill="FFFFFF"/>
        </w:rPr>
        <w:t xml:space="preserve"> tenía como calidad crediticia la media del conjunto. Hasta que alguien se dio cuenta del truco, claro.</w:t>
      </w:r>
    </w:p>
    <w:p w:rsidR="002C5C1E" w:rsidRPr="000D5D9C" w:rsidRDefault="002F4074" w:rsidP="002C5C1E">
      <w:pPr>
        <w:pStyle w:val="NormalWeb"/>
        <w:spacing w:after="0"/>
        <w:jc w:val="both"/>
        <w:rPr>
          <w:shd w:val="clear" w:color="auto" w:fill="FFFFFF"/>
        </w:rPr>
      </w:pPr>
      <w:r>
        <w:rPr>
          <w:color w:val="FF0000"/>
          <w:u w:val="single"/>
          <w:shd w:val="clear" w:color="auto" w:fill="FFFFFF"/>
        </w:rPr>
        <w:t>Otra pequeña “laguna”</w:t>
      </w:r>
      <w:r w:rsidR="002C5C1E" w:rsidRPr="006850D0">
        <w:rPr>
          <w:color w:val="FF0000"/>
          <w:u w:val="single"/>
          <w:shd w:val="clear" w:color="auto" w:fill="FFFFFF"/>
        </w:rPr>
        <w:t xml:space="preserve"> de este planteamiento de endeudarse como si no hubiera un mañana es que el avalista y emisor de mayor calidad ha decidido ahora que por qué no se va a endeudar él también. Si los alemanes están avalando a los españoles para que puedan disparar el techo del gasto hasta límites estratosféricos ¿por qué no van a hacer ellos, que encima son los avalistas? Surge la pregunta de cómo es posible que los alemanes hayan abandonado la disciplina fiscal. La respuesta fácil sería el cambio político en Alemania, pero hay algo más: la pandemia ha enseñado a los políticos el truco para que la ciudadanía acepte cualquier tipo de endeudamiento. Y la llave del end</w:t>
      </w:r>
      <w:r>
        <w:rPr>
          <w:color w:val="FF0000"/>
          <w:u w:val="single"/>
          <w:shd w:val="clear" w:color="auto" w:fill="FFFFFF"/>
        </w:rPr>
        <w:t>eudamiento sin límite se llama “extrema necesidad”</w:t>
      </w:r>
      <w:r w:rsidR="002C5C1E" w:rsidRPr="006850D0">
        <w:rPr>
          <w:color w:val="FF0000"/>
          <w:u w:val="single"/>
          <w:shd w:val="clear" w:color="auto" w:fill="FFFFFF"/>
        </w:rPr>
        <w:t>.</w:t>
      </w:r>
      <w:r w:rsidR="002C5C1E" w:rsidRPr="000D5D9C">
        <w:rPr>
          <w:shd w:val="clear" w:color="auto" w:fill="FFFFFF"/>
        </w:rPr>
        <w:t xml:space="preserve"> La pandemia creó un estado real de extrema necesidad. Había que emitir deuda para evitar que la economía volviera a la edad de piedra como consecuencia de los confinamientos. Puede haber matices, pero nadie puede estar frontalmente en contra de esa decisión. Y si, además de financiar cosas positivas como los ERE, se va a crear actividad económica con inversiones que ayudan</w:t>
      </w:r>
      <w:r w:rsidR="002C5C1E">
        <w:rPr>
          <w:shd w:val="clear" w:color="auto" w:fill="FFFFFF"/>
        </w:rPr>
        <w:t xml:space="preserve"> a proteger el medio ambiente -</w:t>
      </w:r>
      <w:r w:rsidR="002C5C1E" w:rsidRPr="000D5D9C">
        <w:rPr>
          <w:shd w:val="clear" w:color="auto" w:fill="FFFFFF"/>
        </w:rPr>
        <w:t>otr</w:t>
      </w:r>
      <w:r w:rsidR="002C5C1E">
        <w:rPr>
          <w:shd w:val="clear" w:color="auto" w:fill="FFFFFF"/>
        </w:rPr>
        <w:t>a cosa es que vaya a ser cierto</w:t>
      </w:r>
      <w:r w:rsidR="002C5C1E" w:rsidRPr="000D5D9C">
        <w:rPr>
          <w:shd w:val="clear" w:color="auto" w:fill="FFFFFF"/>
        </w:rPr>
        <w:t>-, pues obviamente este endeudamiento no genera oposición alguna.</w:t>
      </w:r>
    </w:p>
    <w:p w:rsidR="002C5C1E" w:rsidRPr="006850D0" w:rsidRDefault="002C5C1E" w:rsidP="002C5C1E">
      <w:pPr>
        <w:pStyle w:val="NormalWeb"/>
        <w:spacing w:after="0"/>
        <w:jc w:val="both"/>
        <w:rPr>
          <w:color w:val="FF0000"/>
          <w:u w:val="single"/>
          <w:shd w:val="clear" w:color="auto" w:fill="FFFFFF"/>
        </w:rPr>
      </w:pPr>
      <w:r w:rsidRPr="006850D0">
        <w:rPr>
          <w:color w:val="FF0000"/>
          <w:u w:val="single"/>
          <w:shd w:val="clear" w:color="auto" w:fill="FFFFFF"/>
        </w:rPr>
        <w:lastRenderedPageBreak/>
        <w:t>Luego llega la invasión rusa de Ucrania</w:t>
      </w:r>
      <w:r w:rsidRPr="000D5D9C">
        <w:rPr>
          <w:shd w:val="clear" w:color="auto" w:fill="FFFFFF"/>
        </w:rPr>
        <w:t>. Una agresión que se salta todas las reglas del derecho internacional, lo cual evidentemente justifica medidas contundentes contra el que se ha saltado la</w:t>
      </w:r>
      <w:r>
        <w:rPr>
          <w:shd w:val="clear" w:color="auto" w:fill="FFFFFF"/>
        </w:rPr>
        <w:t>s</w:t>
      </w:r>
      <w:r w:rsidRPr="000D5D9C">
        <w:rPr>
          <w:shd w:val="clear" w:color="auto" w:fill="FFFFFF"/>
        </w:rPr>
        <w:t xml:space="preserve"> reglas y para apoyar al agredido. Ahora bien, surgen dudas razonables respecto a la forma en la que se ha enfrentado el problema en términos económicos. </w:t>
      </w:r>
      <w:r w:rsidRPr="006850D0">
        <w:rPr>
          <w:color w:val="FF0000"/>
          <w:u w:val="single"/>
          <w:shd w:val="clear" w:color="auto" w:fill="FFFFFF"/>
        </w:rPr>
        <w:t>Si los políticos no tuvieran tanta facilidad para endeudarse, probablemente hubieran tenido más cuidado y hubieran aplicado las sanciones de forma gradual, para dar así tiempo a la economía europea a prepararse para amortiguar el efecto rebote de las mismas. Al poner el carro antes que los bueyes, crean un problemón que a su</w:t>
      </w:r>
      <w:r w:rsidR="002F4074">
        <w:rPr>
          <w:color w:val="FF0000"/>
          <w:u w:val="single"/>
          <w:shd w:val="clear" w:color="auto" w:fill="FFFFFF"/>
        </w:rPr>
        <w:t xml:space="preserve"> vez justifica la calificación “extrema necesidad”</w:t>
      </w:r>
      <w:r w:rsidRPr="006850D0">
        <w:rPr>
          <w:color w:val="FF0000"/>
          <w:u w:val="single"/>
          <w:shd w:val="clear" w:color="auto" w:fill="FFFFFF"/>
        </w:rPr>
        <w:t>, así ni se mira el dinero ni las consecuencias. Como la intención es buena ¿quién lo va a criticar?</w:t>
      </w:r>
      <w:r w:rsidRPr="000D5D9C">
        <w:rPr>
          <w:shd w:val="clear" w:color="auto" w:fill="FFFFFF"/>
        </w:rPr>
        <w:t xml:space="preserve"> </w:t>
      </w:r>
      <w:r w:rsidRPr="006850D0">
        <w:rPr>
          <w:color w:val="FF0000"/>
          <w:u w:val="single"/>
          <w:shd w:val="clear" w:color="auto" w:fill="FFFFFF"/>
        </w:rPr>
        <w:t>Así, el camino para generar dinero por la vía del aumento masivo de la deuda ha quedado expedito. La otra forma de sustituir a un banco central es influir en a quién prestan dinero los bancos y para qué. Para entenderlo, pensemos en cómo funciona el ICO: el gobierno le dice a los bancos que, si prestan dinero para determinadas actividades, el Estado avalará un alto porcentaje de esos créditos. Obviamente, ningún banco dice que no. Pues añadan los fondos europeos y ya tienen multiplicada por 100 la capacidad del gobierno de dirigir la asignación de los recursos financieros.</w:t>
      </w:r>
    </w:p>
    <w:p w:rsidR="002C5C1E" w:rsidRDefault="002C5C1E" w:rsidP="002C5C1E">
      <w:pPr>
        <w:pStyle w:val="NormalWeb"/>
        <w:spacing w:before="0" w:beforeAutospacing="0" w:after="0" w:afterAutospacing="0"/>
        <w:jc w:val="both"/>
        <w:rPr>
          <w:shd w:val="clear" w:color="auto" w:fill="FFFFFF"/>
        </w:rPr>
      </w:pPr>
      <w:r w:rsidRPr="000D5D9C">
        <w:rPr>
          <w:shd w:val="clear" w:color="auto" w:fill="FFFFFF"/>
        </w:rPr>
        <w:t xml:space="preserve">Todo lo anterior tiene implicaciones importantes para los inversores. El efecto a corto plazo puede ser positivo, porque lo es para el crecimiento. Un tanto artificial, cierto, pero crecimiento. También es una forma de mitigar las recesiones naturales del sistema, que de esta ingeniosa manera se amortiguan con dinero público y dirigismo gubernamental de los recursos del sector financiero. Eso es importante de cara a la inversión en renta variable y muy importante de cara a la elección de los sectores que más pueden crecer. Sobre todo que cuenten con la protección del papá Estado en su actividad. Otra conclusión es que </w:t>
      </w:r>
      <w:r w:rsidRPr="006850D0">
        <w:rPr>
          <w:color w:val="FF0000"/>
          <w:u w:val="single"/>
          <w:shd w:val="clear" w:color="auto" w:fill="FFFFFF"/>
        </w:rPr>
        <w:t>la inflación se mantendrá más alta durante el periodo en el que los gobiernos tomen el testigo de los bancos centrales.</w:t>
      </w:r>
      <w:r w:rsidRPr="000D5D9C">
        <w:rPr>
          <w:shd w:val="clear" w:color="auto" w:fill="FFFFFF"/>
        </w:rPr>
        <w:t xml:space="preserve"> Como mínimo, por encima del periodo anterior a la pandemia. </w:t>
      </w:r>
      <w:r w:rsidR="005A533F">
        <w:rPr>
          <w:color w:val="FF0000"/>
          <w:u w:val="single"/>
          <w:shd w:val="clear" w:color="auto" w:fill="FFFFFF"/>
        </w:rPr>
        <w:t>Para los gobiernos es un “win”</w:t>
      </w:r>
      <w:r w:rsidRPr="006850D0">
        <w:rPr>
          <w:color w:val="FF0000"/>
          <w:u w:val="single"/>
          <w:shd w:val="clear" w:color="auto" w:fill="FFFFFF"/>
        </w:rPr>
        <w:t>: financian el crecimiento, ganan votos y la inflación reduce el valor de sus deudas, lo que hace que la amortización de las mismas resulte luego menos dolorosa</w:t>
      </w:r>
      <w:r w:rsidRPr="000D5D9C">
        <w:rPr>
          <w:shd w:val="clear" w:color="auto" w:fill="FFFFFF"/>
        </w:rPr>
        <w:t xml:space="preserve">. Eso sí, a la hora de decidir qué es un buen tipo de interés en un bono habrá que asesorarse muy bien. </w:t>
      </w:r>
      <w:r w:rsidRPr="006850D0">
        <w:rPr>
          <w:color w:val="FF0000"/>
          <w:u w:val="single"/>
          <w:shd w:val="clear" w:color="auto" w:fill="FFFFFF"/>
        </w:rPr>
        <w:t>¿Cu</w:t>
      </w:r>
      <w:r w:rsidR="002F4074">
        <w:rPr>
          <w:color w:val="FF0000"/>
          <w:u w:val="single"/>
          <w:shd w:val="clear" w:color="auto" w:fill="FFFFFF"/>
        </w:rPr>
        <w:t>ál será el resultado final del “gran endeudamiento”</w:t>
      </w:r>
      <w:r w:rsidRPr="006850D0">
        <w:rPr>
          <w:color w:val="FF0000"/>
          <w:u w:val="single"/>
          <w:shd w:val="clear" w:color="auto" w:fill="FFFFFF"/>
        </w:rPr>
        <w:t xml:space="preserve">? </w:t>
      </w:r>
      <w:r w:rsidR="002F4074">
        <w:rPr>
          <w:color w:val="FF0000"/>
          <w:u w:val="single"/>
          <w:shd w:val="clear" w:color="auto" w:fill="FFFFFF"/>
        </w:rPr>
        <w:t>Mientras mercados e inversores “traguen”</w:t>
      </w:r>
      <w:r w:rsidRPr="006850D0">
        <w:rPr>
          <w:color w:val="FF0000"/>
          <w:u w:val="single"/>
          <w:shd w:val="clear" w:color="auto" w:fill="FFFFFF"/>
        </w:rPr>
        <w:t>, como ocurrió con los tipos de interés negativos, no habrá problema. El problema surgirá cuando de repente alguien, en algún punto del sistema financiero, decida que es suficiente y que esos paquetes de deuda que mezclan deuda española e italiana con deuda alemana o austriaca no tiene la calidad crediticia del mayor sino probablemente del menor, como ocurrió con los paquetes de las subprime.</w:t>
      </w:r>
      <w:r w:rsidRPr="006850D0">
        <w:rPr>
          <w:color w:val="FF0000"/>
          <w:shd w:val="clear" w:color="auto" w:fill="FFFFFF"/>
        </w:rPr>
        <w:t xml:space="preserve"> </w:t>
      </w:r>
      <w:r w:rsidRPr="000D5D9C">
        <w:rPr>
          <w:shd w:val="clear" w:color="auto" w:fill="FFFFFF"/>
        </w:rPr>
        <w:t>Pero bueno, como la mayoría de la gente invierte a corto o como mucho medio plazo y la ciudadanía o no es consciente de esto o le da igual, como decía Alaska: ¿a quién le importa?</w:t>
      </w:r>
    </w:p>
    <w:p w:rsidR="002C5C1E" w:rsidRPr="001916B8" w:rsidRDefault="002C5C1E" w:rsidP="002C5C1E">
      <w:pPr>
        <w:pStyle w:val="NormalWeb"/>
        <w:spacing w:after="0"/>
        <w:jc w:val="both"/>
        <w:rPr>
          <w:shd w:val="clear" w:color="auto" w:fill="FFFFFF"/>
        </w:rPr>
      </w:pPr>
      <w:r>
        <w:rPr>
          <w:shd w:val="clear" w:color="auto" w:fill="FFFFFF"/>
        </w:rPr>
        <w:t xml:space="preserve">- </w:t>
      </w:r>
      <w:r w:rsidRPr="001916B8">
        <w:rPr>
          <w:u w:val="single"/>
          <w:shd w:val="clear" w:color="auto" w:fill="FFFFFF"/>
        </w:rPr>
        <w:t>El Banco de España alerta por</w:t>
      </w:r>
      <w:r w:rsidR="002F4074">
        <w:rPr>
          <w:u w:val="single"/>
          <w:shd w:val="clear" w:color="auto" w:fill="FFFFFF"/>
        </w:rPr>
        <w:t xml:space="preserve"> primera vez del riesgo de una “</w:t>
      </w:r>
      <w:r w:rsidRPr="001916B8">
        <w:rPr>
          <w:u w:val="single"/>
          <w:shd w:val="clear" w:color="auto" w:fill="FFFFFF"/>
        </w:rPr>
        <w:t>policrisis</w:t>
      </w:r>
      <w:r w:rsidR="002F4074">
        <w:rPr>
          <w:shd w:val="clear" w:color="auto" w:fill="FFFFFF"/>
        </w:rPr>
        <w:t>”</w:t>
      </w:r>
      <w:r>
        <w:rPr>
          <w:shd w:val="clear" w:color="auto" w:fill="FFFFFF"/>
        </w:rPr>
        <w:t xml:space="preserve"> (Vozpópuli - </w:t>
      </w:r>
      <w:r w:rsidRPr="001916B8">
        <w:rPr>
          <w:b/>
          <w:shd w:val="clear" w:color="auto" w:fill="FFFFFF"/>
        </w:rPr>
        <w:t>26/10/22</w:t>
      </w:r>
      <w:r>
        <w:rPr>
          <w:shd w:val="clear" w:color="auto" w:fill="FFFFFF"/>
        </w:rPr>
        <w:t>)</w:t>
      </w:r>
    </w:p>
    <w:p w:rsidR="002C5C1E" w:rsidRPr="006850D0" w:rsidRDefault="002C5C1E" w:rsidP="002C5C1E">
      <w:pPr>
        <w:pStyle w:val="NormalWeb"/>
        <w:spacing w:before="0" w:beforeAutospacing="0" w:after="0" w:afterAutospacing="0"/>
        <w:jc w:val="both"/>
        <w:rPr>
          <w:color w:val="FF0000"/>
          <w:shd w:val="clear" w:color="auto" w:fill="FFFFFF"/>
        </w:rPr>
      </w:pPr>
      <w:r w:rsidRPr="006850D0">
        <w:rPr>
          <w:color w:val="FF0000"/>
          <w:shd w:val="clear" w:color="auto" w:fill="FFFFFF"/>
        </w:rPr>
        <w:t>Es la primera vez que el supervisor bancario utiliza el término acuñado por el historiador británico Adam Tooze, que alerta sobre el peligro de la combinación de factores propios de diferentes crisis</w:t>
      </w:r>
    </w:p>
    <w:p w:rsidR="002C5C1E" w:rsidRPr="006850D0" w:rsidRDefault="002C5C1E" w:rsidP="002C5C1E">
      <w:pPr>
        <w:pStyle w:val="NormalWeb"/>
        <w:spacing w:after="0"/>
        <w:jc w:val="both"/>
        <w:rPr>
          <w:color w:val="FF0000"/>
          <w:u w:val="single"/>
          <w:shd w:val="clear" w:color="auto" w:fill="FFFFFF"/>
        </w:rPr>
      </w:pPr>
      <w:r w:rsidRPr="006850D0">
        <w:rPr>
          <w:color w:val="FF0000"/>
          <w:u w:val="single"/>
          <w:shd w:val="clear" w:color="auto" w:fill="FFFFFF"/>
        </w:rPr>
        <w:t>Una combinación de factores prop</w:t>
      </w:r>
      <w:r w:rsidR="005A533F">
        <w:rPr>
          <w:color w:val="FF0000"/>
          <w:u w:val="single"/>
          <w:shd w:val="clear" w:color="auto" w:fill="FFFFFF"/>
        </w:rPr>
        <w:t>ios de diferentes crisis donde “</w:t>
      </w:r>
      <w:r w:rsidRPr="006850D0">
        <w:rPr>
          <w:color w:val="FF0000"/>
          <w:u w:val="single"/>
          <w:shd w:val="clear" w:color="auto" w:fill="FFFFFF"/>
        </w:rPr>
        <w:t>el todo es aún más peli</w:t>
      </w:r>
      <w:r w:rsidR="005A533F">
        <w:rPr>
          <w:color w:val="FF0000"/>
          <w:u w:val="single"/>
          <w:shd w:val="clear" w:color="auto" w:fill="FFFFFF"/>
        </w:rPr>
        <w:t>groso que la suma de las partes”</w:t>
      </w:r>
      <w:r w:rsidRPr="006850D0">
        <w:rPr>
          <w:color w:val="FF0000"/>
          <w:u w:val="single"/>
          <w:shd w:val="clear" w:color="auto" w:fill="FFFFFF"/>
        </w:rPr>
        <w:t xml:space="preserve">. Así define el historiador británico Adam Tooze el término </w:t>
      </w:r>
      <w:r w:rsidR="001E4CD8">
        <w:rPr>
          <w:b/>
          <w:color w:val="FF0000"/>
          <w:u w:val="single"/>
          <w:shd w:val="clear" w:color="auto" w:fill="FFFFFF"/>
        </w:rPr>
        <w:t>“policrisis”</w:t>
      </w:r>
      <w:r w:rsidRPr="006850D0">
        <w:rPr>
          <w:color w:val="FF0000"/>
          <w:u w:val="single"/>
          <w:shd w:val="clear" w:color="auto" w:fill="FFFFFF"/>
        </w:rPr>
        <w:t xml:space="preserve"> que ahora menciona el Banco de España (BdE) para ilustrar la gravedad de la situación a la que se enfrentan las economías, entre ellas la española.</w:t>
      </w:r>
    </w:p>
    <w:p w:rsidR="002C5C1E" w:rsidRPr="006850D0" w:rsidRDefault="002C5C1E" w:rsidP="002C5C1E">
      <w:pPr>
        <w:pStyle w:val="NormalWeb"/>
        <w:spacing w:after="0"/>
        <w:jc w:val="both"/>
        <w:rPr>
          <w:b/>
          <w:color w:val="FF0000"/>
          <w:u w:val="single"/>
          <w:shd w:val="clear" w:color="auto" w:fill="FFFFFF"/>
        </w:rPr>
      </w:pPr>
      <w:r w:rsidRPr="006850D0">
        <w:rPr>
          <w:b/>
          <w:color w:val="FF0000"/>
          <w:u w:val="single"/>
          <w:shd w:val="clear" w:color="auto" w:fill="FFFFFF"/>
        </w:rPr>
        <w:lastRenderedPageBreak/>
        <w:t>El término "policrisis" ideado por el profesor de la Universidad de Columbia hace referencia al cóctel de elevada inflación, altos tipos de interés, problemas de suministro energético y alimentario, y persistencia de la guerra en Ucrania. También acontecen problemas como los desafíos de la economía china y su competición geoestratégica con Estados Unidos, el cambio climático, los desastres naturales, o los coletazos económicos de la pandemia.</w:t>
      </w:r>
    </w:p>
    <w:p w:rsidR="002C5C1E" w:rsidRPr="0085419B" w:rsidRDefault="002C5C1E" w:rsidP="002C5C1E">
      <w:pPr>
        <w:pStyle w:val="NormalWeb"/>
        <w:spacing w:after="0"/>
        <w:jc w:val="both"/>
        <w:rPr>
          <w:color w:val="FF0000"/>
          <w:u w:val="single"/>
          <w:shd w:val="clear" w:color="auto" w:fill="FFFFFF"/>
        </w:rPr>
      </w:pPr>
      <w:r w:rsidRPr="001916B8">
        <w:rPr>
          <w:shd w:val="clear" w:color="auto" w:fill="FFFFFF"/>
        </w:rPr>
        <w:t xml:space="preserve">La subgobernadora del BdE, Margarita Delgado, mencionó este martes por primera vez el término durante una comparecencia sobre la situación económica actual. </w:t>
      </w:r>
      <w:r w:rsidRPr="0085419B">
        <w:rPr>
          <w:color w:val="FF0000"/>
          <w:u w:val="single"/>
          <w:shd w:val="clear" w:color="auto" w:fill="FFFFFF"/>
        </w:rPr>
        <w:t>De est</w:t>
      </w:r>
      <w:r w:rsidR="005A533F">
        <w:rPr>
          <w:color w:val="FF0000"/>
          <w:u w:val="single"/>
          <w:shd w:val="clear" w:color="auto" w:fill="FFFFFF"/>
        </w:rPr>
        <w:t>a forma, se empieza a escuchar “en boca”</w:t>
      </w:r>
      <w:r w:rsidRPr="0085419B">
        <w:rPr>
          <w:color w:val="FF0000"/>
          <w:u w:val="single"/>
          <w:shd w:val="clear" w:color="auto" w:fill="FFFFFF"/>
        </w:rPr>
        <w:t xml:space="preserve"> de los principales organismos económicos nacionales este mensaje, que alerta de una crisis que combina características de todas las crisis recientes: la sanitaria, la geopolítica, la energética, la inflacionaria, la financiera o la inmobiliaria.</w:t>
      </w:r>
    </w:p>
    <w:p w:rsidR="002C5C1E" w:rsidRPr="0085419B" w:rsidRDefault="005A533F" w:rsidP="002C5C1E">
      <w:pPr>
        <w:pStyle w:val="NormalWeb"/>
        <w:spacing w:before="0" w:beforeAutospacing="0" w:after="0" w:afterAutospacing="0"/>
        <w:jc w:val="both"/>
        <w:rPr>
          <w:color w:val="FF0000"/>
          <w:u w:val="single"/>
          <w:shd w:val="clear" w:color="auto" w:fill="FFFFFF"/>
        </w:rPr>
      </w:pPr>
      <w:r>
        <w:rPr>
          <w:shd w:val="clear" w:color="auto" w:fill="FFFFFF"/>
        </w:rPr>
        <w:t>“</w:t>
      </w:r>
      <w:r w:rsidR="002C5C1E" w:rsidRPr="001916B8">
        <w:rPr>
          <w:shd w:val="clear" w:color="auto" w:fill="FFFFFF"/>
        </w:rPr>
        <w:t xml:space="preserve">Quizá el rasgo que defina la situación actual es que, aunque todos podamos recordar posiblemente momentos anteriores en los que la incertidumbre también era elevada, </w:t>
      </w:r>
      <w:r w:rsidR="002C5C1E" w:rsidRPr="0085419B">
        <w:rPr>
          <w:color w:val="FF0000"/>
          <w:u w:val="single"/>
          <w:shd w:val="clear" w:color="auto" w:fill="FFFFFF"/>
        </w:rPr>
        <w:t>la concurrencia de distintos factores desestabilizadores es ahora particularmente remarcable. Además, algunos de estos elementos no van a desaparecer en un horizonte cercano -como, por ejemplo, el contexto de fragmentación geoeconómica-. El momento actual se presta, probablemente</w:t>
      </w:r>
      <w:r>
        <w:rPr>
          <w:color w:val="FF0000"/>
          <w:u w:val="single"/>
          <w:shd w:val="clear" w:color="auto" w:fill="FFFFFF"/>
        </w:rPr>
        <w:t>, a la utilización del término “policrisis””</w:t>
      </w:r>
      <w:r w:rsidR="002C5C1E" w:rsidRPr="0085419B">
        <w:rPr>
          <w:color w:val="FF0000"/>
          <w:u w:val="single"/>
          <w:shd w:val="clear" w:color="auto" w:fill="FFFFFF"/>
        </w:rPr>
        <w:t>, señaló.</w:t>
      </w:r>
    </w:p>
    <w:p w:rsidR="002C5C1E" w:rsidRDefault="002C5C1E" w:rsidP="002C5C1E">
      <w:pPr>
        <w:pStyle w:val="NormalWeb"/>
        <w:spacing w:after="0"/>
        <w:jc w:val="both"/>
      </w:pPr>
      <w:r>
        <w:t xml:space="preserve">- </w:t>
      </w:r>
      <w:r w:rsidR="005A533F">
        <w:rPr>
          <w:u w:val="single"/>
        </w:rPr>
        <w:t>Nouriel Roubini: las 10 “</w:t>
      </w:r>
      <w:r w:rsidRPr="00237336">
        <w:rPr>
          <w:u w:val="single"/>
        </w:rPr>
        <w:t>mega</w:t>
      </w:r>
      <w:r w:rsidR="005A533F">
        <w:rPr>
          <w:u w:val="single"/>
        </w:rPr>
        <w:t>amenazas”</w:t>
      </w:r>
      <w:r w:rsidRPr="00237336">
        <w:rPr>
          <w:u w:val="single"/>
        </w:rPr>
        <w:t xml:space="preserve"> que acechan a la humanidad según uno de los economistas que vio venir la crisis de 2008</w:t>
      </w:r>
      <w:r>
        <w:t xml:space="preserve"> (BBCMundo - </w:t>
      </w:r>
      <w:r>
        <w:rPr>
          <w:b/>
        </w:rPr>
        <w:t>27</w:t>
      </w:r>
      <w:r w:rsidRPr="00237336">
        <w:rPr>
          <w:b/>
        </w:rPr>
        <w:t>/10/22</w:t>
      </w:r>
      <w:r>
        <w:t>)</w:t>
      </w:r>
    </w:p>
    <w:p w:rsidR="002C5C1E" w:rsidRDefault="002C5C1E" w:rsidP="002C5C1E">
      <w:pPr>
        <w:pStyle w:val="NormalWeb"/>
        <w:spacing w:after="0"/>
        <w:jc w:val="both"/>
      </w:pPr>
      <w:r>
        <w:t xml:space="preserve">Al economista </w:t>
      </w:r>
      <w:r w:rsidR="005A533F">
        <w:t>Nouriel Roubini lo apodaron el “doctor catástrofe”</w:t>
      </w:r>
      <w:r>
        <w:t xml:space="preserve"> por sus pesimistas advertencias sobre el futuro de la humanidad.</w:t>
      </w:r>
      <w:r w:rsidR="005A533F">
        <w:t xml:space="preserve"> </w:t>
      </w:r>
      <w:r w:rsidRPr="009F6E4A">
        <w:rPr>
          <w:color w:val="FF0000"/>
          <w:u w:val="single"/>
        </w:rPr>
        <w:t xml:space="preserve">En su </w:t>
      </w:r>
      <w:r w:rsidR="005A533F">
        <w:rPr>
          <w:color w:val="FF0000"/>
          <w:u w:val="single"/>
        </w:rPr>
        <w:t>más reciente libro, “Megaamenazas”</w:t>
      </w:r>
      <w:r w:rsidRPr="009F6E4A">
        <w:rPr>
          <w:color w:val="FF0000"/>
          <w:u w:val="single"/>
        </w:rPr>
        <w:t xml:space="preserve"> identifica los principales peligros que a su juicio acechan a nuestra especie.</w:t>
      </w:r>
      <w:r w:rsidR="005A533F">
        <w:t xml:space="preserve"> </w:t>
      </w:r>
      <w:r>
        <w:t>En su lista de 10 amenazas destacan el bajo crecimiento económico y la inflación, la deuda y el cambio climático.</w:t>
      </w:r>
    </w:p>
    <w:p w:rsidR="002C5C1E" w:rsidRDefault="002C5C1E" w:rsidP="002C5C1E">
      <w:pPr>
        <w:pStyle w:val="NormalWeb"/>
        <w:spacing w:after="0"/>
        <w:jc w:val="both"/>
      </w:pPr>
      <w:r>
        <w:t>Aunque a veces le reprochan su catastrofismo, este economista nacido en Estambul, Turquía, dice que también propone soluciones. En el pasado acertó con algunas de sus previsiones, al ver los nubarrones en el horizonte antes que la mayoría de los economistas.</w:t>
      </w:r>
      <w:r w:rsidR="005A533F">
        <w:t xml:space="preserve"> </w:t>
      </w:r>
      <w:r>
        <w:t>Fue lo que sucedió en 2006 cuando alertó de la inminencia</w:t>
      </w:r>
      <w:r w:rsidR="005A533F">
        <w:t xml:space="preserve"> de la crisis de las hipotecas “subprime”</w:t>
      </w:r>
      <w:r>
        <w:t xml:space="preserve"> en una conferencia del Fondo Monetario Internacional.</w:t>
      </w:r>
      <w:r w:rsidR="005A533F">
        <w:t xml:space="preserve"> </w:t>
      </w:r>
      <w:r>
        <w:t>En 2008, el mundo se hundió en una de las peores crisis financieras de la historia reciente.</w:t>
      </w:r>
    </w:p>
    <w:p w:rsidR="002C5C1E" w:rsidRDefault="002C5C1E" w:rsidP="002C5C1E">
      <w:pPr>
        <w:pStyle w:val="NormalWeb"/>
        <w:spacing w:after="0"/>
        <w:jc w:val="both"/>
      </w:pPr>
      <w:r>
        <w:t>Más recientemente, este profesor de la Universidad de Nueva York adv</w:t>
      </w:r>
      <w:r w:rsidR="005A533F">
        <w:t>irtió de que el bitcoin estaba “</w:t>
      </w:r>
      <w:r>
        <w:t>sobr</w:t>
      </w:r>
      <w:r w:rsidR="005A533F">
        <w:t>evalorado” y lo comparó con un “pozo negro”</w:t>
      </w:r>
      <w:r>
        <w:t>, un presagio que se reveló acertado con la caída de la cotización de esta y otras criptomonedas principales.</w:t>
      </w:r>
    </w:p>
    <w:p w:rsidR="002C5C1E" w:rsidRDefault="002C5C1E" w:rsidP="002C5C1E">
      <w:pPr>
        <w:pStyle w:val="NormalWeb"/>
        <w:spacing w:after="0"/>
        <w:jc w:val="both"/>
      </w:pPr>
      <w:r>
        <w:t>James Menendez, conductor del programa Newshour de la BBC, lo entrevistó.</w:t>
      </w:r>
    </w:p>
    <w:p w:rsidR="002C5C1E" w:rsidRDefault="002C5C1E" w:rsidP="002C5C1E">
      <w:pPr>
        <w:pStyle w:val="NormalWeb"/>
        <w:spacing w:after="0"/>
        <w:jc w:val="both"/>
      </w:pPr>
      <w:r>
        <w:t>El mundo que siguió a la Segunda Guerra Mundial ha sido uno de relativa paz, ingresos en aumento y salud para gran parte del mundo. ¿Está eso a punto de terminar?</w:t>
      </w:r>
    </w:p>
    <w:p w:rsidR="002C5C1E" w:rsidRDefault="002C5C1E" w:rsidP="002C5C1E">
      <w:pPr>
        <w:pStyle w:val="NormalWeb"/>
        <w:spacing w:after="0"/>
        <w:jc w:val="both"/>
      </w:pPr>
      <w:r>
        <w:t>Eso creo. Hay nuevas amenazas que no existían en las décadas entre los 60 y los 80. En esa época nadie se preocupaba de una posible guerra nuclear entre superpotencias, por la distensión entre Estados Unidos y la Unión Soviética.</w:t>
      </w:r>
      <w:r w:rsidR="001E4CD8">
        <w:t xml:space="preserve"> </w:t>
      </w:r>
      <w:r>
        <w:t>Ni siquiera se hablaba del cambio climático y, después de la gran pandemia de 1918, no hubo otra grande hasta la década de 1980.</w:t>
      </w:r>
      <w:r w:rsidR="001E4CD8">
        <w:t xml:space="preserve"> </w:t>
      </w:r>
      <w:r>
        <w:t xml:space="preserve">No teníamos ni idea de que la inteligencia artificial, la robótica y la automatización </w:t>
      </w:r>
      <w:r>
        <w:lastRenderedPageBreak/>
        <w:t>iban a reemplazar la mayoría de empleos, y teníamos democracias estables, no los populismos de izquierda y derecha que están llegando al poder ahora.</w:t>
      </w:r>
    </w:p>
    <w:p w:rsidR="002C5C1E" w:rsidRPr="001E4CD8" w:rsidRDefault="002C5C1E" w:rsidP="002C5C1E">
      <w:pPr>
        <w:pStyle w:val="NormalWeb"/>
        <w:spacing w:after="0"/>
        <w:jc w:val="both"/>
      </w:pPr>
      <w:r>
        <w:t>Y compromisos que vienen del envejecimiento, para los que no hay financiación, como las pensiones y el sistema sanitario, no existían, porque entonces teníamos aún una población joven y en aumento.</w:t>
      </w:r>
      <w:r w:rsidR="001E4CD8">
        <w:t xml:space="preserve"> </w:t>
      </w:r>
      <w:r>
        <w:t xml:space="preserve">Así que el mundo actual es muy diferente a como fue entre 1945 y mediados de los 80. </w:t>
      </w:r>
      <w:r w:rsidRPr="009F6E4A">
        <w:rPr>
          <w:u w:val="single"/>
        </w:rPr>
        <w:t>Hay nuevas amenazas que son megaamenazas y pueden destruir no solo la economía global, sino el mundo en general.</w:t>
      </w:r>
    </w:p>
    <w:p w:rsidR="002C5C1E" w:rsidRPr="001E4CD8" w:rsidRDefault="002C5C1E" w:rsidP="002C5C1E">
      <w:pPr>
        <w:pStyle w:val="NormalWeb"/>
        <w:spacing w:after="0"/>
        <w:jc w:val="both"/>
      </w:pPr>
      <w:r w:rsidRPr="001E4CD8">
        <w:t>Le preguntaré por una de ellas, la deuda global. ¿Por qué cree que puede alterar radicalmente la economía mundial?</w:t>
      </w:r>
    </w:p>
    <w:p w:rsidR="002C5C1E" w:rsidRPr="009F6E4A" w:rsidRDefault="002C5C1E" w:rsidP="002C5C1E">
      <w:pPr>
        <w:pStyle w:val="NormalWeb"/>
        <w:spacing w:after="0"/>
        <w:jc w:val="both"/>
        <w:rPr>
          <w:b/>
          <w:color w:val="FF0000"/>
          <w:u w:val="single"/>
        </w:rPr>
      </w:pPr>
      <w:r w:rsidRPr="009F6E4A">
        <w:rPr>
          <w:b/>
          <w:color w:val="FF0000"/>
          <w:u w:val="single"/>
        </w:rPr>
        <w:t>En la década de 1970, el ratio de deuda privada y pública sobre el PIB estaba en torno a un 100% y ahora en las economías avanzadas está en 420% y subiendo. Ese ratio era alto, pero el costo de servir esa deuda fue bajo hasta hace poco, gracias a las tasas de interés cero o negativas y las políticas expansivas. Incluso los hogares y las empresas y corporaciones zombis, incluso los gobiernos zombis, han podido sobrevivir porque los tipos de interés eran muy bajos.</w:t>
      </w:r>
    </w:p>
    <w:p w:rsidR="002C5C1E" w:rsidRPr="009F6E4A" w:rsidRDefault="002C5C1E" w:rsidP="002C5C1E">
      <w:pPr>
        <w:pStyle w:val="NormalWeb"/>
        <w:spacing w:after="0"/>
        <w:jc w:val="both"/>
        <w:rPr>
          <w:b/>
          <w:color w:val="FF0000"/>
          <w:u w:val="single"/>
        </w:rPr>
      </w:pPr>
      <w:r w:rsidRPr="009F6E4A">
        <w:rPr>
          <w:b/>
          <w:color w:val="FF0000"/>
          <w:u w:val="single"/>
        </w:rPr>
        <w:t>Ahora están altos y subiendo porque tenemos que combatir la inflación, y fíjese en lo que está pasando con la deuda hipotecaria en Reino Unido, o con la deuda de los consumidores, o de las empresas que están ahora al borde de la crisis. Los estímulos fiscales casi han llevado a una crisis fiscal en las últimas semanas.</w:t>
      </w:r>
    </w:p>
    <w:p w:rsidR="002C5C1E" w:rsidRPr="009F6E4A" w:rsidRDefault="002C5C1E" w:rsidP="002C5C1E">
      <w:pPr>
        <w:pStyle w:val="NormalWeb"/>
        <w:spacing w:after="0"/>
        <w:jc w:val="both"/>
        <w:rPr>
          <w:u w:val="single"/>
        </w:rPr>
      </w:pPr>
      <w:r w:rsidRPr="009F6E4A">
        <w:rPr>
          <w:u w:val="single"/>
        </w:rPr>
        <w:t>El l</w:t>
      </w:r>
      <w:r w:rsidR="001E4CD8">
        <w:rPr>
          <w:u w:val="single"/>
        </w:rPr>
        <w:t xml:space="preserve">ibro de Roubini establece </w:t>
      </w:r>
      <w:r w:rsidR="001E4CD8" w:rsidRPr="00F12292">
        <w:rPr>
          <w:b/>
          <w:u w:val="single"/>
        </w:rPr>
        <w:t>diez “megaamenazas”</w:t>
      </w:r>
      <w:r w:rsidRPr="009F6E4A">
        <w:rPr>
          <w:u w:val="single"/>
        </w:rPr>
        <w:t>, que trata en cada uno de los capítulos de su libro. Son estas:</w:t>
      </w:r>
    </w:p>
    <w:p w:rsidR="001E4CD8" w:rsidRDefault="002C5C1E" w:rsidP="002C5C1E">
      <w:pPr>
        <w:pStyle w:val="NormalWeb"/>
        <w:spacing w:after="0"/>
        <w:jc w:val="both"/>
        <w:rPr>
          <w:b/>
          <w:color w:val="FF0000"/>
        </w:rPr>
      </w:pPr>
      <w:r w:rsidRPr="001E4CD8">
        <w:rPr>
          <w:b/>
          <w:color w:val="FF0000"/>
        </w:rPr>
        <w:t>La madre de todas las crisis de deuda</w:t>
      </w:r>
    </w:p>
    <w:p w:rsidR="002C5C1E" w:rsidRPr="001E4CD8" w:rsidRDefault="002C5C1E" w:rsidP="002C5C1E">
      <w:pPr>
        <w:pStyle w:val="NormalWeb"/>
        <w:spacing w:after="0"/>
        <w:jc w:val="both"/>
        <w:rPr>
          <w:b/>
          <w:color w:val="FF0000"/>
        </w:rPr>
      </w:pPr>
      <w:r w:rsidRPr="009F6E4A">
        <w:rPr>
          <w:color w:val="FF0000"/>
        </w:rPr>
        <w:t>Fracasos públicos y privados</w:t>
      </w:r>
    </w:p>
    <w:p w:rsidR="002C5C1E" w:rsidRPr="009F6E4A" w:rsidRDefault="002C5C1E" w:rsidP="002C5C1E">
      <w:pPr>
        <w:pStyle w:val="NormalWeb"/>
        <w:spacing w:after="0"/>
        <w:jc w:val="both"/>
        <w:rPr>
          <w:color w:val="FF0000"/>
        </w:rPr>
      </w:pPr>
      <w:r w:rsidRPr="009F6E4A">
        <w:rPr>
          <w:color w:val="FF0000"/>
        </w:rPr>
        <w:t>La bomba de tiempo demográfica</w:t>
      </w:r>
    </w:p>
    <w:p w:rsidR="002C5C1E" w:rsidRPr="001E4CD8" w:rsidRDefault="002C5C1E" w:rsidP="002C5C1E">
      <w:pPr>
        <w:pStyle w:val="NormalWeb"/>
        <w:spacing w:after="0"/>
        <w:jc w:val="both"/>
        <w:rPr>
          <w:b/>
          <w:color w:val="FF0000"/>
        </w:rPr>
      </w:pPr>
      <w:r w:rsidRPr="001E4CD8">
        <w:rPr>
          <w:b/>
          <w:color w:val="FF0000"/>
        </w:rPr>
        <w:t>La trampa del dinero fácil y el fin del boom</w:t>
      </w:r>
    </w:p>
    <w:p w:rsidR="002C5C1E" w:rsidRPr="001E4CD8" w:rsidRDefault="002C5C1E" w:rsidP="002C5C1E">
      <w:pPr>
        <w:pStyle w:val="NormalWeb"/>
        <w:spacing w:after="0"/>
        <w:jc w:val="both"/>
        <w:rPr>
          <w:b/>
          <w:color w:val="FF0000"/>
        </w:rPr>
      </w:pPr>
      <w:r w:rsidRPr="001E4CD8">
        <w:rPr>
          <w:b/>
          <w:color w:val="FF0000"/>
        </w:rPr>
        <w:t>La gran estanflación que viene</w:t>
      </w:r>
    </w:p>
    <w:p w:rsidR="002C5C1E" w:rsidRPr="001E4CD8" w:rsidRDefault="002C5C1E" w:rsidP="002C5C1E">
      <w:pPr>
        <w:pStyle w:val="NormalWeb"/>
        <w:spacing w:after="0"/>
        <w:jc w:val="both"/>
        <w:rPr>
          <w:b/>
          <w:color w:val="FF0000"/>
        </w:rPr>
      </w:pPr>
      <w:r w:rsidRPr="001E4CD8">
        <w:rPr>
          <w:b/>
          <w:color w:val="FF0000"/>
        </w:rPr>
        <w:t>El colapso de las divisas y la inestabilidad financiera</w:t>
      </w:r>
    </w:p>
    <w:p w:rsidR="002C5C1E" w:rsidRPr="009F6E4A" w:rsidRDefault="002C5C1E" w:rsidP="002C5C1E">
      <w:pPr>
        <w:pStyle w:val="NormalWeb"/>
        <w:spacing w:after="0"/>
        <w:jc w:val="both"/>
        <w:rPr>
          <w:color w:val="FF0000"/>
        </w:rPr>
      </w:pPr>
      <w:r w:rsidRPr="009F6E4A">
        <w:rPr>
          <w:color w:val="FF0000"/>
        </w:rPr>
        <w:t>El fin de la globalización</w:t>
      </w:r>
    </w:p>
    <w:p w:rsidR="002C5C1E" w:rsidRPr="009F6E4A" w:rsidRDefault="002C5C1E" w:rsidP="002C5C1E">
      <w:pPr>
        <w:pStyle w:val="NormalWeb"/>
        <w:spacing w:after="0"/>
        <w:jc w:val="both"/>
        <w:rPr>
          <w:color w:val="FF0000"/>
        </w:rPr>
      </w:pPr>
      <w:r w:rsidRPr="009F6E4A">
        <w:rPr>
          <w:color w:val="FF0000"/>
        </w:rPr>
        <w:t>La amenaza de la inteligencia artific</w:t>
      </w:r>
      <w:r w:rsidR="001E4CD8">
        <w:rPr>
          <w:color w:val="FF0000"/>
        </w:rPr>
        <w:t>i</w:t>
      </w:r>
      <w:r w:rsidRPr="009F6E4A">
        <w:rPr>
          <w:color w:val="FF0000"/>
        </w:rPr>
        <w:t>al</w:t>
      </w:r>
    </w:p>
    <w:p w:rsidR="002C5C1E" w:rsidRPr="009F6E4A" w:rsidRDefault="002C5C1E" w:rsidP="002C5C1E">
      <w:pPr>
        <w:pStyle w:val="NormalWeb"/>
        <w:spacing w:after="0"/>
        <w:jc w:val="both"/>
        <w:rPr>
          <w:color w:val="FF0000"/>
        </w:rPr>
      </w:pPr>
      <w:r w:rsidRPr="009F6E4A">
        <w:rPr>
          <w:color w:val="FF0000"/>
        </w:rPr>
        <w:t>La nueva Guerra Fría</w:t>
      </w:r>
    </w:p>
    <w:p w:rsidR="002C5C1E" w:rsidRPr="009F6E4A" w:rsidRDefault="002C5C1E" w:rsidP="002C5C1E">
      <w:pPr>
        <w:pStyle w:val="NormalWeb"/>
        <w:spacing w:after="0"/>
        <w:jc w:val="both"/>
        <w:rPr>
          <w:color w:val="FF0000"/>
        </w:rPr>
      </w:pPr>
      <w:r w:rsidRPr="009F6E4A">
        <w:rPr>
          <w:color w:val="FF0000"/>
        </w:rPr>
        <w:t>Un planeta inhabitable</w:t>
      </w:r>
    </w:p>
    <w:p w:rsidR="002C5C1E" w:rsidRDefault="002C5C1E" w:rsidP="002C5C1E">
      <w:pPr>
        <w:pStyle w:val="NormalWeb"/>
        <w:spacing w:after="0"/>
        <w:jc w:val="both"/>
      </w:pPr>
      <w:r>
        <w:t>¿Qué significa todo esto para la gente en todo el mundo? ¿Vamos a ser más pobres en las próximas décadas?</w:t>
      </w:r>
    </w:p>
    <w:p w:rsidR="002C5C1E" w:rsidRPr="009F6E4A" w:rsidRDefault="002C5C1E" w:rsidP="002C5C1E">
      <w:pPr>
        <w:pStyle w:val="NormalWeb"/>
        <w:spacing w:after="0"/>
        <w:jc w:val="both"/>
        <w:rPr>
          <w:b/>
          <w:color w:val="FF0000"/>
          <w:u w:val="single"/>
        </w:rPr>
      </w:pPr>
      <w:r w:rsidRPr="009F6E4A">
        <w:rPr>
          <w:b/>
          <w:color w:val="FF0000"/>
          <w:u w:val="single"/>
        </w:rPr>
        <w:lastRenderedPageBreak/>
        <w:t xml:space="preserve">Si vamos a tener una deuda que no es sostenible solo nos quedan algunas opciones. O caemos en la bancarrota y en la </w:t>
      </w:r>
      <w:r w:rsidR="001D02F7" w:rsidRPr="009F6E4A">
        <w:rPr>
          <w:b/>
          <w:color w:val="FF0000"/>
          <w:u w:val="single"/>
        </w:rPr>
        <w:t>suspensión</w:t>
      </w:r>
      <w:r w:rsidRPr="009F6E4A">
        <w:rPr>
          <w:b/>
          <w:color w:val="FF0000"/>
          <w:u w:val="single"/>
        </w:rPr>
        <w:t xml:space="preserve"> de pagos; o, como yo espero, los gobiernos van a utilizar episodios inesperados de inflación para reducir el valor real de la deuda nominal.</w:t>
      </w:r>
    </w:p>
    <w:p w:rsidR="002C5C1E" w:rsidRPr="009F6E4A" w:rsidRDefault="002C5C1E" w:rsidP="002C5C1E">
      <w:pPr>
        <w:pStyle w:val="NormalWeb"/>
        <w:spacing w:after="0"/>
        <w:jc w:val="both"/>
        <w:rPr>
          <w:b/>
          <w:color w:val="FF0000"/>
          <w:u w:val="single"/>
        </w:rPr>
      </w:pPr>
      <w:r w:rsidRPr="009F6E4A">
        <w:rPr>
          <w:b/>
          <w:color w:val="FF0000"/>
          <w:u w:val="single"/>
        </w:rPr>
        <w:t>Creo que los bancos centrales van a claudicar y no actuar, porque cuando los gobiernos no pueden reducir la deuda del gobierno ni los impuestos porque hay un gran déficit y guerras contra el cambio climático o contra pandemias o contra otros países, pedimos demasiado prestado y acabamos inflando la ola, como sucedió en la década de los 70.</w:t>
      </w:r>
    </w:p>
    <w:p w:rsidR="002C5C1E" w:rsidRDefault="002C5C1E" w:rsidP="002C5C1E">
      <w:pPr>
        <w:pStyle w:val="NormalWeb"/>
        <w:spacing w:after="0"/>
        <w:jc w:val="both"/>
      </w:pPr>
      <w:r>
        <w:t>Habla del cambio climático en una parte avanzada de su libro. ¿Es esa la mayor amenaza que enfrentamos los humanos?</w:t>
      </w:r>
    </w:p>
    <w:p w:rsidR="002C5C1E" w:rsidRDefault="002C5C1E" w:rsidP="002C5C1E">
      <w:pPr>
        <w:pStyle w:val="NormalWeb"/>
        <w:spacing w:after="0"/>
        <w:jc w:val="both"/>
      </w:pPr>
      <w:r>
        <w:t xml:space="preserve">Es la décima amenaza en mi lista, pero en algunos sentidos es muy importante. Pero es una amenaza que se mueve despacio, mientras que </w:t>
      </w:r>
      <w:r w:rsidRPr="001E4CD8">
        <w:rPr>
          <w:b/>
          <w:color w:val="FF0000"/>
          <w:u w:val="single"/>
        </w:rPr>
        <w:t>la estanflación es un riesgo a muy corto plazo, como lo es el riesgo de un colapso financiero</w:t>
      </w:r>
      <w:r w:rsidRPr="001E4CD8">
        <w:rPr>
          <w:b/>
          <w:color w:val="FF0000"/>
        </w:rPr>
        <w:t xml:space="preserve"> </w:t>
      </w:r>
      <w:r>
        <w:t>o el de que lo que está pasando entre Rusia y Ucrania escale a un enfrentamiento con la OTAN o una guerra no convencional con Irán a un lado y Estados Unidos e Israel al otro, o entre Estados Unidos y China por Taiwán.</w:t>
      </w:r>
    </w:p>
    <w:p w:rsidR="002C5C1E" w:rsidRDefault="002C5C1E" w:rsidP="002C5C1E">
      <w:pPr>
        <w:pStyle w:val="NormalWeb"/>
        <w:spacing w:after="0"/>
        <w:jc w:val="both"/>
      </w:pPr>
      <w:r>
        <w:t>El cambio climático nos va a destruir, pero, aunque los daños que provoca ya hoy son serios, como las sequías en Estados Unidos, Asia o Centroamérica, y los precios de los alimentos se han disparado a causa de esto, nos va a destruir en las próximas décadas. Es una amenaza que se mueve más despacio comparada con otras.</w:t>
      </w:r>
    </w:p>
    <w:p w:rsidR="002C5C1E" w:rsidRPr="001E4CD8" w:rsidRDefault="002C5C1E" w:rsidP="002C5C1E">
      <w:pPr>
        <w:pStyle w:val="NormalWeb"/>
        <w:spacing w:after="0"/>
        <w:jc w:val="both"/>
      </w:pPr>
      <w:r w:rsidRPr="001E4CD8">
        <w:t>¿Cree que los gobernantes en todo el mundo están a la altura del desafío?</w:t>
      </w:r>
    </w:p>
    <w:p w:rsidR="002C5C1E" w:rsidRPr="009F6E4A" w:rsidRDefault="002C5C1E" w:rsidP="002C5C1E">
      <w:pPr>
        <w:pStyle w:val="NormalWeb"/>
        <w:spacing w:after="0"/>
        <w:jc w:val="both"/>
        <w:rPr>
          <w:color w:val="FF0000"/>
          <w:u w:val="single"/>
        </w:rPr>
      </w:pPr>
      <w:r w:rsidRPr="009F6E4A">
        <w:rPr>
          <w:color w:val="FF0000"/>
          <w:u w:val="single"/>
        </w:rPr>
        <w:t>No. Tanto los países democráticos como los autoritarios están evitando afrontar el futuro, hundiendo la cabeza en la arena como los avestruces. Los líderes no toman decisiones difíciles porque quieren ser reelegidos. También los autoritarios necesitan apoyo.</w:t>
      </w:r>
    </w:p>
    <w:p w:rsidR="002C5C1E" w:rsidRPr="009F6E4A" w:rsidRDefault="002C5C1E" w:rsidP="002C5C1E">
      <w:pPr>
        <w:pStyle w:val="NormalWeb"/>
        <w:spacing w:after="0"/>
        <w:jc w:val="both"/>
        <w:rPr>
          <w:color w:val="FF0000"/>
          <w:u w:val="single"/>
        </w:rPr>
      </w:pPr>
      <w:r>
        <w:t xml:space="preserve">En cuanto al cambio climático, se habla mucho de inversiones socialmente responsables en el mundo de los negocios y el sector financiero, pero realmente se habla mucho más de lo que se actúa. Porque </w:t>
      </w:r>
      <w:r w:rsidRPr="009F6E4A">
        <w:rPr>
          <w:color w:val="FF0000"/>
          <w:u w:val="single"/>
        </w:rPr>
        <w:t>ni los actores públicos ni los privados quieren asumir los sacrificios inmediatos que requiere el futuro. Por eso hay una parálisis política.</w:t>
      </w:r>
    </w:p>
    <w:p w:rsidR="002C5C1E" w:rsidRDefault="002C5C1E" w:rsidP="002C5C1E">
      <w:pPr>
        <w:pStyle w:val="NormalWeb"/>
        <w:spacing w:after="0"/>
        <w:jc w:val="both"/>
      </w:pPr>
      <w:r>
        <w:t>Hace algu</w:t>
      </w:r>
      <w:r w:rsidR="001E4CD8">
        <w:t>nos años lo bautizaron como el “doctor catástrofe”</w:t>
      </w:r>
      <w:r>
        <w:t>. ¿Cómo se levanta cada día teniendo en cuenta lo sombrío que ve el futuro?</w:t>
      </w:r>
    </w:p>
    <w:p w:rsidR="002C5C1E" w:rsidRDefault="002C5C1E" w:rsidP="002C5C1E">
      <w:pPr>
        <w:pStyle w:val="NormalWeb"/>
        <w:spacing w:after="0"/>
        <w:jc w:val="both"/>
      </w:pPr>
      <w:r>
        <w:t>Soy el doctor realista, no el doctor catástrofe. Al final de cada capítulo de mi libro sugiero una solución para cada megaamenaza y planteo dos escenarios, uno distópico en el que no hacemos nada y estas amenazas destruyen el mundo, y otro menos distópico y más utópico en el que se aplican a todos los niveles, también el individual, políticas que nos llevan por un camino mejor. Espero que vayamos en la buena dirección, pero ahora mismo me temo que no existen los incentivos para hacer lo correcto. Es lo que yo hago. Tratar de cambiar el mundo a mejor.</w:t>
      </w:r>
    </w:p>
    <w:p w:rsidR="001B6753" w:rsidRDefault="001E4CD8" w:rsidP="00F12292">
      <w:pPr>
        <w:jc w:val="both"/>
        <w:rPr>
          <w:rFonts w:ascii="Times New Roman" w:hAnsi="Times New Roman" w:cs="Times New Roman"/>
          <w:b/>
          <w:sz w:val="24"/>
          <w:szCs w:val="24"/>
        </w:rPr>
      </w:pPr>
      <w:r w:rsidRPr="001E4CD8">
        <w:rPr>
          <w:rFonts w:ascii="Times New Roman" w:hAnsi="Times New Roman" w:cs="Times New Roman"/>
          <w:b/>
          <w:sz w:val="24"/>
          <w:szCs w:val="24"/>
        </w:rPr>
        <w:t xml:space="preserve">Nota: </w:t>
      </w:r>
      <w:r>
        <w:rPr>
          <w:rFonts w:ascii="Times New Roman" w:hAnsi="Times New Roman" w:cs="Times New Roman"/>
          <w:b/>
          <w:sz w:val="24"/>
          <w:szCs w:val="24"/>
        </w:rPr>
        <w:t>creo que ya tenemos</w:t>
      </w:r>
      <w:r w:rsidR="00F12292">
        <w:rPr>
          <w:rFonts w:ascii="Times New Roman" w:hAnsi="Times New Roman" w:cs="Times New Roman"/>
          <w:b/>
          <w:sz w:val="24"/>
          <w:szCs w:val="24"/>
        </w:rPr>
        <w:t xml:space="preserve"> suficientes opiniones relevantes (</w:t>
      </w:r>
      <w:r w:rsidR="00BD5348">
        <w:rPr>
          <w:rFonts w:ascii="Times New Roman" w:hAnsi="Times New Roman" w:cs="Times New Roman"/>
          <w:b/>
          <w:sz w:val="24"/>
          <w:szCs w:val="24"/>
        </w:rPr>
        <w:t xml:space="preserve">un </w:t>
      </w:r>
      <w:r w:rsidR="00F12292">
        <w:rPr>
          <w:rFonts w:ascii="Times New Roman" w:hAnsi="Times New Roman" w:cs="Times New Roman"/>
          <w:b/>
          <w:sz w:val="24"/>
          <w:szCs w:val="24"/>
        </w:rPr>
        <w:t>académico</w:t>
      </w:r>
      <w:r>
        <w:rPr>
          <w:rFonts w:ascii="Times New Roman" w:hAnsi="Times New Roman" w:cs="Times New Roman"/>
          <w:b/>
          <w:sz w:val="24"/>
          <w:szCs w:val="24"/>
        </w:rPr>
        <w:t xml:space="preserve">, </w:t>
      </w:r>
      <w:r w:rsidR="00BD5348">
        <w:rPr>
          <w:rFonts w:ascii="Times New Roman" w:hAnsi="Times New Roman" w:cs="Times New Roman"/>
          <w:b/>
          <w:sz w:val="24"/>
          <w:szCs w:val="24"/>
        </w:rPr>
        <w:t xml:space="preserve">un </w:t>
      </w:r>
      <w:r>
        <w:rPr>
          <w:rFonts w:ascii="Times New Roman" w:hAnsi="Times New Roman" w:cs="Times New Roman"/>
          <w:b/>
          <w:sz w:val="24"/>
          <w:szCs w:val="24"/>
        </w:rPr>
        <w:t>analista,</w:t>
      </w:r>
      <w:r w:rsidR="00F12292">
        <w:rPr>
          <w:rFonts w:ascii="Times New Roman" w:hAnsi="Times New Roman" w:cs="Times New Roman"/>
          <w:b/>
          <w:sz w:val="24"/>
          <w:szCs w:val="24"/>
        </w:rPr>
        <w:t xml:space="preserve"> </w:t>
      </w:r>
      <w:r w:rsidR="00BD5348">
        <w:rPr>
          <w:rFonts w:ascii="Times New Roman" w:hAnsi="Times New Roman" w:cs="Times New Roman"/>
          <w:b/>
          <w:sz w:val="24"/>
          <w:szCs w:val="24"/>
        </w:rPr>
        <w:t xml:space="preserve">un </w:t>
      </w:r>
      <w:r w:rsidR="00F12292">
        <w:rPr>
          <w:rFonts w:ascii="Times New Roman" w:hAnsi="Times New Roman" w:cs="Times New Roman"/>
          <w:b/>
          <w:sz w:val="24"/>
          <w:szCs w:val="24"/>
        </w:rPr>
        <w:t>supervisor, y</w:t>
      </w:r>
      <w:r w:rsidR="00BD5348">
        <w:rPr>
          <w:rFonts w:ascii="Times New Roman" w:hAnsi="Times New Roman" w:cs="Times New Roman"/>
          <w:b/>
          <w:sz w:val="24"/>
          <w:szCs w:val="24"/>
        </w:rPr>
        <w:t xml:space="preserve"> un</w:t>
      </w:r>
      <w:r w:rsidR="00F12292">
        <w:rPr>
          <w:rFonts w:ascii="Times New Roman" w:hAnsi="Times New Roman" w:cs="Times New Roman"/>
          <w:b/>
          <w:sz w:val="24"/>
          <w:szCs w:val="24"/>
        </w:rPr>
        <w:t xml:space="preserve"> gurú) para introducir el debate sobre la “enfermedad” de la deuda.</w:t>
      </w:r>
      <w:r>
        <w:rPr>
          <w:rFonts w:ascii="Times New Roman" w:hAnsi="Times New Roman" w:cs="Times New Roman"/>
          <w:b/>
          <w:sz w:val="24"/>
          <w:szCs w:val="24"/>
        </w:rPr>
        <w:t xml:space="preserve"> </w:t>
      </w:r>
    </w:p>
    <w:p w:rsidR="0092698E" w:rsidRDefault="0092698E" w:rsidP="00F12292">
      <w:pPr>
        <w:jc w:val="both"/>
        <w:rPr>
          <w:rFonts w:ascii="Times New Roman" w:hAnsi="Times New Roman" w:cs="Times New Roman"/>
          <w:b/>
          <w:sz w:val="24"/>
          <w:szCs w:val="24"/>
        </w:rPr>
      </w:pPr>
    </w:p>
    <w:p w:rsidR="0092698E" w:rsidRPr="0092698E" w:rsidRDefault="0092698E" w:rsidP="0092698E">
      <w:pPr>
        <w:pStyle w:val="NormalWeb"/>
        <w:spacing w:before="0" w:beforeAutospacing="0" w:after="0" w:afterAutospacing="0"/>
        <w:jc w:val="both"/>
        <w:rPr>
          <w:b/>
        </w:rPr>
      </w:pPr>
      <w:r w:rsidRPr="0092698E">
        <w:rPr>
          <w:b/>
        </w:rPr>
        <w:lastRenderedPageBreak/>
        <w:t>- El crepúsculo de la razón (¿Deuda eterna o deuda impagable? That is the question)</w:t>
      </w:r>
    </w:p>
    <w:p w:rsidR="0092698E" w:rsidRDefault="0092698E" w:rsidP="0092698E">
      <w:pPr>
        <w:pStyle w:val="NormalWeb"/>
        <w:spacing w:before="0" w:beforeAutospacing="0" w:after="0" w:afterAutospacing="0"/>
        <w:jc w:val="both"/>
        <w:rPr>
          <w:b/>
          <w:color w:val="FF0000"/>
        </w:rPr>
      </w:pPr>
    </w:p>
    <w:p w:rsidR="0092698E" w:rsidRPr="00D778C2" w:rsidRDefault="0092698E" w:rsidP="0092698E">
      <w:pPr>
        <w:pStyle w:val="NormalWeb"/>
        <w:spacing w:before="0" w:beforeAutospacing="0" w:after="0" w:afterAutospacing="0"/>
        <w:jc w:val="both"/>
        <w:rPr>
          <w:b/>
          <w:color w:val="FF0000"/>
        </w:rPr>
      </w:pPr>
      <w:r>
        <w:rPr>
          <w:b/>
          <w:color w:val="FF0000"/>
        </w:rPr>
        <w:t xml:space="preserve">      </w:t>
      </w:r>
      <w:r>
        <w:rPr>
          <w:noProof/>
        </w:rPr>
        <w:drawing>
          <wp:inline distT="0" distB="0" distL="0" distR="0" wp14:anchorId="6DA1FF79" wp14:editId="7AD2B7BE">
            <wp:extent cx="5200650" cy="2647950"/>
            <wp:effectExtent l="0" t="0" r="0" b="0"/>
            <wp:docPr id="8" name="Imagen 8" descr="Deuda externa: una pesadilla recurr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uda externa: una pesadilla recurrente"/>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200650" cy="2647950"/>
                    </a:xfrm>
                    <a:prstGeom prst="rect">
                      <a:avLst/>
                    </a:prstGeom>
                    <a:noFill/>
                    <a:ln>
                      <a:noFill/>
                    </a:ln>
                  </pic:spPr>
                </pic:pic>
              </a:graphicData>
            </a:graphic>
          </wp:inline>
        </w:drawing>
      </w:r>
    </w:p>
    <w:p w:rsidR="0092698E" w:rsidRPr="000329EE" w:rsidRDefault="0092698E" w:rsidP="0092698E">
      <w:pPr>
        <w:pStyle w:val="NormalWeb"/>
        <w:spacing w:before="0" w:beforeAutospacing="0" w:after="0" w:afterAutospacing="0"/>
        <w:jc w:val="both"/>
      </w:pPr>
    </w:p>
    <w:p w:rsidR="0092698E" w:rsidRPr="008A0E88" w:rsidRDefault="008A0E88" w:rsidP="0092698E">
      <w:pPr>
        <w:spacing w:line="240" w:lineRule="auto"/>
        <w:jc w:val="both"/>
        <w:rPr>
          <w:rFonts w:ascii="Times New Roman" w:hAnsi="Times New Roman" w:cs="Times New Roman"/>
          <w:sz w:val="24"/>
          <w:szCs w:val="24"/>
        </w:rPr>
      </w:pPr>
      <w:r>
        <w:rPr>
          <w:rFonts w:ascii="Times New Roman" w:hAnsi="Times New Roman" w:cs="Times New Roman"/>
          <w:b/>
          <w:sz w:val="24"/>
          <w:szCs w:val="24"/>
        </w:rPr>
        <w:t>“</w:t>
      </w:r>
      <w:r w:rsidR="0092698E" w:rsidRPr="0092698E">
        <w:rPr>
          <w:rFonts w:ascii="Times New Roman" w:hAnsi="Times New Roman" w:cs="Times New Roman"/>
          <w:b/>
          <w:sz w:val="24"/>
          <w:szCs w:val="24"/>
        </w:rPr>
        <w:t xml:space="preserve">No puedo gastarme el dinero en alcohol y mujeres y luego pedir ayuda”. Esto no lo cantó Sabina, esto lo dijo el presidente del Eurogrupo, el holandés Jeroen Dijsselbloem, al medio alemán Frankfurter Allgemeine Zeitung en marzo de 2017. “Como socialdemócrata, considero la solidaridad extremadamente importante, pero quien la exige también tiene obligaciones. Este principio se aplica a nivel personal, local, nacional e incluso a nivel europeo”. </w:t>
      </w:r>
      <w:r>
        <w:rPr>
          <w:rFonts w:ascii="Times New Roman" w:hAnsi="Times New Roman" w:cs="Times New Roman"/>
          <w:sz w:val="24"/>
          <w:szCs w:val="24"/>
        </w:rPr>
        <w:t xml:space="preserve">(Esto dijo </w:t>
      </w:r>
      <w:r w:rsidRPr="008A0E88">
        <w:rPr>
          <w:rFonts w:ascii="Times New Roman" w:hAnsi="Times New Roman" w:cs="Times New Roman"/>
          <w:sz w:val="24"/>
          <w:szCs w:val="24"/>
        </w:rPr>
        <w:t>Dijsselbloem</w:t>
      </w:r>
      <w:r>
        <w:rPr>
          <w:rFonts w:ascii="Times New Roman" w:hAnsi="Times New Roman" w:cs="Times New Roman"/>
          <w:sz w:val="24"/>
          <w:szCs w:val="24"/>
        </w:rPr>
        <w:t>, refiriéndose a los miembros del Club Med -Portugal, España, Italia, Grecia -eternos manirrotos, adictos al gasto público, que pretenden vivir por encima de sus posibilidades- cansado de sus pedidos de rescate).</w:t>
      </w:r>
    </w:p>
    <w:p w:rsidR="0092698E" w:rsidRPr="008A0E88" w:rsidRDefault="0092698E" w:rsidP="0092698E">
      <w:pPr>
        <w:pStyle w:val="NormalWeb"/>
        <w:spacing w:after="0"/>
        <w:jc w:val="both"/>
        <w:rPr>
          <w:b/>
        </w:rPr>
      </w:pPr>
      <w:r w:rsidRPr="008A0E88">
        <w:rPr>
          <w:b/>
        </w:rPr>
        <w:t>Dicen que a cada tragedia le sigue una sátira sangrienta. ¿Cuál sería el mejor título?</w:t>
      </w:r>
    </w:p>
    <w:p w:rsidR="0092698E" w:rsidRPr="0092698E" w:rsidRDefault="0092698E" w:rsidP="0092698E">
      <w:pPr>
        <w:spacing w:line="240" w:lineRule="auto"/>
        <w:jc w:val="both"/>
        <w:rPr>
          <w:rFonts w:ascii="Times New Roman" w:hAnsi="Times New Roman" w:cs="Times New Roman"/>
          <w:b/>
          <w:sz w:val="24"/>
          <w:szCs w:val="24"/>
        </w:rPr>
      </w:pPr>
      <w:r w:rsidRPr="0092698E">
        <w:rPr>
          <w:rFonts w:ascii="Times New Roman" w:hAnsi="Times New Roman" w:cs="Times New Roman"/>
          <w:b/>
          <w:sz w:val="24"/>
          <w:szCs w:val="24"/>
        </w:rPr>
        <w:t>La pregunta del millón en los mercados: ¿bajará la inflación con la subida de tipos? Esta obstinación en no reconocer la evidencia (excesos monetarios), por lo difícil que resultaba afrontarla (dejar de dopar a los mercados)… Lo demás es cuestión de esperar que la demanda real (no especulativa) se adecue a la oferta efectiva (no influenciada por chantajes y manipulaciones).</w:t>
      </w:r>
    </w:p>
    <w:p w:rsidR="0092698E" w:rsidRPr="0092698E" w:rsidRDefault="0092698E" w:rsidP="0092698E">
      <w:pPr>
        <w:spacing w:line="240" w:lineRule="auto"/>
        <w:jc w:val="both"/>
        <w:rPr>
          <w:rFonts w:ascii="Times New Roman" w:hAnsi="Times New Roman" w:cs="Times New Roman"/>
          <w:b/>
          <w:sz w:val="24"/>
          <w:szCs w:val="24"/>
        </w:rPr>
      </w:pPr>
      <w:r w:rsidRPr="0092698E">
        <w:rPr>
          <w:rFonts w:ascii="Times New Roman" w:hAnsi="Times New Roman" w:cs="Times New Roman"/>
          <w:b/>
          <w:sz w:val="24"/>
          <w:szCs w:val="24"/>
        </w:rPr>
        <w:t>Como es lógico, cuesta abajo y sin obstáculos, el lío se hace cada vez mayor.</w:t>
      </w:r>
    </w:p>
    <w:p w:rsidR="0092698E" w:rsidRPr="0092698E" w:rsidRDefault="0092698E" w:rsidP="0092698E">
      <w:pPr>
        <w:spacing w:line="240" w:lineRule="auto"/>
        <w:jc w:val="both"/>
        <w:rPr>
          <w:rFonts w:ascii="Times New Roman" w:hAnsi="Times New Roman" w:cs="Times New Roman"/>
          <w:b/>
          <w:sz w:val="24"/>
          <w:szCs w:val="24"/>
        </w:rPr>
      </w:pPr>
      <w:r w:rsidRPr="0092698E">
        <w:rPr>
          <w:rFonts w:ascii="Times New Roman" w:hAnsi="Times New Roman" w:cs="Times New Roman"/>
          <w:b/>
          <w:sz w:val="24"/>
          <w:szCs w:val="24"/>
        </w:rPr>
        <w:t>Por razones históricas, y con alguna excepción -en rigor, una excepción (Paul Volcker)- las convicciones morales (de la Fed, BCE, BoE…) ceden siempre ante el complejo por lo que digan los gobernantes al mando, las partes interesadas y los gurús mediáticos. ¿Cabe mayor necedad? Sí, tal vez, haber otorgado a Bernanke el Premio Nobel al QE.</w:t>
      </w:r>
    </w:p>
    <w:p w:rsidR="0092698E" w:rsidRPr="0092698E" w:rsidRDefault="0092698E" w:rsidP="0092698E">
      <w:pPr>
        <w:spacing w:line="240" w:lineRule="auto"/>
        <w:jc w:val="both"/>
        <w:rPr>
          <w:rFonts w:ascii="Times New Roman" w:hAnsi="Times New Roman" w:cs="Times New Roman"/>
          <w:b/>
          <w:sz w:val="24"/>
          <w:szCs w:val="24"/>
        </w:rPr>
      </w:pPr>
      <w:r>
        <w:rPr>
          <w:rFonts w:ascii="Times New Roman" w:hAnsi="Times New Roman" w:cs="Times New Roman"/>
          <w:b/>
          <w:sz w:val="24"/>
          <w:szCs w:val="24"/>
        </w:rPr>
        <w:t>En resumen: ¿M</w:t>
      </w:r>
      <w:r w:rsidRPr="0092698E">
        <w:rPr>
          <w:rFonts w:ascii="Times New Roman" w:hAnsi="Times New Roman" w:cs="Times New Roman"/>
          <w:b/>
          <w:sz w:val="24"/>
          <w:szCs w:val="24"/>
        </w:rPr>
        <w:t>e fío del cambio</w:t>
      </w:r>
      <w:r>
        <w:rPr>
          <w:rFonts w:ascii="Times New Roman" w:hAnsi="Times New Roman" w:cs="Times New Roman"/>
          <w:b/>
          <w:sz w:val="24"/>
          <w:szCs w:val="24"/>
        </w:rPr>
        <w:t xml:space="preserve"> de paradigma? No. ¿C</w:t>
      </w:r>
      <w:r w:rsidRPr="0092698E">
        <w:rPr>
          <w:rFonts w:ascii="Times New Roman" w:hAnsi="Times New Roman" w:cs="Times New Roman"/>
          <w:b/>
          <w:sz w:val="24"/>
          <w:szCs w:val="24"/>
        </w:rPr>
        <w:t>reo que los gobernadores de los principales bancos centrales se mantendrá</w:t>
      </w:r>
      <w:r>
        <w:rPr>
          <w:rFonts w:ascii="Times New Roman" w:hAnsi="Times New Roman" w:cs="Times New Roman"/>
          <w:b/>
          <w:sz w:val="24"/>
          <w:szCs w:val="24"/>
        </w:rPr>
        <w:t>n firme? Lo dudo. ¿C</w:t>
      </w:r>
      <w:r w:rsidRPr="0092698E">
        <w:rPr>
          <w:rFonts w:ascii="Times New Roman" w:hAnsi="Times New Roman" w:cs="Times New Roman"/>
          <w:b/>
          <w:sz w:val="24"/>
          <w:szCs w:val="24"/>
        </w:rPr>
        <w:t>reo que les conviene actuar con rigor, porque se juegan su lid</w:t>
      </w:r>
      <w:r>
        <w:rPr>
          <w:rFonts w:ascii="Times New Roman" w:hAnsi="Times New Roman" w:cs="Times New Roman"/>
          <w:b/>
          <w:sz w:val="24"/>
          <w:szCs w:val="24"/>
        </w:rPr>
        <w:t>erazgo? Sí, sin ninguna duda. ¿C</w:t>
      </w:r>
      <w:r w:rsidRPr="0092698E">
        <w:rPr>
          <w:rFonts w:ascii="Times New Roman" w:hAnsi="Times New Roman" w:cs="Times New Roman"/>
          <w:b/>
          <w:sz w:val="24"/>
          <w:szCs w:val="24"/>
        </w:rPr>
        <w:t xml:space="preserve">reo que cerrarán este episodio de torpezas y claudicaciones? Me gustaría creerlo. Preferiría verlo. </w:t>
      </w:r>
    </w:p>
    <w:p w:rsidR="0092698E" w:rsidRPr="0092698E" w:rsidRDefault="0092698E" w:rsidP="0092698E">
      <w:pPr>
        <w:spacing w:line="240" w:lineRule="auto"/>
        <w:jc w:val="both"/>
        <w:rPr>
          <w:rFonts w:ascii="Times New Roman" w:hAnsi="Times New Roman" w:cs="Times New Roman"/>
          <w:b/>
          <w:sz w:val="24"/>
          <w:szCs w:val="24"/>
        </w:rPr>
      </w:pPr>
      <w:r w:rsidRPr="0092698E">
        <w:rPr>
          <w:rFonts w:ascii="Times New Roman" w:hAnsi="Times New Roman" w:cs="Times New Roman"/>
          <w:b/>
          <w:sz w:val="24"/>
          <w:szCs w:val="24"/>
        </w:rPr>
        <w:t xml:space="preserve">Porque esto no va a ser un paseo triunfal. Porque los BC estarán ante unos enemigos, de la ortodoxia monetaria, formidables, superdotados para la especulación personal y el </w:t>
      </w:r>
      <w:r w:rsidRPr="0092698E">
        <w:rPr>
          <w:rFonts w:ascii="Times New Roman" w:hAnsi="Times New Roman" w:cs="Times New Roman"/>
          <w:b/>
          <w:sz w:val="24"/>
          <w:szCs w:val="24"/>
        </w:rPr>
        <w:lastRenderedPageBreak/>
        <w:t>mal general, unos tipos sin ningún tipo de escrúpulos morales, acostumbrados a emplear las armas financieras de destrucción masiva a su antojo (en beneficio propio).</w:t>
      </w:r>
    </w:p>
    <w:p w:rsidR="0092698E" w:rsidRDefault="0092698E" w:rsidP="0092698E">
      <w:pPr>
        <w:spacing w:line="240" w:lineRule="auto"/>
        <w:jc w:val="both"/>
        <w:rPr>
          <w:rFonts w:ascii="Times New Roman" w:hAnsi="Times New Roman" w:cs="Times New Roman"/>
          <w:b/>
          <w:sz w:val="24"/>
          <w:szCs w:val="24"/>
        </w:rPr>
      </w:pPr>
      <w:r w:rsidRPr="0092698E">
        <w:rPr>
          <w:rFonts w:ascii="Times New Roman" w:hAnsi="Times New Roman" w:cs="Times New Roman"/>
          <w:b/>
          <w:sz w:val="24"/>
          <w:szCs w:val="24"/>
        </w:rPr>
        <w:t>Porque esta no es guerra para diletantes. Pero, por encima de todo, es urgente abordar de una vez por todas cuestiones que deberían estar en el ADN de un banco central liberal y riguroso, cosa que Alan Greenspan, Ben Bernanke, si me apuran, Mario Draghi, y sin duda Christine Lagarde, se encargaron de enterrar hace tiempo. ¡Qué fluya el dinero, ya veremos después como los recogemos! De esos polvos… estos lodos.</w:t>
      </w:r>
    </w:p>
    <w:p w:rsidR="0092698E" w:rsidRPr="003C478B" w:rsidRDefault="003C478B" w:rsidP="00746987">
      <w:pPr>
        <w:spacing w:line="240" w:lineRule="auto"/>
        <w:jc w:val="both"/>
        <w:rPr>
          <w:rFonts w:ascii="Times New Roman" w:hAnsi="Times New Roman" w:cs="Times New Roman"/>
          <w:sz w:val="24"/>
          <w:szCs w:val="24"/>
        </w:rPr>
      </w:pPr>
      <w:r w:rsidRPr="003C478B">
        <w:rPr>
          <w:rFonts w:ascii="Times New Roman" w:hAnsi="Times New Roman" w:cs="Times New Roman"/>
          <w:sz w:val="24"/>
          <w:szCs w:val="24"/>
        </w:rPr>
        <w:t>Ha costado, pero finalmente la inflación ha pasado a formar parte del vocabulario de los funcionarios y analistas. Pero antes de dar mi versión d</w:t>
      </w:r>
      <w:r>
        <w:rPr>
          <w:rFonts w:ascii="Times New Roman" w:hAnsi="Times New Roman" w:cs="Times New Roman"/>
          <w:sz w:val="24"/>
          <w:szCs w:val="24"/>
        </w:rPr>
        <w:t xml:space="preserve">e la historia, </w:t>
      </w:r>
      <w:r w:rsidR="008A0E88">
        <w:rPr>
          <w:rFonts w:ascii="Times New Roman" w:hAnsi="Times New Roman" w:cs="Times New Roman"/>
          <w:sz w:val="24"/>
          <w:szCs w:val="24"/>
        </w:rPr>
        <w:t xml:space="preserve">algunos datos de último momento, y </w:t>
      </w:r>
      <w:r>
        <w:rPr>
          <w:rFonts w:ascii="Times New Roman" w:hAnsi="Times New Roman" w:cs="Times New Roman"/>
          <w:sz w:val="24"/>
          <w:szCs w:val="24"/>
        </w:rPr>
        <w:t xml:space="preserve">un par de citas  de </w:t>
      </w:r>
      <w:r w:rsidR="008A0E88">
        <w:rPr>
          <w:rFonts w:ascii="Times New Roman" w:hAnsi="Times New Roman" w:cs="Times New Roman"/>
          <w:sz w:val="24"/>
          <w:szCs w:val="24"/>
        </w:rPr>
        <w:t>“los que saben” (o eso se supone</w:t>
      </w:r>
      <w:r>
        <w:rPr>
          <w:rFonts w:ascii="Times New Roman" w:hAnsi="Times New Roman" w:cs="Times New Roman"/>
          <w:sz w:val="24"/>
          <w:szCs w:val="24"/>
        </w:rPr>
        <w:t xml:space="preserve">). </w:t>
      </w:r>
    </w:p>
    <w:p w:rsidR="0092698E" w:rsidRPr="00911B9A" w:rsidRDefault="0092698E" w:rsidP="0092698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911B9A">
        <w:rPr>
          <w:rFonts w:ascii="Times New Roman" w:hAnsi="Times New Roman" w:cs="Times New Roman"/>
          <w:sz w:val="24"/>
          <w:szCs w:val="24"/>
        </w:rPr>
        <w:t>¿</w:t>
      </w:r>
      <w:r w:rsidRPr="000C59CE">
        <w:rPr>
          <w:rFonts w:ascii="Times New Roman" w:hAnsi="Times New Roman" w:cs="Times New Roman"/>
          <w:sz w:val="24"/>
          <w:szCs w:val="24"/>
          <w:u w:val="single"/>
        </w:rPr>
        <w:t>Ha tocado techo la inflación? Los dos factores que la empujan constantemente</w:t>
      </w:r>
      <w:r>
        <w:rPr>
          <w:rFonts w:ascii="Times New Roman" w:hAnsi="Times New Roman" w:cs="Times New Roman"/>
          <w:sz w:val="24"/>
          <w:szCs w:val="24"/>
        </w:rPr>
        <w:t xml:space="preserve"> (El Confidencial - </w:t>
      </w:r>
      <w:r w:rsidRPr="00746987">
        <w:rPr>
          <w:rFonts w:ascii="Times New Roman" w:hAnsi="Times New Roman" w:cs="Times New Roman"/>
          <w:b/>
          <w:sz w:val="24"/>
          <w:szCs w:val="24"/>
        </w:rPr>
        <w:t>30/10/22</w:t>
      </w:r>
      <w:r>
        <w:rPr>
          <w:rFonts w:ascii="Times New Roman" w:hAnsi="Times New Roman" w:cs="Times New Roman"/>
          <w:sz w:val="24"/>
          <w:szCs w:val="24"/>
        </w:rPr>
        <w:t>)</w:t>
      </w:r>
    </w:p>
    <w:p w:rsidR="0092698E" w:rsidRPr="00911B9A" w:rsidRDefault="003C478B" w:rsidP="0092698E">
      <w:pPr>
        <w:spacing w:line="240" w:lineRule="auto"/>
        <w:jc w:val="both"/>
        <w:rPr>
          <w:rFonts w:ascii="Times New Roman" w:hAnsi="Times New Roman" w:cs="Times New Roman"/>
          <w:sz w:val="24"/>
          <w:szCs w:val="24"/>
        </w:rPr>
      </w:pPr>
      <w:r>
        <w:rPr>
          <w:rFonts w:ascii="Times New Roman" w:hAnsi="Times New Roman" w:cs="Times New Roman"/>
          <w:sz w:val="24"/>
          <w:szCs w:val="24"/>
        </w:rPr>
        <w:t>En torno al segundo trimestre, “</w:t>
      </w:r>
      <w:r w:rsidR="0092698E" w:rsidRPr="00911B9A">
        <w:rPr>
          <w:rFonts w:ascii="Times New Roman" w:hAnsi="Times New Roman" w:cs="Times New Roman"/>
          <w:sz w:val="24"/>
          <w:szCs w:val="24"/>
        </w:rPr>
        <w:t>las subidas de tipos deberían ser marginales, lo que debería poner también un techo a los tipos de interés y suelo a las valoraciones de los mercados de re</w:t>
      </w:r>
      <w:r>
        <w:rPr>
          <w:rFonts w:ascii="Times New Roman" w:hAnsi="Times New Roman" w:cs="Times New Roman"/>
          <w:sz w:val="24"/>
          <w:szCs w:val="24"/>
        </w:rPr>
        <w:t>nta fija y variable”</w:t>
      </w:r>
    </w:p>
    <w:p w:rsidR="0092698E" w:rsidRPr="00911B9A" w:rsidRDefault="0092698E" w:rsidP="0092698E">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911B9A">
        <w:rPr>
          <w:rFonts w:ascii="Times New Roman" w:hAnsi="Times New Roman" w:cs="Times New Roman"/>
          <w:sz w:val="24"/>
          <w:szCs w:val="24"/>
        </w:rPr>
        <w:t>Por EC Brands</w:t>
      </w:r>
      <w:r>
        <w:rPr>
          <w:rFonts w:ascii="Times New Roman" w:hAnsi="Times New Roman" w:cs="Times New Roman"/>
          <w:sz w:val="24"/>
          <w:szCs w:val="24"/>
        </w:rPr>
        <w:t>)</w:t>
      </w:r>
    </w:p>
    <w:p w:rsidR="0092698E" w:rsidRPr="00911B9A" w:rsidRDefault="0092698E" w:rsidP="0092698E">
      <w:pPr>
        <w:spacing w:line="240" w:lineRule="auto"/>
        <w:jc w:val="both"/>
        <w:rPr>
          <w:rFonts w:ascii="Times New Roman" w:hAnsi="Times New Roman" w:cs="Times New Roman"/>
          <w:sz w:val="24"/>
          <w:szCs w:val="24"/>
        </w:rPr>
      </w:pPr>
      <w:r w:rsidRPr="00911B9A">
        <w:rPr>
          <w:rFonts w:ascii="Times New Roman" w:hAnsi="Times New Roman" w:cs="Times New Roman"/>
          <w:sz w:val="24"/>
          <w:szCs w:val="24"/>
        </w:rPr>
        <w:t>Es la pregunta que todos nos hacemos desde hace meses: ¿</w:t>
      </w:r>
      <w:r w:rsidRPr="003C478B">
        <w:rPr>
          <w:rFonts w:ascii="Times New Roman" w:hAnsi="Times New Roman" w:cs="Times New Roman"/>
          <w:sz w:val="24"/>
          <w:szCs w:val="24"/>
          <w:u w:val="single"/>
        </w:rPr>
        <w:t>será posible que la subida de precios, por fin, llegue a su máximo y comience a relajarse</w:t>
      </w:r>
      <w:r w:rsidRPr="00911B9A">
        <w:rPr>
          <w:rFonts w:ascii="Times New Roman" w:hAnsi="Times New Roman" w:cs="Times New Roman"/>
          <w:sz w:val="24"/>
          <w:szCs w:val="24"/>
        </w:rPr>
        <w:t>? Responder a esta pregunta no es sencillo, pero Jacobo Ortega Vich, director de inversiones de Europ</w:t>
      </w:r>
      <w:r w:rsidR="003C478B">
        <w:rPr>
          <w:rFonts w:ascii="Times New Roman" w:hAnsi="Times New Roman" w:cs="Times New Roman"/>
          <w:sz w:val="24"/>
          <w:szCs w:val="24"/>
        </w:rPr>
        <w:t>a de Santander AM, lo intenta: “</w:t>
      </w:r>
      <w:r w:rsidRPr="00911B9A">
        <w:rPr>
          <w:rFonts w:ascii="Times New Roman" w:hAnsi="Times New Roman" w:cs="Times New Roman"/>
          <w:sz w:val="24"/>
          <w:szCs w:val="24"/>
        </w:rPr>
        <w:t>La evolución de los mercados financieros este año ha venido determinada por las expectativas de subidas de tipos de interés por parte de los bancos centrales. Y el factor principal detrás de este proceso de endurecimiento de la política monetaria no es otro que la fuerte subida de la inflación experimentada desde el s</w:t>
      </w:r>
      <w:r w:rsidR="003C478B">
        <w:rPr>
          <w:rFonts w:ascii="Times New Roman" w:hAnsi="Times New Roman" w:cs="Times New Roman"/>
          <w:sz w:val="24"/>
          <w:szCs w:val="24"/>
        </w:rPr>
        <w:t>egundo trimestre del año pasado”</w:t>
      </w:r>
      <w:r w:rsidRPr="00911B9A">
        <w:rPr>
          <w:rFonts w:ascii="Times New Roman" w:hAnsi="Times New Roman" w:cs="Times New Roman"/>
          <w:sz w:val="24"/>
          <w:szCs w:val="24"/>
        </w:rPr>
        <w:t xml:space="preserve">. </w:t>
      </w:r>
      <w:r w:rsidRPr="003C478B">
        <w:rPr>
          <w:rFonts w:ascii="Times New Roman" w:hAnsi="Times New Roman" w:cs="Times New Roman"/>
          <w:sz w:val="24"/>
          <w:szCs w:val="24"/>
          <w:u w:val="single"/>
        </w:rPr>
        <w:t>Por desgracia, y a pesar</w:t>
      </w:r>
      <w:r w:rsidR="003C478B" w:rsidRPr="003C478B">
        <w:rPr>
          <w:rFonts w:ascii="Times New Roman" w:hAnsi="Times New Roman" w:cs="Times New Roman"/>
          <w:sz w:val="24"/>
          <w:szCs w:val="24"/>
          <w:u w:val="single"/>
        </w:rPr>
        <w:t xml:space="preserve"> de las subidas ya anunciadas, “</w:t>
      </w:r>
      <w:r w:rsidRPr="003C478B">
        <w:rPr>
          <w:rFonts w:ascii="Times New Roman" w:hAnsi="Times New Roman" w:cs="Times New Roman"/>
          <w:sz w:val="24"/>
          <w:szCs w:val="24"/>
          <w:u w:val="single"/>
        </w:rPr>
        <w:t xml:space="preserve">todavía no ha dado muestras de haber tocado </w:t>
      </w:r>
      <w:r w:rsidR="003C478B" w:rsidRPr="003C478B">
        <w:rPr>
          <w:rFonts w:ascii="Times New Roman" w:hAnsi="Times New Roman" w:cs="Times New Roman"/>
          <w:sz w:val="24"/>
          <w:szCs w:val="24"/>
          <w:u w:val="single"/>
        </w:rPr>
        <w:t>techo”</w:t>
      </w:r>
      <w:r w:rsidRPr="00911B9A">
        <w:rPr>
          <w:rFonts w:ascii="Times New Roman" w:hAnsi="Times New Roman" w:cs="Times New Roman"/>
          <w:sz w:val="24"/>
          <w:szCs w:val="24"/>
        </w:rPr>
        <w:t xml:space="preserve">, afirma. </w:t>
      </w:r>
      <w:r w:rsidRPr="003C478B">
        <w:rPr>
          <w:rFonts w:ascii="Times New Roman" w:hAnsi="Times New Roman" w:cs="Times New Roman"/>
          <w:sz w:val="24"/>
          <w:szCs w:val="24"/>
          <w:u w:val="single"/>
        </w:rPr>
        <w:t xml:space="preserve">Aunque inicialmente se esperaba que ese repunte de la inflación fuera </w:t>
      </w:r>
      <w:r w:rsidR="003C478B" w:rsidRPr="003C478B">
        <w:rPr>
          <w:rFonts w:ascii="Times New Roman" w:hAnsi="Times New Roman" w:cs="Times New Roman"/>
          <w:sz w:val="24"/>
          <w:szCs w:val="24"/>
          <w:u w:val="single"/>
        </w:rPr>
        <w:t>temporal, “</w:t>
      </w:r>
      <w:r w:rsidRPr="003C478B">
        <w:rPr>
          <w:rFonts w:ascii="Times New Roman" w:hAnsi="Times New Roman" w:cs="Times New Roman"/>
          <w:sz w:val="24"/>
          <w:szCs w:val="24"/>
          <w:u w:val="single"/>
        </w:rPr>
        <w:t>finalmente ha resultado ser más duradero de lo previsto. El carácter transitorio se argumentaba en que el desencadenante inicial, derivado del impacto que tuvo el covid en las cadenas de producción, se iría ajustando con</w:t>
      </w:r>
      <w:r w:rsidR="003C478B" w:rsidRPr="003C478B">
        <w:rPr>
          <w:rFonts w:ascii="Times New Roman" w:hAnsi="Times New Roman" w:cs="Times New Roman"/>
          <w:sz w:val="24"/>
          <w:szCs w:val="24"/>
          <w:u w:val="single"/>
        </w:rPr>
        <w:t xml:space="preserve"> la reapertura de las economías”</w:t>
      </w:r>
      <w:r w:rsidRPr="003C478B">
        <w:rPr>
          <w:rFonts w:ascii="Times New Roman" w:hAnsi="Times New Roman" w:cs="Times New Roman"/>
          <w:sz w:val="24"/>
          <w:szCs w:val="24"/>
          <w:u w:val="single"/>
        </w:rPr>
        <w:t>.</w:t>
      </w:r>
    </w:p>
    <w:p w:rsidR="0092698E" w:rsidRPr="00911B9A" w:rsidRDefault="0092698E" w:rsidP="0092698E">
      <w:pPr>
        <w:spacing w:line="240" w:lineRule="auto"/>
        <w:jc w:val="both"/>
        <w:rPr>
          <w:rFonts w:ascii="Times New Roman" w:hAnsi="Times New Roman" w:cs="Times New Roman"/>
          <w:sz w:val="24"/>
          <w:szCs w:val="24"/>
        </w:rPr>
      </w:pPr>
      <w:r w:rsidRPr="00911B9A">
        <w:rPr>
          <w:rFonts w:ascii="Times New Roman" w:hAnsi="Times New Roman" w:cs="Times New Roman"/>
          <w:sz w:val="24"/>
          <w:szCs w:val="24"/>
        </w:rPr>
        <w:t>Por qué no baja la inflación</w:t>
      </w:r>
    </w:p>
    <w:p w:rsidR="0092698E" w:rsidRPr="00746987" w:rsidRDefault="003C478B" w:rsidP="0092698E">
      <w:pPr>
        <w:spacing w:line="240" w:lineRule="auto"/>
        <w:jc w:val="both"/>
        <w:rPr>
          <w:rFonts w:ascii="Times New Roman" w:hAnsi="Times New Roman" w:cs="Times New Roman"/>
          <w:sz w:val="24"/>
          <w:szCs w:val="24"/>
          <w:u w:val="single"/>
        </w:rPr>
      </w:pPr>
      <w:r w:rsidRPr="003C478B">
        <w:rPr>
          <w:rFonts w:ascii="Times New Roman" w:hAnsi="Times New Roman" w:cs="Times New Roman"/>
          <w:sz w:val="24"/>
          <w:szCs w:val="24"/>
          <w:u w:val="single"/>
        </w:rPr>
        <w:t>El problema ha sido que, “</w:t>
      </w:r>
      <w:r w:rsidR="0092698E" w:rsidRPr="003C478B">
        <w:rPr>
          <w:rFonts w:ascii="Times New Roman" w:hAnsi="Times New Roman" w:cs="Times New Roman"/>
          <w:sz w:val="24"/>
          <w:szCs w:val="24"/>
          <w:u w:val="single"/>
        </w:rPr>
        <w:t>una vez controlados los contagios y, con ello, reestablecidas las cadenas de suministro, la economía mundial se ha visto golpeada adicionalmente por dos factores que han dado un nuevo impulso a la inflación</w:t>
      </w:r>
      <w:r w:rsidRPr="003C478B">
        <w:rPr>
          <w:rFonts w:ascii="Times New Roman" w:hAnsi="Times New Roman" w:cs="Times New Roman"/>
          <w:sz w:val="24"/>
          <w:szCs w:val="24"/>
          <w:u w:val="single"/>
        </w:rPr>
        <w:t xml:space="preserve"> más estructural, la subyacente”</w:t>
      </w:r>
      <w:r w:rsidR="0092698E" w:rsidRPr="003C478B">
        <w:rPr>
          <w:rFonts w:ascii="Times New Roman" w:hAnsi="Times New Roman" w:cs="Times New Roman"/>
          <w:sz w:val="24"/>
          <w:szCs w:val="24"/>
          <w:u w:val="single"/>
        </w:rPr>
        <w:t>,</w:t>
      </w:r>
      <w:r w:rsidR="0092698E" w:rsidRPr="00911B9A">
        <w:rPr>
          <w:rFonts w:ascii="Times New Roman" w:hAnsi="Times New Roman" w:cs="Times New Roman"/>
          <w:sz w:val="24"/>
          <w:szCs w:val="24"/>
        </w:rPr>
        <w:t xml:space="preserve"> a</w:t>
      </w:r>
      <w:r>
        <w:rPr>
          <w:rFonts w:ascii="Times New Roman" w:hAnsi="Times New Roman" w:cs="Times New Roman"/>
          <w:sz w:val="24"/>
          <w:szCs w:val="24"/>
        </w:rPr>
        <w:t xml:space="preserve">segura. </w:t>
      </w:r>
      <w:r w:rsidRPr="003C478B">
        <w:rPr>
          <w:rFonts w:ascii="Times New Roman" w:hAnsi="Times New Roman" w:cs="Times New Roman"/>
          <w:sz w:val="24"/>
          <w:szCs w:val="24"/>
          <w:u w:val="single"/>
        </w:rPr>
        <w:t>El primero de ellos es “</w:t>
      </w:r>
      <w:r w:rsidR="0092698E" w:rsidRPr="003C478B">
        <w:rPr>
          <w:rFonts w:ascii="Times New Roman" w:hAnsi="Times New Roman" w:cs="Times New Roman"/>
          <w:sz w:val="24"/>
          <w:szCs w:val="24"/>
          <w:u w:val="single"/>
        </w:rPr>
        <w:t>el fuerte repunte de los precios de la energía y alimentos debido principalmente al confl</w:t>
      </w:r>
      <w:r w:rsidRPr="003C478B">
        <w:rPr>
          <w:rFonts w:ascii="Times New Roman" w:hAnsi="Times New Roman" w:cs="Times New Roman"/>
          <w:sz w:val="24"/>
          <w:szCs w:val="24"/>
          <w:u w:val="single"/>
        </w:rPr>
        <w:t>icto bélico en Ucrania”</w:t>
      </w:r>
      <w:r w:rsidR="0092698E" w:rsidRPr="003C478B">
        <w:rPr>
          <w:rFonts w:ascii="Times New Roman" w:hAnsi="Times New Roman" w:cs="Times New Roman"/>
          <w:sz w:val="24"/>
          <w:szCs w:val="24"/>
          <w:u w:val="single"/>
        </w:rPr>
        <w:t>. Y el</w:t>
      </w:r>
      <w:r w:rsidRPr="003C478B">
        <w:rPr>
          <w:rFonts w:ascii="Times New Roman" w:hAnsi="Times New Roman" w:cs="Times New Roman"/>
          <w:sz w:val="24"/>
          <w:szCs w:val="24"/>
          <w:u w:val="single"/>
        </w:rPr>
        <w:t xml:space="preserve"> segundo, casi más importante, “</w:t>
      </w:r>
      <w:r w:rsidR="0092698E" w:rsidRPr="003C478B">
        <w:rPr>
          <w:rFonts w:ascii="Times New Roman" w:hAnsi="Times New Roman" w:cs="Times New Roman"/>
          <w:sz w:val="24"/>
          <w:szCs w:val="24"/>
          <w:u w:val="single"/>
        </w:rPr>
        <w:t xml:space="preserve">los efectos de segunda ronda que han hecho que la inflación de servicios (cuya evolución es clave para los bancos centrales) repunte muy por encima </w:t>
      </w:r>
      <w:r w:rsidRPr="003C478B">
        <w:rPr>
          <w:rFonts w:ascii="Times New Roman" w:hAnsi="Times New Roman" w:cs="Times New Roman"/>
          <w:sz w:val="24"/>
          <w:szCs w:val="24"/>
          <w:u w:val="single"/>
        </w:rPr>
        <w:t>de las expectativas del mercado”</w:t>
      </w:r>
      <w:r w:rsidR="0092698E" w:rsidRPr="003C478B">
        <w:rPr>
          <w:rFonts w:ascii="Times New Roman" w:hAnsi="Times New Roman" w:cs="Times New Roman"/>
          <w:sz w:val="24"/>
          <w:szCs w:val="24"/>
          <w:u w:val="single"/>
        </w:rPr>
        <w:t>.</w:t>
      </w:r>
      <w:r w:rsidR="0092698E" w:rsidRPr="00911B9A">
        <w:rPr>
          <w:rFonts w:ascii="Times New Roman" w:hAnsi="Times New Roman" w:cs="Times New Roman"/>
          <w:sz w:val="24"/>
          <w:szCs w:val="24"/>
        </w:rPr>
        <w:t xml:space="preserve"> Por ser el componente más importante de dicha inflación subyacente, en tanto que no muestre visos de moderación, </w:t>
      </w:r>
      <w:r w:rsidR="0092698E" w:rsidRPr="003C478B">
        <w:rPr>
          <w:rFonts w:ascii="Times New Roman" w:hAnsi="Times New Roman" w:cs="Times New Roman"/>
          <w:sz w:val="24"/>
          <w:szCs w:val="24"/>
          <w:u w:val="single"/>
        </w:rPr>
        <w:t>no es de esperar que los bancos centrales dejen de endurecer las condiciones monetarias. El aumento del precio de la energía y las expectativas de los mercados han hecho mella en la inflación</w:t>
      </w:r>
      <w:r>
        <w:rPr>
          <w:rFonts w:ascii="Times New Roman" w:hAnsi="Times New Roman" w:cs="Times New Roman"/>
          <w:sz w:val="24"/>
          <w:szCs w:val="24"/>
        </w:rPr>
        <w:t xml:space="preserve"> De hecho, añade, “</w:t>
      </w:r>
      <w:r w:rsidR="0092698E" w:rsidRPr="00911B9A">
        <w:rPr>
          <w:rFonts w:ascii="Times New Roman" w:hAnsi="Times New Roman" w:cs="Times New Roman"/>
          <w:sz w:val="24"/>
          <w:szCs w:val="24"/>
        </w:rPr>
        <w:t>aunque los signos de ralentización en el crecimiento están siendo evidentes tanto en Estados Unidos como en Europa, se esperan nuevas subidas y un compromiso claro por parte de los Bancos Centrales en atajar est</w:t>
      </w:r>
      <w:r>
        <w:rPr>
          <w:rFonts w:ascii="Times New Roman" w:hAnsi="Times New Roman" w:cs="Times New Roman"/>
          <w:sz w:val="24"/>
          <w:szCs w:val="24"/>
        </w:rPr>
        <w:t>e sobrecalentamiento de precios”</w:t>
      </w:r>
      <w:r w:rsidR="0092698E" w:rsidRPr="00911B9A">
        <w:rPr>
          <w:rFonts w:ascii="Times New Roman" w:hAnsi="Times New Roman" w:cs="Times New Roman"/>
          <w:sz w:val="24"/>
          <w:szCs w:val="24"/>
        </w:rPr>
        <w:t xml:space="preserve">. </w:t>
      </w:r>
      <w:r w:rsidR="0092698E" w:rsidRPr="003C478B">
        <w:rPr>
          <w:rFonts w:ascii="Times New Roman" w:hAnsi="Times New Roman" w:cs="Times New Roman"/>
          <w:sz w:val="24"/>
          <w:szCs w:val="24"/>
          <w:u w:val="single"/>
        </w:rPr>
        <w:t xml:space="preserve">¿Cuándo podríamos ver que la inflación de servicios, y con ello, </w:t>
      </w:r>
      <w:r w:rsidRPr="003C478B">
        <w:rPr>
          <w:rFonts w:ascii="Times New Roman" w:hAnsi="Times New Roman" w:cs="Times New Roman"/>
          <w:sz w:val="24"/>
          <w:szCs w:val="24"/>
          <w:u w:val="single"/>
        </w:rPr>
        <w:t>la subyacente ha tocado techo? “</w:t>
      </w:r>
      <w:r w:rsidR="0092698E" w:rsidRPr="003C478B">
        <w:rPr>
          <w:rFonts w:ascii="Times New Roman" w:hAnsi="Times New Roman" w:cs="Times New Roman"/>
          <w:sz w:val="24"/>
          <w:szCs w:val="24"/>
          <w:u w:val="single"/>
        </w:rPr>
        <w:t xml:space="preserve">Creemos que podríamos ver las </w:t>
      </w:r>
      <w:r w:rsidR="0092698E" w:rsidRPr="003C478B">
        <w:rPr>
          <w:rFonts w:ascii="Times New Roman" w:hAnsi="Times New Roman" w:cs="Times New Roman"/>
          <w:sz w:val="24"/>
          <w:szCs w:val="24"/>
          <w:u w:val="single"/>
        </w:rPr>
        <w:lastRenderedPageBreak/>
        <w:t xml:space="preserve">primeras señales en Estados Unidos durante el primer trimestre del año que viene. La bajada del crecimiento económico y ligeros indicios de moderación </w:t>
      </w:r>
      <w:r w:rsidRPr="003C478B">
        <w:rPr>
          <w:rFonts w:ascii="Times New Roman" w:hAnsi="Times New Roman" w:cs="Times New Roman"/>
          <w:sz w:val="24"/>
          <w:szCs w:val="24"/>
          <w:u w:val="single"/>
        </w:rPr>
        <w:t>salarial apuntan en ese sentido”</w:t>
      </w:r>
      <w:r w:rsidR="0092698E" w:rsidRPr="003C478B">
        <w:rPr>
          <w:rFonts w:ascii="Times New Roman" w:hAnsi="Times New Roman" w:cs="Times New Roman"/>
          <w:sz w:val="24"/>
          <w:szCs w:val="24"/>
          <w:u w:val="single"/>
        </w:rPr>
        <w:t>.</w:t>
      </w:r>
      <w:r w:rsidR="0092698E" w:rsidRPr="00911B9A">
        <w:rPr>
          <w:rFonts w:ascii="Times New Roman" w:hAnsi="Times New Roman" w:cs="Times New Roman"/>
          <w:sz w:val="24"/>
          <w:szCs w:val="24"/>
        </w:rPr>
        <w:t xml:space="preserve"> </w:t>
      </w:r>
      <w:r w:rsidR="0092698E" w:rsidRPr="00746987">
        <w:rPr>
          <w:rFonts w:ascii="Times New Roman" w:hAnsi="Times New Roman" w:cs="Times New Roman"/>
          <w:sz w:val="24"/>
          <w:szCs w:val="24"/>
          <w:u w:val="single"/>
        </w:rPr>
        <w:t xml:space="preserve">Un poco más tarde, </w:t>
      </w:r>
      <w:r w:rsidR="00746987" w:rsidRPr="00746987">
        <w:rPr>
          <w:rFonts w:ascii="Times New Roman" w:hAnsi="Times New Roman" w:cs="Times New Roman"/>
          <w:sz w:val="24"/>
          <w:szCs w:val="24"/>
          <w:u w:val="single"/>
        </w:rPr>
        <w:t>en torno al segundo trimestre, “</w:t>
      </w:r>
      <w:r w:rsidR="0092698E" w:rsidRPr="00746987">
        <w:rPr>
          <w:rFonts w:ascii="Times New Roman" w:hAnsi="Times New Roman" w:cs="Times New Roman"/>
          <w:sz w:val="24"/>
          <w:szCs w:val="24"/>
          <w:u w:val="single"/>
        </w:rPr>
        <w:t>creemos que empezará la moderación en la Eurozona, una vez las tasas de base tengan comparativas elevadas. A partir de entonces consideramos que las subidas de tipos deberían ser marginales, lo que debería poner también un techo a los tipos de interés y suelo a las valoraciones de los mercados</w:t>
      </w:r>
      <w:r w:rsidR="00746987" w:rsidRPr="00746987">
        <w:rPr>
          <w:rFonts w:ascii="Times New Roman" w:hAnsi="Times New Roman" w:cs="Times New Roman"/>
          <w:sz w:val="24"/>
          <w:szCs w:val="24"/>
          <w:u w:val="single"/>
        </w:rPr>
        <w:t xml:space="preserve"> de renta fija y renta variable</w:t>
      </w:r>
      <w:r w:rsidR="00746987" w:rsidRPr="00B977A4">
        <w:rPr>
          <w:rFonts w:ascii="Times New Roman" w:hAnsi="Times New Roman" w:cs="Times New Roman"/>
          <w:sz w:val="24"/>
          <w:szCs w:val="24"/>
        </w:rPr>
        <w:t>”</w:t>
      </w:r>
      <w:r w:rsidR="0092698E" w:rsidRPr="00B977A4">
        <w:rPr>
          <w:rFonts w:ascii="Times New Roman" w:hAnsi="Times New Roman" w:cs="Times New Roman"/>
          <w:sz w:val="24"/>
          <w:szCs w:val="24"/>
        </w:rPr>
        <w:t>.</w:t>
      </w:r>
    </w:p>
    <w:p w:rsidR="0092698E" w:rsidRDefault="00746987" w:rsidP="0092698E">
      <w:pPr>
        <w:spacing w:line="240" w:lineRule="auto"/>
        <w:jc w:val="both"/>
        <w:rPr>
          <w:rFonts w:ascii="Times New Roman" w:hAnsi="Times New Roman" w:cs="Times New Roman"/>
          <w:sz w:val="24"/>
          <w:szCs w:val="24"/>
        </w:rPr>
      </w:pPr>
      <w:r>
        <w:rPr>
          <w:rFonts w:ascii="Times New Roman" w:hAnsi="Times New Roman" w:cs="Times New Roman"/>
          <w:sz w:val="24"/>
          <w:szCs w:val="24"/>
        </w:rPr>
        <w:t>- “</w:t>
      </w:r>
      <w:r w:rsidRPr="00746987">
        <w:rPr>
          <w:rFonts w:ascii="Times New Roman" w:hAnsi="Times New Roman" w:cs="Times New Roman"/>
          <w:sz w:val="24"/>
          <w:szCs w:val="24"/>
          <w:u w:val="single"/>
        </w:rPr>
        <w:t>Too fast, too furious”</w:t>
      </w:r>
      <w:r w:rsidR="0092698E" w:rsidRPr="00746987">
        <w:rPr>
          <w:rFonts w:ascii="Times New Roman" w:hAnsi="Times New Roman" w:cs="Times New Roman"/>
          <w:sz w:val="24"/>
          <w:szCs w:val="24"/>
          <w:u w:val="single"/>
        </w:rPr>
        <w:t>, el euríbor se acerca al 3% y sube la cuota más de 300 €/mes</w:t>
      </w:r>
      <w:r w:rsidR="0092698E">
        <w:rPr>
          <w:rFonts w:ascii="Times New Roman" w:hAnsi="Times New Roman" w:cs="Times New Roman"/>
          <w:sz w:val="24"/>
          <w:szCs w:val="24"/>
        </w:rPr>
        <w:t xml:space="preserve"> (El Confidencial - </w:t>
      </w:r>
      <w:r w:rsidR="0092698E" w:rsidRPr="00746987">
        <w:rPr>
          <w:rFonts w:ascii="Times New Roman" w:hAnsi="Times New Roman" w:cs="Times New Roman"/>
          <w:b/>
          <w:sz w:val="24"/>
          <w:szCs w:val="24"/>
        </w:rPr>
        <w:t>31/10/22</w:t>
      </w:r>
      <w:r w:rsidR="0092698E">
        <w:rPr>
          <w:rFonts w:ascii="Times New Roman" w:hAnsi="Times New Roman" w:cs="Times New Roman"/>
          <w:sz w:val="24"/>
          <w:szCs w:val="24"/>
        </w:rPr>
        <w:t>)</w:t>
      </w:r>
    </w:p>
    <w:p w:rsidR="0092698E" w:rsidRDefault="0092698E" w:rsidP="0092698E">
      <w:pPr>
        <w:spacing w:line="240" w:lineRule="auto"/>
        <w:jc w:val="both"/>
        <w:rPr>
          <w:rFonts w:ascii="Times New Roman" w:hAnsi="Times New Roman" w:cs="Times New Roman"/>
          <w:sz w:val="24"/>
          <w:szCs w:val="24"/>
        </w:rPr>
      </w:pPr>
      <w:r w:rsidRPr="00165C8F">
        <w:rPr>
          <w:rFonts w:ascii="Times New Roman" w:hAnsi="Times New Roman" w:cs="Times New Roman"/>
          <w:sz w:val="24"/>
          <w:szCs w:val="24"/>
        </w:rPr>
        <w:t>El euríbor avanza imparable. Desde que arrancó 2022, la subida del principal indicador de las hipotecas variables en España ha sido imparable y especialmente intensa tras las sucesivas subidas de tipos por parte del Banco Central Europeo (BCE) para contener, de momento sin éxito, la inflación. Al calor de estas subidas, se están encareciendo los intereses de la oferta hipotecaria, pero también la factura que mes a mes deben afrontar cientos de familias para poder hacer frente al pago de la hipoteca. Unos 300 euros más cada mes</w:t>
      </w:r>
      <w:r>
        <w:rPr>
          <w:rFonts w:ascii="Times New Roman" w:hAnsi="Times New Roman" w:cs="Times New Roman"/>
          <w:sz w:val="24"/>
          <w:szCs w:val="24"/>
        </w:rPr>
        <w:t>…</w:t>
      </w:r>
    </w:p>
    <w:p w:rsidR="0092698E" w:rsidRPr="005A4726" w:rsidRDefault="00746987" w:rsidP="0092698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92698E" w:rsidRPr="00746987">
        <w:rPr>
          <w:rFonts w:ascii="Times New Roman" w:hAnsi="Times New Roman" w:cs="Times New Roman"/>
          <w:sz w:val="24"/>
          <w:szCs w:val="24"/>
          <w:u w:val="single"/>
        </w:rPr>
        <w:t>La zombificación de la economía europea</w:t>
      </w:r>
      <w:r w:rsidR="0092698E">
        <w:rPr>
          <w:rFonts w:ascii="Times New Roman" w:hAnsi="Times New Roman" w:cs="Times New Roman"/>
          <w:sz w:val="24"/>
          <w:szCs w:val="24"/>
        </w:rPr>
        <w:t xml:space="preserve"> (El Español - </w:t>
      </w:r>
      <w:r w:rsidR="0092698E" w:rsidRPr="008A0E88">
        <w:rPr>
          <w:rFonts w:ascii="Times New Roman" w:hAnsi="Times New Roman" w:cs="Times New Roman"/>
          <w:b/>
          <w:sz w:val="24"/>
          <w:szCs w:val="24"/>
        </w:rPr>
        <w:t>31/10/22</w:t>
      </w:r>
      <w:r w:rsidR="0092698E">
        <w:rPr>
          <w:rFonts w:ascii="Times New Roman" w:hAnsi="Times New Roman" w:cs="Times New Roman"/>
          <w:sz w:val="24"/>
          <w:szCs w:val="24"/>
        </w:rPr>
        <w:t>)</w:t>
      </w:r>
    </w:p>
    <w:p w:rsidR="0092698E" w:rsidRDefault="0092698E" w:rsidP="0092698E">
      <w:pPr>
        <w:spacing w:line="240" w:lineRule="auto"/>
        <w:jc w:val="both"/>
        <w:rPr>
          <w:rFonts w:ascii="Times New Roman" w:hAnsi="Times New Roman" w:cs="Times New Roman"/>
          <w:sz w:val="24"/>
          <w:szCs w:val="24"/>
        </w:rPr>
      </w:pPr>
      <w:r w:rsidRPr="005A4726">
        <w:rPr>
          <w:rFonts w:ascii="Times New Roman" w:hAnsi="Times New Roman" w:cs="Times New Roman"/>
          <w:sz w:val="24"/>
          <w:szCs w:val="24"/>
        </w:rPr>
        <w:t>Un crecimiento de la oferta monetaria mucho mayor que el de la demanda, junto con un aumento masivo de la deuda y las regulaciones, han resultado en un declive económico continuado, un gran número de empresas zombis e impuestos más altos</w:t>
      </w:r>
      <w:r>
        <w:rPr>
          <w:rFonts w:ascii="Times New Roman" w:hAnsi="Times New Roman" w:cs="Times New Roman"/>
          <w:sz w:val="24"/>
          <w:szCs w:val="24"/>
        </w:rPr>
        <w:t>…</w:t>
      </w:r>
    </w:p>
    <w:p w:rsidR="0092698E" w:rsidRPr="00600748" w:rsidRDefault="00746987" w:rsidP="0092698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92698E" w:rsidRPr="00746987">
        <w:rPr>
          <w:rFonts w:ascii="Times New Roman" w:hAnsi="Times New Roman" w:cs="Times New Roman"/>
          <w:sz w:val="24"/>
          <w:szCs w:val="24"/>
          <w:u w:val="single"/>
        </w:rPr>
        <w:t>El economista español Santiago Niño-Becerra ha sugerido, a través de Twitter, la fórmula para frenar esta inflación que sigue causando estragos en familias de todo el mundo</w:t>
      </w:r>
      <w:r>
        <w:rPr>
          <w:rFonts w:ascii="Times New Roman" w:hAnsi="Times New Roman" w:cs="Times New Roman"/>
          <w:sz w:val="24"/>
          <w:szCs w:val="24"/>
        </w:rPr>
        <w:t xml:space="preserve">  (El Economista - </w:t>
      </w:r>
      <w:r w:rsidRPr="00600748">
        <w:rPr>
          <w:rFonts w:ascii="Times New Roman" w:hAnsi="Times New Roman" w:cs="Times New Roman"/>
          <w:b/>
          <w:sz w:val="24"/>
          <w:szCs w:val="24"/>
        </w:rPr>
        <w:t>30/10/22</w:t>
      </w:r>
      <w:r>
        <w:rPr>
          <w:rFonts w:ascii="Times New Roman" w:hAnsi="Times New Roman" w:cs="Times New Roman"/>
          <w:sz w:val="24"/>
          <w:szCs w:val="24"/>
        </w:rPr>
        <w:t>)</w:t>
      </w:r>
    </w:p>
    <w:p w:rsidR="0092698E" w:rsidRPr="00746987" w:rsidRDefault="0092698E" w:rsidP="0092698E">
      <w:pPr>
        <w:spacing w:line="240" w:lineRule="auto"/>
        <w:jc w:val="both"/>
        <w:rPr>
          <w:rFonts w:ascii="Times New Roman" w:hAnsi="Times New Roman" w:cs="Times New Roman"/>
          <w:sz w:val="24"/>
          <w:szCs w:val="24"/>
          <w:u w:val="single"/>
        </w:rPr>
      </w:pPr>
      <w:r w:rsidRPr="00746987">
        <w:rPr>
          <w:rFonts w:ascii="Times New Roman" w:hAnsi="Times New Roman" w:cs="Times New Roman"/>
          <w:sz w:val="24"/>
          <w:szCs w:val="24"/>
          <w:u w:val="single"/>
        </w:rPr>
        <w:t>Niño-Becerra cree que esta nueva subida de tipos no es la herramienta adecuada para terminar con este i</w:t>
      </w:r>
      <w:r w:rsidR="00746987" w:rsidRPr="00746987">
        <w:rPr>
          <w:rFonts w:ascii="Times New Roman" w:hAnsi="Times New Roman" w:cs="Times New Roman"/>
          <w:sz w:val="24"/>
          <w:szCs w:val="24"/>
          <w:u w:val="single"/>
        </w:rPr>
        <w:t>ncremento de precios. “</w:t>
      </w:r>
      <w:r w:rsidRPr="00746987">
        <w:rPr>
          <w:rFonts w:ascii="Times New Roman" w:hAnsi="Times New Roman" w:cs="Times New Roman"/>
          <w:sz w:val="24"/>
          <w:szCs w:val="24"/>
          <w:u w:val="single"/>
        </w:rPr>
        <w:t>Sería preferible, si se quiere ir por el lado de subir los tipos, que, de golpe, los subieran al 7,5% o al 8%, dos o tres trimestres y que luego los bajaran. Sería como un elect</w:t>
      </w:r>
      <w:r w:rsidR="00746987" w:rsidRPr="00746987">
        <w:rPr>
          <w:rFonts w:ascii="Times New Roman" w:hAnsi="Times New Roman" w:cs="Times New Roman"/>
          <w:sz w:val="24"/>
          <w:szCs w:val="24"/>
          <w:u w:val="single"/>
        </w:rPr>
        <w:t>roshock, pero drenaría liquidez”</w:t>
      </w:r>
      <w:r w:rsidRPr="00746987">
        <w:rPr>
          <w:rFonts w:ascii="Times New Roman" w:hAnsi="Times New Roman" w:cs="Times New Roman"/>
          <w:sz w:val="24"/>
          <w:szCs w:val="24"/>
          <w:u w:val="single"/>
        </w:rPr>
        <w:t>, asegura el economista que vaticinó la crisis de 2008.</w:t>
      </w:r>
    </w:p>
    <w:p w:rsidR="0092698E" w:rsidRPr="00C31994" w:rsidRDefault="00746987" w:rsidP="0092698E">
      <w:pPr>
        <w:spacing w:line="240" w:lineRule="auto"/>
        <w:jc w:val="both"/>
        <w:rPr>
          <w:rFonts w:ascii="Times New Roman" w:hAnsi="Times New Roman" w:cs="Times New Roman"/>
          <w:sz w:val="24"/>
          <w:szCs w:val="24"/>
          <w:u w:val="single"/>
        </w:rPr>
      </w:pPr>
      <w:r w:rsidRPr="00746987">
        <w:rPr>
          <w:rFonts w:ascii="Times New Roman" w:hAnsi="Times New Roman" w:cs="Times New Roman"/>
          <w:sz w:val="24"/>
          <w:szCs w:val="24"/>
          <w:u w:val="single"/>
        </w:rPr>
        <w:t>“</w:t>
      </w:r>
      <w:r w:rsidR="0092698E" w:rsidRPr="00746987">
        <w:rPr>
          <w:rFonts w:ascii="Times New Roman" w:hAnsi="Times New Roman" w:cs="Times New Roman"/>
          <w:sz w:val="24"/>
          <w:szCs w:val="24"/>
          <w:u w:val="single"/>
        </w:rPr>
        <w:t>Pienso que no es el camino para frenar esta inflación, que es de oferta (problemas en la producción y suministro que llevan a alzas de precios) y no de demanda (aumentos d</w:t>
      </w:r>
      <w:r w:rsidRPr="00746987">
        <w:rPr>
          <w:rFonts w:ascii="Times New Roman" w:hAnsi="Times New Roman" w:cs="Times New Roman"/>
          <w:sz w:val="24"/>
          <w:szCs w:val="24"/>
          <w:u w:val="single"/>
        </w:rPr>
        <w:t>e consumo por exceso de dinero)”</w:t>
      </w:r>
      <w:r w:rsidR="00C31994">
        <w:rPr>
          <w:rFonts w:ascii="Times New Roman" w:hAnsi="Times New Roman" w:cs="Times New Roman"/>
          <w:sz w:val="24"/>
          <w:szCs w:val="24"/>
          <w:u w:val="single"/>
        </w:rPr>
        <w:t>, aclara Niño-Becerra.</w:t>
      </w:r>
      <w:r w:rsidR="00C31994">
        <w:rPr>
          <w:rFonts w:ascii="Times New Roman" w:hAnsi="Times New Roman" w:cs="Times New Roman"/>
          <w:sz w:val="24"/>
          <w:szCs w:val="24"/>
        </w:rPr>
        <w:t xml:space="preserve"> </w:t>
      </w:r>
      <w:r>
        <w:rPr>
          <w:rFonts w:ascii="Times New Roman" w:hAnsi="Times New Roman" w:cs="Times New Roman"/>
          <w:sz w:val="24"/>
          <w:szCs w:val="24"/>
        </w:rPr>
        <w:t>Además, señala que “</w:t>
      </w:r>
      <w:r w:rsidR="0092698E" w:rsidRPr="00600748">
        <w:rPr>
          <w:rFonts w:ascii="Times New Roman" w:hAnsi="Times New Roman" w:cs="Times New Roman"/>
          <w:sz w:val="24"/>
          <w:szCs w:val="24"/>
        </w:rPr>
        <w:t>la ciudadanía va a pagar más por los créditos (que le animaron a pedir) y las pymes por una financiaci</w:t>
      </w:r>
      <w:r>
        <w:rPr>
          <w:rFonts w:ascii="Times New Roman" w:hAnsi="Times New Roman" w:cs="Times New Roman"/>
          <w:sz w:val="24"/>
          <w:szCs w:val="24"/>
        </w:rPr>
        <w:t>ón que cada vez será más escasa”</w:t>
      </w:r>
      <w:r w:rsidR="0092698E" w:rsidRPr="00600748">
        <w:rPr>
          <w:rFonts w:ascii="Times New Roman" w:hAnsi="Times New Roman" w:cs="Times New Roman"/>
          <w:sz w:val="24"/>
          <w:szCs w:val="24"/>
        </w:rPr>
        <w:t>. En este sen</w:t>
      </w:r>
      <w:r>
        <w:rPr>
          <w:rFonts w:ascii="Times New Roman" w:hAnsi="Times New Roman" w:cs="Times New Roman"/>
          <w:sz w:val="24"/>
          <w:szCs w:val="24"/>
        </w:rPr>
        <w:t>tido, Niño-Becerra subraya que “</w:t>
      </w:r>
      <w:r w:rsidR="0092698E" w:rsidRPr="00600748">
        <w:rPr>
          <w:rFonts w:ascii="Times New Roman" w:hAnsi="Times New Roman" w:cs="Times New Roman"/>
          <w:sz w:val="24"/>
          <w:szCs w:val="24"/>
        </w:rPr>
        <w:t>los precios bajará</w:t>
      </w:r>
      <w:r>
        <w:rPr>
          <w:rFonts w:ascii="Times New Roman" w:hAnsi="Times New Roman" w:cs="Times New Roman"/>
          <w:sz w:val="24"/>
          <w:szCs w:val="24"/>
        </w:rPr>
        <w:t>n”</w:t>
      </w:r>
      <w:r w:rsidR="0092698E">
        <w:rPr>
          <w:rFonts w:ascii="Times New Roman" w:hAnsi="Times New Roman" w:cs="Times New Roman"/>
          <w:sz w:val="24"/>
          <w:szCs w:val="24"/>
        </w:rPr>
        <w:t xml:space="preserve">, pero a un ritmo muy lento. </w:t>
      </w:r>
    </w:p>
    <w:p w:rsidR="0092698E" w:rsidRPr="00746987" w:rsidRDefault="0092698E" w:rsidP="0092698E">
      <w:pPr>
        <w:spacing w:line="240" w:lineRule="auto"/>
        <w:jc w:val="both"/>
        <w:rPr>
          <w:rFonts w:ascii="Times New Roman" w:hAnsi="Times New Roman" w:cs="Times New Roman"/>
          <w:sz w:val="24"/>
          <w:szCs w:val="24"/>
          <w:u w:val="single"/>
        </w:rPr>
      </w:pPr>
      <w:r w:rsidRPr="00600748">
        <w:rPr>
          <w:rFonts w:ascii="Times New Roman" w:hAnsi="Times New Roman" w:cs="Times New Roman"/>
          <w:sz w:val="24"/>
          <w:szCs w:val="24"/>
        </w:rPr>
        <w:t xml:space="preserve">Por último, el también catedrático emérito de la Universidad Ramón Llull y profesor de Estructura Económica en la IQA School of Management, confiesa </w:t>
      </w:r>
      <w:r w:rsidRPr="00746987">
        <w:rPr>
          <w:rFonts w:ascii="Times New Roman" w:hAnsi="Times New Roman" w:cs="Times New Roman"/>
          <w:sz w:val="24"/>
          <w:szCs w:val="24"/>
          <w:u w:val="single"/>
        </w:rPr>
        <w:t>cuál sería su fórmula mágica para</w:t>
      </w:r>
      <w:r w:rsidR="00746987" w:rsidRPr="00746987">
        <w:rPr>
          <w:rFonts w:ascii="Times New Roman" w:hAnsi="Times New Roman" w:cs="Times New Roman"/>
          <w:sz w:val="24"/>
          <w:szCs w:val="24"/>
          <w:u w:val="single"/>
        </w:rPr>
        <w:t xml:space="preserve"> contrarrestar esta inflación. “</w:t>
      </w:r>
      <w:r w:rsidRPr="00746987">
        <w:rPr>
          <w:rFonts w:ascii="Times New Roman" w:hAnsi="Times New Roman" w:cs="Times New Roman"/>
          <w:sz w:val="24"/>
          <w:szCs w:val="24"/>
          <w:u w:val="single"/>
        </w:rPr>
        <w:t>Pienso que una subida de impuestos indirectos selectiva junto a un IVA de lujo a fin de red</w:t>
      </w:r>
      <w:r w:rsidR="00746987" w:rsidRPr="00746987">
        <w:rPr>
          <w:rFonts w:ascii="Times New Roman" w:hAnsi="Times New Roman" w:cs="Times New Roman"/>
          <w:sz w:val="24"/>
          <w:szCs w:val="24"/>
          <w:u w:val="single"/>
        </w:rPr>
        <w:t>ucir consumo sería menos dañina”</w:t>
      </w:r>
      <w:r w:rsidRPr="00746987">
        <w:rPr>
          <w:rFonts w:ascii="Times New Roman" w:hAnsi="Times New Roman" w:cs="Times New Roman"/>
          <w:sz w:val="24"/>
          <w:szCs w:val="24"/>
          <w:u w:val="single"/>
        </w:rPr>
        <w:t>, concreta.</w:t>
      </w:r>
    </w:p>
    <w:p w:rsidR="009C6ACB" w:rsidRDefault="00746987" w:rsidP="00C31994">
      <w:pPr>
        <w:spacing w:line="240" w:lineRule="auto"/>
        <w:jc w:val="both"/>
        <w:rPr>
          <w:rFonts w:ascii="Times New Roman" w:hAnsi="Times New Roman" w:cs="Times New Roman"/>
          <w:sz w:val="24"/>
          <w:szCs w:val="24"/>
        </w:rPr>
      </w:pPr>
      <w:r>
        <w:rPr>
          <w:rFonts w:ascii="Times New Roman" w:hAnsi="Times New Roman" w:cs="Times New Roman"/>
          <w:sz w:val="24"/>
          <w:szCs w:val="24"/>
        </w:rPr>
        <w:t>Ahora, mi versión de la historia (y como se trata de</w:t>
      </w:r>
      <w:r w:rsidR="00BA11D7">
        <w:rPr>
          <w:rFonts w:ascii="Times New Roman" w:hAnsi="Times New Roman" w:cs="Times New Roman"/>
          <w:sz w:val="24"/>
          <w:szCs w:val="24"/>
        </w:rPr>
        <w:t xml:space="preserve"> </w:t>
      </w:r>
      <w:r>
        <w:rPr>
          <w:rFonts w:ascii="Times New Roman" w:hAnsi="Times New Roman" w:cs="Times New Roman"/>
          <w:sz w:val="24"/>
          <w:szCs w:val="24"/>
        </w:rPr>
        <w:t>inflación</w:t>
      </w:r>
      <w:r w:rsidR="008A0E88">
        <w:rPr>
          <w:rFonts w:ascii="Times New Roman" w:hAnsi="Times New Roman" w:cs="Times New Roman"/>
          <w:sz w:val="24"/>
          <w:szCs w:val="24"/>
        </w:rPr>
        <w:t xml:space="preserve"> -insoportable- y</w:t>
      </w:r>
      <w:r w:rsidR="00BA11D7">
        <w:rPr>
          <w:rFonts w:ascii="Times New Roman" w:hAnsi="Times New Roman" w:cs="Times New Roman"/>
          <w:sz w:val="24"/>
          <w:szCs w:val="24"/>
        </w:rPr>
        <w:t xml:space="preserve"> </w:t>
      </w:r>
      <w:r w:rsidR="008A0E88">
        <w:rPr>
          <w:rFonts w:ascii="Times New Roman" w:hAnsi="Times New Roman" w:cs="Times New Roman"/>
          <w:sz w:val="24"/>
          <w:szCs w:val="24"/>
        </w:rPr>
        <w:t>deuda -insostenible</w:t>
      </w:r>
      <w:r w:rsidR="009C6ACB">
        <w:rPr>
          <w:rFonts w:ascii="Times New Roman" w:hAnsi="Times New Roman" w:cs="Times New Roman"/>
          <w:sz w:val="24"/>
          <w:szCs w:val="24"/>
        </w:rPr>
        <w:t xml:space="preserve">-, no puedo menos que remontarme a lo vivido y padecido en Argentina, que sin </w:t>
      </w:r>
      <w:r w:rsidR="008A0E88">
        <w:rPr>
          <w:rFonts w:ascii="Times New Roman" w:hAnsi="Times New Roman" w:cs="Times New Roman"/>
          <w:sz w:val="24"/>
          <w:szCs w:val="24"/>
        </w:rPr>
        <w:t xml:space="preserve">lugar a </w:t>
      </w:r>
      <w:r w:rsidR="009C6ACB">
        <w:rPr>
          <w:rFonts w:ascii="Times New Roman" w:hAnsi="Times New Roman" w:cs="Times New Roman"/>
          <w:sz w:val="24"/>
          <w:szCs w:val="24"/>
        </w:rPr>
        <w:t>duda es</w:t>
      </w:r>
      <w:r w:rsidR="00BA11D7">
        <w:rPr>
          <w:rFonts w:ascii="Times New Roman" w:hAnsi="Times New Roman" w:cs="Times New Roman"/>
          <w:sz w:val="24"/>
          <w:szCs w:val="24"/>
        </w:rPr>
        <w:t xml:space="preserve"> la</w:t>
      </w:r>
      <w:r w:rsidR="009C6ACB">
        <w:rPr>
          <w:rFonts w:ascii="Times New Roman" w:hAnsi="Times New Roman" w:cs="Times New Roman"/>
          <w:sz w:val="24"/>
          <w:szCs w:val="24"/>
        </w:rPr>
        <w:t xml:space="preserve"> Campeona Mundial en ambas especialidades), con la esperanza que algunos (g</w:t>
      </w:r>
      <w:r w:rsidR="00781E2B">
        <w:rPr>
          <w:rFonts w:ascii="Times New Roman" w:hAnsi="Times New Roman" w:cs="Times New Roman"/>
          <w:sz w:val="24"/>
          <w:szCs w:val="24"/>
        </w:rPr>
        <w:t>obiernos, bancos centrales</w:t>
      </w:r>
      <w:r w:rsidR="009C6ACB">
        <w:rPr>
          <w:rFonts w:ascii="Times New Roman" w:hAnsi="Times New Roman" w:cs="Times New Roman"/>
          <w:sz w:val="24"/>
          <w:szCs w:val="24"/>
        </w:rPr>
        <w:t>, empresas</w:t>
      </w:r>
      <w:r w:rsidR="00781E2B">
        <w:rPr>
          <w:rFonts w:ascii="Times New Roman" w:hAnsi="Times New Roman" w:cs="Times New Roman"/>
          <w:sz w:val="24"/>
          <w:szCs w:val="24"/>
        </w:rPr>
        <w:t>,</w:t>
      </w:r>
      <w:r w:rsidR="009C6ACB">
        <w:rPr>
          <w:rFonts w:ascii="Times New Roman" w:hAnsi="Times New Roman" w:cs="Times New Roman"/>
          <w:sz w:val="24"/>
          <w:szCs w:val="24"/>
        </w:rPr>
        <w:t xml:space="preserve"> y particulares) vean las pie</w:t>
      </w:r>
      <w:r w:rsidR="00781E2B">
        <w:rPr>
          <w:rFonts w:ascii="Times New Roman" w:hAnsi="Times New Roman" w:cs="Times New Roman"/>
          <w:sz w:val="24"/>
          <w:szCs w:val="24"/>
        </w:rPr>
        <w:t xml:space="preserve">dras en las que pueden tropezar, si hacen lo mismo, o dejan de hacer lo que se debe, para combatir ambas lacras. </w:t>
      </w:r>
      <w:r w:rsidR="009C6ACB" w:rsidRPr="00440741">
        <w:rPr>
          <w:rFonts w:ascii="Times New Roman" w:hAnsi="Times New Roman" w:cs="Times New Roman"/>
          <w:sz w:val="24"/>
          <w:szCs w:val="24"/>
        </w:rPr>
        <w:t>Viendo</w:t>
      </w:r>
      <w:r w:rsidR="00C31994">
        <w:rPr>
          <w:rFonts w:ascii="Times New Roman" w:hAnsi="Times New Roman" w:cs="Times New Roman"/>
          <w:sz w:val="24"/>
          <w:szCs w:val="24"/>
        </w:rPr>
        <w:t xml:space="preserve"> a</w:t>
      </w:r>
      <w:r w:rsidR="009C6ACB" w:rsidRPr="00440741">
        <w:rPr>
          <w:rFonts w:ascii="Times New Roman" w:hAnsi="Times New Roman" w:cs="Times New Roman"/>
          <w:sz w:val="24"/>
          <w:szCs w:val="24"/>
        </w:rPr>
        <w:t xml:space="preserve"> los indocumentados </w:t>
      </w:r>
      <w:r w:rsidR="00C31994">
        <w:rPr>
          <w:rFonts w:ascii="Times New Roman" w:hAnsi="Times New Roman" w:cs="Times New Roman"/>
          <w:sz w:val="24"/>
          <w:szCs w:val="24"/>
        </w:rPr>
        <w:t>que gobiernan Europa</w:t>
      </w:r>
      <w:r w:rsidR="009C6ACB" w:rsidRPr="00440741">
        <w:rPr>
          <w:rFonts w:ascii="Times New Roman" w:hAnsi="Times New Roman" w:cs="Times New Roman"/>
          <w:sz w:val="24"/>
          <w:szCs w:val="24"/>
        </w:rPr>
        <w:t>…</w:t>
      </w:r>
      <w:r w:rsidR="00440741" w:rsidRPr="00440741">
        <w:rPr>
          <w:rFonts w:ascii="Times New Roman" w:hAnsi="Times New Roman" w:cs="Times New Roman"/>
          <w:sz w:val="24"/>
          <w:szCs w:val="24"/>
        </w:rPr>
        <w:t xml:space="preserve"> la única duda que tengo es </w:t>
      </w:r>
      <w:r w:rsidR="00781E2B">
        <w:rPr>
          <w:rFonts w:ascii="Times New Roman" w:hAnsi="Times New Roman" w:cs="Times New Roman"/>
          <w:sz w:val="24"/>
          <w:szCs w:val="24"/>
        </w:rPr>
        <w:t xml:space="preserve">si </w:t>
      </w:r>
      <w:r w:rsidR="00C31994">
        <w:rPr>
          <w:rFonts w:ascii="Times New Roman" w:hAnsi="Times New Roman" w:cs="Times New Roman"/>
          <w:sz w:val="24"/>
          <w:szCs w:val="24"/>
        </w:rPr>
        <w:t xml:space="preserve">se </w:t>
      </w:r>
      <w:r w:rsidR="00781E2B">
        <w:rPr>
          <w:rFonts w:ascii="Times New Roman" w:hAnsi="Times New Roman" w:cs="Times New Roman"/>
          <w:sz w:val="24"/>
          <w:szCs w:val="24"/>
        </w:rPr>
        <w:t>tropezarán con</w:t>
      </w:r>
      <w:r w:rsidR="00C31994">
        <w:rPr>
          <w:rFonts w:ascii="Times New Roman" w:hAnsi="Times New Roman" w:cs="Times New Roman"/>
          <w:sz w:val="24"/>
          <w:szCs w:val="24"/>
        </w:rPr>
        <w:t xml:space="preserve"> las (mismas)</w:t>
      </w:r>
      <w:r w:rsidR="00781E2B">
        <w:rPr>
          <w:rFonts w:ascii="Times New Roman" w:hAnsi="Times New Roman" w:cs="Times New Roman"/>
          <w:sz w:val="24"/>
          <w:szCs w:val="24"/>
        </w:rPr>
        <w:t xml:space="preserve"> piedras, o</w:t>
      </w:r>
      <w:r w:rsidR="00BA11D7">
        <w:rPr>
          <w:rFonts w:ascii="Times New Roman" w:hAnsi="Times New Roman" w:cs="Times New Roman"/>
          <w:sz w:val="24"/>
          <w:szCs w:val="24"/>
        </w:rPr>
        <w:t xml:space="preserve"> se</w:t>
      </w:r>
      <w:r w:rsidR="00781E2B">
        <w:rPr>
          <w:rFonts w:ascii="Times New Roman" w:hAnsi="Times New Roman" w:cs="Times New Roman"/>
          <w:sz w:val="24"/>
          <w:szCs w:val="24"/>
        </w:rPr>
        <w:t xml:space="preserve"> irán</w:t>
      </w:r>
      <w:r w:rsidR="00440741" w:rsidRPr="00440741">
        <w:rPr>
          <w:rFonts w:ascii="Times New Roman" w:hAnsi="Times New Roman" w:cs="Times New Roman"/>
          <w:sz w:val="24"/>
          <w:szCs w:val="24"/>
        </w:rPr>
        <w:t xml:space="preserve"> directo el abismo. </w:t>
      </w:r>
    </w:p>
    <w:p w:rsidR="0092698E" w:rsidRPr="00440741" w:rsidRDefault="0092698E" w:rsidP="0092698E">
      <w:pPr>
        <w:spacing w:line="240" w:lineRule="auto"/>
        <w:jc w:val="both"/>
        <w:rPr>
          <w:rFonts w:ascii="Times New Roman" w:hAnsi="Times New Roman" w:cs="Times New Roman"/>
          <w:b/>
          <w:sz w:val="24"/>
          <w:szCs w:val="24"/>
        </w:rPr>
      </w:pPr>
      <w:r w:rsidRPr="00440741">
        <w:rPr>
          <w:rFonts w:ascii="Times New Roman" w:hAnsi="Times New Roman" w:cs="Times New Roman"/>
          <w:b/>
          <w:sz w:val="24"/>
          <w:szCs w:val="24"/>
        </w:rPr>
        <w:lastRenderedPageBreak/>
        <w:t xml:space="preserve">Contame una historia </w:t>
      </w:r>
      <w:r w:rsidRPr="00440741">
        <w:rPr>
          <w:rFonts w:ascii="Times New Roman" w:hAnsi="Times New Roman" w:cs="Times New Roman"/>
          <w:sz w:val="24"/>
          <w:szCs w:val="24"/>
        </w:rPr>
        <w:t xml:space="preserve">(Tango de Rubén </w:t>
      </w:r>
      <w:r w:rsidR="00781E2B" w:rsidRPr="00440741">
        <w:rPr>
          <w:rFonts w:ascii="Times New Roman" w:hAnsi="Times New Roman" w:cs="Times New Roman"/>
          <w:sz w:val="24"/>
          <w:szCs w:val="24"/>
        </w:rPr>
        <w:t>Juárez</w:t>
      </w:r>
      <w:r w:rsidRPr="00440741">
        <w:rPr>
          <w:rFonts w:ascii="Times New Roman" w:hAnsi="Times New Roman" w:cs="Times New Roman"/>
          <w:sz w:val="24"/>
          <w:szCs w:val="24"/>
        </w:rPr>
        <w:t xml:space="preserve">) </w:t>
      </w:r>
    </w:p>
    <w:p w:rsidR="0092698E" w:rsidRPr="001847CA" w:rsidRDefault="0092698E" w:rsidP="0092698E">
      <w:pPr>
        <w:spacing w:line="240" w:lineRule="auto"/>
        <w:jc w:val="both"/>
        <w:rPr>
          <w:rFonts w:ascii="Times New Roman" w:hAnsi="Times New Roman" w:cs="Times New Roman"/>
          <w:sz w:val="24"/>
          <w:szCs w:val="24"/>
        </w:rPr>
      </w:pPr>
      <w:r w:rsidRPr="001847CA">
        <w:rPr>
          <w:rFonts w:ascii="Times New Roman" w:hAnsi="Times New Roman" w:cs="Times New Roman"/>
          <w:sz w:val="24"/>
          <w:szCs w:val="24"/>
        </w:rPr>
        <w:t>Vos que tenés labia, contame una historia.</w:t>
      </w:r>
    </w:p>
    <w:p w:rsidR="0092698E" w:rsidRPr="001847CA" w:rsidRDefault="0092698E" w:rsidP="0092698E">
      <w:pPr>
        <w:spacing w:line="240" w:lineRule="auto"/>
        <w:jc w:val="both"/>
        <w:rPr>
          <w:rFonts w:ascii="Times New Roman" w:hAnsi="Times New Roman" w:cs="Times New Roman"/>
          <w:sz w:val="24"/>
          <w:szCs w:val="24"/>
        </w:rPr>
      </w:pPr>
      <w:r w:rsidRPr="001847CA">
        <w:rPr>
          <w:rFonts w:ascii="Times New Roman" w:hAnsi="Times New Roman" w:cs="Times New Roman"/>
          <w:sz w:val="24"/>
          <w:szCs w:val="24"/>
        </w:rPr>
        <w:t>Metele con todo, no te hagas rogar.</w:t>
      </w:r>
    </w:p>
    <w:p w:rsidR="0092698E" w:rsidRPr="001847CA" w:rsidRDefault="0092698E" w:rsidP="0092698E">
      <w:pPr>
        <w:spacing w:line="240" w:lineRule="auto"/>
        <w:jc w:val="both"/>
        <w:rPr>
          <w:rFonts w:ascii="Times New Roman" w:hAnsi="Times New Roman" w:cs="Times New Roman"/>
          <w:sz w:val="24"/>
          <w:szCs w:val="24"/>
        </w:rPr>
      </w:pPr>
      <w:r w:rsidRPr="001847CA">
        <w:rPr>
          <w:rFonts w:ascii="Times New Roman" w:hAnsi="Times New Roman" w:cs="Times New Roman"/>
          <w:sz w:val="24"/>
          <w:szCs w:val="24"/>
        </w:rPr>
        <w:t>Frename este absurdo girar en la noria</w:t>
      </w:r>
    </w:p>
    <w:p w:rsidR="0092698E" w:rsidRPr="001847CA" w:rsidRDefault="0092698E" w:rsidP="0092698E">
      <w:pPr>
        <w:spacing w:line="240" w:lineRule="auto"/>
        <w:jc w:val="both"/>
        <w:rPr>
          <w:rFonts w:ascii="Times New Roman" w:hAnsi="Times New Roman" w:cs="Times New Roman"/>
          <w:sz w:val="24"/>
          <w:szCs w:val="24"/>
        </w:rPr>
      </w:pPr>
      <w:r w:rsidRPr="001847CA">
        <w:rPr>
          <w:rFonts w:ascii="Times New Roman" w:hAnsi="Times New Roman" w:cs="Times New Roman"/>
          <w:sz w:val="24"/>
          <w:szCs w:val="24"/>
        </w:rPr>
        <w:t>Moliendo una cosa que llaman</w:t>
      </w:r>
      <w:r>
        <w:rPr>
          <w:rFonts w:ascii="Times New Roman" w:hAnsi="Times New Roman" w:cs="Times New Roman"/>
          <w:sz w:val="24"/>
          <w:szCs w:val="24"/>
        </w:rPr>
        <w:t xml:space="preserve"> "verdad"...</w:t>
      </w:r>
    </w:p>
    <w:p w:rsidR="0092698E" w:rsidRPr="001847CA" w:rsidRDefault="0092698E" w:rsidP="0092698E">
      <w:pPr>
        <w:spacing w:line="240" w:lineRule="auto"/>
        <w:jc w:val="both"/>
        <w:rPr>
          <w:rFonts w:ascii="Times New Roman" w:hAnsi="Times New Roman" w:cs="Times New Roman"/>
          <w:sz w:val="24"/>
          <w:szCs w:val="24"/>
        </w:rPr>
      </w:pPr>
      <w:r w:rsidRPr="001847CA">
        <w:rPr>
          <w:rFonts w:ascii="Times New Roman" w:hAnsi="Times New Roman" w:cs="Times New Roman"/>
          <w:sz w:val="24"/>
          <w:szCs w:val="24"/>
        </w:rPr>
        <w:t>Contame una historia distinta de todas,</w:t>
      </w:r>
    </w:p>
    <w:p w:rsidR="0092698E" w:rsidRPr="001847CA" w:rsidRDefault="0092698E" w:rsidP="0092698E">
      <w:pPr>
        <w:spacing w:line="240" w:lineRule="auto"/>
        <w:jc w:val="both"/>
        <w:rPr>
          <w:rFonts w:ascii="Times New Roman" w:hAnsi="Times New Roman" w:cs="Times New Roman"/>
          <w:sz w:val="24"/>
          <w:szCs w:val="24"/>
        </w:rPr>
      </w:pPr>
      <w:r w:rsidRPr="001847CA">
        <w:rPr>
          <w:rFonts w:ascii="Times New Roman" w:hAnsi="Times New Roman" w:cs="Times New Roman"/>
          <w:sz w:val="24"/>
          <w:szCs w:val="24"/>
        </w:rPr>
        <w:t>Un lindo balurdo que invite a soñar.</w:t>
      </w:r>
    </w:p>
    <w:p w:rsidR="0092698E" w:rsidRPr="001847CA" w:rsidRDefault="0092698E" w:rsidP="0092698E">
      <w:pPr>
        <w:spacing w:line="240" w:lineRule="auto"/>
        <w:jc w:val="both"/>
        <w:rPr>
          <w:rFonts w:ascii="Times New Roman" w:hAnsi="Times New Roman" w:cs="Times New Roman"/>
          <w:sz w:val="24"/>
          <w:szCs w:val="24"/>
        </w:rPr>
      </w:pPr>
      <w:r w:rsidRPr="001847CA">
        <w:rPr>
          <w:rFonts w:ascii="Times New Roman" w:hAnsi="Times New Roman" w:cs="Times New Roman"/>
          <w:sz w:val="24"/>
          <w:szCs w:val="24"/>
        </w:rPr>
        <w:t>Quitame esta mufa de verme por dentro</w:t>
      </w:r>
    </w:p>
    <w:p w:rsidR="0092698E" w:rsidRDefault="0092698E" w:rsidP="0092698E">
      <w:pPr>
        <w:spacing w:line="240" w:lineRule="auto"/>
        <w:jc w:val="both"/>
        <w:rPr>
          <w:rFonts w:ascii="Times New Roman" w:hAnsi="Times New Roman" w:cs="Times New Roman"/>
          <w:sz w:val="24"/>
          <w:szCs w:val="24"/>
        </w:rPr>
      </w:pPr>
      <w:r w:rsidRPr="001847CA">
        <w:rPr>
          <w:rFonts w:ascii="Times New Roman" w:hAnsi="Times New Roman" w:cs="Times New Roman"/>
          <w:sz w:val="24"/>
          <w:szCs w:val="24"/>
        </w:rPr>
        <w:t>Y este olor a muerte de mi soledad...</w:t>
      </w:r>
    </w:p>
    <w:p w:rsidR="0092698E" w:rsidRPr="00762D2D" w:rsidRDefault="0092698E" w:rsidP="0092698E">
      <w:pPr>
        <w:spacing w:line="240" w:lineRule="auto"/>
        <w:jc w:val="both"/>
        <w:rPr>
          <w:rFonts w:ascii="Times New Roman" w:hAnsi="Times New Roman" w:cs="Times New Roman"/>
          <w:b/>
          <w:sz w:val="24"/>
          <w:szCs w:val="24"/>
        </w:rPr>
      </w:pPr>
      <w:r w:rsidRPr="00762D2D">
        <w:rPr>
          <w:rFonts w:ascii="Times New Roman" w:hAnsi="Times New Roman" w:cs="Times New Roman"/>
          <w:b/>
          <w:sz w:val="24"/>
          <w:szCs w:val="24"/>
        </w:rPr>
        <w:t>La ta</w:t>
      </w:r>
      <w:r w:rsidR="00440741" w:rsidRPr="00762D2D">
        <w:rPr>
          <w:rFonts w:ascii="Times New Roman" w:hAnsi="Times New Roman" w:cs="Times New Roman"/>
          <w:b/>
          <w:sz w:val="24"/>
          <w:szCs w:val="24"/>
        </w:rPr>
        <w:t xml:space="preserve">nguedia argentina: </w:t>
      </w:r>
      <w:r w:rsidR="00762D2D" w:rsidRPr="00762D2D">
        <w:rPr>
          <w:rFonts w:ascii="Times New Roman" w:hAnsi="Times New Roman" w:cs="Times New Roman"/>
          <w:b/>
          <w:sz w:val="24"/>
          <w:szCs w:val="24"/>
        </w:rPr>
        <w:t>Martínez</w:t>
      </w:r>
      <w:r w:rsidR="00440741" w:rsidRPr="00762D2D">
        <w:rPr>
          <w:rFonts w:ascii="Times New Roman" w:hAnsi="Times New Roman" w:cs="Times New Roman"/>
          <w:b/>
          <w:sz w:val="24"/>
          <w:szCs w:val="24"/>
        </w:rPr>
        <w:t xml:space="preserve"> de Hoz, la tablita cambiaria, la bicicleta financiera, </w:t>
      </w:r>
      <w:r w:rsidR="004E4096" w:rsidRPr="00762D2D">
        <w:rPr>
          <w:rFonts w:ascii="Times New Roman" w:hAnsi="Times New Roman" w:cs="Times New Roman"/>
          <w:b/>
          <w:sz w:val="24"/>
          <w:szCs w:val="24"/>
        </w:rPr>
        <w:t>la Cuenta de Regulación Monetaria…</w:t>
      </w:r>
      <w:r w:rsidR="00762D2D">
        <w:rPr>
          <w:rFonts w:ascii="Times New Roman" w:hAnsi="Times New Roman" w:cs="Times New Roman"/>
          <w:b/>
          <w:sz w:val="24"/>
          <w:szCs w:val="24"/>
        </w:rPr>
        <w:t xml:space="preserve"> y más allá la inundación (hiperinflación).</w:t>
      </w:r>
      <w:r w:rsidR="004E4096" w:rsidRPr="00762D2D">
        <w:rPr>
          <w:rFonts w:ascii="Times New Roman" w:hAnsi="Times New Roman" w:cs="Times New Roman"/>
          <w:b/>
          <w:sz w:val="24"/>
          <w:szCs w:val="24"/>
        </w:rPr>
        <w:t xml:space="preserve"> </w:t>
      </w:r>
    </w:p>
    <w:p w:rsidR="00781E2B" w:rsidRDefault="0092698E" w:rsidP="00781E2B">
      <w:pPr>
        <w:spacing w:line="240" w:lineRule="auto"/>
        <w:jc w:val="both"/>
        <w:rPr>
          <w:rFonts w:ascii="Times New Roman" w:hAnsi="Times New Roman" w:cs="Times New Roman"/>
          <w:sz w:val="24"/>
          <w:szCs w:val="24"/>
        </w:rPr>
      </w:pPr>
      <w:r w:rsidRPr="00762D2D">
        <w:rPr>
          <w:rFonts w:ascii="Times New Roman" w:hAnsi="Times New Roman" w:cs="Times New Roman"/>
          <w:sz w:val="24"/>
          <w:szCs w:val="24"/>
        </w:rPr>
        <w:t>Martínez de Hoz</w:t>
      </w:r>
      <w:r w:rsidR="00440741" w:rsidRPr="00762D2D">
        <w:rPr>
          <w:rFonts w:ascii="Times New Roman" w:hAnsi="Times New Roman" w:cs="Times New Roman"/>
          <w:sz w:val="24"/>
          <w:szCs w:val="24"/>
        </w:rPr>
        <w:t xml:space="preserve"> fue el Ministro de Economía</w:t>
      </w:r>
      <w:r w:rsidR="004E4096" w:rsidRPr="00762D2D">
        <w:rPr>
          <w:rFonts w:ascii="Times New Roman" w:hAnsi="Times New Roman" w:cs="Times New Roman"/>
          <w:sz w:val="24"/>
          <w:szCs w:val="24"/>
        </w:rPr>
        <w:t xml:space="preserve"> (1976-198</w:t>
      </w:r>
      <w:r w:rsidR="00157516" w:rsidRPr="00762D2D">
        <w:rPr>
          <w:rFonts w:ascii="Times New Roman" w:hAnsi="Times New Roman" w:cs="Times New Roman"/>
          <w:sz w:val="24"/>
          <w:szCs w:val="24"/>
        </w:rPr>
        <w:t>1)</w:t>
      </w:r>
      <w:r w:rsidR="00440741" w:rsidRPr="00762D2D">
        <w:rPr>
          <w:rFonts w:ascii="Times New Roman" w:hAnsi="Times New Roman" w:cs="Times New Roman"/>
          <w:sz w:val="24"/>
          <w:szCs w:val="24"/>
        </w:rPr>
        <w:t xml:space="preserve"> encargado por el Gobierno Militar</w:t>
      </w:r>
      <w:r w:rsidR="004E4096" w:rsidRPr="00762D2D">
        <w:rPr>
          <w:rFonts w:ascii="Times New Roman" w:hAnsi="Times New Roman" w:cs="Times New Roman"/>
          <w:sz w:val="24"/>
          <w:szCs w:val="24"/>
        </w:rPr>
        <w:t xml:space="preserve"> (1976-198</w:t>
      </w:r>
      <w:r w:rsidR="00157516" w:rsidRPr="00762D2D">
        <w:rPr>
          <w:rFonts w:ascii="Times New Roman" w:hAnsi="Times New Roman" w:cs="Times New Roman"/>
          <w:sz w:val="24"/>
          <w:szCs w:val="24"/>
        </w:rPr>
        <w:t>3)</w:t>
      </w:r>
      <w:r w:rsidR="00440741" w:rsidRPr="00762D2D">
        <w:rPr>
          <w:rFonts w:ascii="Times New Roman" w:hAnsi="Times New Roman" w:cs="Times New Roman"/>
          <w:sz w:val="24"/>
          <w:szCs w:val="24"/>
        </w:rPr>
        <w:t xml:space="preserve"> de </w:t>
      </w:r>
      <w:r w:rsidRPr="00762D2D">
        <w:rPr>
          <w:rFonts w:ascii="Times New Roman" w:hAnsi="Times New Roman" w:cs="Times New Roman"/>
          <w:sz w:val="24"/>
          <w:szCs w:val="24"/>
        </w:rPr>
        <w:t>ev</w:t>
      </w:r>
      <w:r w:rsidR="00440741" w:rsidRPr="00762D2D">
        <w:rPr>
          <w:rFonts w:ascii="Times New Roman" w:hAnsi="Times New Roman" w:cs="Times New Roman"/>
          <w:sz w:val="24"/>
          <w:szCs w:val="24"/>
        </w:rPr>
        <w:t>itar la hiperinflación, revertir</w:t>
      </w:r>
      <w:r w:rsidRPr="00762D2D">
        <w:rPr>
          <w:rFonts w:ascii="Times New Roman" w:hAnsi="Times New Roman" w:cs="Times New Roman"/>
          <w:sz w:val="24"/>
          <w:szCs w:val="24"/>
        </w:rPr>
        <w:t xml:space="preserve"> la fuga</w:t>
      </w:r>
      <w:r w:rsidR="00440741" w:rsidRPr="00762D2D">
        <w:rPr>
          <w:rFonts w:ascii="Times New Roman" w:hAnsi="Times New Roman" w:cs="Times New Roman"/>
          <w:sz w:val="24"/>
          <w:szCs w:val="24"/>
        </w:rPr>
        <w:t xml:space="preserve"> de capitales</w:t>
      </w:r>
      <w:r w:rsidR="00157516" w:rsidRPr="00762D2D">
        <w:rPr>
          <w:rFonts w:ascii="Times New Roman" w:hAnsi="Times New Roman" w:cs="Times New Roman"/>
          <w:sz w:val="24"/>
          <w:szCs w:val="24"/>
        </w:rPr>
        <w:t>,</w:t>
      </w:r>
      <w:r w:rsidR="00440741" w:rsidRPr="00762D2D">
        <w:rPr>
          <w:rFonts w:ascii="Times New Roman" w:hAnsi="Times New Roman" w:cs="Times New Roman"/>
          <w:sz w:val="24"/>
          <w:szCs w:val="24"/>
        </w:rPr>
        <w:t xml:space="preserve"> y recuperar</w:t>
      </w:r>
      <w:r w:rsidRPr="00762D2D">
        <w:rPr>
          <w:rFonts w:ascii="Times New Roman" w:hAnsi="Times New Roman" w:cs="Times New Roman"/>
          <w:sz w:val="24"/>
          <w:szCs w:val="24"/>
        </w:rPr>
        <w:t xml:space="preserve"> las diezmadas reservas que había</w:t>
      </w:r>
      <w:r w:rsidR="00440741" w:rsidRPr="00762D2D">
        <w:rPr>
          <w:rFonts w:ascii="Times New Roman" w:hAnsi="Times New Roman" w:cs="Times New Roman"/>
          <w:sz w:val="24"/>
          <w:szCs w:val="24"/>
        </w:rPr>
        <w:t xml:space="preserve"> dejado el gobierno de Isabel Perón</w:t>
      </w:r>
      <w:r w:rsidRPr="00762D2D">
        <w:rPr>
          <w:rFonts w:ascii="Times New Roman" w:hAnsi="Times New Roman" w:cs="Times New Roman"/>
          <w:sz w:val="24"/>
          <w:szCs w:val="24"/>
        </w:rPr>
        <w:t>.</w:t>
      </w:r>
      <w:r w:rsidR="00440741" w:rsidRPr="00762D2D">
        <w:rPr>
          <w:rFonts w:ascii="Times New Roman" w:hAnsi="Times New Roman" w:cs="Times New Roman"/>
          <w:sz w:val="24"/>
          <w:szCs w:val="24"/>
        </w:rPr>
        <w:t xml:space="preserve"> </w:t>
      </w:r>
    </w:p>
    <w:p w:rsidR="00781E2B" w:rsidRPr="00781E2B" w:rsidRDefault="00781E2B" w:rsidP="00781E2B">
      <w:pPr>
        <w:spacing w:line="240" w:lineRule="auto"/>
        <w:jc w:val="both"/>
        <w:rPr>
          <w:rFonts w:ascii="Times New Roman" w:hAnsi="Times New Roman" w:cs="Times New Roman"/>
          <w:sz w:val="24"/>
          <w:szCs w:val="24"/>
        </w:rPr>
      </w:pPr>
      <w:r w:rsidRPr="00781E2B">
        <w:rPr>
          <w:rFonts w:ascii="Times New Roman" w:hAnsi="Times New Roman" w:cs="Times New Roman"/>
          <w:color w:val="282828"/>
          <w:sz w:val="24"/>
          <w:szCs w:val="24"/>
        </w:rPr>
        <w:t xml:space="preserve">El enfoque monetario de la balanza de pagos </w:t>
      </w:r>
    </w:p>
    <w:p w:rsidR="00781E2B" w:rsidRDefault="00781E2B" w:rsidP="00781E2B">
      <w:pPr>
        <w:shd w:val="clear" w:color="auto" w:fill="FFFFFF"/>
        <w:spacing w:line="240" w:lineRule="auto"/>
        <w:jc w:val="both"/>
        <w:textAlignment w:val="baseline"/>
        <w:rPr>
          <w:rFonts w:ascii="Times New Roman" w:hAnsi="Times New Roman" w:cs="Times New Roman"/>
          <w:color w:val="000000"/>
          <w:sz w:val="24"/>
          <w:szCs w:val="24"/>
        </w:rPr>
      </w:pPr>
      <w:r w:rsidRPr="006B4A07">
        <w:rPr>
          <w:rFonts w:ascii="Times New Roman" w:hAnsi="Times New Roman" w:cs="Times New Roman"/>
          <w:color w:val="000000"/>
          <w:sz w:val="24"/>
          <w:szCs w:val="24"/>
        </w:rPr>
        <w:t>El enfoque monetario estudia las interrelaciones entre el déficit de la balanza de pagos, la intervención en el mercado de divisas y la oferta monetaria en un sistema de tipos de cambio fijos o administrados. El mecanismo de transmisión es automático y consiste en analizar cómo una modificación en el saldo interno de divisas afecta la cantidad de dinero de alta potencia y, por lo tanto, la oferta monetaria. Se debe entender por dinero de alta potencia al efectivo (billetes y monedas) y los depósitos que tienen los bancos en el Banco Central. Una parte del efectivo está en manos del público. El resto lo tienen los bancos formando parte de sus reservas. Este total conforma la llamada base monetaria. El control de la misma por parte del Banco Central es la principal vía a través de la cual éste determina la oferta monetaria.</w:t>
      </w:r>
      <w:r w:rsidRPr="006B4A07">
        <w:rPr>
          <w:rFonts w:ascii="Times New Roman" w:hAnsi="Times New Roman" w:cs="Times New Roman"/>
          <w:color w:val="000000"/>
          <w:sz w:val="24"/>
          <w:szCs w:val="24"/>
        </w:rPr>
        <w:br/>
      </w:r>
      <w:r w:rsidRPr="006B4A07">
        <w:rPr>
          <w:rFonts w:ascii="Times New Roman" w:hAnsi="Times New Roman" w:cs="Times New Roman"/>
          <w:color w:val="000000"/>
          <w:sz w:val="24"/>
          <w:szCs w:val="24"/>
        </w:rPr>
        <w:br/>
        <w:t>En un país que tenga un superávit en la balanza de pagos, el Banco Central aumenta la cantidad de dinero de alta potencia en circulación cuando compra divisas, aumentando así el efectivo en poder del público. Dada esta relación entre la oferta monetaria y la balanza exterior, es claro que este proceso de ajuste debe dar lugar a la cantidad correcta de dinero para que el balance comercial se encuentre en equilibrio.</w:t>
      </w:r>
    </w:p>
    <w:p w:rsidR="00781E2B" w:rsidRPr="00781E2B" w:rsidRDefault="00781E2B" w:rsidP="00781E2B">
      <w:pPr>
        <w:shd w:val="clear" w:color="auto" w:fill="FFFFFF"/>
        <w:spacing w:line="240" w:lineRule="auto"/>
        <w:jc w:val="both"/>
        <w:textAlignment w:val="baseline"/>
        <w:rPr>
          <w:rFonts w:ascii="Times New Roman" w:hAnsi="Times New Roman" w:cs="Times New Roman"/>
          <w:color w:val="000000"/>
          <w:sz w:val="24"/>
          <w:szCs w:val="24"/>
        </w:rPr>
      </w:pPr>
      <w:r w:rsidRPr="006B4A07">
        <w:rPr>
          <w:rFonts w:ascii="Times New Roman" w:hAnsi="Times New Roman" w:cs="Times New Roman"/>
          <w:color w:val="000000"/>
          <w:sz w:val="24"/>
          <w:szCs w:val="24"/>
        </w:rPr>
        <w:t>Desde otro punto de vista, este enfoque nos permite razonar que ante un déficit de la balanza de pagos, una contracción suficiente de la cantidad de dinero posibilita restablecer el equilibrio exterior. La reducción de la oferta de dinero explica el ajuste: al elevarse las tasas de interés, se reduce el consumo público y privado y, en consecuencia, cae el gasto destinado a las importaciones. En este sentido, los problemas que presente el balance comercial son de carácter monetario y el déficit de la balanza de pagos se debe a que hay un exceso de oferta monetaria. No obstante, existe una manera de suspender el proceso de ajuste automático a través de las operaciones de esterilización. El Banco Central puede contrarrestar o esterilizar la influencia de la intervención en el mercado de divisas realizando operaciones de mercado abierto. Entonces, un país deficitario que venda divisas y reduzca su oferta monetaria puede contrarrestar esta caída comprando bonos en el mercado abierto y restableciendo así la oferta</w:t>
      </w:r>
      <w:r w:rsidR="00BA11D7">
        <w:rPr>
          <w:rFonts w:ascii="Times New Roman" w:hAnsi="Times New Roman" w:cs="Times New Roman"/>
          <w:color w:val="000000"/>
          <w:sz w:val="24"/>
          <w:szCs w:val="24"/>
        </w:rPr>
        <w:t xml:space="preserve"> </w:t>
      </w:r>
      <w:r w:rsidRPr="006B4A07">
        <w:rPr>
          <w:rFonts w:ascii="Times New Roman" w:hAnsi="Times New Roman" w:cs="Times New Roman"/>
          <w:color w:val="000000"/>
          <w:sz w:val="24"/>
          <w:szCs w:val="24"/>
        </w:rPr>
        <w:lastRenderedPageBreak/>
        <w:t>monetaria.</w:t>
      </w:r>
      <w:r w:rsidRPr="006B4A07">
        <w:rPr>
          <w:rFonts w:ascii="Times New Roman" w:hAnsi="Times New Roman" w:cs="Times New Roman"/>
          <w:color w:val="000000"/>
          <w:sz w:val="24"/>
          <w:szCs w:val="24"/>
        </w:rPr>
        <w:br/>
      </w:r>
      <w:r w:rsidRPr="006B4A07">
        <w:rPr>
          <w:rFonts w:ascii="Times New Roman" w:hAnsi="Times New Roman" w:cs="Times New Roman"/>
          <w:color w:val="000000"/>
          <w:sz w:val="24"/>
          <w:szCs w:val="24"/>
        </w:rPr>
        <w:br/>
        <w:t>El enfoque monetario de la balanza de pagos hace hincapié en los cambios ocurridos en las variables monetarias de una economía abierta y en cómo impactan estos cambios en la determinación del equilibrio de</w:t>
      </w:r>
      <w:r>
        <w:rPr>
          <w:rFonts w:ascii="Times New Roman" w:hAnsi="Times New Roman" w:cs="Times New Roman"/>
          <w:color w:val="000000"/>
          <w:sz w:val="24"/>
          <w:szCs w:val="24"/>
        </w:rPr>
        <w:t xml:space="preserve"> la balanza de pagos. </w:t>
      </w:r>
    </w:p>
    <w:p w:rsidR="004E4096" w:rsidRPr="00762D2D" w:rsidRDefault="004E4096" w:rsidP="004E4096">
      <w:pPr>
        <w:spacing w:line="240" w:lineRule="auto"/>
        <w:jc w:val="both"/>
        <w:rPr>
          <w:rFonts w:ascii="Times New Roman" w:hAnsi="Times New Roman" w:cs="Times New Roman"/>
          <w:sz w:val="24"/>
          <w:szCs w:val="24"/>
        </w:rPr>
      </w:pPr>
      <w:r w:rsidRPr="00762D2D">
        <w:rPr>
          <w:rFonts w:ascii="Times New Roman" w:hAnsi="Times New Roman" w:cs="Times New Roman"/>
          <w:sz w:val="24"/>
          <w:szCs w:val="24"/>
        </w:rPr>
        <w:t>La Tablita cambiaria</w:t>
      </w:r>
    </w:p>
    <w:p w:rsidR="004E4096" w:rsidRPr="00762D2D" w:rsidRDefault="004E4096" w:rsidP="0092698E">
      <w:pPr>
        <w:spacing w:line="240" w:lineRule="auto"/>
        <w:jc w:val="both"/>
        <w:rPr>
          <w:rFonts w:ascii="Times New Roman" w:hAnsi="Times New Roman" w:cs="Times New Roman"/>
          <w:sz w:val="24"/>
          <w:szCs w:val="24"/>
        </w:rPr>
      </w:pPr>
      <w:r w:rsidRPr="00762D2D">
        <w:rPr>
          <w:rFonts w:ascii="Times New Roman" w:hAnsi="Times New Roman" w:cs="Times New Roman"/>
          <w:sz w:val="24"/>
          <w:szCs w:val="24"/>
        </w:rPr>
        <w:t>El nuevo programa estaba basado en el supuesto de que una parte importante de aumento de los precios se debía a “factores psicológicos”. Para contrarrestarlos, propuso la información anticipada de porcentaje de devaluación y lo hizo fijando la variación de la pauta cambiaria, es decir, cuál sería la relación entre el peso y el dólar para cada día de los siguientes ocho meses, de enero a agosto de 1979. Esta vez, en lugar de establecerse como precio del dólar una suma fija, a lo largo de esos ocho meses cada dólar iba a costar una cantidad creciente de pesos. De este modo quedó establecido en un instrumento -que se conoció como “La Tablita”- cuál iba a ser, en ese lapso, el porcentaje de la devaluación de la moneda argentina. Sin embargo, en ese período la inflación aumentó mucho más que la devaluación programada, por el aumento de los costos que implicaban</w:t>
      </w:r>
      <w:r w:rsidR="00762D2D" w:rsidRPr="00762D2D">
        <w:rPr>
          <w:rFonts w:ascii="Times New Roman" w:hAnsi="Times New Roman" w:cs="Times New Roman"/>
          <w:sz w:val="24"/>
          <w:szCs w:val="24"/>
        </w:rPr>
        <w:t xml:space="preserve"> las elevadas tasas de interés.</w:t>
      </w:r>
    </w:p>
    <w:p w:rsidR="0092698E" w:rsidRPr="00762D2D" w:rsidRDefault="00157516" w:rsidP="0092698E">
      <w:pPr>
        <w:spacing w:line="240" w:lineRule="auto"/>
        <w:jc w:val="both"/>
        <w:rPr>
          <w:rFonts w:ascii="Times New Roman" w:hAnsi="Times New Roman" w:cs="Times New Roman"/>
          <w:sz w:val="24"/>
          <w:szCs w:val="24"/>
        </w:rPr>
      </w:pPr>
      <w:r w:rsidRPr="00762D2D">
        <w:rPr>
          <w:rFonts w:ascii="Times New Roman" w:hAnsi="Times New Roman" w:cs="Times New Roman"/>
          <w:sz w:val="24"/>
          <w:szCs w:val="24"/>
        </w:rPr>
        <w:t>Consecuencias “tablita cambiaria”</w:t>
      </w:r>
      <w:r w:rsidR="0092698E" w:rsidRPr="00762D2D">
        <w:rPr>
          <w:rFonts w:ascii="Times New Roman" w:hAnsi="Times New Roman" w:cs="Times New Roman"/>
          <w:sz w:val="24"/>
          <w:szCs w:val="24"/>
        </w:rPr>
        <w:t>. Los capitales extra</w:t>
      </w:r>
      <w:r w:rsidRPr="00762D2D">
        <w:rPr>
          <w:rFonts w:ascii="Times New Roman" w:hAnsi="Times New Roman" w:cs="Times New Roman"/>
          <w:sz w:val="24"/>
          <w:szCs w:val="24"/>
        </w:rPr>
        <w:t>njeros comenzaron a ingresar dólares, compraban pesos y los colocaban a</w:t>
      </w:r>
      <w:r w:rsidR="0092698E" w:rsidRPr="00762D2D">
        <w:rPr>
          <w:rFonts w:ascii="Times New Roman" w:hAnsi="Times New Roman" w:cs="Times New Roman"/>
          <w:sz w:val="24"/>
          <w:szCs w:val="24"/>
        </w:rPr>
        <w:t xml:space="preserve"> tasas de interés superiores a la inflación y más altas que la devaluación. Al poco tiempo compraban muchos más dólares de los que habían ingresa</w:t>
      </w:r>
      <w:r w:rsidRPr="00762D2D">
        <w:rPr>
          <w:rFonts w:ascii="Times New Roman" w:hAnsi="Times New Roman" w:cs="Times New Roman"/>
          <w:sz w:val="24"/>
          <w:szCs w:val="24"/>
        </w:rPr>
        <w:t xml:space="preserve">do y sacaban los dólares </w:t>
      </w:r>
      <w:r w:rsidR="0092698E" w:rsidRPr="00762D2D">
        <w:rPr>
          <w:rFonts w:ascii="Times New Roman" w:hAnsi="Times New Roman" w:cs="Times New Roman"/>
          <w:sz w:val="24"/>
          <w:szCs w:val="24"/>
        </w:rPr>
        <w:t>fuera de</w:t>
      </w:r>
      <w:r w:rsidRPr="00762D2D">
        <w:rPr>
          <w:rFonts w:ascii="Times New Roman" w:hAnsi="Times New Roman" w:cs="Times New Roman"/>
          <w:sz w:val="24"/>
          <w:szCs w:val="24"/>
        </w:rPr>
        <w:t>l país. Había nacido la famosa “Bicicleta Financiera”</w:t>
      </w:r>
      <w:r w:rsidR="0092698E" w:rsidRPr="00762D2D">
        <w:rPr>
          <w:rFonts w:ascii="Times New Roman" w:hAnsi="Times New Roman" w:cs="Times New Roman"/>
          <w:sz w:val="24"/>
          <w:szCs w:val="24"/>
        </w:rPr>
        <w:t xml:space="preserve"> que coexistió con el atraso cambiario. Esto dio como resultado un fenómeno al que los econ</w:t>
      </w:r>
      <w:r w:rsidRPr="00762D2D">
        <w:rPr>
          <w:rFonts w:ascii="Times New Roman" w:hAnsi="Times New Roman" w:cs="Times New Roman"/>
          <w:sz w:val="24"/>
          <w:szCs w:val="24"/>
        </w:rPr>
        <w:t>omistas llamaron “plata dulce”</w:t>
      </w:r>
      <w:r w:rsidR="0092698E" w:rsidRPr="00762D2D">
        <w:rPr>
          <w:rFonts w:ascii="Times New Roman" w:hAnsi="Times New Roman" w:cs="Times New Roman"/>
          <w:sz w:val="24"/>
          <w:szCs w:val="24"/>
        </w:rPr>
        <w:t>.</w:t>
      </w:r>
    </w:p>
    <w:p w:rsidR="0092698E" w:rsidRPr="00762D2D" w:rsidRDefault="0092698E" w:rsidP="0092698E">
      <w:pPr>
        <w:spacing w:line="240" w:lineRule="auto"/>
        <w:jc w:val="both"/>
        <w:rPr>
          <w:rFonts w:ascii="Times New Roman" w:hAnsi="Times New Roman" w:cs="Times New Roman"/>
          <w:sz w:val="24"/>
          <w:szCs w:val="24"/>
        </w:rPr>
      </w:pPr>
      <w:r w:rsidRPr="00762D2D">
        <w:rPr>
          <w:rFonts w:ascii="Times New Roman" w:hAnsi="Times New Roman" w:cs="Times New Roman"/>
          <w:sz w:val="24"/>
          <w:szCs w:val="24"/>
        </w:rPr>
        <w:t>La “bicicleta financiera” consistía en obtener dólares a una baja tasa de interés en el mercado internacional, colocarlos en el mercado interno con un di</w:t>
      </w:r>
      <w:r w:rsidR="00157516" w:rsidRPr="00762D2D">
        <w:rPr>
          <w:rFonts w:ascii="Times New Roman" w:hAnsi="Times New Roman" w:cs="Times New Roman"/>
          <w:sz w:val="24"/>
          <w:szCs w:val="24"/>
        </w:rPr>
        <w:t>ferencial de tasas de interés -</w:t>
      </w:r>
      <w:r w:rsidRPr="00762D2D">
        <w:rPr>
          <w:rFonts w:ascii="Times New Roman" w:hAnsi="Times New Roman" w:cs="Times New Roman"/>
          <w:sz w:val="24"/>
          <w:szCs w:val="24"/>
        </w:rPr>
        <w:t>en relaci</w:t>
      </w:r>
      <w:r w:rsidR="00157516" w:rsidRPr="00762D2D">
        <w:rPr>
          <w:rFonts w:ascii="Times New Roman" w:hAnsi="Times New Roman" w:cs="Times New Roman"/>
          <w:sz w:val="24"/>
          <w:szCs w:val="24"/>
        </w:rPr>
        <w:t>ón a la tasa internacional</w:t>
      </w:r>
      <w:r w:rsidRPr="00762D2D">
        <w:rPr>
          <w:rFonts w:ascii="Times New Roman" w:hAnsi="Times New Roman" w:cs="Times New Roman"/>
          <w:sz w:val="24"/>
          <w:szCs w:val="24"/>
        </w:rPr>
        <w:t>-, reconvertir dichos créditos nuevamente a dólares y retirarlos del país.</w:t>
      </w:r>
    </w:p>
    <w:p w:rsidR="0092698E" w:rsidRPr="00762D2D" w:rsidRDefault="0092698E" w:rsidP="0092698E">
      <w:pPr>
        <w:spacing w:line="240" w:lineRule="auto"/>
        <w:jc w:val="both"/>
        <w:rPr>
          <w:rFonts w:ascii="Times New Roman" w:hAnsi="Times New Roman" w:cs="Times New Roman"/>
          <w:sz w:val="24"/>
          <w:szCs w:val="24"/>
        </w:rPr>
      </w:pPr>
      <w:r w:rsidRPr="00762D2D">
        <w:rPr>
          <w:rFonts w:ascii="Times New Roman" w:hAnsi="Times New Roman" w:cs="Times New Roman"/>
          <w:sz w:val="24"/>
          <w:szCs w:val="24"/>
        </w:rPr>
        <w:t>Por entonces, el sistema bancario había sido reformado y se permitía libertad de tasas. Se mantenía la garantía de los depósitos de plazo fijo a cargo del B</w:t>
      </w:r>
      <w:r w:rsidR="004E4096" w:rsidRPr="00762D2D">
        <w:rPr>
          <w:rFonts w:ascii="Times New Roman" w:hAnsi="Times New Roman" w:cs="Times New Roman"/>
          <w:sz w:val="24"/>
          <w:szCs w:val="24"/>
        </w:rPr>
        <w:t xml:space="preserve">anco Central. </w:t>
      </w:r>
    </w:p>
    <w:p w:rsidR="0092698E" w:rsidRPr="00762D2D" w:rsidRDefault="0092698E" w:rsidP="0092698E">
      <w:pPr>
        <w:spacing w:line="240" w:lineRule="auto"/>
        <w:jc w:val="both"/>
        <w:rPr>
          <w:rFonts w:ascii="Times New Roman" w:hAnsi="Times New Roman" w:cs="Times New Roman"/>
          <w:sz w:val="24"/>
          <w:szCs w:val="24"/>
        </w:rPr>
      </w:pPr>
      <w:r w:rsidRPr="00762D2D">
        <w:rPr>
          <w:rFonts w:ascii="Times New Roman" w:hAnsi="Times New Roman" w:cs="Times New Roman"/>
          <w:sz w:val="24"/>
          <w:szCs w:val="24"/>
        </w:rPr>
        <w:t>En 19</w:t>
      </w:r>
      <w:r w:rsidR="004E4096" w:rsidRPr="00762D2D">
        <w:rPr>
          <w:rFonts w:ascii="Times New Roman" w:hAnsi="Times New Roman" w:cs="Times New Roman"/>
          <w:sz w:val="24"/>
          <w:szCs w:val="24"/>
        </w:rPr>
        <w:t>81 Martínez de Hoz abandonó la “tablita”</w:t>
      </w:r>
      <w:r w:rsidRPr="00762D2D">
        <w:rPr>
          <w:rFonts w:ascii="Times New Roman" w:hAnsi="Times New Roman" w:cs="Times New Roman"/>
          <w:sz w:val="24"/>
          <w:szCs w:val="24"/>
        </w:rPr>
        <w:t xml:space="preserve"> y devaluó, poco antes de dejar el cargo que terminaba junto a la presidencia de Jorge Rafael Videla. El nuevo presidente militar golpista que asumió fue Rober</w:t>
      </w:r>
      <w:r w:rsidR="004E4096" w:rsidRPr="00762D2D">
        <w:rPr>
          <w:rFonts w:ascii="Times New Roman" w:hAnsi="Times New Roman" w:cs="Times New Roman"/>
          <w:sz w:val="24"/>
          <w:szCs w:val="24"/>
        </w:rPr>
        <w:t>t</w:t>
      </w:r>
      <w:r w:rsidRPr="00762D2D">
        <w:rPr>
          <w:rFonts w:ascii="Times New Roman" w:hAnsi="Times New Roman" w:cs="Times New Roman"/>
          <w:sz w:val="24"/>
          <w:szCs w:val="24"/>
        </w:rPr>
        <w:t>o Viola, quien nombró como Ministro de Economía a Lorenzo Sigaut. La herencia era imposible: debieron enfrentar a los mercados que estaban convencidos de que la devaluación seguiría. El ministro Sigaut lanzó su frase</w:t>
      </w:r>
      <w:r w:rsidR="004E4096" w:rsidRPr="00762D2D">
        <w:rPr>
          <w:rFonts w:ascii="Times New Roman" w:hAnsi="Times New Roman" w:cs="Times New Roman"/>
          <w:sz w:val="24"/>
          <w:szCs w:val="24"/>
        </w:rPr>
        <w:t xml:space="preserve"> tristemente recordada: “El que apueste al dólar, pierde”</w:t>
      </w:r>
      <w:r w:rsidRPr="00762D2D">
        <w:rPr>
          <w:rFonts w:ascii="Times New Roman" w:hAnsi="Times New Roman" w:cs="Times New Roman"/>
          <w:sz w:val="24"/>
          <w:szCs w:val="24"/>
        </w:rPr>
        <w:t>. El tiempo fue canalla con los argentinos y el paso de los días fue un verdugo impiadoso para los ciudadanos de un país que ya casi ha perdido la memoria: Se desató una escalada hasta entonces inédita de devalu</w:t>
      </w:r>
      <w:r w:rsidR="004E4096" w:rsidRPr="00762D2D">
        <w:rPr>
          <w:rFonts w:ascii="Times New Roman" w:hAnsi="Times New Roman" w:cs="Times New Roman"/>
          <w:sz w:val="24"/>
          <w:szCs w:val="24"/>
        </w:rPr>
        <w:t>aciones seguidas por inflación.</w:t>
      </w:r>
    </w:p>
    <w:p w:rsidR="004E4096" w:rsidRPr="00762D2D" w:rsidRDefault="004E4096" w:rsidP="004E4096">
      <w:pPr>
        <w:spacing w:line="240" w:lineRule="auto"/>
        <w:jc w:val="both"/>
        <w:rPr>
          <w:rFonts w:ascii="Times New Roman" w:hAnsi="Times New Roman" w:cs="Times New Roman"/>
          <w:sz w:val="24"/>
          <w:szCs w:val="24"/>
        </w:rPr>
      </w:pPr>
      <w:r w:rsidRPr="00762D2D">
        <w:rPr>
          <w:rFonts w:ascii="Times New Roman" w:hAnsi="Times New Roman" w:cs="Times New Roman"/>
          <w:sz w:val="24"/>
          <w:szCs w:val="24"/>
        </w:rPr>
        <w:t>La Cuenta de Regulación Monetaria</w:t>
      </w:r>
    </w:p>
    <w:p w:rsidR="004E4096" w:rsidRPr="00762D2D" w:rsidRDefault="004E4096" w:rsidP="004E4096">
      <w:pPr>
        <w:spacing w:line="240" w:lineRule="auto"/>
        <w:jc w:val="both"/>
        <w:rPr>
          <w:rFonts w:ascii="Times New Roman" w:hAnsi="Times New Roman" w:cs="Times New Roman"/>
          <w:sz w:val="24"/>
          <w:szCs w:val="24"/>
        </w:rPr>
      </w:pPr>
      <w:r w:rsidRPr="00762D2D">
        <w:rPr>
          <w:rFonts w:ascii="Times New Roman" w:hAnsi="Times New Roman" w:cs="Times New Roman"/>
          <w:sz w:val="24"/>
          <w:szCs w:val="24"/>
        </w:rPr>
        <w:t>El tercer pilar de la reforma corresponde a la Cuenta Regulación Monetaria que permitió la implementación de una compensación a los efectivos mínimos que por ley debían mantener las entidades financieras como respaldo de sus obligaciones a plazo.</w:t>
      </w:r>
    </w:p>
    <w:p w:rsidR="004E4096" w:rsidRPr="00762D2D" w:rsidRDefault="004E4096" w:rsidP="004E4096">
      <w:pPr>
        <w:spacing w:line="240" w:lineRule="auto"/>
        <w:jc w:val="both"/>
        <w:rPr>
          <w:rFonts w:ascii="Times New Roman" w:hAnsi="Times New Roman" w:cs="Times New Roman"/>
          <w:sz w:val="24"/>
          <w:szCs w:val="24"/>
        </w:rPr>
      </w:pPr>
      <w:r w:rsidRPr="00762D2D">
        <w:rPr>
          <w:rFonts w:ascii="Times New Roman" w:hAnsi="Times New Roman" w:cs="Times New Roman"/>
          <w:sz w:val="24"/>
          <w:szCs w:val="24"/>
        </w:rPr>
        <w:t xml:space="preserve">A principios de 1977, el rebrote de la inflación -tras algunos meses de significativa disminución de los índices- llevó al equipo económico a justificar la postergación de la anunciada reactivación de la economía, porque el control de la inflación estaba llevando más tiempo que el esperado. Tras el fracaso de algunas medidas del Estado para eliminar las </w:t>
      </w:r>
      <w:r w:rsidRPr="00762D2D">
        <w:rPr>
          <w:rFonts w:ascii="Times New Roman" w:hAnsi="Times New Roman" w:cs="Times New Roman"/>
          <w:sz w:val="24"/>
          <w:szCs w:val="24"/>
        </w:rPr>
        <w:lastRenderedPageBreak/>
        <w:t>presiones inflacionarias, el ministro retomó la ortodoxia liberal y avanzó en la eliminación de los controles de precios, no sólo de los bienes sino, también, del dinero.</w:t>
      </w:r>
    </w:p>
    <w:p w:rsidR="004E4096" w:rsidRPr="00762D2D" w:rsidRDefault="004E4096" w:rsidP="004E4096">
      <w:pPr>
        <w:spacing w:line="240" w:lineRule="auto"/>
        <w:jc w:val="both"/>
        <w:rPr>
          <w:rFonts w:ascii="Times New Roman" w:hAnsi="Times New Roman" w:cs="Times New Roman"/>
          <w:sz w:val="24"/>
          <w:szCs w:val="24"/>
        </w:rPr>
      </w:pPr>
      <w:r w:rsidRPr="00762D2D">
        <w:rPr>
          <w:rFonts w:ascii="Times New Roman" w:hAnsi="Times New Roman" w:cs="Times New Roman"/>
          <w:sz w:val="24"/>
          <w:szCs w:val="24"/>
        </w:rPr>
        <w:t>Con el proclamado objetivo de atraer las inversiones, el equipo económico se propuso crear un mercado de capitales que resultara atractivo a los inversores extranjeros. El 1° de junio de 1977, Martínez de Hoz anunció una reforma financiera para liberalizar ese mercado. La nueva Ley de Entidades Financieras autorizaba “un mercado libre del dinero”, en el que las tasas de interés se definían a través de la oferta y la demanda; establecía la garantía de los depósitos a cargo del Banco Central y fomentaba los depósitos a interés. Además, creaba amplias facilidades para la instalación de nuevas entidades bancarias y financieras.</w:t>
      </w:r>
    </w:p>
    <w:p w:rsidR="004E4096" w:rsidRPr="00762D2D" w:rsidRDefault="004E4096" w:rsidP="004E4096">
      <w:pPr>
        <w:spacing w:line="240" w:lineRule="auto"/>
        <w:jc w:val="both"/>
        <w:rPr>
          <w:rFonts w:ascii="Times New Roman" w:hAnsi="Times New Roman" w:cs="Times New Roman"/>
          <w:sz w:val="24"/>
          <w:szCs w:val="24"/>
        </w:rPr>
      </w:pPr>
      <w:r w:rsidRPr="00762D2D">
        <w:rPr>
          <w:rFonts w:ascii="Times New Roman" w:hAnsi="Times New Roman" w:cs="Times New Roman"/>
          <w:sz w:val="24"/>
          <w:szCs w:val="24"/>
        </w:rPr>
        <w:t>Hasta fines de 1977, la actividad económica fue impulsada por la expansión del sector agrícola, que dinamizó las producciones industriales estrechamente vinculadas, como tractores, maquinaria agrícola, fertilizantes, etc. Sin embargo, el equipo económico entendió que esta expansión por sí sola resultaba insuficiente para asegurar el crecimiento económico sostenido del país. La participación de los trabajadores en el ingreso nacional cayó del 35% al 30% del PBI. ​</w:t>
      </w:r>
    </w:p>
    <w:p w:rsidR="004E4096" w:rsidRPr="00762D2D" w:rsidRDefault="004E4096" w:rsidP="004E4096">
      <w:pPr>
        <w:spacing w:line="240" w:lineRule="auto"/>
        <w:jc w:val="both"/>
        <w:rPr>
          <w:rFonts w:ascii="Times New Roman" w:hAnsi="Times New Roman" w:cs="Times New Roman"/>
          <w:sz w:val="24"/>
          <w:szCs w:val="24"/>
        </w:rPr>
      </w:pPr>
      <w:r w:rsidRPr="00762D2D">
        <w:rPr>
          <w:rFonts w:ascii="Times New Roman" w:hAnsi="Times New Roman" w:cs="Times New Roman"/>
          <w:sz w:val="24"/>
          <w:szCs w:val="24"/>
        </w:rPr>
        <w:t>Durante todo 1978, el equipo económico continuó tomando medidas que buscaban profundizar la liberalización del mercado financiero: redujo el plazo mínimo autorizando a las entidades financieras para tomar depósitos indexados (de 6 meses a 1 mes y luego de 30 días a 7 días) y permitió la entrada y salida de capitales extranjeros en un plazo mínimo de 24 horas. Mediante la Ley de Descentralización de los Depósitos se dio plena libertad a los bancos comerciales para disponer de los depósitos por su cuenta y orden. Antes, el Banco Central centralizaba esos depósitos; ahora, el financiamiento del Tesoro pasó a depender fundamentalmente del endeudamiento externo. Para neutralizar los efectos expansivos de la base monetaria en manos de los bancos, se estableció una tasa de encaje del 45% -que luego fue descendiendo- al mismo tiempo que se creó la Cuenta de Regulación Monetaria, mediante la cual el gobierno remuneraba los encajes. Un subsidio al sector financiero que se financió con una emisión monetaria estimada en $62.000 millones de entonces, el equivalente al 5% del PBI.</w:t>
      </w:r>
    </w:p>
    <w:p w:rsidR="004E4096" w:rsidRPr="00762D2D" w:rsidRDefault="004E4096" w:rsidP="004E4096">
      <w:pPr>
        <w:spacing w:line="240" w:lineRule="auto"/>
        <w:jc w:val="both"/>
        <w:rPr>
          <w:rFonts w:ascii="Times New Roman" w:hAnsi="Times New Roman" w:cs="Times New Roman"/>
          <w:sz w:val="24"/>
          <w:szCs w:val="24"/>
        </w:rPr>
      </w:pPr>
      <w:r w:rsidRPr="00762D2D">
        <w:rPr>
          <w:rFonts w:ascii="Times New Roman" w:hAnsi="Times New Roman" w:cs="Times New Roman"/>
          <w:sz w:val="24"/>
          <w:szCs w:val="24"/>
        </w:rPr>
        <w:t>Con el sistema financiero liberado, en la segunda mitad de 1978 el equipo económico buscó crear las condiciones para que las tasas de interés subieran. A través de un conjunto de medidas, el gobierno redujo la cantidad de dinero circulante y, al mismo tiempo, indujo a las empresas públicas a endeudarse con el sistema bancario y financiero. El aumento de la demanda de dinero originó el incremento de las tasas de interés que se aceleró rápidamente. Una vez impulsada la tendencia, el Banco Central comenzó a disminuir su regulación sobre el sector. El encarecimiento del dinero tuvo un efecto recesivo casi instantáneo. Las empresas que habían tomado créditos se encontraron con costos crecientes y reaccionaron liquidando sus stocks de mercaderías y, en muchos casos también, sus bienes de capital e instalaciones. Esta situación agravó la caída de la actividad industrial.</w:t>
      </w:r>
    </w:p>
    <w:p w:rsidR="004E4096" w:rsidRPr="00762D2D" w:rsidRDefault="004E4096" w:rsidP="004E4096">
      <w:pPr>
        <w:spacing w:line="240" w:lineRule="auto"/>
        <w:jc w:val="both"/>
        <w:rPr>
          <w:rFonts w:ascii="Times New Roman" w:hAnsi="Times New Roman" w:cs="Times New Roman"/>
          <w:sz w:val="24"/>
          <w:szCs w:val="24"/>
        </w:rPr>
      </w:pPr>
      <w:r w:rsidRPr="00762D2D">
        <w:rPr>
          <w:rFonts w:ascii="Times New Roman" w:hAnsi="Times New Roman" w:cs="Times New Roman"/>
          <w:sz w:val="24"/>
          <w:szCs w:val="24"/>
        </w:rPr>
        <w:t>La crisis financiera de 1980</w:t>
      </w:r>
    </w:p>
    <w:p w:rsidR="004E4096" w:rsidRPr="00762D2D" w:rsidRDefault="004E4096" w:rsidP="004E4096">
      <w:pPr>
        <w:spacing w:line="240" w:lineRule="auto"/>
        <w:jc w:val="both"/>
        <w:rPr>
          <w:rFonts w:ascii="Times New Roman" w:hAnsi="Times New Roman" w:cs="Times New Roman"/>
          <w:sz w:val="24"/>
          <w:szCs w:val="24"/>
        </w:rPr>
      </w:pPr>
      <w:r w:rsidRPr="00762D2D">
        <w:rPr>
          <w:rFonts w:ascii="Times New Roman" w:hAnsi="Times New Roman" w:cs="Times New Roman"/>
          <w:sz w:val="24"/>
          <w:szCs w:val="24"/>
        </w:rPr>
        <w:t>Ya en 1978, el plan del ministro Martínez de Hoz dio indicios de ser un fracaso total: la inflación anual llegó al 160%, y el PBI descendió durante ese año cerca de un 3,2%. En 1979 la tasa de inflación llegó a 139,7, con una economía estancada. Para 1980 la producción industrial había reducido un 10 % su aporte al PBI, y en algunas ramas como la textil, la caída superó el 15%. ​Durante 1980 las exportaciones cayeron un 20% respecto del año anterior, las importaciones subieron un 30 %. En ese contexto se produjo el “crack bancario” de 1980, que puso fin a la etapa de la denominada “plata dulce”.</w:t>
      </w:r>
    </w:p>
    <w:p w:rsidR="004E4096" w:rsidRPr="00762D2D" w:rsidRDefault="004E4096" w:rsidP="004E4096">
      <w:pPr>
        <w:spacing w:line="240" w:lineRule="auto"/>
        <w:jc w:val="both"/>
        <w:rPr>
          <w:rFonts w:ascii="Times New Roman" w:hAnsi="Times New Roman" w:cs="Times New Roman"/>
          <w:sz w:val="24"/>
          <w:szCs w:val="24"/>
        </w:rPr>
      </w:pPr>
      <w:r w:rsidRPr="00762D2D">
        <w:rPr>
          <w:rFonts w:ascii="Times New Roman" w:hAnsi="Times New Roman" w:cs="Times New Roman"/>
          <w:sz w:val="24"/>
          <w:szCs w:val="24"/>
        </w:rPr>
        <w:lastRenderedPageBreak/>
        <w:t xml:space="preserve">En marzo de 1980, el gobierno decidió cerrar </w:t>
      </w:r>
      <w:r w:rsidR="00762D2D" w:rsidRPr="00762D2D">
        <w:rPr>
          <w:rFonts w:ascii="Times New Roman" w:hAnsi="Times New Roman" w:cs="Times New Roman"/>
          <w:sz w:val="24"/>
          <w:szCs w:val="24"/>
        </w:rPr>
        <w:t>el mayor de los bancos locales -</w:t>
      </w:r>
      <w:r w:rsidRPr="00762D2D">
        <w:rPr>
          <w:rFonts w:ascii="Times New Roman" w:hAnsi="Times New Roman" w:cs="Times New Roman"/>
          <w:sz w:val="24"/>
          <w:szCs w:val="24"/>
        </w:rPr>
        <w:t>el Banc</w:t>
      </w:r>
      <w:r w:rsidR="00762D2D" w:rsidRPr="00762D2D">
        <w:rPr>
          <w:rFonts w:ascii="Times New Roman" w:hAnsi="Times New Roman" w:cs="Times New Roman"/>
          <w:sz w:val="24"/>
          <w:szCs w:val="24"/>
        </w:rPr>
        <w:t>o de Intercambio Regional (BIR)-</w:t>
      </w:r>
      <w:r w:rsidRPr="00762D2D">
        <w:rPr>
          <w:rFonts w:ascii="Times New Roman" w:hAnsi="Times New Roman" w:cs="Times New Roman"/>
          <w:sz w:val="24"/>
          <w:szCs w:val="24"/>
        </w:rPr>
        <w:t xml:space="preserve"> hecho que provocó una crisis financiera de alcances profundos.​ A los pocos días, dispuso el </w:t>
      </w:r>
      <w:r w:rsidR="00762D2D" w:rsidRPr="00762D2D">
        <w:rPr>
          <w:rFonts w:ascii="Times New Roman" w:hAnsi="Times New Roman" w:cs="Times New Roman"/>
          <w:sz w:val="24"/>
          <w:szCs w:val="24"/>
        </w:rPr>
        <w:t>cierre de otros grandes bancos -</w:t>
      </w:r>
      <w:r w:rsidRPr="00762D2D">
        <w:rPr>
          <w:rFonts w:ascii="Times New Roman" w:hAnsi="Times New Roman" w:cs="Times New Roman"/>
          <w:sz w:val="24"/>
          <w:szCs w:val="24"/>
        </w:rPr>
        <w:t>como el Banco de Los Andes, el Banco Oddone y el Banc</w:t>
      </w:r>
      <w:r w:rsidR="00762D2D" w:rsidRPr="00762D2D">
        <w:rPr>
          <w:rFonts w:ascii="Times New Roman" w:hAnsi="Times New Roman" w:cs="Times New Roman"/>
          <w:sz w:val="24"/>
          <w:szCs w:val="24"/>
        </w:rPr>
        <w:t>o Internacional-</w:t>
      </w:r>
      <w:r w:rsidRPr="00762D2D">
        <w:rPr>
          <w:rFonts w:ascii="Times New Roman" w:hAnsi="Times New Roman" w:cs="Times New Roman"/>
          <w:sz w:val="24"/>
          <w:szCs w:val="24"/>
        </w:rPr>
        <w:t xml:space="preserve"> y algunos menores durante los meses de abril y mayo, política de liquidación que continuó durante todo el año. Estas medidas provocaron un pánico generalizado entre los inversores y una ola de demanda especulativa de divisas. Frente al retiro de los depósitos de los bancos y de las entidades financieras y la salida del país de cuantiosas sumas, el equipo económico decidió restablecer la garantía oficial de la totalidad de los depósitos. Durante todo 1980, utilizó una gran parte de las reservas en devolver los depósitos garantizados a los clientes de las entidades quebradas o intervenidas y también adelantó fondos a las que entraban en crisis por los temores del público que retiraba sus ahorros. La creciente demanda de divisas y la fuga de capitales al exterior continuaron durante 1980 y se profundizaron a partir de febrero de 1981, cuando el equipo económico, finalmente, anunció una nueva devaluación. En tanto la deuda externa había crecido de U$S7.000 millones en 1975 a más de U$S40.000 millones.</w:t>
      </w:r>
    </w:p>
    <w:p w:rsidR="0041338F" w:rsidRDefault="00762D2D" w:rsidP="004E4096">
      <w:pPr>
        <w:spacing w:line="240" w:lineRule="auto"/>
        <w:jc w:val="both"/>
        <w:rPr>
          <w:rFonts w:ascii="Times New Roman" w:hAnsi="Times New Roman" w:cs="Times New Roman"/>
          <w:b/>
          <w:sz w:val="24"/>
          <w:szCs w:val="24"/>
        </w:rPr>
      </w:pPr>
      <w:r>
        <w:rPr>
          <w:rFonts w:ascii="Times New Roman" w:hAnsi="Times New Roman" w:cs="Times New Roman"/>
          <w:b/>
          <w:sz w:val="24"/>
          <w:szCs w:val="24"/>
        </w:rPr>
        <w:t>¿</w:t>
      </w:r>
      <w:r w:rsidRPr="00762D2D">
        <w:rPr>
          <w:rFonts w:ascii="Times New Roman" w:hAnsi="Times New Roman" w:cs="Times New Roman"/>
          <w:b/>
          <w:sz w:val="24"/>
          <w:szCs w:val="24"/>
        </w:rPr>
        <w:t>Cualquier parecido con la realidad</w:t>
      </w:r>
      <w:r>
        <w:rPr>
          <w:rFonts w:ascii="Times New Roman" w:hAnsi="Times New Roman" w:cs="Times New Roman"/>
          <w:b/>
          <w:sz w:val="24"/>
          <w:szCs w:val="24"/>
        </w:rPr>
        <w:t xml:space="preserve"> europea</w:t>
      </w:r>
      <w:r w:rsidRPr="00762D2D">
        <w:rPr>
          <w:rFonts w:ascii="Times New Roman" w:hAnsi="Times New Roman" w:cs="Times New Roman"/>
          <w:b/>
          <w:sz w:val="24"/>
          <w:szCs w:val="24"/>
        </w:rPr>
        <w:t xml:space="preserve"> es mera coincidencia</w:t>
      </w:r>
      <w:r>
        <w:rPr>
          <w:rFonts w:ascii="Times New Roman" w:hAnsi="Times New Roman" w:cs="Times New Roman"/>
          <w:b/>
          <w:sz w:val="24"/>
          <w:szCs w:val="24"/>
        </w:rPr>
        <w:t xml:space="preserve">, o no? </w:t>
      </w:r>
    </w:p>
    <w:p w:rsidR="00991ACD" w:rsidRDefault="00991ACD" w:rsidP="0041338F">
      <w:pPr>
        <w:pStyle w:val="NormalWeb"/>
        <w:spacing w:before="0" w:beforeAutospacing="0" w:after="360" w:afterAutospacing="0"/>
        <w:jc w:val="both"/>
        <w:rPr>
          <w:b/>
          <w:color w:val="FF0000"/>
        </w:rPr>
      </w:pPr>
      <w:r>
        <w:rPr>
          <w:noProof/>
        </w:rPr>
        <w:drawing>
          <wp:inline distT="0" distB="0" distL="0" distR="0" wp14:anchorId="10155C56" wp14:editId="1E84171A">
            <wp:extent cx="5731510" cy="3438525"/>
            <wp:effectExtent l="0" t="0" r="2540" b="9525"/>
            <wp:docPr id="2" name="Imagen 2" descr="Una caída de la actividad total: la eurozona, rumbo al declive económi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na caída de la actividad total: la eurozona, rumbo al declive económico"/>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31510" cy="3438525"/>
                    </a:xfrm>
                    <a:prstGeom prst="rect">
                      <a:avLst/>
                    </a:prstGeom>
                    <a:noFill/>
                    <a:ln>
                      <a:noFill/>
                    </a:ln>
                  </pic:spPr>
                </pic:pic>
              </a:graphicData>
            </a:graphic>
          </wp:inline>
        </w:drawing>
      </w:r>
    </w:p>
    <w:p w:rsidR="00E071BC" w:rsidRDefault="00BD5348" w:rsidP="00E071BC">
      <w:pPr>
        <w:pStyle w:val="NormalWeb"/>
        <w:spacing w:before="0" w:beforeAutospacing="0" w:after="360" w:afterAutospacing="0"/>
        <w:jc w:val="both"/>
      </w:pPr>
      <w:r w:rsidRPr="00E071BC">
        <w:t xml:space="preserve">¿Sirve la </w:t>
      </w:r>
      <w:r w:rsidR="00E071BC">
        <w:t xml:space="preserve">dramática </w:t>
      </w:r>
      <w:r w:rsidRPr="00E071BC">
        <w:t>experiencia argentina -país millonario</w:t>
      </w:r>
      <w:r w:rsidR="00E071BC" w:rsidRPr="00E071BC">
        <w:t xml:space="preserve"> en fracasos- para saber lo qu</w:t>
      </w:r>
      <w:r w:rsidR="00E071BC">
        <w:t>e nunca (jamás) debe hacer la Unión Europea</w:t>
      </w:r>
      <w:r w:rsidR="00E071BC" w:rsidRPr="00E071BC">
        <w:t xml:space="preserve"> y</w:t>
      </w:r>
      <w:r w:rsidR="00E071BC">
        <w:t>/o el Banco Central Europeo</w:t>
      </w:r>
      <w:r w:rsidR="00E071BC" w:rsidRPr="00E071BC">
        <w:t>?</w:t>
      </w:r>
    </w:p>
    <w:p w:rsidR="00E071BC" w:rsidRDefault="00BD5348" w:rsidP="00E071BC">
      <w:pPr>
        <w:pStyle w:val="NormalWeb"/>
        <w:spacing w:before="0" w:beforeAutospacing="0" w:after="360" w:afterAutospacing="0"/>
        <w:jc w:val="both"/>
      </w:pPr>
      <w:r w:rsidRPr="00BD5348">
        <w:rPr>
          <w:b/>
        </w:rPr>
        <w:t xml:space="preserve">Decodificando la crisis (entre las piedras y el abismo): información disponible a Nov/22 </w:t>
      </w:r>
    </w:p>
    <w:p w:rsidR="00BD5348" w:rsidRPr="00BD5348" w:rsidRDefault="00BD5348" w:rsidP="00E071BC">
      <w:pPr>
        <w:pStyle w:val="NormalWeb"/>
        <w:spacing w:before="0" w:beforeAutospacing="0" w:after="360" w:afterAutospacing="0"/>
        <w:jc w:val="both"/>
      </w:pPr>
      <w:r w:rsidRPr="00BD5348">
        <w:t>Las medidas impuestas sobre la economía rusa no est</w:t>
      </w:r>
      <w:r w:rsidR="00E071BC">
        <w:t xml:space="preserve">án teniendo el efecto esperado… </w:t>
      </w:r>
      <w:r w:rsidRPr="00BD5348">
        <w:t>Los precios de muchas materias primas, como el petróleo, el trigo o el cobre, por ejemplo, están bajando al mismo tiempo que aumenta la preocup</w:t>
      </w:r>
      <w:r w:rsidR="00E071BC">
        <w:t xml:space="preserve">ación por una posible recesión… </w:t>
      </w:r>
      <w:r w:rsidRPr="00BD5348">
        <w:t>La inflación sube por encima de nuestras posibilidades... y las de los bancos centrales.</w:t>
      </w:r>
      <w:r w:rsidR="00E071BC">
        <w:t xml:space="preserve"> </w:t>
      </w:r>
      <w:r w:rsidRPr="00BD5348">
        <w:t>El mundo se enfrenta a una inusual trampa económica que incluso los bancos centrales más sofisticados tendrán dificultades para desactivar con seguridad…</w:t>
      </w:r>
    </w:p>
    <w:p w:rsidR="0041338F" w:rsidRPr="00BD5348" w:rsidRDefault="0041338F" w:rsidP="0041338F">
      <w:pPr>
        <w:pStyle w:val="NormalWeb"/>
        <w:spacing w:after="360"/>
        <w:jc w:val="both"/>
      </w:pPr>
      <w:r w:rsidRPr="00BD5348">
        <w:lastRenderedPageBreak/>
        <w:t>Analizando los riesgos internos y externos, quizá las preguntas claves que debería realizarse el Consejo Europeo podrían ser las siguientes: ¿Cómo va a lidiar la Unión Europea con todo esto? ¿Hacia dónde debemos dirigir nuestros esfuerzos? ¿Cuál es la Europa que nos toca ahora construir? ¿Necesita la UE un ejército que garantice su autonomía defensiva? ¿Deben las Instituciones Europeas asumir el reto de construir la “fortaleza Europa”?</w:t>
      </w:r>
    </w:p>
    <w:p w:rsidR="0041338F" w:rsidRPr="00BD5348" w:rsidRDefault="0041338F" w:rsidP="0041338F">
      <w:pPr>
        <w:pStyle w:val="NormalWeb"/>
        <w:spacing w:after="360"/>
        <w:jc w:val="both"/>
        <w:rPr>
          <w:b/>
        </w:rPr>
      </w:pPr>
      <w:r w:rsidRPr="00BD5348">
        <w:rPr>
          <w:b/>
        </w:rPr>
        <w:t>Unión Europea (siempre verde): muriendo por encima de sus posibilidades</w:t>
      </w:r>
    </w:p>
    <w:p w:rsidR="0041338F" w:rsidRPr="00BD5348" w:rsidRDefault="0041338F" w:rsidP="0041338F">
      <w:pPr>
        <w:pStyle w:val="NormalWeb"/>
        <w:spacing w:after="360"/>
        <w:jc w:val="both"/>
        <w:rPr>
          <w:rFonts w:ascii="Sans" w:hAnsi="Sans"/>
          <w:b/>
        </w:rPr>
      </w:pPr>
      <w:r w:rsidRPr="00BD5348">
        <w:rPr>
          <w:rFonts w:ascii="Sans" w:hAnsi="Sans"/>
          <w:b/>
        </w:rPr>
        <w:t xml:space="preserve">(2022) El año en que “ha estallado la burbuja de todo”: el otoño infernal de la UE </w:t>
      </w:r>
    </w:p>
    <w:p w:rsidR="0041338F" w:rsidRPr="00BD5348" w:rsidRDefault="0041338F" w:rsidP="0041338F">
      <w:pPr>
        <w:pStyle w:val="NormalWeb"/>
        <w:spacing w:after="360"/>
        <w:jc w:val="both"/>
        <w:rPr>
          <w:rFonts w:ascii="Sans" w:hAnsi="Sans"/>
        </w:rPr>
      </w:pPr>
      <w:r w:rsidRPr="00BD5348">
        <w:rPr>
          <w:rFonts w:ascii="Sans" w:hAnsi="Sans"/>
        </w:rPr>
        <w:t>Cuando nos hacían ver cómo importante lo que tenía de espectáculo, los europeos, venimos a descubrir, lastimosamente, que el “éxito” nos ha hecho infelices. Pero por lo demás seguimos perdidos en la ignorancia. Nos enteraremos con el tiempo y por sus efectos.</w:t>
      </w:r>
    </w:p>
    <w:p w:rsidR="0041338F" w:rsidRPr="00BD5348" w:rsidRDefault="0041338F" w:rsidP="0041338F">
      <w:pPr>
        <w:pStyle w:val="NormalWeb"/>
        <w:spacing w:after="360"/>
        <w:jc w:val="both"/>
      </w:pPr>
      <w:r w:rsidRPr="00BD5348">
        <w:t>La crisis económica, no nos amenaza porque ya está aquí. La economía se derrumba, la ira social se dispara, el cabreo familiar crece y el ambiente se va tornando invivible. Todo lo que viene ahora son reveses, malas noticias.</w:t>
      </w:r>
    </w:p>
    <w:p w:rsidR="0041338F" w:rsidRPr="00BD5348" w:rsidRDefault="0041338F" w:rsidP="0041338F">
      <w:pPr>
        <w:pStyle w:val="NormalWeb"/>
        <w:spacing w:after="360"/>
        <w:jc w:val="both"/>
        <w:rPr>
          <w:rFonts w:ascii="Calibri" w:hAnsi="Calibri" w:cs="Calibri"/>
          <w:sz w:val="18"/>
          <w:szCs w:val="18"/>
        </w:rPr>
      </w:pPr>
      <w:r w:rsidRPr="00BD5348">
        <w:rPr>
          <w:rFonts w:ascii="Sans" w:hAnsi="Sans"/>
        </w:rPr>
        <w:t>Falta de insumos, recursos energéticos, productos agropecuarios, creciente déficit fiscal,  incremento exponencial de la deuda pública, imparable inflación, aumento de la prima de riesgo…  increíble bola de nieve, que pone a los países avanzados, al borde de la hecatombe.</w:t>
      </w:r>
    </w:p>
    <w:p w:rsidR="0041338F" w:rsidRPr="00BD5348" w:rsidRDefault="0041338F" w:rsidP="0041338F">
      <w:pPr>
        <w:pStyle w:val="NormalWeb"/>
        <w:spacing w:after="360"/>
        <w:jc w:val="both"/>
        <w:rPr>
          <w:rFonts w:ascii="Sans" w:hAnsi="Sans"/>
          <w:shd w:val="clear" w:color="auto" w:fill="FFFFFF"/>
        </w:rPr>
      </w:pPr>
      <w:r w:rsidRPr="00BD5348">
        <w:rPr>
          <w:rFonts w:ascii="Sans" w:hAnsi="Sans"/>
        </w:rPr>
        <w:t xml:space="preserve">Mientras que en los países avanzados (ahora, en vías de subdesarrollo) los ricos comen chuletas bañadas en oro (sic), sus bancos centrales corren detrás de la inflación que ellos mismos generaron (glup), para dar a los ricos mayores posibilidades de comer chuletas bañadas en oro (glup. glup), sus ciudadanos comunes (grandes paganos  de este desaguisado) </w:t>
      </w:r>
      <w:r w:rsidRPr="00BD5348">
        <w:rPr>
          <w:rFonts w:ascii="Sans" w:hAnsi="Sans"/>
          <w:shd w:val="clear" w:color="auto" w:fill="FFFFFF"/>
        </w:rPr>
        <w:t>cuando pueden ejercer el voto en libertad, a consecuencia de las enormes diferencias socio-económicas que padecen, agudizadas por la pandemia, están derrumbando a los oficialismos sin importar si se trata de regímenes de derecha o de izquierda (triple glup).</w:t>
      </w:r>
    </w:p>
    <w:p w:rsidR="0041338F" w:rsidRPr="00BD5348" w:rsidRDefault="0041338F" w:rsidP="0041338F">
      <w:pPr>
        <w:pStyle w:val="NormalWeb"/>
        <w:spacing w:after="360"/>
        <w:jc w:val="both"/>
        <w:rPr>
          <w:rFonts w:ascii="Calibri" w:hAnsi="Calibri" w:cs="Calibri"/>
          <w:sz w:val="18"/>
          <w:szCs w:val="18"/>
        </w:rPr>
      </w:pPr>
      <w:r w:rsidRPr="00BD5348">
        <w:rPr>
          <w:rFonts w:ascii="Sans" w:hAnsi="Sans" w:cs="Calibri"/>
        </w:rPr>
        <w:t>En Europa, la criminal invasión a Ucrania parece transformarse en una guerra prolongada, y hasta es posible que se extienda a los países bálticos y a Moldavia, sobre el Mar Negro, con las enormes consecuencias que todo ello ya está produciendo sobre los senderos de los recursos energéticos y alimentarios globales. En el sur de Asia, Corea del Norte sigue amenazando con sus misiles al mundo y China continúa hostigando a Taiwán, mientras que, asociada a India en la empresa, diluye los efectos de las sanciones occidentales sobre Rusia al comprar sus combustibles.</w:t>
      </w:r>
      <w:r w:rsidRPr="00BD5348">
        <w:rPr>
          <w:rFonts w:ascii="Calibri" w:hAnsi="Calibri" w:cs="Calibri"/>
          <w:sz w:val="18"/>
          <w:szCs w:val="18"/>
        </w:rPr>
        <w:t>  </w:t>
      </w:r>
    </w:p>
    <w:p w:rsidR="0041338F" w:rsidRPr="00BD5348" w:rsidRDefault="0041338F" w:rsidP="0041338F">
      <w:pPr>
        <w:pStyle w:val="NormalWeb"/>
        <w:spacing w:after="360"/>
        <w:jc w:val="both"/>
      </w:pPr>
      <w:r w:rsidRPr="00BD5348">
        <w:t>Las medidas económicas que toman los “alucinados” dirigentes europeos se van quedando obsoletas antes de nacer. La inflación anualizada alcanzó el 10 % -la subyacente el 5%- (en junio), pese a que hace tan sólo unos meses, las “gallináceas”, aseguraban que iba a ser pasajera. El alza de precios absorbe de un golpe el efecto de las iniciativas para combatirla.</w:t>
      </w:r>
    </w:p>
    <w:p w:rsidR="0041338F" w:rsidRPr="00BD5348" w:rsidRDefault="0041338F" w:rsidP="0041338F">
      <w:pPr>
        <w:pStyle w:val="NormalWeb"/>
        <w:spacing w:after="360"/>
        <w:jc w:val="both"/>
      </w:pPr>
      <w:r w:rsidRPr="00BD5348">
        <w:t>El final de la pandemia y la mejora del desempleo reducirán, sin duda, el dinero destinado a esos fines y la inflación incrementa la recaudación tributaria. Pero no hay dinero suficiente en el mundo para corregir los precios a golpe de talonario y por decreto ley, en lugar de acompañar las medidas con reformas y recortes del gasto.</w:t>
      </w:r>
    </w:p>
    <w:p w:rsidR="0041338F" w:rsidRPr="00BD5348" w:rsidRDefault="0041338F" w:rsidP="0041338F">
      <w:pPr>
        <w:pStyle w:val="NormalWeb"/>
        <w:spacing w:after="360"/>
        <w:jc w:val="both"/>
      </w:pPr>
      <w:r w:rsidRPr="00BD5348">
        <w:t>¿Y ahora qué harán?... ¿seguir incrementado el déficit público? ¿continuar aumentando la deuda soberana? ¿co</w:t>
      </w:r>
      <w:r w:rsidR="001D02F7">
        <w:t>nfiar en la connivencia del BCE</w:t>
      </w:r>
      <w:r w:rsidRPr="00BD5348">
        <w:t xml:space="preserve">? ¿prolongar la carrera loca hacia el </w:t>
      </w:r>
      <w:r w:rsidRPr="00BD5348">
        <w:lastRenderedPageBreak/>
        <w:t>abismo</w:t>
      </w:r>
      <w:r w:rsidR="001D02F7" w:rsidRPr="00BD5348">
        <w:t>? ¿</w:t>
      </w:r>
      <w:r w:rsidRPr="00BD5348">
        <w:t>tirarse por el barranco? ¿renunciar, y convocar elecciones? ¿declararse dictadores políticos, militares e intelectuales (Pontifex Maximus)? ¿Incendiar Roma?</w:t>
      </w:r>
    </w:p>
    <w:p w:rsidR="0041338F" w:rsidRPr="00BD5348" w:rsidRDefault="0041338F" w:rsidP="0041338F">
      <w:pPr>
        <w:pStyle w:val="NormalWeb"/>
        <w:spacing w:after="360"/>
        <w:jc w:val="both"/>
      </w:pPr>
      <w:r w:rsidRPr="00BD5348">
        <w:t>¿Cómo reaccionará la ciudadanía (si aún le queda alguna capacidad crítica, después de haber sido abducidos, anestesiados, intoxicados, drogados, desinformados, espiados, controlados, manipulados, traficados por las redes sociales, las plataformas, la realidad virtual, el metaverso, y otras armas de “analfabetización” masiva) ante esta situación terminal?</w:t>
      </w:r>
    </w:p>
    <w:p w:rsidR="0041338F" w:rsidRPr="00BD5348" w:rsidRDefault="0041338F" w:rsidP="0041338F">
      <w:pPr>
        <w:pStyle w:val="NormalWeb"/>
        <w:spacing w:after="360"/>
        <w:jc w:val="both"/>
      </w:pPr>
      <w:r w:rsidRPr="00BD5348">
        <w:t xml:space="preserve">El hundimiento se precipita y los partidarios del progreso están a dos telediarios de quedarse huérfanos y sin claro relevo. La Comisión Europea, con unos dirigentes, faltos de recursos hasta  para seguir mintiendo, llevan a pensar que la sepultura, sin bendiciones ni responsos, sería lo mejor para la Unión Europea. </w:t>
      </w:r>
    </w:p>
    <w:p w:rsidR="0041338F" w:rsidRPr="00BD5348" w:rsidRDefault="0041338F" w:rsidP="0041338F">
      <w:pPr>
        <w:pStyle w:val="NormalWeb"/>
        <w:spacing w:after="360"/>
        <w:jc w:val="both"/>
      </w:pPr>
      <w:r w:rsidRPr="00BD5348">
        <w:t xml:space="preserve">Quizás esta vez haya suerte… pensarán en los Estados Unidos, el Reino Unido, o China, donde solo interesa Europa como “mercado” (cliente). Quizás esta vez  se convenzan que nos necesitan más ellos a nosotros, que nosotros a ellos… y ahora mucho más, pensarán en los Estados Unidos, el Reino Unido, o China, donde consideran a Europa como un museo vacío.   </w:t>
      </w:r>
    </w:p>
    <w:p w:rsidR="0041338F" w:rsidRPr="00BD5348" w:rsidRDefault="0041338F" w:rsidP="0041338F">
      <w:pPr>
        <w:pStyle w:val="NormalWeb"/>
        <w:spacing w:after="360"/>
        <w:jc w:val="both"/>
        <w:rPr>
          <w:rFonts w:ascii="Sans" w:hAnsi="Sans"/>
          <w:shd w:val="clear" w:color="auto" w:fill="FFFFFF"/>
        </w:rPr>
      </w:pPr>
      <w:r w:rsidRPr="00BD5348">
        <w:t xml:space="preserve">Tal vez </w:t>
      </w:r>
      <w:r w:rsidRPr="00BD5348">
        <w:rPr>
          <w:rFonts w:ascii="Sans" w:hAnsi="Sans"/>
          <w:shd w:val="clear" w:color="auto" w:fill="FFFFFF"/>
        </w:rPr>
        <w:t xml:space="preserve">por eso, porque únicamente cuando ya no les queda nada por perder, las sociedades consiguen hacer pie en el fondo para impulsarse hacia la superficie y volver a respirar, ruego: </w:t>
      </w:r>
    </w:p>
    <w:p w:rsidR="0041338F" w:rsidRPr="00BD5348" w:rsidRDefault="0041338F" w:rsidP="0041338F">
      <w:pPr>
        <w:pStyle w:val="NormalWeb"/>
        <w:spacing w:after="360"/>
        <w:jc w:val="both"/>
      </w:pPr>
      <w:r w:rsidRPr="00BD5348">
        <w:rPr>
          <w:rFonts w:ascii="Sans" w:hAnsi="Sans"/>
          <w:shd w:val="clear" w:color="auto" w:fill="FFFFFF"/>
        </w:rPr>
        <w:t>¡Wake up Europe!</w:t>
      </w:r>
    </w:p>
    <w:p w:rsidR="0041338F" w:rsidRDefault="0041338F" w:rsidP="0041338F">
      <w:pPr>
        <w:pStyle w:val="NormalWeb"/>
        <w:spacing w:after="360"/>
        <w:jc w:val="both"/>
        <w:rPr>
          <w:b/>
        </w:rPr>
      </w:pPr>
      <w:r w:rsidRPr="00802BD6">
        <w:rPr>
          <w:b/>
        </w:rPr>
        <w:t>Los principales bancos centrales (Fed, BCE, BoE, BOJ...) que hicieron funcionar el “metaverso” mon</w:t>
      </w:r>
      <w:r>
        <w:rPr>
          <w:b/>
        </w:rPr>
        <w:t>etario, no saben cómo detenerlo</w:t>
      </w:r>
    </w:p>
    <w:p w:rsidR="00BE2592" w:rsidRPr="00BA11D7" w:rsidRDefault="00BA11D7" w:rsidP="0041338F">
      <w:pPr>
        <w:pStyle w:val="NormalWeb"/>
        <w:spacing w:after="360"/>
        <w:jc w:val="both"/>
      </w:pPr>
      <w:r w:rsidRPr="00BA11D7">
        <w:t>Veamos cómo cuenta esta parte de la historia Alberto Recarte (economista y banquero):</w:t>
      </w:r>
    </w:p>
    <w:p w:rsidR="00BE2592" w:rsidRPr="0022632B" w:rsidRDefault="00BE2592" w:rsidP="00BE259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B6038B">
        <w:rPr>
          <w:rFonts w:ascii="Times New Roman" w:hAnsi="Times New Roman" w:cs="Times New Roman"/>
          <w:sz w:val="24"/>
          <w:szCs w:val="24"/>
          <w:u w:val="single"/>
        </w:rPr>
        <w:t>La crisis de la expansión cuantitativa de Mario Draghi (I)</w:t>
      </w:r>
      <w:r>
        <w:rPr>
          <w:rFonts w:ascii="Times New Roman" w:hAnsi="Times New Roman" w:cs="Times New Roman"/>
          <w:sz w:val="24"/>
          <w:szCs w:val="24"/>
        </w:rPr>
        <w:t xml:space="preserve"> (Vozpópuli - </w:t>
      </w:r>
      <w:r w:rsidRPr="0022632B">
        <w:rPr>
          <w:rFonts w:ascii="Times New Roman" w:hAnsi="Times New Roman" w:cs="Times New Roman"/>
          <w:b/>
          <w:sz w:val="24"/>
          <w:szCs w:val="24"/>
        </w:rPr>
        <w:t>5/11/22</w:t>
      </w:r>
      <w:r>
        <w:rPr>
          <w:rFonts w:ascii="Times New Roman" w:hAnsi="Times New Roman" w:cs="Times New Roman"/>
          <w:sz w:val="24"/>
          <w:szCs w:val="24"/>
        </w:rPr>
        <w:t>)</w:t>
      </w:r>
    </w:p>
    <w:p w:rsidR="00BE2592" w:rsidRPr="006E3489" w:rsidRDefault="00BE2592" w:rsidP="00BE2592">
      <w:pPr>
        <w:spacing w:line="240" w:lineRule="auto"/>
        <w:jc w:val="both"/>
        <w:rPr>
          <w:rFonts w:ascii="Times New Roman" w:hAnsi="Times New Roman" w:cs="Times New Roman"/>
          <w:color w:val="FF0000"/>
          <w:sz w:val="24"/>
          <w:szCs w:val="24"/>
        </w:rPr>
      </w:pPr>
      <w:r w:rsidRPr="006E3489">
        <w:rPr>
          <w:rFonts w:ascii="Times New Roman" w:hAnsi="Times New Roman" w:cs="Times New Roman"/>
          <w:color w:val="FF0000"/>
          <w:sz w:val="24"/>
          <w:szCs w:val="24"/>
        </w:rPr>
        <w:t>Las entidades crediticias del Eurosistema se han convertido en filiales del BCE, que sólo dan crédito cuando el BCE les abre una línea de préstamos</w:t>
      </w:r>
    </w:p>
    <w:p w:rsidR="00BE2592" w:rsidRPr="0022632B" w:rsidRDefault="00BE2592" w:rsidP="00BE2592">
      <w:pPr>
        <w:spacing w:line="240" w:lineRule="auto"/>
        <w:jc w:val="both"/>
        <w:rPr>
          <w:rFonts w:ascii="Times New Roman" w:hAnsi="Times New Roman" w:cs="Times New Roman"/>
          <w:sz w:val="24"/>
          <w:szCs w:val="24"/>
        </w:rPr>
      </w:pPr>
      <w:r>
        <w:rPr>
          <w:rFonts w:ascii="Times New Roman" w:hAnsi="Times New Roman" w:cs="Times New Roman"/>
          <w:sz w:val="24"/>
          <w:szCs w:val="24"/>
        </w:rPr>
        <w:t>(Por Alberto Recarte)</w:t>
      </w:r>
    </w:p>
    <w:p w:rsidR="00BE2592" w:rsidRPr="006E3489" w:rsidRDefault="00BE2592" w:rsidP="00BE2592">
      <w:pPr>
        <w:spacing w:line="240" w:lineRule="auto"/>
        <w:jc w:val="both"/>
        <w:rPr>
          <w:rFonts w:ascii="Times New Roman" w:hAnsi="Times New Roman" w:cs="Times New Roman"/>
          <w:color w:val="FF0000"/>
          <w:sz w:val="24"/>
          <w:szCs w:val="24"/>
          <w:u w:val="single"/>
        </w:rPr>
      </w:pPr>
      <w:r w:rsidRPr="006E3489">
        <w:rPr>
          <w:rFonts w:ascii="Times New Roman" w:hAnsi="Times New Roman" w:cs="Times New Roman"/>
          <w:color w:val="FF0000"/>
          <w:sz w:val="24"/>
          <w:szCs w:val="24"/>
          <w:u w:val="single"/>
        </w:rPr>
        <w:t>El aumento repentino de precios de principios de 2021 no preocupó a los bancos centrales, ni a la FED, ni al BCE, ni al Banco de Inglaterra. Todos pensaban que era una subida de precios transitoria. Eso, al menos, les indicaban sus modelos macroeconómicos. Cuando el incremento de precios se convirtió en permanente los banqueros centrales tuvieron que reaccionar y lo hicieron subiendo los tipos de interés. Sin entender, aparentemente, porqué se había producido el aumento de precios. Lo han achacado a la subida de los precios de la energía, a la guerra de Rusia contra Ucrania y a la aparición de cuellos de botella en sectores estratégicos de la economía como consecuencia de las distorsiones provocadas por la pandemia.</w:t>
      </w:r>
    </w:p>
    <w:p w:rsidR="00BE2592" w:rsidRPr="006E3489" w:rsidRDefault="00BE2592" w:rsidP="00BE2592">
      <w:pPr>
        <w:spacing w:line="240" w:lineRule="auto"/>
        <w:jc w:val="both"/>
        <w:rPr>
          <w:rFonts w:ascii="Times New Roman" w:hAnsi="Times New Roman" w:cs="Times New Roman"/>
          <w:b/>
          <w:color w:val="FF0000"/>
          <w:sz w:val="24"/>
          <w:szCs w:val="24"/>
          <w:u w:val="single"/>
        </w:rPr>
      </w:pPr>
      <w:r w:rsidRPr="006E3489">
        <w:rPr>
          <w:rFonts w:ascii="Times New Roman" w:hAnsi="Times New Roman" w:cs="Times New Roman"/>
          <w:b/>
          <w:color w:val="FF0000"/>
          <w:sz w:val="24"/>
          <w:szCs w:val="24"/>
          <w:u w:val="single"/>
        </w:rPr>
        <w:t>Lo que no han querido hacer es reconocer que, sin el aumento del dinero en circulación, provocado conscientemente por los Bancos Centrales, la subida de precios podría haber sido transitoria y no habría afectado tanto a toda la economía.</w:t>
      </w:r>
    </w:p>
    <w:p w:rsidR="00BE2592" w:rsidRPr="006E3489" w:rsidRDefault="00BE2592" w:rsidP="00BE2592">
      <w:pPr>
        <w:spacing w:line="240" w:lineRule="auto"/>
        <w:jc w:val="both"/>
        <w:rPr>
          <w:rFonts w:ascii="Times New Roman" w:hAnsi="Times New Roman" w:cs="Times New Roman"/>
          <w:color w:val="FF0000"/>
          <w:sz w:val="24"/>
          <w:szCs w:val="24"/>
          <w:u w:val="single"/>
        </w:rPr>
      </w:pPr>
      <w:r w:rsidRPr="006E3489">
        <w:rPr>
          <w:rFonts w:ascii="Times New Roman" w:hAnsi="Times New Roman" w:cs="Times New Roman"/>
          <w:color w:val="FF0000"/>
          <w:sz w:val="24"/>
          <w:szCs w:val="24"/>
          <w:u w:val="single"/>
        </w:rPr>
        <w:lastRenderedPageBreak/>
        <w:t xml:space="preserve">Es muy probable que, sin distorsiones en el suministro de energía, sin guerra en Ucrania y sin cuellos de botella, se </w:t>
      </w:r>
      <w:r w:rsidR="001D02F7" w:rsidRPr="006E3489">
        <w:rPr>
          <w:rFonts w:ascii="Times New Roman" w:hAnsi="Times New Roman" w:cs="Times New Roman"/>
          <w:color w:val="FF0000"/>
          <w:sz w:val="24"/>
          <w:szCs w:val="24"/>
          <w:u w:val="single"/>
        </w:rPr>
        <w:t>hubiera</w:t>
      </w:r>
      <w:r w:rsidRPr="006E3489">
        <w:rPr>
          <w:rFonts w:ascii="Times New Roman" w:hAnsi="Times New Roman" w:cs="Times New Roman"/>
          <w:color w:val="FF0000"/>
          <w:sz w:val="24"/>
          <w:szCs w:val="24"/>
          <w:u w:val="single"/>
        </w:rPr>
        <w:t xml:space="preserve"> producido, en cualquier caso, un aumento de precios como consecuencia de la política monetaria de los Bancos Centrales.</w:t>
      </w:r>
    </w:p>
    <w:p w:rsidR="00BE2592" w:rsidRPr="006E3489" w:rsidRDefault="00BE2592" w:rsidP="00BE2592">
      <w:pPr>
        <w:spacing w:line="240" w:lineRule="auto"/>
        <w:jc w:val="both"/>
        <w:rPr>
          <w:rFonts w:ascii="Times New Roman" w:hAnsi="Times New Roman" w:cs="Times New Roman"/>
          <w:b/>
          <w:color w:val="FF0000"/>
          <w:sz w:val="24"/>
          <w:szCs w:val="24"/>
          <w:u w:val="single"/>
        </w:rPr>
      </w:pPr>
      <w:r w:rsidRPr="006E3489">
        <w:rPr>
          <w:rFonts w:ascii="Times New Roman" w:hAnsi="Times New Roman" w:cs="Times New Roman"/>
          <w:b/>
          <w:color w:val="FF0000"/>
          <w:sz w:val="24"/>
          <w:szCs w:val="24"/>
          <w:u w:val="single"/>
        </w:rPr>
        <w:t>La política monetaria de los Bancos Centrales sufre un cambio radical entre 2012 y 2014. Posiblemente el mayor en los últimos 150 años. En gran parte como consecuencia de la Gran Crisis Financiera de 2008.</w:t>
      </w:r>
    </w:p>
    <w:p w:rsidR="00BE2592" w:rsidRPr="006E3489" w:rsidRDefault="00BE2592" w:rsidP="00BE2592">
      <w:pPr>
        <w:spacing w:line="240" w:lineRule="auto"/>
        <w:jc w:val="both"/>
        <w:rPr>
          <w:rFonts w:ascii="Times New Roman" w:hAnsi="Times New Roman" w:cs="Times New Roman"/>
          <w:color w:val="FF0000"/>
          <w:sz w:val="24"/>
          <w:szCs w:val="24"/>
          <w:u w:val="single"/>
        </w:rPr>
      </w:pPr>
      <w:r w:rsidRPr="006E3489">
        <w:rPr>
          <w:rFonts w:ascii="Times New Roman" w:hAnsi="Times New Roman" w:cs="Times New Roman"/>
          <w:color w:val="FF0000"/>
          <w:sz w:val="24"/>
          <w:szCs w:val="24"/>
          <w:u w:val="single"/>
        </w:rPr>
        <w:t>La FED, el Banco Central Europeo y el Banco de Inglaterra adoptan la nueva política monetaria en fechas diferentes y con distintos ritmos. La FED es la precursora de esta nueva política, que sostenía que el mundo occidental había sufrido cambios estructurales, que nos arrastraban a la deflación y al estancamiento. Y que sólo se podría superar esa situación reduciendo los tipos de interés de mercado para acercarlos a un tipo “natural” de interés, que era el que inicialmente se había reducido. Era necesario, incluso, llegar a tipos de interés negativos. Para lograrlo había que aumentar la Oferta Monetaria, es decir, el dinero en circulación en manos de los residentes del país que se tratara. Y si las entidades de crédito no podían hacerlo por sus limitaciones de solvencia o por temor a las pérdidas lo tenía que hacer el propio Banco Central. Con políticas monetarias “no convencionales”.</w:t>
      </w:r>
    </w:p>
    <w:p w:rsidR="00BE2592" w:rsidRPr="006E3489" w:rsidRDefault="00BE2592" w:rsidP="00BE2592">
      <w:pPr>
        <w:spacing w:line="240" w:lineRule="auto"/>
        <w:jc w:val="both"/>
        <w:rPr>
          <w:rFonts w:ascii="Times New Roman" w:hAnsi="Times New Roman" w:cs="Times New Roman"/>
          <w:color w:val="FF0000"/>
          <w:sz w:val="24"/>
          <w:szCs w:val="24"/>
          <w:u w:val="single"/>
        </w:rPr>
      </w:pPr>
      <w:r w:rsidRPr="006E3489">
        <w:rPr>
          <w:rFonts w:ascii="Times New Roman" w:hAnsi="Times New Roman" w:cs="Times New Roman"/>
          <w:sz w:val="24"/>
          <w:szCs w:val="24"/>
          <w:u w:val="single"/>
        </w:rPr>
        <w:t>Para analizar cómo se ha producido ese cambio, que consecuencias ha tenido en los tipos de interés, en la creación de dinero, en el comportamiento del gasto de los gobiernos, en la política crediticia de las entidades de crédito y en la inflación nos vamos a centrar en la política del Banco Central Europeo</w:t>
      </w:r>
      <w:r w:rsidRPr="0022632B">
        <w:rPr>
          <w:rFonts w:ascii="Times New Roman" w:hAnsi="Times New Roman" w:cs="Times New Roman"/>
          <w:sz w:val="24"/>
          <w:szCs w:val="24"/>
        </w:rPr>
        <w:t xml:space="preserve">, por ser el que más afecta a España. </w:t>
      </w:r>
      <w:r w:rsidRPr="006E3489">
        <w:rPr>
          <w:rFonts w:ascii="Times New Roman" w:hAnsi="Times New Roman" w:cs="Times New Roman"/>
          <w:color w:val="FF0000"/>
          <w:sz w:val="24"/>
          <w:szCs w:val="24"/>
          <w:u w:val="single"/>
        </w:rPr>
        <w:t>Durante la pandemia la FED incrementó su balance todavía más que el BCE. En conjunto, el aumento desde 2012 ha sido similar al del BCE, pero los problemas que ha provocado son menores por el peso reducido de las entidades crediticias en la financiación de su economía.</w:t>
      </w:r>
    </w:p>
    <w:p w:rsidR="00BE2592" w:rsidRPr="006E3489" w:rsidRDefault="00BE2592" w:rsidP="00BE2592">
      <w:pPr>
        <w:spacing w:line="240" w:lineRule="auto"/>
        <w:jc w:val="both"/>
        <w:rPr>
          <w:rFonts w:ascii="Times New Roman" w:hAnsi="Times New Roman" w:cs="Times New Roman"/>
          <w:b/>
          <w:color w:val="FF0000"/>
          <w:sz w:val="24"/>
          <w:szCs w:val="24"/>
          <w:u w:val="single"/>
        </w:rPr>
      </w:pPr>
      <w:r w:rsidRPr="006E3489">
        <w:rPr>
          <w:rFonts w:ascii="Times New Roman" w:hAnsi="Times New Roman" w:cs="Times New Roman"/>
          <w:b/>
          <w:color w:val="FF0000"/>
          <w:sz w:val="24"/>
          <w:szCs w:val="24"/>
          <w:u w:val="single"/>
        </w:rPr>
        <w:t>La tesis central de la política monetaria tradicional afirma que si se aumenta la cantidad de dinero en circulación en manos de los residentes y se mantiene un funcionamiento normal de las instituciones monetarias (si la velocidad de circulación del dinero no varía) ese aumento provocará un aumento de precios, aunque parte de ese impulso monetario podría convertirse en crecimiento en determinadas condiciones. Es decir, si no hay crecimiento económico, el aumento de la Oferta Monetaria se traducirá en inflación.</w:t>
      </w:r>
    </w:p>
    <w:p w:rsidR="00BE2592" w:rsidRPr="006E3489" w:rsidRDefault="00BE2592" w:rsidP="00BE2592">
      <w:pPr>
        <w:spacing w:line="240" w:lineRule="auto"/>
        <w:jc w:val="both"/>
        <w:rPr>
          <w:rFonts w:ascii="Times New Roman" w:hAnsi="Times New Roman" w:cs="Times New Roman"/>
          <w:b/>
          <w:color w:val="FF0000"/>
          <w:sz w:val="24"/>
          <w:szCs w:val="24"/>
          <w:u w:val="single"/>
        </w:rPr>
      </w:pPr>
      <w:r w:rsidRPr="006E3489">
        <w:rPr>
          <w:rFonts w:ascii="Times New Roman" w:hAnsi="Times New Roman" w:cs="Times New Roman"/>
          <w:b/>
          <w:color w:val="FF0000"/>
          <w:sz w:val="24"/>
          <w:szCs w:val="24"/>
          <w:u w:val="single"/>
        </w:rPr>
        <w:t>La nueva política monetaria tergiversa esa cadena de reacciones. Parte del supuesto de que la economía no puede crecer por los cambios estructurales en Occidente, que provocan un ahorro excesivo, que no se gasta en bienes y servicios. Y que ese cambio nos conduce a la deflación y a la depresión. Para superarlo sólo existe un camino, aumentar como sea la Oferta Monetaria, que no provocará inflación sino crecimiento. Esa sería la nueva responsabilidad de los Bancos Centrales.</w:t>
      </w:r>
    </w:p>
    <w:p w:rsidR="00BE2592" w:rsidRPr="0022632B" w:rsidRDefault="00BE2592" w:rsidP="00BE2592">
      <w:pPr>
        <w:spacing w:line="240" w:lineRule="auto"/>
        <w:jc w:val="both"/>
        <w:rPr>
          <w:rFonts w:ascii="Times New Roman" w:hAnsi="Times New Roman" w:cs="Times New Roman"/>
          <w:sz w:val="24"/>
          <w:szCs w:val="24"/>
        </w:rPr>
      </w:pPr>
      <w:r w:rsidRPr="0022632B">
        <w:rPr>
          <w:rFonts w:ascii="Times New Roman" w:hAnsi="Times New Roman" w:cs="Times New Roman"/>
          <w:sz w:val="24"/>
          <w:szCs w:val="24"/>
        </w:rPr>
        <w:t>El au</w:t>
      </w:r>
      <w:r>
        <w:rPr>
          <w:rFonts w:ascii="Times New Roman" w:hAnsi="Times New Roman" w:cs="Times New Roman"/>
          <w:sz w:val="24"/>
          <w:szCs w:val="24"/>
        </w:rPr>
        <w:t>mento de precios en 2021 y 2022</w:t>
      </w:r>
    </w:p>
    <w:p w:rsidR="00BE2592" w:rsidRPr="0022632B" w:rsidRDefault="00BE2592" w:rsidP="00BE2592">
      <w:pPr>
        <w:spacing w:line="240" w:lineRule="auto"/>
        <w:jc w:val="both"/>
        <w:rPr>
          <w:rFonts w:ascii="Times New Roman" w:hAnsi="Times New Roman" w:cs="Times New Roman"/>
          <w:sz w:val="24"/>
          <w:szCs w:val="24"/>
        </w:rPr>
      </w:pPr>
      <w:r w:rsidRPr="006E3489">
        <w:rPr>
          <w:rFonts w:ascii="Times New Roman" w:hAnsi="Times New Roman" w:cs="Times New Roman"/>
          <w:sz w:val="24"/>
          <w:szCs w:val="24"/>
          <w:u w:val="single"/>
        </w:rPr>
        <w:t>Es lógico que los primeros precios en crecer en 2021 fueran los de la energía. La producción de energía ha sido afectada por las políticas ESG, que no han permitido invertir ni financiar la producción de petróleo, gas, refinerías y plantas nucleares</w:t>
      </w:r>
      <w:r w:rsidRPr="0022632B">
        <w:rPr>
          <w:rFonts w:ascii="Times New Roman" w:hAnsi="Times New Roman" w:cs="Times New Roman"/>
          <w:sz w:val="24"/>
          <w:szCs w:val="24"/>
        </w:rPr>
        <w:t>. Ni para hacer frente a las necesidades del mundo no Occidental, ni para cubrir la demanda complementaria que necesitan las energías renovables, eólica y solar, durante las fases en las que no están operativas. Hasta que se encuentre, y desarrolle, alguna forma de almacenar el exceso de energía que pueden producir las energí</w:t>
      </w:r>
      <w:r>
        <w:rPr>
          <w:rFonts w:ascii="Times New Roman" w:hAnsi="Times New Roman" w:cs="Times New Roman"/>
          <w:sz w:val="24"/>
          <w:szCs w:val="24"/>
        </w:rPr>
        <w:t>as renovables cuando funcionan.</w:t>
      </w:r>
    </w:p>
    <w:p w:rsidR="00BE2592" w:rsidRPr="006E3489" w:rsidRDefault="00BE2592" w:rsidP="00BE2592">
      <w:pPr>
        <w:spacing w:line="240" w:lineRule="auto"/>
        <w:jc w:val="both"/>
        <w:rPr>
          <w:rFonts w:ascii="Times New Roman" w:hAnsi="Times New Roman" w:cs="Times New Roman"/>
          <w:color w:val="FF0000"/>
          <w:sz w:val="24"/>
          <w:szCs w:val="24"/>
          <w:u w:val="single"/>
        </w:rPr>
      </w:pPr>
      <w:r w:rsidRPr="006E3489">
        <w:rPr>
          <w:rFonts w:ascii="Times New Roman" w:hAnsi="Times New Roman" w:cs="Times New Roman"/>
          <w:sz w:val="24"/>
          <w:szCs w:val="24"/>
          <w:u w:val="single"/>
        </w:rPr>
        <w:lastRenderedPageBreak/>
        <w:t>La crisis del gas es diferente. Ha sido provocada por la invasión rusa de Ucrania</w:t>
      </w:r>
      <w:r w:rsidRPr="0022632B">
        <w:rPr>
          <w:rFonts w:ascii="Times New Roman" w:hAnsi="Times New Roman" w:cs="Times New Roman"/>
          <w:sz w:val="24"/>
          <w:szCs w:val="24"/>
        </w:rPr>
        <w:t xml:space="preserve">. En 2021 las importaciones totales de gas ruso por Europa alcanzaban el 40% del total. En 2022, probablemente se reduzcan al 9% y en 2023 habrán desaparecido. </w:t>
      </w:r>
      <w:r w:rsidRPr="006E3489">
        <w:rPr>
          <w:rFonts w:ascii="Times New Roman" w:hAnsi="Times New Roman" w:cs="Times New Roman"/>
          <w:color w:val="FF0000"/>
          <w:sz w:val="24"/>
          <w:szCs w:val="24"/>
          <w:u w:val="single"/>
        </w:rPr>
        <w:t>La subida del precio de la electricidad ha sido producida tanto por el sistema de fijación de precios de la electricidad que utiliza la Unión Europea, cómo por el aumento del precio del gas. Un sistema marginalista, que no tiene ningún soporte teórico cuando el precio del gas se dispara al dejar de importar gas de Rusia.</w:t>
      </w:r>
    </w:p>
    <w:p w:rsidR="00BE2592" w:rsidRPr="006E3489" w:rsidRDefault="00BE2592" w:rsidP="00BE2592">
      <w:pPr>
        <w:spacing w:line="240" w:lineRule="auto"/>
        <w:jc w:val="both"/>
        <w:rPr>
          <w:rFonts w:ascii="Times New Roman" w:hAnsi="Times New Roman" w:cs="Times New Roman"/>
          <w:color w:val="FF0000"/>
          <w:sz w:val="24"/>
          <w:szCs w:val="24"/>
          <w:u w:val="single"/>
        </w:rPr>
      </w:pPr>
      <w:r w:rsidRPr="006E3489">
        <w:rPr>
          <w:rFonts w:ascii="Times New Roman" w:hAnsi="Times New Roman" w:cs="Times New Roman"/>
          <w:color w:val="FF0000"/>
          <w:sz w:val="24"/>
          <w:szCs w:val="24"/>
          <w:u w:val="single"/>
        </w:rPr>
        <w:t>Igualmente es lógico que, después, subieran los precios de los transportes, seguidos de los de los productos agrarios, afectados tanto por el precio de la energía como por el de los transportes.</w:t>
      </w:r>
    </w:p>
    <w:p w:rsidR="00BE2592" w:rsidRPr="006E3489" w:rsidRDefault="00BE2592" w:rsidP="00BE2592">
      <w:pPr>
        <w:spacing w:line="240" w:lineRule="auto"/>
        <w:jc w:val="both"/>
        <w:rPr>
          <w:rFonts w:ascii="Times New Roman" w:hAnsi="Times New Roman" w:cs="Times New Roman"/>
          <w:color w:val="FF0000"/>
          <w:sz w:val="24"/>
          <w:szCs w:val="24"/>
          <w:u w:val="single"/>
        </w:rPr>
      </w:pPr>
      <w:r w:rsidRPr="006E3489">
        <w:rPr>
          <w:rFonts w:ascii="Times New Roman" w:hAnsi="Times New Roman" w:cs="Times New Roman"/>
          <w:color w:val="FF0000"/>
          <w:sz w:val="24"/>
          <w:szCs w:val="24"/>
          <w:u w:val="single"/>
        </w:rPr>
        <w:t>Y ahora se está produciendo el ajuste de los precios del resto de bienes y servicios. Hasta que el aumento general de precios refleje el del aumento de la Oferta Monetaria en el periodo 2016-2022.</w:t>
      </w:r>
    </w:p>
    <w:p w:rsidR="00BE2592" w:rsidRPr="006E3489" w:rsidRDefault="00BE2592" w:rsidP="00BE2592">
      <w:pPr>
        <w:spacing w:line="240" w:lineRule="auto"/>
        <w:jc w:val="both"/>
        <w:rPr>
          <w:rFonts w:ascii="Times New Roman" w:hAnsi="Times New Roman" w:cs="Times New Roman"/>
          <w:b/>
          <w:color w:val="FF0000"/>
          <w:sz w:val="24"/>
          <w:szCs w:val="24"/>
          <w:u w:val="single"/>
        </w:rPr>
      </w:pPr>
      <w:r w:rsidRPr="006E3489">
        <w:rPr>
          <w:rFonts w:ascii="Times New Roman" w:hAnsi="Times New Roman" w:cs="Times New Roman"/>
          <w:b/>
          <w:color w:val="FF0000"/>
          <w:sz w:val="24"/>
          <w:szCs w:val="24"/>
          <w:u w:val="single"/>
        </w:rPr>
        <w:t>Un aumento general de precios, como el que estamos viviendo, no tiene porqué convertirse en inflación. La inflación solía definirse como “un proceso continuado de subidas de precios y salarios”. Ese proceso, que comenzaría con “una segunda vuelta” de subidas de precios y salarios, todavía no se ha producido. En parte, porque todavía tienen que adecuarse precios y salarios a la cantidad enorme de dinero que han puesto en circulación los Bancos Centrales de las principales economías. Y, en parte, porque para que la inflación se consolide hace falta seguir aumentando la Oferta Monetaria, lo que sólo puede hacerse si sigue creciendo el Balance consolidado de la Eurozona, o el de Estados Unidos o lo hace la actividad crediticia de la banca. Si el Balance no crece, o se reduce, o suben suficientemente los tipos de interés, no habrá inflación. Pero si habrá recesión.</w:t>
      </w:r>
    </w:p>
    <w:p w:rsidR="00BE2592" w:rsidRPr="006E3489" w:rsidRDefault="00BE2592" w:rsidP="00BE2592">
      <w:pPr>
        <w:spacing w:line="240" w:lineRule="auto"/>
        <w:jc w:val="both"/>
        <w:rPr>
          <w:rFonts w:ascii="Times New Roman" w:hAnsi="Times New Roman" w:cs="Times New Roman"/>
          <w:b/>
          <w:color w:val="FF0000"/>
          <w:sz w:val="24"/>
          <w:szCs w:val="24"/>
          <w:u w:val="single"/>
        </w:rPr>
      </w:pPr>
      <w:r w:rsidRPr="006E3489">
        <w:rPr>
          <w:rFonts w:ascii="Times New Roman" w:hAnsi="Times New Roman" w:cs="Times New Roman"/>
          <w:b/>
          <w:color w:val="FF0000"/>
          <w:sz w:val="24"/>
          <w:szCs w:val="24"/>
          <w:u w:val="single"/>
        </w:rPr>
        <w:t>Si las entidades crediticias, es decir, la banca, utilizaran la enorme liquidez de que dispone en estos momentos para aumentar sus créditos a la economía, crecería, otra vez, bruscamente, la Oferta Monetaria. Para evitarlo los Bancos Centrales y, en concreto, el Banco Central Europeo, tiene que subir, con rapidez, los tipos de interés. Pero si el crecimiento de la Oferta Monetaria se reduce a cero súbitamente se controlará la inflación, pero entraríamos en recesión. Ese es el dilema que tiene que resolver el BCE. Cómo dejar de suministrar liquidez a la economía sin producir una catástrofe si se hace demasiado deprisa. Aunque los excesos monetarios del BCE han sido tan grandes que la gradualidad necesaria para evitar una depresión profunda dará, muy posiblemente, nuevas alas a la inflación.</w:t>
      </w:r>
    </w:p>
    <w:p w:rsidR="00BE2592" w:rsidRPr="0022632B" w:rsidRDefault="00BE2592" w:rsidP="00BE2592">
      <w:pPr>
        <w:spacing w:line="240" w:lineRule="auto"/>
        <w:jc w:val="both"/>
        <w:rPr>
          <w:rFonts w:ascii="Times New Roman" w:hAnsi="Times New Roman" w:cs="Times New Roman"/>
          <w:sz w:val="24"/>
          <w:szCs w:val="24"/>
        </w:rPr>
      </w:pPr>
      <w:r w:rsidRPr="0022632B">
        <w:rPr>
          <w:rFonts w:ascii="Times New Roman" w:hAnsi="Times New Roman" w:cs="Times New Roman"/>
          <w:sz w:val="24"/>
          <w:szCs w:val="24"/>
        </w:rPr>
        <w:t>El origen del desbarajuste monetario</w:t>
      </w:r>
    </w:p>
    <w:p w:rsidR="00BE2592" w:rsidRPr="006E3489" w:rsidRDefault="00BE2592" w:rsidP="00BE2592">
      <w:pPr>
        <w:spacing w:line="240" w:lineRule="auto"/>
        <w:jc w:val="both"/>
        <w:rPr>
          <w:rFonts w:ascii="Times New Roman" w:hAnsi="Times New Roman" w:cs="Times New Roman"/>
          <w:color w:val="FF0000"/>
          <w:sz w:val="24"/>
          <w:szCs w:val="24"/>
          <w:u w:val="single"/>
        </w:rPr>
      </w:pPr>
      <w:r w:rsidRPr="006E3489">
        <w:rPr>
          <w:rFonts w:ascii="Times New Roman" w:hAnsi="Times New Roman" w:cs="Times New Roman"/>
          <w:color w:val="FF0000"/>
          <w:sz w:val="24"/>
          <w:szCs w:val="24"/>
          <w:u w:val="single"/>
        </w:rPr>
        <w:t>Durante la Gran Crisis Financiera, que comienza en 2008 y termina, con grandes diferencias entre países, en 2014, el presidente de la FED, Bernanke consigue imponer su tesis del descenso estructural del tipo de interés natural, lo que conllevaba que el problema de fondo fuera el exceso de ahorro y la deflación.</w:t>
      </w:r>
    </w:p>
    <w:p w:rsidR="00BE2592" w:rsidRPr="006E3489" w:rsidRDefault="00BE2592" w:rsidP="00BE2592">
      <w:pPr>
        <w:spacing w:line="240" w:lineRule="auto"/>
        <w:jc w:val="both"/>
        <w:rPr>
          <w:rFonts w:ascii="Times New Roman" w:hAnsi="Times New Roman" w:cs="Times New Roman"/>
          <w:b/>
          <w:color w:val="FF0000"/>
          <w:sz w:val="24"/>
          <w:szCs w:val="24"/>
          <w:u w:val="single"/>
        </w:rPr>
      </w:pPr>
      <w:r w:rsidRPr="006E3489">
        <w:rPr>
          <w:rFonts w:ascii="Times New Roman" w:hAnsi="Times New Roman" w:cs="Times New Roman"/>
          <w:b/>
          <w:color w:val="FF0000"/>
          <w:sz w:val="24"/>
          <w:szCs w:val="24"/>
          <w:u w:val="single"/>
        </w:rPr>
        <w:t>La política monetaria tradicional había dejado de funcionar, según Bernanke y sus seguidores. Los Bancos Centrales tenía que actuar para reducir los tipos de interés, y aumentar la Oferta Monetaria con medidas no convencionales: tipos de interés negativos, comprando activos, es decir, deuda, del Sector Público, e incluso del privado, e implementando operaciones financieras a largo plazo para asegurar que los precios subirían, al menos, hasta el 2% anual.</w:t>
      </w:r>
    </w:p>
    <w:p w:rsidR="00BE2592" w:rsidRPr="00A23BB6" w:rsidRDefault="00BE2592" w:rsidP="00BE2592">
      <w:pPr>
        <w:spacing w:line="240" w:lineRule="auto"/>
        <w:jc w:val="both"/>
        <w:rPr>
          <w:rFonts w:ascii="Times New Roman" w:hAnsi="Times New Roman" w:cs="Times New Roman"/>
          <w:b/>
          <w:color w:val="FF0000"/>
          <w:sz w:val="24"/>
          <w:szCs w:val="24"/>
          <w:u w:val="single"/>
        </w:rPr>
      </w:pPr>
      <w:r w:rsidRPr="00A23BB6">
        <w:rPr>
          <w:rFonts w:ascii="Times New Roman" w:hAnsi="Times New Roman" w:cs="Times New Roman"/>
          <w:b/>
          <w:color w:val="FF0000"/>
          <w:sz w:val="24"/>
          <w:szCs w:val="24"/>
          <w:u w:val="single"/>
        </w:rPr>
        <w:lastRenderedPageBreak/>
        <w:t>Los Bancos Centrales debían dejar de ser neutrales, en el sentido de Friedman, cuidadosos, defensores de su independencia ante todos los gobiernos y de exigir presupuestos públicos equilibrados. Los Bancos Centrales tenían que ser intervencionistas, tenían que luchar contra la deflación por medios no convencionales y tenían que impulsar el crecimiento económico. Una tarea que nunca antes habían asumido, por más que entre las obligaciones de la FED esté el de reducir el desempleo y controlar la inflación.</w:t>
      </w:r>
    </w:p>
    <w:p w:rsidR="00BE2592" w:rsidRPr="00A23BB6" w:rsidRDefault="00BE2592" w:rsidP="00BE2592">
      <w:pPr>
        <w:spacing w:line="240" w:lineRule="auto"/>
        <w:jc w:val="both"/>
        <w:rPr>
          <w:rFonts w:ascii="Times New Roman" w:hAnsi="Times New Roman" w:cs="Times New Roman"/>
          <w:b/>
          <w:color w:val="FF0000"/>
          <w:sz w:val="24"/>
          <w:szCs w:val="24"/>
          <w:u w:val="single"/>
        </w:rPr>
      </w:pPr>
      <w:r w:rsidRPr="00A23BB6">
        <w:rPr>
          <w:rFonts w:ascii="Times New Roman" w:hAnsi="Times New Roman" w:cs="Times New Roman"/>
          <w:b/>
          <w:color w:val="FF0000"/>
          <w:sz w:val="24"/>
          <w:szCs w:val="24"/>
          <w:u w:val="single"/>
        </w:rPr>
        <w:t>Obviamente, una consecuencia de esta política, dispuesta a financiar las necesidades del Sector Público comprando su deuda se iba a traducir en un aumento del gasto público, que dejaba de tener freno por el coste nulo de la deuda, y por la seguridad de que el Banco Central la adquiriría. De hecho, los Bancos Centrales, no sólo la FED, han dejado de criticar los desequilibrios presupuestarios y han perdido, por el camino, la autoridad para poder exigir su limitación cuando fuera imprescindible. Como en este momento.</w:t>
      </w:r>
    </w:p>
    <w:p w:rsidR="00BE2592" w:rsidRPr="00A23BB6" w:rsidRDefault="00BE2592" w:rsidP="00BE2592">
      <w:pPr>
        <w:spacing w:line="240" w:lineRule="auto"/>
        <w:jc w:val="both"/>
        <w:rPr>
          <w:rFonts w:ascii="Times New Roman" w:hAnsi="Times New Roman" w:cs="Times New Roman"/>
          <w:color w:val="FF0000"/>
          <w:sz w:val="24"/>
          <w:szCs w:val="24"/>
          <w:u w:val="single"/>
        </w:rPr>
      </w:pPr>
      <w:r w:rsidRPr="0022632B">
        <w:rPr>
          <w:rFonts w:ascii="Times New Roman" w:hAnsi="Times New Roman" w:cs="Times New Roman"/>
          <w:sz w:val="24"/>
          <w:szCs w:val="24"/>
        </w:rPr>
        <w:t xml:space="preserve">Después analizaremos las consecuencias de estas políticas monetarias. Basta adelantar que, </w:t>
      </w:r>
      <w:r w:rsidRPr="00A23BB6">
        <w:rPr>
          <w:rFonts w:ascii="Times New Roman" w:hAnsi="Times New Roman" w:cs="Times New Roman"/>
          <w:color w:val="FF0000"/>
          <w:sz w:val="24"/>
          <w:szCs w:val="24"/>
          <w:u w:val="single"/>
        </w:rPr>
        <w:t>en el caso de la Unión Monetaria Europea, el balance consolidado del Eurosistema, que integra al BCE y a los bancos nacionales de los países miembros, se transformó radicalmente entre 2014 y 2022:</w:t>
      </w:r>
    </w:p>
    <w:p w:rsidR="00BE2592" w:rsidRPr="00A23BB6" w:rsidRDefault="00BE2592" w:rsidP="00BE2592">
      <w:pPr>
        <w:spacing w:line="240" w:lineRule="auto"/>
        <w:jc w:val="both"/>
        <w:rPr>
          <w:rFonts w:ascii="Times New Roman" w:hAnsi="Times New Roman" w:cs="Times New Roman"/>
          <w:color w:val="FF0000"/>
          <w:sz w:val="24"/>
          <w:szCs w:val="24"/>
        </w:rPr>
      </w:pPr>
      <w:r w:rsidRPr="0022632B">
        <w:rPr>
          <w:rFonts w:ascii="Times New Roman" w:hAnsi="Times New Roman" w:cs="Times New Roman"/>
          <w:sz w:val="24"/>
          <w:szCs w:val="24"/>
        </w:rPr>
        <w:t xml:space="preserve">1º) </w:t>
      </w:r>
      <w:r w:rsidRPr="00A23BB6">
        <w:rPr>
          <w:rFonts w:ascii="Times New Roman" w:hAnsi="Times New Roman" w:cs="Times New Roman"/>
          <w:color w:val="FF0000"/>
          <w:sz w:val="24"/>
          <w:szCs w:val="24"/>
        </w:rPr>
        <w:t>A finales de 2014 el balance era de 2.208.253 millones de euros. En 2019, antes del comienzo de la pandemia, era de 4.671.425 millones y en septiembre de 2022 alcanzaba la cifra de 8.759.120 millones.</w:t>
      </w:r>
    </w:p>
    <w:p w:rsidR="00BE2592" w:rsidRPr="00A23BB6" w:rsidRDefault="00BE2592" w:rsidP="00BE2592">
      <w:pPr>
        <w:spacing w:line="240" w:lineRule="auto"/>
        <w:jc w:val="both"/>
        <w:rPr>
          <w:rFonts w:ascii="Times New Roman" w:hAnsi="Times New Roman" w:cs="Times New Roman"/>
          <w:color w:val="FF0000"/>
          <w:sz w:val="24"/>
          <w:szCs w:val="24"/>
        </w:rPr>
      </w:pPr>
      <w:r w:rsidRPr="0022632B">
        <w:rPr>
          <w:rFonts w:ascii="Times New Roman" w:hAnsi="Times New Roman" w:cs="Times New Roman"/>
          <w:sz w:val="24"/>
          <w:szCs w:val="24"/>
        </w:rPr>
        <w:t xml:space="preserve">2º) </w:t>
      </w:r>
      <w:r w:rsidRPr="00A23BB6">
        <w:rPr>
          <w:rFonts w:ascii="Times New Roman" w:hAnsi="Times New Roman" w:cs="Times New Roman"/>
          <w:color w:val="FF0000"/>
          <w:sz w:val="24"/>
          <w:szCs w:val="24"/>
        </w:rPr>
        <w:t xml:space="preserve">La Oferta Monetaria, la M3 </w:t>
      </w:r>
      <w:r w:rsidRPr="0022632B">
        <w:rPr>
          <w:rFonts w:ascii="Times New Roman" w:hAnsi="Times New Roman" w:cs="Times New Roman"/>
          <w:sz w:val="24"/>
          <w:szCs w:val="24"/>
        </w:rPr>
        <w:t xml:space="preserve">(que suma el dinero en metálico de los residentes, sus depósitos a plazo hasta los dos años y sus tenencias de determinados fondos y facilidades crediticias) </w:t>
      </w:r>
      <w:r w:rsidRPr="00A23BB6">
        <w:rPr>
          <w:rFonts w:ascii="Times New Roman" w:hAnsi="Times New Roman" w:cs="Times New Roman"/>
          <w:color w:val="FF0000"/>
          <w:sz w:val="24"/>
          <w:szCs w:val="24"/>
        </w:rPr>
        <w:t>creció un 35% entre 2014 y 2019 y un 23% entre 2020 y septiembre de 2022.</w:t>
      </w:r>
    </w:p>
    <w:p w:rsidR="00BE2592" w:rsidRPr="00A23BB6" w:rsidRDefault="00BE2592" w:rsidP="00BE2592">
      <w:pPr>
        <w:spacing w:line="240" w:lineRule="auto"/>
        <w:jc w:val="both"/>
        <w:rPr>
          <w:rFonts w:ascii="Times New Roman" w:hAnsi="Times New Roman" w:cs="Times New Roman"/>
          <w:color w:val="FF0000"/>
          <w:sz w:val="24"/>
          <w:szCs w:val="24"/>
        </w:rPr>
      </w:pPr>
      <w:r w:rsidRPr="0022632B">
        <w:rPr>
          <w:rFonts w:ascii="Times New Roman" w:hAnsi="Times New Roman" w:cs="Times New Roman"/>
          <w:sz w:val="24"/>
          <w:szCs w:val="24"/>
        </w:rPr>
        <w:t xml:space="preserve">3º) </w:t>
      </w:r>
      <w:r w:rsidRPr="00A23BB6">
        <w:rPr>
          <w:rFonts w:ascii="Times New Roman" w:hAnsi="Times New Roman" w:cs="Times New Roman"/>
          <w:color w:val="FF0000"/>
          <w:sz w:val="24"/>
          <w:szCs w:val="24"/>
        </w:rPr>
        <w:t>Su cartera de activos, compuestos tanto por deuda del Sector Público como por obligaciones del Privado, alcanzaron, en septiembre de 2022, los 5.109.522 millones de euros, cuando en 2014 eran de 366.511 millones de euros.</w:t>
      </w:r>
    </w:p>
    <w:p w:rsidR="00BE2592" w:rsidRPr="0022632B" w:rsidRDefault="00BE2592" w:rsidP="00BE2592">
      <w:pPr>
        <w:spacing w:line="240" w:lineRule="auto"/>
        <w:jc w:val="both"/>
        <w:rPr>
          <w:rFonts w:ascii="Times New Roman" w:hAnsi="Times New Roman" w:cs="Times New Roman"/>
          <w:sz w:val="24"/>
          <w:szCs w:val="24"/>
        </w:rPr>
      </w:pPr>
      <w:r w:rsidRPr="0022632B">
        <w:rPr>
          <w:rFonts w:ascii="Times New Roman" w:hAnsi="Times New Roman" w:cs="Times New Roman"/>
          <w:sz w:val="24"/>
          <w:szCs w:val="24"/>
        </w:rPr>
        <w:t xml:space="preserve">4º) </w:t>
      </w:r>
      <w:r w:rsidRPr="00A23BB6">
        <w:rPr>
          <w:rFonts w:ascii="Times New Roman" w:hAnsi="Times New Roman" w:cs="Times New Roman"/>
          <w:color w:val="FF0000"/>
          <w:sz w:val="24"/>
          <w:szCs w:val="24"/>
        </w:rPr>
        <w:t>El BCE, además de comprar deuda pública y privada en esas cuantías, ha otorgado préstamos a los bancos para que, a su vez, concedieran créditos a los residentes. En 2014 esos préstamos eran de 630.341 millones. En septiembre de 2022 eran de 2.120.801 millones</w:t>
      </w:r>
      <w:r w:rsidRPr="0022632B">
        <w:rPr>
          <w:rFonts w:ascii="Times New Roman" w:hAnsi="Times New Roman" w:cs="Times New Roman"/>
          <w:sz w:val="24"/>
          <w:szCs w:val="24"/>
        </w:rPr>
        <w:t>. El BCE no tenía inconvenientes en dar préstamos a la banca para que prestara a los residentes. De esa forma ponía, directamente, dinero en circulación y sustituía a la banca, limitada en su actividad crediticia por los tipos de interés negativos y por las exigencias de capital y provis</w:t>
      </w:r>
      <w:r>
        <w:rPr>
          <w:rFonts w:ascii="Times New Roman" w:hAnsi="Times New Roman" w:cs="Times New Roman"/>
          <w:sz w:val="24"/>
          <w:szCs w:val="24"/>
        </w:rPr>
        <w:t>iones aprobadas en Basilea III.</w:t>
      </w:r>
    </w:p>
    <w:p w:rsidR="00BE2592" w:rsidRPr="00A23BB6" w:rsidRDefault="00BE2592" w:rsidP="00BE2592">
      <w:pPr>
        <w:spacing w:line="240" w:lineRule="auto"/>
        <w:jc w:val="both"/>
        <w:rPr>
          <w:rFonts w:ascii="Times New Roman" w:hAnsi="Times New Roman" w:cs="Times New Roman"/>
          <w:color w:val="FF0000"/>
          <w:sz w:val="24"/>
          <w:szCs w:val="24"/>
          <w:u w:val="single"/>
        </w:rPr>
      </w:pPr>
      <w:r w:rsidRPr="0022632B">
        <w:rPr>
          <w:rFonts w:ascii="Times New Roman" w:hAnsi="Times New Roman" w:cs="Times New Roman"/>
          <w:sz w:val="24"/>
          <w:szCs w:val="24"/>
        </w:rPr>
        <w:t xml:space="preserve">5º) </w:t>
      </w:r>
      <w:r w:rsidRPr="00A23BB6">
        <w:rPr>
          <w:rFonts w:ascii="Times New Roman" w:hAnsi="Times New Roman" w:cs="Times New Roman"/>
          <w:color w:val="FF0000"/>
          <w:sz w:val="24"/>
          <w:szCs w:val="24"/>
          <w:u w:val="single"/>
        </w:rPr>
        <w:t>La suma de compras de activos al Sector Público y Privado, que hoy suman 5.109.522 millones y los préstamos a la banca, que alcanzan los 2.120.801 millones, totalizan 7.230.323 millones de euros. Un aumento de 6.009.717 millones de euros desde 2014 a septiembre de 2022. Ese es el aumento de dinero en circulación creado directamente por el BCE entre 2016 y 2022.</w:t>
      </w:r>
    </w:p>
    <w:p w:rsidR="00BE2592" w:rsidRPr="00A23BB6" w:rsidRDefault="00BE2592" w:rsidP="00BE2592">
      <w:pPr>
        <w:spacing w:line="240" w:lineRule="auto"/>
        <w:jc w:val="both"/>
        <w:rPr>
          <w:rFonts w:ascii="Times New Roman" w:hAnsi="Times New Roman" w:cs="Times New Roman"/>
          <w:color w:val="FF0000"/>
          <w:sz w:val="24"/>
          <w:szCs w:val="24"/>
        </w:rPr>
      </w:pPr>
      <w:r w:rsidRPr="0022632B">
        <w:rPr>
          <w:rFonts w:ascii="Times New Roman" w:hAnsi="Times New Roman" w:cs="Times New Roman"/>
          <w:sz w:val="24"/>
          <w:szCs w:val="24"/>
        </w:rPr>
        <w:t xml:space="preserve">6º) </w:t>
      </w:r>
      <w:r w:rsidRPr="00A23BB6">
        <w:rPr>
          <w:rFonts w:ascii="Times New Roman" w:hAnsi="Times New Roman" w:cs="Times New Roman"/>
          <w:color w:val="FF0000"/>
          <w:sz w:val="24"/>
          <w:szCs w:val="24"/>
        </w:rPr>
        <w:t>Esa cifra hay que relacionarla con el PIB de los países miembros de la Eurozona. En 2014 sumaba 10.132.878 millones de euros. En 2021 fue de 12.3813.115 millones de euros. Un incremento de 2.180.237 millones, un 9,1% en ese periodo.</w:t>
      </w:r>
    </w:p>
    <w:p w:rsidR="00BE2592" w:rsidRPr="00A23BB6" w:rsidRDefault="00BE2592" w:rsidP="00BE2592">
      <w:pPr>
        <w:spacing w:line="240" w:lineRule="auto"/>
        <w:jc w:val="both"/>
        <w:rPr>
          <w:rFonts w:ascii="Times New Roman" w:hAnsi="Times New Roman" w:cs="Times New Roman"/>
          <w:b/>
          <w:color w:val="FF0000"/>
          <w:sz w:val="24"/>
          <w:szCs w:val="24"/>
          <w:u w:val="single"/>
        </w:rPr>
      </w:pPr>
      <w:r w:rsidRPr="0022632B">
        <w:rPr>
          <w:rFonts w:ascii="Times New Roman" w:hAnsi="Times New Roman" w:cs="Times New Roman"/>
          <w:sz w:val="24"/>
          <w:szCs w:val="24"/>
        </w:rPr>
        <w:t xml:space="preserve">7º) </w:t>
      </w:r>
      <w:r w:rsidRPr="00A23BB6">
        <w:rPr>
          <w:rFonts w:ascii="Times New Roman" w:hAnsi="Times New Roman" w:cs="Times New Roman"/>
          <w:b/>
          <w:color w:val="FF0000"/>
          <w:sz w:val="24"/>
          <w:szCs w:val="24"/>
          <w:u w:val="single"/>
        </w:rPr>
        <w:t xml:space="preserve">La cartera de activos, básicamente deuda pública en 2014, era de 590.265 millones de euros, un 5,8% del PIB de los países miembros de la Unión Monetaria. En </w:t>
      </w:r>
      <w:r w:rsidRPr="00A23BB6">
        <w:rPr>
          <w:rFonts w:ascii="Times New Roman" w:hAnsi="Times New Roman" w:cs="Times New Roman"/>
          <w:b/>
          <w:color w:val="FF0000"/>
          <w:sz w:val="24"/>
          <w:szCs w:val="24"/>
          <w:u w:val="single"/>
        </w:rPr>
        <w:lastRenderedPageBreak/>
        <w:t>septiembre de 2022, los 5.109.522 millones de activos suponían el 41,5% del PIB en 2021.</w:t>
      </w:r>
    </w:p>
    <w:p w:rsidR="00BE2592" w:rsidRPr="00A23BB6" w:rsidRDefault="00BE2592" w:rsidP="00BE2592">
      <w:pPr>
        <w:spacing w:line="240" w:lineRule="auto"/>
        <w:jc w:val="both"/>
        <w:rPr>
          <w:rFonts w:ascii="Times New Roman" w:hAnsi="Times New Roman" w:cs="Times New Roman"/>
          <w:b/>
          <w:color w:val="FF0000"/>
          <w:sz w:val="24"/>
          <w:szCs w:val="24"/>
          <w:u w:val="single"/>
        </w:rPr>
      </w:pPr>
      <w:r w:rsidRPr="0022632B">
        <w:rPr>
          <w:rFonts w:ascii="Times New Roman" w:hAnsi="Times New Roman" w:cs="Times New Roman"/>
          <w:sz w:val="24"/>
          <w:szCs w:val="24"/>
        </w:rPr>
        <w:t xml:space="preserve">8º) </w:t>
      </w:r>
      <w:r w:rsidRPr="00A23BB6">
        <w:rPr>
          <w:rFonts w:ascii="Times New Roman" w:hAnsi="Times New Roman" w:cs="Times New Roman"/>
          <w:b/>
          <w:color w:val="FF0000"/>
          <w:sz w:val="24"/>
          <w:szCs w:val="24"/>
          <w:u w:val="single"/>
        </w:rPr>
        <w:t>La suma de activos y de préstamos a la banca sumaban en agosto de 2022, 7.230.323 millones. Un alucinante 59% del PIB de 2021.</w:t>
      </w:r>
    </w:p>
    <w:p w:rsidR="00BE2592" w:rsidRPr="00A23BB6" w:rsidRDefault="00BE2592" w:rsidP="00BE2592">
      <w:pPr>
        <w:spacing w:line="240" w:lineRule="auto"/>
        <w:jc w:val="both"/>
        <w:rPr>
          <w:rFonts w:ascii="Times New Roman" w:hAnsi="Times New Roman" w:cs="Times New Roman"/>
          <w:color w:val="FF0000"/>
          <w:sz w:val="24"/>
          <w:szCs w:val="24"/>
        </w:rPr>
      </w:pPr>
      <w:r w:rsidRPr="0022632B">
        <w:rPr>
          <w:rFonts w:ascii="Times New Roman" w:hAnsi="Times New Roman" w:cs="Times New Roman"/>
          <w:sz w:val="24"/>
          <w:szCs w:val="24"/>
        </w:rPr>
        <w:t xml:space="preserve">9º) </w:t>
      </w:r>
      <w:r w:rsidRPr="00A23BB6">
        <w:rPr>
          <w:rFonts w:ascii="Times New Roman" w:hAnsi="Times New Roman" w:cs="Times New Roman"/>
          <w:color w:val="FF0000"/>
          <w:sz w:val="24"/>
          <w:szCs w:val="24"/>
        </w:rPr>
        <w:t>Las entidades crediticias, la banca, no ha utilizado sus depósitos para conceder créditos. Que podría haberlos multiplicado por cinco, dado el carácter del sistema de reserva fraccionaria con el que funcionamos, sino que lo ha depositado, en la cuantía de 4.698.738 millones, en el BCE, en parte como cuenta corriente obligatoria y en parte como facilidad de depósito.</w:t>
      </w:r>
    </w:p>
    <w:p w:rsidR="00BE2592" w:rsidRPr="0022632B" w:rsidRDefault="00BE2592" w:rsidP="00BE2592">
      <w:pPr>
        <w:spacing w:line="240" w:lineRule="auto"/>
        <w:jc w:val="both"/>
        <w:rPr>
          <w:rFonts w:ascii="Times New Roman" w:hAnsi="Times New Roman" w:cs="Times New Roman"/>
          <w:sz w:val="24"/>
          <w:szCs w:val="24"/>
        </w:rPr>
      </w:pPr>
      <w:r w:rsidRPr="0022632B">
        <w:rPr>
          <w:rFonts w:ascii="Times New Roman" w:hAnsi="Times New Roman" w:cs="Times New Roman"/>
          <w:sz w:val="24"/>
          <w:szCs w:val="24"/>
        </w:rPr>
        <w:t>En Europa, el conjunto de las entidades crediticias de la banca, quedó desmantelado como consecuencia de sus excesos y de la consiguiente Gran Crisis Financiera de 2008. La banca tuvo que reducir sus capitales y reservas, que apenas significaban el 2% de su balance, para absorber las pérdidas de su actividad. Después tuvo que recapitalizarse con porcentajes mucho más altos que antes de la crisis, y provisionar todos los créditos concedidos con los criterios, mucho más estrictos, de Basilea III. Y tuvo que soportar un sistema de intervención propio y ajeno</w:t>
      </w:r>
      <w:r w:rsidR="00A23BB6">
        <w:rPr>
          <w:rFonts w:ascii="Times New Roman" w:hAnsi="Times New Roman" w:cs="Times New Roman"/>
          <w:sz w:val="24"/>
          <w:szCs w:val="24"/>
        </w:rPr>
        <w:t>,</w:t>
      </w:r>
      <w:r w:rsidRPr="0022632B">
        <w:rPr>
          <w:rFonts w:ascii="Times New Roman" w:hAnsi="Times New Roman" w:cs="Times New Roman"/>
          <w:sz w:val="24"/>
          <w:szCs w:val="24"/>
        </w:rPr>
        <w:t xml:space="preserve"> costoso y burocratizado, que le ha dejado poco margen para llevar a cabo políticas crediticias activas. Y ha tenido que operar </w:t>
      </w:r>
      <w:r>
        <w:rPr>
          <w:rFonts w:ascii="Times New Roman" w:hAnsi="Times New Roman" w:cs="Times New Roman"/>
          <w:sz w:val="24"/>
          <w:szCs w:val="24"/>
        </w:rPr>
        <w:t>con tipos de interés negativos.</w:t>
      </w:r>
    </w:p>
    <w:p w:rsidR="00BE2592" w:rsidRPr="00A23BB6" w:rsidRDefault="00BE2592" w:rsidP="00BE2592">
      <w:pPr>
        <w:spacing w:line="240" w:lineRule="auto"/>
        <w:jc w:val="both"/>
        <w:rPr>
          <w:rFonts w:ascii="Times New Roman" w:hAnsi="Times New Roman" w:cs="Times New Roman"/>
          <w:b/>
          <w:color w:val="FF0000"/>
          <w:sz w:val="24"/>
          <w:szCs w:val="24"/>
          <w:u w:val="single"/>
        </w:rPr>
      </w:pPr>
      <w:r w:rsidRPr="00A23BB6">
        <w:rPr>
          <w:rFonts w:ascii="Times New Roman" w:hAnsi="Times New Roman" w:cs="Times New Roman"/>
          <w:b/>
          <w:color w:val="FF0000"/>
          <w:sz w:val="24"/>
          <w:szCs w:val="24"/>
          <w:u w:val="single"/>
        </w:rPr>
        <w:t>La consecuencia es que ha acumulado una liquidez, a la que se ha hecho referencia, que no ha podido, ni querido, gastar y que, en gran parte, ha depositado en el BCE. En la práctica, las entidades crediticias del Eurosistema se han convertido en filiales del BCE, que sólo dan crédito cuando el BCE les abre una línea de préstamos.</w:t>
      </w:r>
    </w:p>
    <w:p w:rsidR="00BE2592" w:rsidRPr="00A23BB6" w:rsidRDefault="00BE2592" w:rsidP="00BE2592">
      <w:pPr>
        <w:spacing w:line="240" w:lineRule="auto"/>
        <w:jc w:val="both"/>
        <w:rPr>
          <w:rFonts w:ascii="Times New Roman" w:hAnsi="Times New Roman" w:cs="Times New Roman"/>
          <w:b/>
          <w:color w:val="FF0000"/>
          <w:sz w:val="24"/>
          <w:szCs w:val="24"/>
          <w:u w:val="single"/>
        </w:rPr>
      </w:pPr>
      <w:r w:rsidRPr="00A23BB6">
        <w:rPr>
          <w:rFonts w:ascii="Times New Roman" w:hAnsi="Times New Roman" w:cs="Times New Roman"/>
          <w:b/>
          <w:color w:val="FF0000"/>
          <w:sz w:val="24"/>
          <w:szCs w:val="24"/>
          <w:u w:val="single"/>
        </w:rPr>
        <w:t xml:space="preserve">Resumiendo, en lo que respecta a las entidades crediticias, la Gran Crisis Financiera deja a la banca tradicional europea sin recursos. Su recuperación ha sido muy lenta y la política de tipos de interés cero del BCE les ha impedido cumplir el papel de financiador de la economía real. El BCE no ha hecho nada para facilitar el normal funcionamiento de la banca. Lo que </w:t>
      </w:r>
      <w:r w:rsidR="00A23BB6" w:rsidRPr="00A23BB6">
        <w:rPr>
          <w:rFonts w:ascii="Times New Roman" w:hAnsi="Times New Roman" w:cs="Times New Roman"/>
          <w:b/>
          <w:color w:val="FF0000"/>
          <w:sz w:val="24"/>
          <w:szCs w:val="24"/>
          <w:u w:val="single"/>
        </w:rPr>
        <w:t>sí</w:t>
      </w:r>
      <w:r w:rsidRPr="00A23BB6">
        <w:rPr>
          <w:rFonts w:ascii="Times New Roman" w:hAnsi="Times New Roman" w:cs="Times New Roman"/>
          <w:b/>
          <w:color w:val="FF0000"/>
          <w:sz w:val="24"/>
          <w:szCs w:val="24"/>
          <w:u w:val="single"/>
        </w:rPr>
        <w:t xml:space="preserve"> ha hecho es convertirse en el único banco comercial operativo de la Unión Monetaria.</w:t>
      </w:r>
    </w:p>
    <w:p w:rsidR="00BE2592" w:rsidRPr="00B6038B" w:rsidRDefault="00BE2592" w:rsidP="00BE259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B6038B">
        <w:rPr>
          <w:rFonts w:ascii="Times New Roman" w:hAnsi="Times New Roman" w:cs="Times New Roman"/>
          <w:sz w:val="24"/>
          <w:szCs w:val="24"/>
          <w:u w:val="single"/>
        </w:rPr>
        <w:t>La crisis de la expansión cuantitativa de Mario Draghi (II)</w:t>
      </w:r>
      <w:r>
        <w:rPr>
          <w:rFonts w:ascii="Times New Roman" w:hAnsi="Times New Roman" w:cs="Times New Roman"/>
          <w:sz w:val="24"/>
          <w:szCs w:val="24"/>
        </w:rPr>
        <w:t xml:space="preserve"> Vozpópuli - </w:t>
      </w:r>
      <w:r w:rsidRPr="00B6038B">
        <w:rPr>
          <w:rFonts w:ascii="Times New Roman" w:hAnsi="Times New Roman" w:cs="Times New Roman"/>
          <w:b/>
          <w:sz w:val="24"/>
          <w:szCs w:val="24"/>
        </w:rPr>
        <w:t>6/11/22</w:t>
      </w:r>
      <w:r>
        <w:rPr>
          <w:rFonts w:ascii="Times New Roman" w:hAnsi="Times New Roman" w:cs="Times New Roman"/>
          <w:sz w:val="24"/>
          <w:szCs w:val="24"/>
        </w:rPr>
        <w:t>)</w:t>
      </w:r>
    </w:p>
    <w:p w:rsidR="00BE2592" w:rsidRPr="00A23BB6" w:rsidRDefault="00BE2592" w:rsidP="00BE2592">
      <w:pPr>
        <w:spacing w:line="240" w:lineRule="auto"/>
        <w:jc w:val="both"/>
        <w:rPr>
          <w:rFonts w:ascii="Times New Roman" w:hAnsi="Times New Roman" w:cs="Times New Roman"/>
          <w:color w:val="FF0000"/>
          <w:sz w:val="24"/>
          <w:szCs w:val="24"/>
        </w:rPr>
      </w:pPr>
      <w:r w:rsidRPr="00A23BB6">
        <w:rPr>
          <w:rFonts w:ascii="Times New Roman" w:hAnsi="Times New Roman" w:cs="Times New Roman"/>
          <w:color w:val="FF0000"/>
          <w:sz w:val="24"/>
          <w:szCs w:val="24"/>
        </w:rPr>
        <w:t>No cabe duda de que Mario Draghi transformó, para peor, la financiación de la economía europea. Y Lagarde no ha puesto en duda los fundamentos de esa nueva política monetaria</w:t>
      </w:r>
    </w:p>
    <w:p w:rsidR="00BE2592" w:rsidRPr="00B6038B" w:rsidRDefault="00BE2592" w:rsidP="00BE2592">
      <w:pPr>
        <w:spacing w:line="240" w:lineRule="auto"/>
        <w:jc w:val="both"/>
        <w:rPr>
          <w:rFonts w:ascii="Times New Roman" w:hAnsi="Times New Roman" w:cs="Times New Roman"/>
          <w:sz w:val="24"/>
          <w:szCs w:val="24"/>
        </w:rPr>
      </w:pPr>
      <w:r>
        <w:rPr>
          <w:rFonts w:ascii="Times New Roman" w:hAnsi="Times New Roman" w:cs="Times New Roman"/>
          <w:sz w:val="24"/>
          <w:szCs w:val="24"/>
        </w:rPr>
        <w:t>(Por Alberto Recarte)</w:t>
      </w:r>
    </w:p>
    <w:p w:rsidR="00BE2592" w:rsidRPr="00A23BB6" w:rsidRDefault="00BE2592" w:rsidP="00BE2592">
      <w:pPr>
        <w:spacing w:line="240" w:lineRule="auto"/>
        <w:jc w:val="both"/>
        <w:rPr>
          <w:rFonts w:ascii="Times New Roman" w:hAnsi="Times New Roman" w:cs="Times New Roman"/>
          <w:color w:val="FF0000"/>
          <w:sz w:val="24"/>
          <w:szCs w:val="24"/>
          <w:u w:val="single"/>
        </w:rPr>
      </w:pPr>
      <w:r w:rsidRPr="00A23BB6">
        <w:rPr>
          <w:rFonts w:ascii="Times New Roman" w:hAnsi="Times New Roman" w:cs="Times New Roman"/>
          <w:color w:val="FF0000"/>
          <w:sz w:val="24"/>
          <w:szCs w:val="24"/>
          <w:u w:val="single"/>
        </w:rPr>
        <w:t>El reflejo de la nueva Política Monetaria se transparenta en varias series estadísticas. En primer lugar, en el balance consolidado del Eurosistema, que integra el balance del BCE con el de los bancos nacionales que componen la Unión Monetaria. En segundo lugar, en las estadísticas que recogen las compras de activos emitidos por entidades no financieras a la Eurozona, es decir, compra de Deuda Pública y Privada. En tercer lugar, con las que reflejan la evolución de la Oferta Monetaria, la M3, desde 2016 hasta la fecha. En cuarto lugar, la tasa de inflación desde 2014 y, en quinto lugar, el crecimiento del PIB de la Eurozona en el periodo 2014-2022 y el crecimiento de los precios en ese periodo.</w:t>
      </w:r>
    </w:p>
    <w:p w:rsidR="00BE2592" w:rsidRPr="00B6038B" w:rsidRDefault="00BE2592" w:rsidP="00BE2592">
      <w:pPr>
        <w:spacing w:line="240" w:lineRule="auto"/>
        <w:jc w:val="both"/>
        <w:rPr>
          <w:rFonts w:ascii="Times New Roman" w:hAnsi="Times New Roman" w:cs="Times New Roman"/>
          <w:sz w:val="24"/>
          <w:szCs w:val="24"/>
        </w:rPr>
      </w:pPr>
      <w:r w:rsidRPr="00B6038B">
        <w:rPr>
          <w:rFonts w:ascii="Times New Roman" w:hAnsi="Times New Roman" w:cs="Times New Roman"/>
          <w:sz w:val="24"/>
          <w:szCs w:val="24"/>
        </w:rPr>
        <w:t>En el activo del balance consolidado del Eurosistema las cifras más relevantes son las que reflejan las compras de deuda pública y privada y los préstamos a los bancos de la Eurozona para que</w:t>
      </w:r>
      <w:r>
        <w:rPr>
          <w:rFonts w:ascii="Times New Roman" w:hAnsi="Times New Roman" w:cs="Times New Roman"/>
          <w:sz w:val="24"/>
          <w:szCs w:val="24"/>
        </w:rPr>
        <w:t>, a su vez, presten a terceros.</w:t>
      </w:r>
    </w:p>
    <w:p w:rsidR="00BE2592" w:rsidRPr="00B6038B" w:rsidRDefault="00BE2592" w:rsidP="00BE2592">
      <w:pPr>
        <w:spacing w:line="240" w:lineRule="auto"/>
        <w:jc w:val="both"/>
        <w:rPr>
          <w:rFonts w:ascii="Times New Roman" w:hAnsi="Times New Roman" w:cs="Times New Roman"/>
          <w:sz w:val="24"/>
          <w:szCs w:val="24"/>
        </w:rPr>
      </w:pPr>
      <w:r w:rsidRPr="00B6038B">
        <w:rPr>
          <w:rFonts w:ascii="Times New Roman" w:hAnsi="Times New Roman" w:cs="Times New Roman"/>
          <w:sz w:val="24"/>
          <w:szCs w:val="24"/>
        </w:rPr>
        <w:lastRenderedPageBreak/>
        <w:t>En el pasivo del balance, además de la suma de billetes emitidos en circulación, hay otro renglón fundamental para explicar la política del BCE, la de depósitos de la banca de la Eurozona en el BCE. Que tiene, a su vez, dos renglones. El primero, el de las cuentas corrientes, incluidas las reservas mínimas obligatorias. El segundo, el de la facilidad de depósito, un dinero de gasto más inmediato, que se ha aparcado en el BCE, sin cobrar ninguna remuneración hasta hace unos días.</w:t>
      </w:r>
    </w:p>
    <w:p w:rsidR="00BE2592" w:rsidRPr="00A23BB6" w:rsidRDefault="00BE2592" w:rsidP="00BE2592">
      <w:pPr>
        <w:spacing w:line="240" w:lineRule="auto"/>
        <w:jc w:val="both"/>
        <w:rPr>
          <w:rFonts w:ascii="Times New Roman" w:hAnsi="Times New Roman" w:cs="Times New Roman"/>
          <w:color w:val="FF0000"/>
          <w:sz w:val="24"/>
          <w:szCs w:val="24"/>
          <w:u w:val="single"/>
        </w:rPr>
      </w:pPr>
      <w:r w:rsidRPr="00A23BB6">
        <w:rPr>
          <w:rFonts w:ascii="Times New Roman" w:hAnsi="Times New Roman" w:cs="Times New Roman"/>
          <w:color w:val="FF0000"/>
          <w:sz w:val="24"/>
          <w:szCs w:val="24"/>
          <w:u w:val="single"/>
        </w:rPr>
        <w:t>En 2008, cuando comienza la Gran Crisis Financiera, el balance del Eurosistema alcanza los 2.075.107 millones de euros. No hay nada destacable en ese año, salvo que los depósitos de la banca en el BCE suman 492.310 millones de euros.</w:t>
      </w:r>
    </w:p>
    <w:p w:rsidR="00BE2592" w:rsidRPr="00A23BB6" w:rsidRDefault="00BE2592" w:rsidP="00BE2592">
      <w:pPr>
        <w:spacing w:line="240" w:lineRule="auto"/>
        <w:jc w:val="both"/>
        <w:rPr>
          <w:rFonts w:ascii="Times New Roman" w:hAnsi="Times New Roman" w:cs="Times New Roman"/>
          <w:color w:val="FF0000"/>
          <w:sz w:val="24"/>
          <w:szCs w:val="24"/>
          <w:u w:val="single"/>
        </w:rPr>
      </w:pPr>
      <w:r w:rsidRPr="00A23BB6">
        <w:rPr>
          <w:rFonts w:ascii="Times New Roman" w:hAnsi="Times New Roman" w:cs="Times New Roman"/>
          <w:color w:val="FF0000"/>
          <w:sz w:val="24"/>
          <w:szCs w:val="24"/>
          <w:u w:val="single"/>
        </w:rPr>
        <w:t>Entre 2008 y 2010 no hay cambios significativos en el balance. En 2011 comienza la auténtica crisis del euro. El BCE interviene. Compra deuda pública de los países miembros y facilita liquidez a la banca concediendo préstamos. El balance consolidado crece hasta los 2.732.267 millones. A destacar, en el activo, préstamos a instituciones de crédito por 863.568 millones de euros y compra de deuda pública por 618.764 millones. En el pasivo, los depósitos de las entidades de crédito alcanzan los 849.477 millones, frente a 378.008 millones en 2010.</w:t>
      </w:r>
    </w:p>
    <w:p w:rsidR="00BE2592" w:rsidRPr="00A23BB6" w:rsidRDefault="00BE2592" w:rsidP="00BE2592">
      <w:pPr>
        <w:spacing w:line="240" w:lineRule="auto"/>
        <w:jc w:val="both"/>
        <w:rPr>
          <w:rFonts w:ascii="Times New Roman" w:hAnsi="Times New Roman" w:cs="Times New Roman"/>
          <w:color w:val="FF0000"/>
          <w:sz w:val="24"/>
          <w:szCs w:val="24"/>
          <w:u w:val="single"/>
        </w:rPr>
      </w:pPr>
      <w:r w:rsidRPr="00A23BB6">
        <w:rPr>
          <w:rFonts w:ascii="Times New Roman" w:hAnsi="Times New Roman" w:cs="Times New Roman"/>
          <w:color w:val="FF0000"/>
          <w:sz w:val="24"/>
          <w:szCs w:val="24"/>
          <w:u w:val="single"/>
        </w:rPr>
        <w:t>En 2012, el balance del Eurosistema aumenta hasta los 2.982.767 millones. Los préstamos a los bancos vuelven a crecer hasta los 1.126.019 millones y se reduce la deuda pública en el activo. En el pasivo los depósitos de las entidades de crédito aumentan hasta los 925.386 millones.</w:t>
      </w:r>
    </w:p>
    <w:p w:rsidR="00BE2592" w:rsidRPr="00A23BB6" w:rsidRDefault="00BE2592" w:rsidP="00BE2592">
      <w:pPr>
        <w:spacing w:line="240" w:lineRule="auto"/>
        <w:jc w:val="both"/>
        <w:rPr>
          <w:rFonts w:ascii="Times New Roman" w:hAnsi="Times New Roman" w:cs="Times New Roman"/>
          <w:color w:val="FF0000"/>
          <w:sz w:val="24"/>
          <w:szCs w:val="24"/>
          <w:u w:val="single"/>
        </w:rPr>
      </w:pPr>
      <w:r w:rsidRPr="00A23BB6">
        <w:rPr>
          <w:rFonts w:ascii="Times New Roman" w:hAnsi="Times New Roman" w:cs="Times New Roman"/>
          <w:color w:val="FF0000"/>
          <w:sz w:val="24"/>
          <w:szCs w:val="24"/>
          <w:u w:val="single"/>
        </w:rPr>
        <w:t>En 2013 y 2014, superada la crisis del euro, se reduce el balance consolidado hasta los 2.208.238 millones de euros en 2014. Los préstamos a los bancos caen hasta los 630.341 millones. La deuda pública en su activo termina en 590.265 millones. Los depósitos de la banca suman 366.511 millones. Una auténtica reducción cuantitativa, en la tradición de las políticas monetarias clásicas.</w:t>
      </w:r>
    </w:p>
    <w:p w:rsidR="00BE2592" w:rsidRPr="00A23BB6" w:rsidRDefault="00BE2592" w:rsidP="00BE2592">
      <w:pPr>
        <w:spacing w:line="240" w:lineRule="auto"/>
        <w:jc w:val="both"/>
        <w:rPr>
          <w:rFonts w:ascii="Times New Roman" w:hAnsi="Times New Roman" w:cs="Times New Roman"/>
          <w:b/>
          <w:color w:val="FF0000"/>
          <w:sz w:val="24"/>
          <w:szCs w:val="24"/>
          <w:u w:val="single"/>
        </w:rPr>
      </w:pPr>
      <w:r w:rsidRPr="00A23BB6">
        <w:rPr>
          <w:rFonts w:ascii="Times New Roman" w:hAnsi="Times New Roman" w:cs="Times New Roman"/>
          <w:b/>
          <w:color w:val="FF0000"/>
          <w:sz w:val="24"/>
          <w:szCs w:val="24"/>
          <w:u w:val="single"/>
        </w:rPr>
        <w:t>En 2015 comienza, inesperadamente, la nueva política monetaria. Mario Draghi, presidente del BCE, declara que “es el momento de la expansión cuantitativa”, es decir, el de incrementar sin miedo la Oferta Monetaria, de reducir a cero los tipos de interés y de monetizar, al cero por cien, la deuda pública de los países miembros. Con el mantra de que el tipo de interés natural se había reducido y de que la inflación no sería ningún problema como se ponía de manifiesto en índices de precios a la baja en gran parte del mundo, porque el problema era la deflación.</w:t>
      </w:r>
    </w:p>
    <w:p w:rsidR="00BE2592" w:rsidRPr="00A23BB6" w:rsidRDefault="00BE2592" w:rsidP="00BE2592">
      <w:pPr>
        <w:spacing w:line="240" w:lineRule="auto"/>
        <w:jc w:val="both"/>
        <w:rPr>
          <w:rFonts w:ascii="Times New Roman" w:hAnsi="Times New Roman" w:cs="Times New Roman"/>
          <w:b/>
          <w:color w:val="FF0000"/>
          <w:sz w:val="24"/>
          <w:szCs w:val="24"/>
          <w:u w:val="single"/>
        </w:rPr>
      </w:pPr>
      <w:r w:rsidRPr="00A23BB6">
        <w:rPr>
          <w:rFonts w:ascii="Times New Roman" w:hAnsi="Times New Roman" w:cs="Times New Roman"/>
          <w:b/>
          <w:color w:val="FF0000"/>
          <w:sz w:val="24"/>
          <w:szCs w:val="24"/>
          <w:u w:val="single"/>
        </w:rPr>
        <w:t>En 2015 el balance del Eurosistema crece hasta los 2.781.145 millones. En 2016 vuelve a crecer hasta los 3.661.439 millones. En 2017 alcanza los 4.467.611 millones.</w:t>
      </w:r>
    </w:p>
    <w:p w:rsidR="00BE2592" w:rsidRPr="00397376" w:rsidRDefault="00BE2592" w:rsidP="00BE2592">
      <w:pPr>
        <w:spacing w:line="240" w:lineRule="auto"/>
        <w:jc w:val="both"/>
        <w:rPr>
          <w:rFonts w:ascii="Times New Roman" w:hAnsi="Times New Roman" w:cs="Times New Roman"/>
          <w:b/>
          <w:color w:val="FF0000"/>
          <w:sz w:val="24"/>
          <w:szCs w:val="24"/>
          <w:u w:val="single"/>
        </w:rPr>
      </w:pPr>
      <w:r w:rsidRPr="00397376">
        <w:rPr>
          <w:rFonts w:ascii="Times New Roman" w:hAnsi="Times New Roman" w:cs="Times New Roman"/>
          <w:b/>
          <w:color w:val="FF0000"/>
          <w:sz w:val="24"/>
          <w:szCs w:val="24"/>
          <w:u w:val="single"/>
        </w:rPr>
        <w:t>En 2018 la cifra del balance es ya de 4.702.733 millones. Un crecimiento superior al 100% sobre la de 2014. El activo del Eurosistema refleja las causas de ese crecimiento. Los préstamos a la banca son de 734.381 millones. La compra de deuda pública y privada es ya de 2.899.300 millones. En el pasivo, los depósitos de los bancos suman 1.853.802 millones. Una muestra de la parálisis crediticia de la banca, incapaz de funcionar con los tipos de interés en el 0%. Desde el punto de vista puramente monetario el que la banca tenga cuentas corrientes en el BCE de ese calibre (1.230.153 millones) aumenta la Base Monetaria pero no la Oferta Monetaria.</w:t>
      </w:r>
    </w:p>
    <w:p w:rsidR="00BE2592" w:rsidRPr="00397376" w:rsidRDefault="00BE2592" w:rsidP="00BE2592">
      <w:pPr>
        <w:spacing w:line="240" w:lineRule="auto"/>
        <w:jc w:val="both"/>
        <w:rPr>
          <w:rFonts w:ascii="Times New Roman" w:hAnsi="Times New Roman" w:cs="Times New Roman"/>
          <w:b/>
          <w:color w:val="FF0000"/>
          <w:sz w:val="24"/>
          <w:szCs w:val="24"/>
          <w:u w:val="single"/>
        </w:rPr>
      </w:pPr>
      <w:r w:rsidRPr="00397376">
        <w:rPr>
          <w:rFonts w:ascii="Times New Roman" w:hAnsi="Times New Roman" w:cs="Times New Roman"/>
          <w:b/>
          <w:color w:val="FF0000"/>
          <w:sz w:val="24"/>
          <w:szCs w:val="24"/>
          <w:u w:val="single"/>
        </w:rPr>
        <w:t xml:space="preserve">No cabe duda de que Mario Draghi había transformado la financiación de la economía europea. Para peor. Innecesariamente. Y a Draghi le ha sucedido una política, Lagarde, </w:t>
      </w:r>
      <w:r w:rsidRPr="00397376">
        <w:rPr>
          <w:rFonts w:ascii="Times New Roman" w:hAnsi="Times New Roman" w:cs="Times New Roman"/>
          <w:b/>
          <w:color w:val="FF0000"/>
          <w:sz w:val="24"/>
          <w:szCs w:val="24"/>
          <w:u w:val="single"/>
        </w:rPr>
        <w:lastRenderedPageBreak/>
        <w:t>que no ha puesto en duda, ni ella ni los representantes de los países miembros en el Consejo del BCE, los fundamentos de esa nueva política monetaria, que en el mejor de los casos quería conseguir que los precios crecieran al 2% anual.</w:t>
      </w:r>
    </w:p>
    <w:p w:rsidR="00BE2592" w:rsidRPr="00397376" w:rsidRDefault="00BE2592" w:rsidP="00BE2592">
      <w:pPr>
        <w:spacing w:line="240" w:lineRule="auto"/>
        <w:jc w:val="both"/>
        <w:rPr>
          <w:rFonts w:ascii="Times New Roman" w:hAnsi="Times New Roman" w:cs="Times New Roman"/>
          <w:color w:val="FF0000"/>
          <w:sz w:val="24"/>
          <w:szCs w:val="24"/>
          <w:u w:val="single"/>
        </w:rPr>
      </w:pPr>
      <w:r w:rsidRPr="00397376">
        <w:rPr>
          <w:rFonts w:ascii="Times New Roman" w:hAnsi="Times New Roman" w:cs="Times New Roman"/>
          <w:color w:val="FF0000"/>
          <w:sz w:val="24"/>
          <w:szCs w:val="24"/>
          <w:u w:val="single"/>
        </w:rPr>
        <w:t>En 2019 se estabiliza el balance del Eurosistema. Decrece hasta los 4.671.425 millones de euros. La compra de activos alcanza los 2.847.102 millones. Y los préstamos a los bancos sumaron 624.232 millones. Los depósitos de los bancos en el BCE alcanzaron 1.813.377 millones. Esa era la situación justo antes del comienzo de la pandemia en marzo de 2020. Si ésta no hubiera tenido lugar es muy posible que hubiera habido un repunte de la inflación, pues en el periodo 2016-2018 la Oferta Monetaria había subido un 14,1%.</w:t>
      </w:r>
    </w:p>
    <w:p w:rsidR="00BE2592" w:rsidRPr="00397376" w:rsidRDefault="00BE2592" w:rsidP="00BE2592">
      <w:pPr>
        <w:spacing w:line="240" w:lineRule="auto"/>
        <w:jc w:val="both"/>
        <w:rPr>
          <w:rFonts w:ascii="Times New Roman" w:hAnsi="Times New Roman" w:cs="Times New Roman"/>
          <w:b/>
          <w:color w:val="FF0000"/>
          <w:sz w:val="24"/>
          <w:szCs w:val="24"/>
          <w:u w:val="single"/>
        </w:rPr>
      </w:pPr>
      <w:r w:rsidRPr="00397376">
        <w:rPr>
          <w:rFonts w:ascii="Times New Roman" w:hAnsi="Times New Roman" w:cs="Times New Roman"/>
          <w:b/>
          <w:color w:val="FF0000"/>
          <w:sz w:val="24"/>
          <w:szCs w:val="24"/>
          <w:u w:val="single"/>
        </w:rPr>
        <w:t>La forma de hacer frente a la pandemia, económica y monetariamente, ya había sido ensayada en el periodo 2016-2019. El Sector Pública se endeudaba, la deuda la compraba el BCE y los ingresos estatales se transferían a familias y empresas, que los gastaban o los ahorraban depositándolos en sus bancos. Y los bancos o los esterilizaban en el BCE o los utilizaban, mínimamente, para dar créditos porque podían utilizar los préstamos del BCE con ese objetivo. Los particulares, familias y empresas, aumentan sustancialmente su ahorro ante la imposibilidad de gastar lo necesario, y lo deseado, dada la parálisis económica mundial.</w:t>
      </w:r>
    </w:p>
    <w:p w:rsidR="00BE2592" w:rsidRPr="00397376" w:rsidRDefault="00BE2592" w:rsidP="00BE2592">
      <w:pPr>
        <w:spacing w:line="240" w:lineRule="auto"/>
        <w:jc w:val="both"/>
        <w:rPr>
          <w:rFonts w:ascii="Times New Roman" w:hAnsi="Times New Roman" w:cs="Times New Roman"/>
          <w:b/>
          <w:color w:val="FF0000"/>
          <w:sz w:val="24"/>
          <w:szCs w:val="24"/>
          <w:u w:val="single"/>
        </w:rPr>
      </w:pPr>
      <w:r w:rsidRPr="00397376">
        <w:rPr>
          <w:rFonts w:ascii="Times New Roman" w:hAnsi="Times New Roman" w:cs="Times New Roman"/>
          <w:b/>
          <w:color w:val="FF0000"/>
          <w:sz w:val="24"/>
          <w:szCs w:val="24"/>
          <w:u w:val="single"/>
        </w:rPr>
        <w:t>En 2020, el balance del Eurosistema se dispara hasta los 6.997.658 millones de euros. En el activo, los préstamos a los bancos suman ya 1.793.194 millones y las tenencias de deuda pública y privada son de 3.890.770 millones. En el pasivo, los depósitos de las entidades de crédito se sitúan en los 3.489.368 millones. Era lógico que en 2021 siguiera creciendo el balance del Eurosistema, pero no en la cuantía en la que lo hizo. Ni los gobiernos nacionales ni el BCE fueron capaces de empezar a poner límites al gasto en compra de deuda pública, que se hacía al 0% de interés. El balance consolidado del Eurosistema termina ese ejercicio en los 8.564.361 millones de euros. En el activo, los préstamos a los bancos aumentan hasta los 2.201.886 millones y la tenencia de deuda pública y privada hasta los 4.886.410 millones de euros. En el pasivo, las cuentas corrientes de las entidades de crédito vuelven a dispararse hasta los 3.512.153 millones que, sumados a la facilidad de depósito alcanza los 4.293.938 millones.</w:t>
      </w:r>
    </w:p>
    <w:p w:rsidR="00BE2592" w:rsidRPr="00397376" w:rsidRDefault="00BE2592" w:rsidP="00BE2592">
      <w:pPr>
        <w:spacing w:line="240" w:lineRule="auto"/>
        <w:jc w:val="both"/>
        <w:rPr>
          <w:rFonts w:ascii="Times New Roman" w:hAnsi="Times New Roman" w:cs="Times New Roman"/>
          <w:b/>
          <w:color w:val="FF0000"/>
          <w:sz w:val="24"/>
          <w:szCs w:val="24"/>
          <w:u w:val="single"/>
        </w:rPr>
      </w:pPr>
      <w:r w:rsidRPr="00397376">
        <w:rPr>
          <w:rFonts w:ascii="Times New Roman" w:hAnsi="Times New Roman" w:cs="Times New Roman"/>
          <w:b/>
          <w:color w:val="FF0000"/>
          <w:sz w:val="24"/>
          <w:szCs w:val="24"/>
          <w:u w:val="single"/>
        </w:rPr>
        <w:t>En el año en curso, sin pandemia, la evolución de todas esas cifras hasta el mes de septiembre no deja lugar a dudas respecto a la irresponsabilidad fiscal de los gobiernos y la complacencia del BCE, que sigue operando como si no hubiera inflación y no tuviera ninguna obligación de controlarla por la vía de poner límites a la expansión cuantitativa lanzada por Mario Draghi, hasta el mes de julio. El balance en el mes de septiembre era de 8.759.120 millones de euros. En el activo, se mantienen los préstamos a los bancos, en 2.192.326 millones, pero la compra de deuda pública y privada vuelve a crecer hasta los 5.109.522 millones. Otros 223.112 millones más en nueve meses. En el pasivo, los depósitos de las entidades de crédito suman en total 4.378.209 millones, pero con una distribución muy diferente entre cuentas corrientes, 318.251 millones y facilidades de depósito por 4.059.958 millones. Lo que significa que las entidades de crédito podrían estar cambiando de actitud ante la subida de los tipos de interés. El BCE ha reaccionado y en su reunión de 27/10/22 ha aprobado remunerar las cuentas corrientes y las facilidades de depósito, al 1,5%, para evitar la monetización de esos depósitos.</w:t>
      </w:r>
    </w:p>
    <w:p w:rsidR="00BE2592" w:rsidRPr="00397376" w:rsidRDefault="00BE2592" w:rsidP="00BE2592">
      <w:pPr>
        <w:spacing w:line="240" w:lineRule="auto"/>
        <w:jc w:val="both"/>
        <w:rPr>
          <w:rFonts w:ascii="Times New Roman" w:hAnsi="Times New Roman" w:cs="Times New Roman"/>
          <w:b/>
          <w:color w:val="FF0000"/>
          <w:sz w:val="24"/>
          <w:szCs w:val="24"/>
          <w:u w:val="single"/>
        </w:rPr>
      </w:pPr>
      <w:r w:rsidRPr="00397376">
        <w:rPr>
          <w:rFonts w:ascii="Times New Roman" w:hAnsi="Times New Roman" w:cs="Times New Roman"/>
          <w:b/>
          <w:color w:val="FF0000"/>
          <w:sz w:val="24"/>
          <w:szCs w:val="24"/>
          <w:u w:val="single"/>
        </w:rPr>
        <w:t xml:space="preserve">La pandemia, y la postpandemia, desde finales de 2019 hasta septiembre de 2022, han supuesto un aumento del balance consolidado del Eurosistema de 4.135.685 millones de </w:t>
      </w:r>
      <w:r w:rsidRPr="00397376">
        <w:rPr>
          <w:rFonts w:ascii="Times New Roman" w:hAnsi="Times New Roman" w:cs="Times New Roman"/>
          <w:b/>
          <w:color w:val="FF0000"/>
          <w:sz w:val="24"/>
          <w:szCs w:val="24"/>
          <w:u w:val="single"/>
        </w:rPr>
        <w:lastRenderedPageBreak/>
        <w:t>euros.</w:t>
      </w:r>
      <w:r w:rsidRPr="00B6038B">
        <w:rPr>
          <w:rFonts w:ascii="Times New Roman" w:hAnsi="Times New Roman" w:cs="Times New Roman"/>
          <w:sz w:val="24"/>
          <w:szCs w:val="24"/>
        </w:rPr>
        <w:t xml:space="preserve"> </w:t>
      </w:r>
      <w:r w:rsidRPr="00397376">
        <w:rPr>
          <w:rFonts w:ascii="Times New Roman" w:hAnsi="Times New Roman" w:cs="Times New Roman"/>
          <w:b/>
          <w:color w:val="FF0000"/>
          <w:sz w:val="24"/>
          <w:szCs w:val="24"/>
          <w:u w:val="single"/>
        </w:rPr>
        <w:t>Mientras la expansión cuantitativa de Draghi sumó entre 2014 y 2019, 2.363.187 millones. En lo que respecta a compra de activos, públicos y privados, la pandemia y la postpandemia han sumado 2.262.420 millones entre finales de 2019 y septiembre de 2022. Mientras la expansión cuantitativa de Draghi, entre finales de 2014 y 2019, supuso un aumento de ese tipo de activos en el balance de 2.256.837 millones. Unas cifras casi idénticas, que reflejan que la política de monetizar deuda pública, sin pagar siquiera los intereses, estaba institucionalizada por los equipos directivos del BCE.</w:t>
      </w:r>
    </w:p>
    <w:p w:rsidR="00BE2592" w:rsidRPr="00397376" w:rsidRDefault="00BE2592" w:rsidP="00BE2592">
      <w:pPr>
        <w:spacing w:line="240" w:lineRule="auto"/>
        <w:jc w:val="both"/>
        <w:rPr>
          <w:rFonts w:ascii="Times New Roman" w:hAnsi="Times New Roman" w:cs="Times New Roman"/>
          <w:b/>
          <w:color w:val="FF0000"/>
          <w:sz w:val="24"/>
          <w:szCs w:val="24"/>
          <w:u w:val="single"/>
        </w:rPr>
      </w:pPr>
      <w:r w:rsidRPr="00397376">
        <w:rPr>
          <w:rFonts w:ascii="Times New Roman" w:hAnsi="Times New Roman" w:cs="Times New Roman"/>
          <w:b/>
          <w:color w:val="FF0000"/>
          <w:sz w:val="24"/>
          <w:szCs w:val="24"/>
          <w:u w:val="single"/>
        </w:rPr>
        <w:t>La diferencia entre la expansión del balance de Draghi y la de la pandemia y la postpandemia es muy evidente en el volumen de préstamos a los bancos, que no crece entre 2014 y 2019 y que aumenta en 1.496.569 millones entre 2019 y septiembre de 2022. Por su parte, el peso de los depósitos de las entidades de crédito en el pasivo aumentó en 1.446.866 millones entre 2014 y 2019 y en 2.453.252 millones desde 2019 hasta septiembre de 2022.</w:t>
      </w:r>
    </w:p>
    <w:p w:rsidR="00BE2592" w:rsidRPr="00B6038B" w:rsidRDefault="00BE2592" w:rsidP="00BE2592">
      <w:pPr>
        <w:spacing w:line="240" w:lineRule="auto"/>
        <w:jc w:val="both"/>
        <w:rPr>
          <w:rFonts w:ascii="Times New Roman" w:hAnsi="Times New Roman" w:cs="Times New Roman"/>
          <w:sz w:val="24"/>
          <w:szCs w:val="24"/>
        </w:rPr>
      </w:pPr>
      <w:r w:rsidRPr="00B6038B">
        <w:rPr>
          <w:rFonts w:ascii="Times New Roman" w:hAnsi="Times New Roman" w:cs="Times New Roman"/>
          <w:sz w:val="24"/>
          <w:szCs w:val="24"/>
        </w:rPr>
        <w:t>La evolución de la oferta monetaria y la inflación en la Unión Monetaria</w:t>
      </w:r>
    </w:p>
    <w:p w:rsidR="00BE2592" w:rsidRPr="00397376" w:rsidRDefault="00BE2592" w:rsidP="00BE2592">
      <w:pPr>
        <w:spacing w:line="240" w:lineRule="auto"/>
        <w:jc w:val="both"/>
        <w:rPr>
          <w:rFonts w:ascii="Times New Roman" w:hAnsi="Times New Roman" w:cs="Times New Roman"/>
          <w:color w:val="FF0000"/>
          <w:sz w:val="24"/>
          <w:szCs w:val="24"/>
          <w:u w:val="single"/>
        </w:rPr>
      </w:pPr>
      <w:r w:rsidRPr="00397376">
        <w:rPr>
          <w:rFonts w:ascii="Times New Roman" w:hAnsi="Times New Roman" w:cs="Times New Roman"/>
          <w:color w:val="FF0000"/>
          <w:sz w:val="24"/>
          <w:szCs w:val="24"/>
          <w:u w:val="single"/>
        </w:rPr>
        <w:t>A finales de 2014, antes de la expansión cuantitativa de Mario Draghi, la Oferta Monetaria (M3) era de 10,35 millones de euros. A finales de 2019 esa cifra era ya de 13 billones. Un crecimiento del 35%.</w:t>
      </w:r>
    </w:p>
    <w:p w:rsidR="00BE2592" w:rsidRPr="00397376" w:rsidRDefault="00BE2592" w:rsidP="00BE2592">
      <w:pPr>
        <w:spacing w:line="240" w:lineRule="auto"/>
        <w:jc w:val="both"/>
        <w:rPr>
          <w:rFonts w:ascii="Times New Roman" w:hAnsi="Times New Roman" w:cs="Times New Roman"/>
          <w:color w:val="FF0000"/>
          <w:sz w:val="24"/>
          <w:szCs w:val="24"/>
          <w:u w:val="single"/>
        </w:rPr>
      </w:pPr>
      <w:r w:rsidRPr="00397376">
        <w:rPr>
          <w:rFonts w:ascii="Times New Roman" w:hAnsi="Times New Roman" w:cs="Times New Roman"/>
          <w:color w:val="FF0000"/>
          <w:sz w:val="24"/>
          <w:szCs w:val="24"/>
          <w:u w:val="single"/>
        </w:rPr>
        <w:t>En 2020, alcanzó los 14,5 billones. En 2021, 15,5 billones y en agosto de 2022 se situaba en los 16 billones. Un crecimiento, en tres años, del 23%.</w:t>
      </w:r>
    </w:p>
    <w:p w:rsidR="00BE2592" w:rsidRPr="00B6038B" w:rsidRDefault="00BE2592" w:rsidP="00BE2592">
      <w:pPr>
        <w:spacing w:line="240" w:lineRule="auto"/>
        <w:jc w:val="both"/>
        <w:rPr>
          <w:rFonts w:ascii="Times New Roman" w:hAnsi="Times New Roman" w:cs="Times New Roman"/>
          <w:sz w:val="24"/>
          <w:szCs w:val="24"/>
        </w:rPr>
      </w:pPr>
      <w:r w:rsidRPr="00397376">
        <w:rPr>
          <w:rFonts w:ascii="Times New Roman" w:hAnsi="Times New Roman" w:cs="Times New Roman"/>
          <w:color w:val="FF0000"/>
          <w:sz w:val="24"/>
          <w:szCs w:val="24"/>
          <w:u w:val="single"/>
        </w:rPr>
        <w:t>Un crecimiento, por tanto, del 58% desde 2014 hasta la fecha. Que, teóricamente, tendría que haber producido una subida de precios porcentualmente parecida en ese mismo periodo si no hubiera habido cambios en la velocidad de circulación del dinero ni en la actividad económica. Lo que no ha ocurrido porque, como se puede ver en las cifras del balance del Eurosistema, una parte muy importante del aumento del dinero en circulación se ha depositado en el BCE</w:t>
      </w:r>
      <w:r w:rsidRPr="00B6038B">
        <w:rPr>
          <w:rFonts w:ascii="Times New Roman" w:hAnsi="Times New Roman" w:cs="Times New Roman"/>
          <w:sz w:val="24"/>
          <w:szCs w:val="24"/>
        </w:rPr>
        <w:t>. Y porque lo que se denomina la velocidad de circulación del dinero se ha reducido, probablemente, por la situación bancaria. Y, obviamente, por la recesión y paralización mundial de la economía entre ma</w:t>
      </w:r>
      <w:r>
        <w:rPr>
          <w:rFonts w:ascii="Times New Roman" w:hAnsi="Times New Roman" w:cs="Times New Roman"/>
          <w:sz w:val="24"/>
          <w:szCs w:val="24"/>
        </w:rPr>
        <w:t>rzo de 2020 y mediados de 2021.</w:t>
      </w:r>
    </w:p>
    <w:p w:rsidR="00BE2592" w:rsidRPr="00397376" w:rsidRDefault="00BE2592" w:rsidP="00BE2592">
      <w:pPr>
        <w:spacing w:line="240" w:lineRule="auto"/>
        <w:jc w:val="both"/>
        <w:rPr>
          <w:rFonts w:ascii="Times New Roman" w:hAnsi="Times New Roman" w:cs="Times New Roman"/>
          <w:color w:val="FF0000"/>
          <w:sz w:val="24"/>
          <w:szCs w:val="24"/>
          <w:u w:val="single"/>
        </w:rPr>
      </w:pPr>
      <w:r w:rsidRPr="00397376">
        <w:rPr>
          <w:rFonts w:ascii="Times New Roman" w:hAnsi="Times New Roman" w:cs="Times New Roman"/>
          <w:color w:val="FF0000"/>
          <w:sz w:val="24"/>
          <w:szCs w:val="24"/>
          <w:u w:val="single"/>
        </w:rPr>
        <w:t>Los precios suben muy poco en la Eurozona entre 2014 y 2020, apenas un 7% en total. Las condiciones cambian a principios de 2021. Se recupera la demanda de bienes y servicios y suben los precios un 5%. En 2022, con un crecimiento económico mucho menor que el año anterior, los precios pueden subir, en promedio, otro 10%. En conjunto, un 22% entre 2014 y 2022.</w:t>
      </w:r>
    </w:p>
    <w:p w:rsidR="00BE2592" w:rsidRPr="00397376" w:rsidRDefault="00BE2592" w:rsidP="00BE2592">
      <w:pPr>
        <w:spacing w:line="240" w:lineRule="auto"/>
        <w:jc w:val="both"/>
        <w:rPr>
          <w:rFonts w:ascii="Times New Roman" w:hAnsi="Times New Roman" w:cs="Times New Roman"/>
          <w:color w:val="FF0000"/>
          <w:sz w:val="24"/>
          <w:szCs w:val="24"/>
          <w:u w:val="single"/>
        </w:rPr>
      </w:pPr>
      <w:r w:rsidRPr="00397376">
        <w:rPr>
          <w:rFonts w:ascii="Times New Roman" w:hAnsi="Times New Roman" w:cs="Times New Roman"/>
          <w:color w:val="FF0000"/>
          <w:sz w:val="24"/>
          <w:szCs w:val="24"/>
          <w:u w:val="single"/>
        </w:rPr>
        <w:t>Por su parte, hemos visto que el PIB de los países de la Eurozona aumentó un 9,1% entre 2014 y 2021. En conjunto, la suma de precios y de aumento del PIB en ese periodo alcanza, por tanto, un 31.1%.</w:t>
      </w:r>
    </w:p>
    <w:p w:rsidR="00BE2592" w:rsidRPr="00B6038B" w:rsidRDefault="00BE2592" w:rsidP="00BE2592">
      <w:pPr>
        <w:spacing w:line="240" w:lineRule="auto"/>
        <w:jc w:val="both"/>
        <w:rPr>
          <w:rFonts w:ascii="Times New Roman" w:hAnsi="Times New Roman" w:cs="Times New Roman"/>
          <w:sz w:val="24"/>
          <w:szCs w:val="24"/>
        </w:rPr>
      </w:pPr>
      <w:r w:rsidRPr="00B6038B">
        <w:rPr>
          <w:rFonts w:ascii="Times New Roman" w:hAnsi="Times New Roman" w:cs="Times New Roman"/>
          <w:sz w:val="24"/>
          <w:szCs w:val="24"/>
        </w:rPr>
        <w:t>Muy lejos, todavía, del 58% que ha aumentado la Oferta Monetaria en ese mismo plazo. Al haberse normalizado la actividad económica y la bancaria, la tarea del BCE es, ahora, evitar que se cierre la brecha entre Oferta Monetaria e inflación acumulada. Hasta ahora el BCE ha respondido con lentitud. En Estados Unidos, con crecimientos menores de la Oferta Monetaria, excepto en el periodo 2020-2021, ante la evidencia de que la inflación había despertado, la FED comenzó a subir los tipos de interés en abril de 2022 y el</w:t>
      </w:r>
      <w:r>
        <w:rPr>
          <w:rFonts w:ascii="Times New Roman" w:hAnsi="Times New Roman" w:cs="Times New Roman"/>
          <w:sz w:val="24"/>
          <w:szCs w:val="24"/>
        </w:rPr>
        <w:t xml:space="preserve"> BCE lo hizo 4 meses más tarde.</w:t>
      </w:r>
    </w:p>
    <w:p w:rsidR="00BE2592" w:rsidRPr="00397376" w:rsidRDefault="00BE2592" w:rsidP="00BE2592">
      <w:pPr>
        <w:spacing w:line="240" w:lineRule="auto"/>
        <w:jc w:val="both"/>
        <w:rPr>
          <w:rFonts w:ascii="Times New Roman" w:hAnsi="Times New Roman" w:cs="Times New Roman"/>
          <w:color w:val="FF0000"/>
          <w:sz w:val="24"/>
          <w:szCs w:val="24"/>
          <w:u w:val="single"/>
        </w:rPr>
      </w:pPr>
      <w:r w:rsidRPr="00397376">
        <w:rPr>
          <w:rFonts w:ascii="Times New Roman" w:hAnsi="Times New Roman" w:cs="Times New Roman"/>
          <w:color w:val="FF0000"/>
          <w:sz w:val="24"/>
          <w:szCs w:val="24"/>
          <w:u w:val="single"/>
        </w:rPr>
        <w:t xml:space="preserve">Además de la política del BCE, la Comisión Europea también colabora con el aumento de la Oferta Monetaria, al aprobar 750.000 millones de euros para la reconstrucción económica tras </w:t>
      </w:r>
      <w:r w:rsidRPr="00397376">
        <w:rPr>
          <w:rFonts w:ascii="Times New Roman" w:hAnsi="Times New Roman" w:cs="Times New Roman"/>
          <w:color w:val="FF0000"/>
          <w:sz w:val="24"/>
          <w:szCs w:val="24"/>
          <w:u w:val="single"/>
        </w:rPr>
        <w:lastRenderedPageBreak/>
        <w:t>la pandemia. Que se financiarán, obviamente, por el BCE, a tipos de interés muy reducidos. El denominado Plan para la Recuperación de la Unión Europea.</w:t>
      </w:r>
    </w:p>
    <w:p w:rsidR="00BE2592" w:rsidRPr="00397376" w:rsidRDefault="00BE2592" w:rsidP="00BE2592">
      <w:pPr>
        <w:spacing w:line="240" w:lineRule="auto"/>
        <w:jc w:val="both"/>
        <w:rPr>
          <w:rFonts w:ascii="Times New Roman" w:hAnsi="Times New Roman" w:cs="Times New Roman"/>
          <w:color w:val="FF0000"/>
          <w:sz w:val="24"/>
          <w:szCs w:val="24"/>
          <w:u w:val="single"/>
        </w:rPr>
      </w:pPr>
      <w:r w:rsidRPr="00397376">
        <w:rPr>
          <w:rFonts w:ascii="Times New Roman" w:hAnsi="Times New Roman" w:cs="Times New Roman"/>
          <w:color w:val="FF0000"/>
          <w:sz w:val="24"/>
          <w:szCs w:val="24"/>
          <w:u w:val="single"/>
        </w:rPr>
        <w:t>Otra de las consecuencias de que la cantidad de dinero en circulación siga aumentando en la Unión Europea mientras parece que no lo hace en Estados Unidos, es la desvalorización del euro frente al dólar norteamericano. Lo que acelera nuestra inflación pues, además, la energía y la mayor parte de las materias primas que importamos cotizan en dólares.</w:t>
      </w:r>
    </w:p>
    <w:p w:rsidR="00BE2592" w:rsidRPr="00B6038B" w:rsidRDefault="00BE2592" w:rsidP="00BE2592">
      <w:pPr>
        <w:spacing w:line="240" w:lineRule="auto"/>
        <w:jc w:val="both"/>
        <w:rPr>
          <w:rFonts w:ascii="Times New Roman" w:hAnsi="Times New Roman" w:cs="Times New Roman"/>
          <w:sz w:val="24"/>
          <w:szCs w:val="24"/>
        </w:rPr>
      </w:pPr>
      <w:r w:rsidRPr="00772AB4">
        <w:rPr>
          <w:rFonts w:ascii="Times New Roman" w:hAnsi="Times New Roman" w:cs="Times New Roman"/>
          <w:sz w:val="24"/>
          <w:szCs w:val="24"/>
        </w:rPr>
        <w:t>Las consecuencias (no queridas) de la política monetaria de Draghi, la pandemia y la postpandemia</w:t>
      </w:r>
    </w:p>
    <w:p w:rsidR="00BE2592" w:rsidRPr="00E071BC" w:rsidRDefault="00BE2592" w:rsidP="00BE2592">
      <w:pPr>
        <w:spacing w:line="240" w:lineRule="auto"/>
        <w:jc w:val="both"/>
        <w:rPr>
          <w:rFonts w:ascii="Times New Roman" w:hAnsi="Times New Roman" w:cs="Times New Roman"/>
          <w:color w:val="FF0000"/>
          <w:sz w:val="24"/>
          <w:szCs w:val="24"/>
          <w:u w:val="single"/>
        </w:rPr>
      </w:pPr>
      <w:r w:rsidRPr="00B6038B">
        <w:rPr>
          <w:rFonts w:ascii="Times New Roman" w:hAnsi="Times New Roman" w:cs="Times New Roman"/>
          <w:sz w:val="24"/>
          <w:szCs w:val="24"/>
        </w:rPr>
        <w:t xml:space="preserve">1) </w:t>
      </w:r>
      <w:r w:rsidRPr="00E071BC">
        <w:rPr>
          <w:rFonts w:ascii="Times New Roman" w:hAnsi="Times New Roman" w:cs="Times New Roman"/>
          <w:color w:val="FF0000"/>
          <w:sz w:val="24"/>
          <w:szCs w:val="24"/>
          <w:u w:val="single"/>
        </w:rPr>
        <w:t>La consecuencia más obvia es que ha sido fácil expandir el tamaño del balance del Eurosistema, pero que reducirlo es enormemente complicado.</w:t>
      </w:r>
    </w:p>
    <w:p w:rsidR="00BE2592" w:rsidRPr="00B6038B" w:rsidRDefault="00BE2592" w:rsidP="00BE2592">
      <w:pPr>
        <w:spacing w:line="240" w:lineRule="auto"/>
        <w:jc w:val="both"/>
        <w:rPr>
          <w:rFonts w:ascii="Times New Roman" w:hAnsi="Times New Roman" w:cs="Times New Roman"/>
          <w:sz w:val="24"/>
          <w:szCs w:val="24"/>
        </w:rPr>
      </w:pPr>
      <w:r w:rsidRPr="00B6038B">
        <w:rPr>
          <w:rFonts w:ascii="Times New Roman" w:hAnsi="Times New Roman" w:cs="Times New Roman"/>
          <w:sz w:val="24"/>
          <w:szCs w:val="24"/>
        </w:rPr>
        <w:t>Draghi decidió aprovechar la capacidad de expansión del balance en 2015. Y lo hizo doblando su tamaño en apenas tres años. Debería haber tenido en cuenta que había que dejar espacio para accidentes que obligaran a volver a rescatar el Sistema Financiero de la Unión Monetaria como él hizo en el periodo 2010-2012. No dejó mucho margen y hoy el balance, con las implicaciones que tiene para la política monetaria y fiscal, se ha multiplicado por cuatro por la pandemia y por el</w:t>
      </w:r>
      <w:r>
        <w:rPr>
          <w:rFonts w:ascii="Times New Roman" w:hAnsi="Times New Roman" w:cs="Times New Roman"/>
          <w:sz w:val="24"/>
          <w:szCs w:val="24"/>
        </w:rPr>
        <w:t xml:space="preserve"> descontrol de la postpandemia.</w:t>
      </w:r>
    </w:p>
    <w:p w:rsidR="00BE2592" w:rsidRPr="00B6038B" w:rsidRDefault="00BE2592" w:rsidP="00BE2592">
      <w:pPr>
        <w:spacing w:line="240" w:lineRule="auto"/>
        <w:jc w:val="both"/>
        <w:rPr>
          <w:rFonts w:ascii="Times New Roman" w:hAnsi="Times New Roman" w:cs="Times New Roman"/>
          <w:sz w:val="24"/>
          <w:szCs w:val="24"/>
        </w:rPr>
      </w:pPr>
      <w:r w:rsidRPr="00B6038B">
        <w:rPr>
          <w:rFonts w:ascii="Times New Roman" w:hAnsi="Times New Roman" w:cs="Times New Roman"/>
          <w:sz w:val="24"/>
          <w:szCs w:val="24"/>
        </w:rPr>
        <w:t>Más inconcebible es la política monetaria de Lagarde. No sólo no ha puesto obstáculos a seguir monetizando la deuda pública cuando la pandemia se había ralentizado, sino que ha sido beligerante con la política de bajos tipos de interés. La última aceleración del crecimiento del balance del Eurosistema se lo debemos a ella y a su equipo. Sólo quiero recordar que en abril de 2021 el BCE aprobó un nuevo criterio sobre el margen que tenían para que la inflación se estabilizara en torno al 2%. Un objetivo que creían que se tardaría años en lograr. Se creían que el aume</w:t>
      </w:r>
      <w:r>
        <w:rPr>
          <w:rFonts w:ascii="Times New Roman" w:hAnsi="Times New Roman" w:cs="Times New Roman"/>
          <w:sz w:val="24"/>
          <w:szCs w:val="24"/>
        </w:rPr>
        <w:t>nto de precios era transitorio.</w:t>
      </w:r>
    </w:p>
    <w:p w:rsidR="00BE2592" w:rsidRPr="00DB4158" w:rsidRDefault="00BE2592" w:rsidP="00BE2592">
      <w:pPr>
        <w:spacing w:line="240" w:lineRule="auto"/>
        <w:jc w:val="both"/>
        <w:rPr>
          <w:rFonts w:ascii="Times New Roman" w:hAnsi="Times New Roman" w:cs="Times New Roman"/>
          <w:b/>
          <w:color w:val="FF0000"/>
          <w:sz w:val="24"/>
          <w:szCs w:val="24"/>
          <w:u w:val="single"/>
        </w:rPr>
      </w:pPr>
      <w:r w:rsidRPr="00B6038B">
        <w:rPr>
          <w:rFonts w:ascii="Times New Roman" w:hAnsi="Times New Roman" w:cs="Times New Roman"/>
          <w:sz w:val="24"/>
          <w:szCs w:val="24"/>
        </w:rPr>
        <w:t xml:space="preserve">2) </w:t>
      </w:r>
      <w:r w:rsidRPr="00DB4158">
        <w:rPr>
          <w:rFonts w:ascii="Times New Roman" w:hAnsi="Times New Roman" w:cs="Times New Roman"/>
          <w:b/>
          <w:color w:val="FF0000"/>
          <w:sz w:val="24"/>
          <w:szCs w:val="24"/>
          <w:u w:val="single"/>
        </w:rPr>
        <w:t>La pérdida de autoridad de los Bancos Centrales. Tanto Bernanke en la FED como Draghi, mucho más tarde, en el BCE y el Banco de Inglaterra, entre los más importantes Bancos Centrales, renunciaron a su independencia y neutralidad y bendijeron la compra de deuda pública sin límite. Se inventaron una nueva política monetaria, que sólo ellos podían manejar.</w:t>
      </w:r>
    </w:p>
    <w:p w:rsidR="00BE2592" w:rsidRPr="00DB4158" w:rsidRDefault="00BE2592" w:rsidP="00BE2592">
      <w:pPr>
        <w:spacing w:line="240" w:lineRule="auto"/>
        <w:jc w:val="both"/>
        <w:rPr>
          <w:rFonts w:ascii="Times New Roman" w:hAnsi="Times New Roman" w:cs="Times New Roman"/>
          <w:b/>
          <w:color w:val="FF0000"/>
          <w:sz w:val="24"/>
          <w:szCs w:val="24"/>
          <w:u w:val="single"/>
        </w:rPr>
      </w:pPr>
      <w:r w:rsidRPr="00DB4158">
        <w:rPr>
          <w:rFonts w:ascii="Times New Roman" w:hAnsi="Times New Roman" w:cs="Times New Roman"/>
          <w:b/>
          <w:color w:val="FF0000"/>
          <w:sz w:val="24"/>
          <w:szCs w:val="24"/>
          <w:u w:val="single"/>
        </w:rPr>
        <w:t>El BCE se convirtió en el único banco comercial de la Eurozona. Financiaba presupuestos equilibrados y desequilibrados. Daba dinero a la banca para que diera créditos con unos objetivos cada vez más etéreos.</w:t>
      </w:r>
    </w:p>
    <w:p w:rsidR="00BE2592" w:rsidRPr="00DB4158" w:rsidRDefault="00BE2592" w:rsidP="00BE2592">
      <w:pPr>
        <w:spacing w:line="240" w:lineRule="auto"/>
        <w:jc w:val="both"/>
        <w:rPr>
          <w:rFonts w:ascii="Times New Roman" w:hAnsi="Times New Roman" w:cs="Times New Roman"/>
          <w:b/>
          <w:color w:val="FF0000"/>
          <w:sz w:val="24"/>
          <w:szCs w:val="24"/>
          <w:u w:val="single"/>
        </w:rPr>
      </w:pPr>
      <w:r w:rsidRPr="00DB4158">
        <w:rPr>
          <w:rFonts w:ascii="Times New Roman" w:hAnsi="Times New Roman" w:cs="Times New Roman"/>
          <w:b/>
          <w:color w:val="FF0000"/>
          <w:sz w:val="24"/>
          <w:szCs w:val="24"/>
          <w:u w:val="single"/>
        </w:rPr>
        <w:t>Ese cambio de comportamiento no les permite ahora tomar las medidas necesarias para controlar la emisión de deuda pública. Incluso la subida de tipos de interés la justifican tibiamente. Saben que han perdido prestigio, credibilidad y, sobre todo, autoridad.</w:t>
      </w:r>
    </w:p>
    <w:p w:rsidR="00BE2592" w:rsidRPr="00B6038B" w:rsidRDefault="00BE2592" w:rsidP="00BE2592">
      <w:pPr>
        <w:spacing w:line="240" w:lineRule="auto"/>
        <w:jc w:val="both"/>
        <w:rPr>
          <w:rFonts w:ascii="Times New Roman" w:hAnsi="Times New Roman" w:cs="Times New Roman"/>
          <w:sz w:val="24"/>
          <w:szCs w:val="24"/>
        </w:rPr>
      </w:pPr>
      <w:r w:rsidRPr="00B6038B">
        <w:rPr>
          <w:rFonts w:ascii="Times New Roman" w:hAnsi="Times New Roman" w:cs="Times New Roman"/>
          <w:sz w:val="24"/>
          <w:szCs w:val="24"/>
        </w:rPr>
        <w:t xml:space="preserve">3) </w:t>
      </w:r>
      <w:r w:rsidRPr="00DB4158">
        <w:rPr>
          <w:rFonts w:ascii="Times New Roman" w:hAnsi="Times New Roman" w:cs="Times New Roman"/>
          <w:b/>
          <w:color w:val="FF0000"/>
          <w:sz w:val="24"/>
          <w:szCs w:val="24"/>
          <w:u w:val="single"/>
        </w:rPr>
        <w:t>Tampoco previeron los Banqueros Centrales que su nueva política monetaria, que permitió a todos los gobiernos aumentar el gasto público sin preocuparse por cómo se financiaba, tenía el riesgo de que aumentara el volumen de deuda pública hasta niveles inmanejables; si alguna vez los tipos de interés dejaban de ser cero o negativos</w:t>
      </w:r>
      <w:r w:rsidRPr="00B6038B">
        <w:rPr>
          <w:rFonts w:ascii="Times New Roman" w:hAnsi="Times New Roman" w:cs="Times New Roman"/>
          <w:sz w:val="24"/>
          <w:szCs w:val="24"/>
        </w:rPr>
        <w:t>. España es un ejemplo. En 2019 la deuda pública era el 100% del PIB. En 2022 terminará en torno al 117% del PIB. Si los tipos de interés a los que se coloca esa deuda subieran al 4%, por ejemplo, el gasto en intereses supondría más de 60.000 millones de euros anuales. Ese gasto no se producirá en uno, sino en cinco o seis año</w:t>
      </w:r>
      <w:r>
        <w:rPr>
          <w:rFonts w:ascii="Times New Roman" w:hAnsi="Times New Roman" w:cs="Times New Roman"/>
          <w:sz w:val="24"/>
          <w:szCs w:val="24"/>
        </w:rPr>
        <w:t>s, pero es seguro que ocurrirá.</w:t>
      </w:r>
    </w:p>
    <w:p w:rsidR="00BE2592" w:rsidRPr="00DB4158" w:rsidRDefault="00BE2592" w:rsidP="00BE2592">
      <w:pPr>
        <w:spacing w:line="240" w:lineRule="auto"/>
        <w:jc w:val="both"/>
        <w:rPr>
          <w:rFonts w:ascii="Times New Roman" w:hAnsi="Times New Roman" w:cs="Times New Roman"/>
          <w:color w:val="FF0000"/>
          <w:sz w:val="24"/>
          <w:szCs w:val="24"/>
          <w:u w:val="single"/>
        </w:rPr>
      </w:pPr>
      <w:r w:rsidRPr="00B6038B">
        <w:rPr>
          <w:rFonts w:ascii="Times New Roman" w:hAnsi="Times New Roman" w:cs="Times New Roman"/>
          <w:sz w:val="24"/>
          <w:szCs w:val="24"/>
        </w:rPr>
        <w:lastRenderedPageBreak/>
        <w:t xml:space="preserve">Una situación común al conjunto de los países miembros de la Unión Monetaria que tienen una deuda pública superior al 100% del PIB. Por lo que </w:t>
      </w:r>
      <w:r w:rsidRPr="00DB4158">
        <w:rPr>
          <w:rFonts w:ascii="Times New Roman" w:hAnsi="Times New Roman" w:cs="Times New Roman"/>
          <w:color w:val="FF0000"/>
          <w:sz w:val="24"/>
          <w:szCs w:val="24"/>
          <w:u w:val="single"/>
        </w:rPr>
        <w:t>la subida de los tipos de interés tiene el efecto de reducir el crecimiento económico y de aumentar el déficit público, hasta cuantías que, a su vez, pueden obligar a volver a aumentar los tipos de interés.</w:t>
      </w:r>
    </w:p>
    <w:p w:rsidR="00BE2592" w:rsidRPr="00B6038B" w:rsidRDefault="00BE2592" w:rsidP="00BE2592">
      <w:pPr>
        <w:spacing w:line="240" w:lineRule="auto"/>
        <w:jc w:val="both"/>
        <w:rPr>
          <w:rFonts w:ascii="Times New Roman" w:hAnsi="Times New Roman" w:cs="Times New Roman"/>
          <w:sz w:val="24"/>
          <w:szCs w:val="24"/>
        </w:rPr>
      </w:pPr>
      <w:r w:rsidRPr="00B6038B">
        <w:rPr>
          <w:rFonts w:ascii="Times New Roman" w:hAnsi="Times New Roman" w:cs="Times New Roman"/>
          <w:sz w:val="24"/>
          <w:szCs w:val="24"/>
        </w:rPr>
        <w:t xml:space="preserve">4) </w:t>
      </w:r>
      <w:r w:rsidRPr="00DB4158">
        <w:rPr>
          <w:rFonts w:ascii="Times New Roman" w:hAnsi="Times New Roman" w:cs="Times New Roman"/>
          <w:b/>
          <w:color w:val="FF0000"/>
          <w:sz w:val="24"/>
          <w:szCs w:val="24"/>
          <w:u w:val="single"/>
        </w:rPr>
        <w:t>El impulso al populismo político. La política de gasto público financiada sin problemas por los Bancos Centrales ha reafirmado el convencimiento de los progresistas de todos los partidos de que había que incrementar el gasto social. Ellos parecían tener razón. Por su parte, los conservadores se han encontrado con que no tenían argumentos para defender la moderación en el gasto público y los equilibrios presupuestarios. Esa política la habían dejado de defender incluso los Bancos Centrales. Por eso, todos los partidos son ahora populistas en el gasto público</w:t>
      </w:r>
      <w:r w:rsidRPr="00B6038B">
        <w:rPr>
          <w:rFonts w:ascii="Times New Roman" w:hAnsi="Times New Roman" w:cs="Times New Roman"/>
          <w:sz w:val="24"/>
          <w:szCs w:val="24"/>
        </w:rPr>
        <w:t>. Son tan populistas Biden como el amoral Trump, la dimitida Liz Truss, que ni siquiera había discutido su plan fiscal con el Banco de Inglaterra, como nuestro también amoral presidente del gobierno.</w:t>
      </w:r>
    </w:p>
    <w:p w:rsidR="00BE2592" w:rsidRPr="00DB4158" w:rsidRDefault="00BE2592" w:rsidP="00BE2592">
      <w:pPr>
        <w:spacing w:line="240" w:lineRule="auto"/>
        <w:jc w:val="both"/>
        <w:rPr>
          <w:rFonts w:ascii="Times New Roman" w:hAnsi="Times New Roman" w:cs="Times New Roman"/>
          <w:b/>
          <w:color w:val="FF0000"/>
          <w:sz w:val="24"/>
          <w:szCs w:val="24"/>
          <w:u w:val="single"/>
        </w:rPr>
      </w:pPr>
      <w:r w:rsidRPr="00B6038B">
        <w:rPr>
          <w:rFonts w:ascii="Times New Roman" w:hAnsi="Times New Roman" w:cs="Times New Roman"/>
          <w:sz w:val="24"/>
          <w:szCs w:val="24"/>
        </w:rPr>
        <w:t xml:space="preserve">5) </w:t>
      </w:r>
      <w:r w:rsidRPr="00DB4158">
        <w:rPr>
          <w:rFonts w:ascii="Times New Roman" w:hAnsi="Times New Roman" w:cs="Times New Roman"/>
          <w:b/>
          <w:color w:val="FF0000"/>
          <w:sz w:val="24"/>
          <w:szCs w:val="24"/>
          <w:u w:val="single"/>
        </w:rPr>
        <w:t>La debilidad de la propia Unión Monetaria. El Draghi del “whatever it takes” ha sido sepultado por el de la “expansión cuantitativa”. El primero afianzó el euro en un momento crucial. El otro, junto con Lagarde, la pandemia y la postpandemia volverán, probablemente, a poner al euro en el disparadero.</w:t>
      </w:r>
    </w:p>
    <w:p w:rsidR="00BE2592" w:rsidRPr="00DB4158" w:rsidRDefault="00BE2592" w:rsidP="00BE2592">
      <w:pPr>
        <w:spacing w:line="240" w:lineRule="auto"/>
        <w:jc w:val="both"/>
        <w:rPr>
          <w:rFonts w:ascii="Times New Roman" w:hAnsi="Times New Roman" w:cs="Times New Roman"/>
          <w:sz w:val="24"/>
          <w:szCs w:val="24"/>
          <w:u w:val="single"/>
        </w:rPr>
      </w:pPr>
      <w:r w:rsidRPr="00DB4158">
        <w:rPr>
          <w:rFonts w:ascii="Times New Roman" w:hAnsi="Times New Roman" w:cs="Times New Roman"/>
          <w:sz w:val="24"/>
          <w:szCs w:val="24"/>
          <w:u w:val="single"/>
        </w:rPr>
        <w:t>Las diferencias económicas entre los 25 países que tienen el euro como moneda, son cada vez más evidentes. Los tipos de interés a los que cada uno coloca su deuda pública son cada vez más dispares. Si esas diferencias continúan ensanchándose será muy difícil evitar una crisis como la de 2010-2011</w:t>
      </w:r>
      <w:r w:rsidRPr="00B6038B">
        <w:rPr>
          <w:rFonts w:ascii="Times New Roman" w:hAnsi="Times New Roman" w:cs="Times New Roman"/>
          <w:sz w:val="24"/>
          <w:szCs w:val="24"/>
        </w:rPr>
        <w:t xml:space="preserve">. El BCE ha aprobado un sistema de compensación para paliarlo. Pero parece muy frágil y posiblemente generará enfrentamientos entre los países miembros si los costes de igualar los tipos de interés entre los miembros se aceleraran. </w:t>
      </w:r>
      <w:r w:rsidRPr="00DB4158">
        <w:rPr>
          <w:rFonts w:ascii="Times New Roman" w:hAnsi="Times New Roman" w:cs="Times New Roman"/>
          <w:sz w:val="24"/>
          <w:szCs w:val="24"/>
          <w:u w:val="single"/>
        </w:rPr>
        <w:t>Las diferencias entre el Norte y el Sur podrían reaparecer. Otra vez.</w:t>
      </w:r>
    </w:p>
    <w:p w:rsidR="00BE2592" w:rsidRPr="00DB4158" w:rsidRDefault="00BE2592" w:rsidP="00BE2592">
      <w:pPr>
        <w:spacing w:line="240" w:lineRule="auto"/>
        <w:jc w:val="both"/>
        <w:rPr>
          <w:rFonts w:ascii="Times New Roman" w:hAnsi="Times New Roman" w:cs="Times New Roman"/>
          <w:color w:val="FF0000"/>
          <w:sz w:val="24"/>
          <w:szCs w:val="24"/>
          <w:u w:val="single"/>
        </w:rPr>
      </w:pPr>
      <w:r w:rsidRPr="00DB4158">
        <w:rPr>
          <w:rFonts w:ascii="Times New Roman" w:hAnsi="Times New Roman" w:cs="Times New Roman"/>
          <w:color w:val="FF0000"/>
          <w:sz w:val="24"/>
          <w:szCs w:val="24"/>
          <w:u w:val="single"/>
        </w:rPr>
        <w:t>Estas cinco “unintended consequences” de la nueva política monetaria no son las únicas. Son sólo un recordatorio de que las decisiones monetarias que se alejan de la neutralidad y la prudencia terminan por convertirse en problemas que pueden ser casi insolubles.</w:t>
      </w:r>
    </w:p>
    <w:p w:rsidR="00BE2592" w:rsidRDefault="002B128B" w:rsidP="0041338F">
      <w:pPr>
        <w:pStyle w:val="NormalWeb"/>
        <w:spacing w:after="360"/>
        <w:jc w:val="both"/>
        <w:rPr>
          <w:b/>
        </w:rPr>
      </w:pPr>
      <w:r>
        <w:rPr>
          <w:b/>
        </w:rPr>
        <w:t>El gozo en un pozo (una versión de síntesis, políticamente incorrecta)</w:t>
      </w:r>
    </w:p>
    <w:p w:rsidR="002B128B" w:rsidRDefault="00991ACD" w:rsidP="002B128B">
      <w:pPr>
        <w:pStyle w:val="NormalWeb"/>
        <w:spacing w:after="360"/>
        <w:jc w:val="both"/>
        <w:rPr>
          <w:b/>
        </w:rPr>
      </w:pPr>
      <w:r w:rsidRPr="000F3BEC">
        <w:rPr>
          <w:noProof/>
        </w:rPr>
        <w:drawing>
          <wp:inline distT="0" distB="0" distL="0" distR="0" wp14:anchorId="1B326A3F" wp14:editId="7822C48E">
            <wp:extent cx="5556250" cy="3028950"/>
            <wp:effectExtent l="0" t="0" r="6350" b="0"/>
            <wp:docPr id="1" name="Imagen 1" descr="Foto: Bandera de la Unión Europea.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oto: Bandera de la Unión Europea. "/>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556250" cy="3028950"/>
                    </a:xfrm>
                    <a:prstGeom prst="rect">
                      <a:avLst/>
                    </a:prstGeom>
                    <a:noFill/>
                    <a:ln>
                      <a:noFill/>
                    </a:ln>
                  </pic:spPr>
                </pic:pic>
              </a:graphicData>
            </a:graphic>
          </wp:inline>
        </w:drawing>
      </w:r>
      <w:r w:rsidR="00762D2D">
        <w:rPr>
          <w:b/>
        </w:rPr>
        <w:t xml:space="preserve"> </w:t>
      </w:r>
    </w:p>
    <w:p w:rsidR="0041338F" w:rsidRPr="00E071BC" w:rsidRDefault="0041338F" w:rsidP="002B128B">
      <w:pPr>
        <w:pStyle w:val="NormalWeb"/>
        <w:spacing w:after="360"/>
        <w:jc w:val="both"/>
        <w:rPr>
          <w:b/>
        </w:rPr>
      </w:pPr>
      <w:r w:rsidRPr="00E071BC">
        <w:lastRenderedPageBreak/>
        <w:t>Los tipos de interés siguen subiendo. Se avecina una fuerte recesión. Las cadenas de suministro siguen siendo caóticas, la guerra en Ucrania se prolonga y la inflación no da señales de estar bajo control. No es de extrañar que los resultados económicos de los países avanzados se vean afectados. Con la única excepción, tal vez, de la Unión Europea, que lo ha hecho tan mal en los últimos 18 años (2008-2022) que difícilmente podría hacerlo peor. Aunque los burócratas de Bruselas… lo sigan intentando.</w:t>
      </w:r>
    </w:p>
    <w:p w:rsidR="0041338F" w:rsidRPr="00E071BC" w:rsidRDefault="0041338F" w:rsidP="0041338F">
      <w:pPr>
        <w:pStyle w:val="NormalWeb"/>
        <w:spacing w:after="0"/>
        <w:jc w:val="both"/>
        <w:textAlignment w:val="baseline"/>
      </w:pPr>
      <w:r w:rsidRPr="00E071BC">
        <w:t>No hay ningún misterio sobre por qué los mercados son tan débiles. Dos años en los que nos hemos quedado en casa mientras todos los gobiernos importantes del mundo imprimían miles de millones de dinero extra para pagar todo han creado una inflación a una escala que no habíamos visto en una generación o más. La única herramienta que tienen los bancos centrales para volver a controlarla es subir los tipos de interés y, si es necesario, empujar la economía a una recesión. Aunque el BCE… intente jugar al límite de su mandato.</w:t>
      </w:r>
    </w:p>
    <w:p w:rsidR="004067FD" w:rsidRPr="00E071BC" w:rsidRDefault="004067FD" w:rsidP="004067FD">
      <w:pPr>
        <w:pStyle w:val="selectionshareable"/>
        <w:shd w:val="clear" w:color="auto" w:fill="FFFFFF"/>
        <w:spacing w:after="300"/>
        <w:jc w:val="both"/>
        <w:textAlignment w:val="baseline"/>
        <w:rPr>
          <w:shd w:val="clear" w:color="auto" w:fill="FFFFFF"/>
        </w:rPr>
      </w:pPr>
      <w:r w:rsidRPr="00E071BC">
        <w:rPr>
          <w:shd w:val="clear" w:color="auto" w:fill="FFFFFF"/>
        </w:rPr>
        <w:t xml:space="preserve">Para “tranquilizar a los mercados” (sic), los bancos centrales (de los países avanzados, y de los demás, en la medida de sus “temeridades”), antes </w:t>
      </w:r>
      <w:r w:rsidR="002B128B" w:rsidRPr="00E071BC">
        <w:rPr>
          <w:shd w:val="clear" w:color="auto" w:fill="FFFFFF"/>
        </w:rPr>
        <w:t>(2008) y ahora (2020-2021) han</w:t>
      </w:r>
      <w:r w:rsidRPr="00E071BC">
        <w:rPr>
          <w:shd w:val="clear" w:color="auto" w:fill="FFFFFF"/>
        </w:rPr>
        <w:t xml:space="preserve"> </w:t>
      </w:r>
      <w:r w:rsidR="001D02F7" w:rsidRPr="00E071BC">
        <w:rPr>
          <w:shd w:val="clear" w:color="auto" w:fill="FFFFFF"/>
        </w:rPr>
        <w:t>fabricado</w:t>
      </w:r>
      <w:r w:rsidRPr="00E071BC">
        <w:rPr>
          <w:shd w:val="clear" w:color="auto" w:fill="FFFFFF"/>
        </w:rPr>
        <w:t xml:space="preserve"> dos cosas: billetes a mansalva y una bomba que ellos mismos deberán desactivar con grandes posibilidades de ser alcanzados por las esquirlas. Ninguno de nosotros (vivamos en el lado bueno, o en el lado malo, de las vías del tren) estará a salvo de ellas. La pregunta del momento es entonces qué harán realmente los bancos centrales “el día después”, cuánto pesará en su decisión la  pesadísima e inmovilizante armadura de plomo que los protege, y cuánto podrán maniobrar sin “irritar” a los “amos del universo” (principales beneficiarios del relajamiento monetario), y “fastidiar” al poder político (cómplices necesarios, de la gran estafa inflacionaria).</w:t>
      </w:r>
    </w:p>
    <w:p w:rsidR="004067FD" w:rsidRPr="00E071BC" w:rsidRDefault="004067FD" w:rsidP="004067FD">
      <w:pPr>
        <w:pStyle w:val="selectionshareable"/>
        <w:shd w:val="clear" w:color="auto" w:fill="FFFFFF"/>
        <w:spacing w:after="300"/>
        <w:jc w:val="both"/>
        <w:textAlignment w:val="baseline"/>
        <w:rPr>
          <w:shd w:val="clear" w:color="auto" w:fill="FFFFFF"/>
        </w:rPr>
      </w:pPr>
      <w:r w:rsidRPr="00E071BC">
        <w:rPr>
          <w:shd w:val="clear" w:color="auto" w:fill="FFFFFF"/>
        </w:rPr>
        <w:t>Analizando sus actuaciones anteriores (desde el año 2008 en adelante), es más que probable, que lo hagan con el concurso, de esos mecanismos medianamente sinceros de la mala fe. Si no fuera tan infantil creeríamos que esta gente se ha vuelto idiota. Meros “burócratas megalómanos”, asentados en una anodina posmodernidad. Resultan tan previsibles como los matasuegras en las fiestas: algo inventado para alegrar pero que da grima.</w:t>
      </w:r>
    </w:p>
    <w:p w:rsidR="002B128B" w:rsidRPr="00E071BC" w:rsidRDefault="002B128B" w:rsidP="004067FD">
      <w:pPr>
        <w:pStyle w:val="selectionshareable"/>
        <w:shd w:val="clear" w:color="auto" w:fill="FFFFFF"/>
        <w:spacing w:after="300"/>
        <w:jc w:val="both"/>
        <w:textAlignment w:val="baseline"/>
        <w:rPr>
          <w:shd w:val="clear" w:color="auto" w:fill="FFFFFF"/>
        </w:rPr>
      </w:pPr>
      <w:r w:rsidRPr="00E071BC">
        <w:rPr>
          <w:shd w:val="clear" w:color="auto" w:fill="FFFFFF"/>
        </w:rPr>
        <w:t>Después de lo vivido y padecido por los ciudadanos eur</w:t>
      </w:r>
      <w:r w:rsidR="009668F6" w:rsidRPr="00E071BC">
        <w:rPr>
          <w:shd w:val="clear" w:color="auto" w:fill="FFFFFF"/>
        </w:rPr>
        <w:t xml:space="preserve">opeos, </w:t>
      </w:r>
      <w:r w:rsidRPr="00E071BC">
        <w:rPr>
          <w:shd w:val="clear" w:color="auto" w:fill="FFFFFF"/>
        </w:rPr>
        <w:t>desde</w:t>
      </w:r>
      <w:r w:rsidR="009668F6" w:rsidRPr="00E071BC">
        <w:rPr>
          <w:shd w:val="clear" w:color="auto" w:fill="FFFFFF"/>
        </w:rPr>
        <w:t xml:space="preserve"> el año</w:t>
      </w:r>
      <w:r w:rsidRPr="00E071BC">
        <w:rPr>
          <w:shd w:val="clear" w:color="auto" w:fill="FFFFFF"/>
        </w:rPr>
        <w:t xml:space="preserve"> 2008 en adelante</w:t>
      </w:r>
      <w:r w:rsidR="009668F6" w:rsidRPr="00E071BC">
        <w:rPr>
          <w:shd w:val="clear" w:color="auto" w:fill="FFFFFF"/>
        </w:rPr>
        <w:t xml:space="preserve"> (aunque este</w:t>
      </w:r>
      <w:r w:rsidRPr="00E071BC">
        <w:rPr>
          <w:shd w:val="clear" w:color="auto" w:fill="FFFFFF"/>
        </w:rPr>
        <w:t xml:space="preserve"> proceso de “</w:t>
      </w:r>
      <w:r w:rsidR="009668F6" w:rsidRPr="00E071BC">
        <w:rPr>
          <w:shd w:val="clear" w:color="auto" w:fill="FFFFFF"/>
        </w:rPr>
        <w:t>involución perma</w:t>
      </w:r>
      <w:r w:rsidRPr="00E071BC">
        <w:rPr>
          <w:shd w:val="clear" w:color="auto" w:fill="FFFFFF"/>
        </w:rPr>
        <w:t>nente</w:t>
      </w:r>
      <w:r w:rsidR="009668F6" w:rsidRPr="00E071BC">
        <w:rPr>
          <w:shd w:val="clear" w:color="auto" w:fill="FFFFFF"/>
        </w:rPr>
        <w:t>” se inicia en 1980, con Reagan y Thatcher, a los mandos), los cautivos c</w:t>
      </w:r>
      <w:r w:rsidR="00B5431F" w:rsidRPr="00E071BC">
        <w:rPr>
          <w:shd w:val="clear" w:color="auto" w:fill="FFFFFF"/>
        </w:rPr>
        <w:t>ontribuyentes, tienen derecho a</w:t>
      </w:r>
      <w:r w:rsidR="009668F6" w:rsidRPr="00E071BC">
        <w:rPr>
          <w:shd w:val="clear" w:color="auto" w:fill="FFFFFF"/>
        </w:rPr>
        <w:t xml:space="preserve"> preguntar:</w:t>
      </w:r>
    </w:p>
    <w:p w:rsidR="00E23A7B" w:rsidRDefault="00E23A7B" w:rsidP="00E23A7B">
      <w:pPr>
        <w:pStyle w:val="NormalWeb"/>
        <w:spacing w:after="360"/>
        <w:jc w:val="both"/>
      </w:pPr>
      <w:r>
        <w:t>¿Para qué sirvió el proceso de devaluación interna?</w:t>
      </w:r>
    </w:p>
    <w:p w:rsidR="009668F6" w:rsidRDefault="009668F6" w:rsidP="00E23A7B">
      <w:pPr>
        <w:pStyle w:val="NormalWeb"/>
        <w:spacing w:after="360"/>
        <w:jc w:val="both"/>
      </w:pPr>
      <w:r>
        <w:t>¿Para qué sirvió la agresiva represión financiera y el castigo al ahorro?</w:t>
      </w:r>
    </w:p>
    <w:p w:rsidR="00E23A7B" w:rsidRDefault="00E23A7B" w:rsidP="00E23A7B">
      <w:pPr>
        <w:pStyle w:val="NormalWeb"/>
        <w:spacing w:after="360"/>
        <w:jc w:val="both"/>
      </w:pPr>
      <w:r>
        <w:t>¿Para qué sirvió laminar el estado de bienestar?</w:t>
      </w:r>
    </w:p>
    <w:p w:rsidR="00E23A7B" w:rsidRDefault="00E23A7B" w:rsidP="00E23A7B">
      <w:pPr>
        <w:pStyle w:val="NormalWeb"/>
        <w:spacing w:after="360"/>
        <w:jc w:val="both"/>
      </w:pPr>
      <w:r>
        <w:t>¿Para qué sirvió el empobrecimiento de la clase trabajadora?</w:t>
      </w:r>
    </w:p>
    <w:p w:rsidR="00E23A7B" w:rsidRDefault="00E23A7B" w:rsidP="00E23A7B">
      <w:pPr>
        <w:pStyle w:val="NormalWeb"/>
        <w:spacing w:after="360"/>
        <w:jc w:val="both"/>
      </w:pPr>
      <w:r>
        <w:t>¿Para qué sirvió la ingente cantidad de recursos públicos que se lanzaron al mercado?</w:t>
      </w:r>
    </w:p>
    <w:p w:rsidR="00E23A7B" w:rsidRDefault="00E23A7B" w:rsidP="00E23A7B">
      <w:pPr>
        <w:pStyle w:val="NormalWeb"/>
        <w:spacing w:after="360"/>
        <w:jc w:val="both"/>
      </w:pPr>
      <w:r>
        <w:t>¿Para qué sirvió el gas de la risa (relajamiento monetario del BCE)?</w:t>
      </w:r>
    </w:p>
    <w:p w:rsidR="009668F6" w:rsidRDefault="009668F6" w:rsidP="00E23A7B">
      <w:pPr>
        <w:pStyle w:val="NormalWeb"/>
        <w:spacing w:after="360"/>
        <w:jc w:val="both"/>
      </w:pPr>
      <w:r>
        <w:t>Veamos algunos datos que pueden ayudar a dar o quitar razón a lo actuado:</w:t>
      </w:r>
    </w:p>
    <w:p w:rsidR="009668F6" w:rsidRDefault="009668F6" w:rsidP="00E23A7B">
      <w:pPr>
        <w:pStyle w:val="NormalWeb"/>
        <w:spacing w:after="360"/>
        <w:jc w:val="both"/>
      </w:pPr>
    </w:p>
    <w:p w:rsidR="001D2FD6" w:rsidRPr="001D2FD6" w:rsidRDefault="009668F6" w:rsidP="00E23A7B">
      <w:pPr>
        <w:pStyle w:val="NormalWeb"/>
        <w:spacing w:after="360"/>
        <w:jc w:val="both"/>
        <w:rPr>
          <w:lang w:val="en-US"/>
        </w:rPr>
      </w:pPr>
      <w:r w:rsidRPr="00E43F9C">
        <w:lastRenderedPageBreak/>
        <w:t xml:space="preserve">                  </w:t>
      </w:r>
      <w:r w:rsidR="00E23A7B" w:rsidRPr="007C7B5A">
        <w:rPr>
          <w:noProof/>
        </w:rPr>
        <w:drawing>
          <wp:inline distT="0" distB="0" distL="0" distR="0" wp14:anchorId="7525C353" wp14:editId="44C33D9D">
            <wp:extent cx="4400550" cy="3784600"/>
            <wp:effectExtent l="0" t="0" r="0" b="635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4401165" cy="3785129"/>
                    </a:xfrm>
                    <a:prstGeom prst="rect">
                      <a:avLst/>
                    </a:prstGeom>
                  </pic:spPr>
                </pic:pic>
              </a:graphicData>
            </a:graphic>
          </wp:inline>
        </w:drawing>
      </w:r>
    </w:p>
    <w:p w:rsidR="00E23A7B" w:rsidRPr="00E43F9C" w:rsidRDefault="001D2FD6" w:rsidP="00E23A7B">
      <w:pPr>
        <w:pStyle w:val="NormalWeb"/>
        <w:spacing w:after="360"/>
        <w:jc w:val="both"/>
      </w:pPr>
      <w:r w:rsidRPr="00E43F9C">
        <w:t xml:space="preserve">    </w:t>
      </w:r>
      <w:r w:rsidR="00E23A7B" w:rsidRPr="007C7B5A">
        <w:rPr>
          <w:noProof/>
        </w:rPr>
        <w:drawing>
          <wp:inline distT="0" distB="0" distL="0" distR="0" wp14:anchorId="111F909F" wp14:editId="02FBDC69">
            <wp:extent cx="5734050" cy="4572000"/>
            <wp:effectExtent l="0" t="0" r="0" b="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731510" cy="4569975"/>
                    </a:xfrm>
                    <a:prstGeom prst="rect">
                      <a:avLst/>
                    </a:prstGeom>
                  </pic:spPr>
                </pic:pic>
              </a:graphicData>
            </a:graphic>
          </wp:inline>
        </w:drawing>
      </w:r>
    </w:p>
    <w:p w:rsidR="001D2FD6" w:rsidRPr="00E071BC" w:rsidRDefault="001D2FD6" w:rsidP="001D2FD6">
      <w:pPr>
        <w:spacing w:line="240" w:lineRule="auto"/>
        <w:jc w:val="both"/>
        <w:rPr>
          <w:rFonts w:ascii="Times New Roman" w:hAnsi="Times New Roman" w:cs="Times New Roman"/>
          <w:b/>
          <w:sz w:val="24"/>
          <w:szCs w:val="24"/>
        </w:rPr>
      </w:pPr>
      <w:r w:rsidRPr="00E071BC">
        <w:rPr>
          <w:rFonts w:ascii="Times New Roman" w:hAnsi="Times New Roman" w:cs="Times New Roman"/>
          <w:b/>
          <w:sz w:val="24"/>
          <w:szCs w:val="24"/>
        </w:rPr>
        <w:lastRenderedPageBreak/>
        <w:t>¿Banqueros o magos?</w:t>
      </w:r>
    </w:p>
    <w:p w:rsidR="001D2FD6" w:rsidRPr="00E071BC" w:rsidRDefault="00B5431F" w:rsidP="001D2FD6">
      <w:pPr>
        <w:spacing w:line="240" w:lineRule="auto"/>
        <w:jc w:val="both"/>
        <w:rPr>
          <w:rFonts w:ascii="Times New Roman" w:hAnsi="Times New Roman" w:cs="Times New Roman"/>
          <w:sz w:val="24"/>
          <w:szCs w:val="24"/>
        </w:rPr>
      </w:pPr>
      <w:r w:rsidRPr="00E071BC">
        <w:rPr>
          <w:rFonts w:ascii="Times New Roman" w:hAnsi="Times New Roman" w:cs="Times New Roman"/>
          <w:sz w:val="24"/>
          <w:szCs w:val="24"/>
        </w:rPr>
        <w:t xml:space="preserve">Año 2020: </w:t>
      </w:r>
      <w:r w:rsidR="001D2FD6" w:rsidRPr="00E071BC">
        <w:rPr>
          <w:rFonts w:ascii="Times New Roman" w:hAnsi="Times New Roman" w:cs="Times New Roman"/>
          <w:sz w:val="24"/>
          <w:szCs w:val="24"/>
        </w:rPr>
        <w:t>Una pandemia como no se recuerda ha paralizado la vida tal y como la conocíamos. En medio de la tragedia que viven millones de personas en todo el mundo, la economía queda congelada a medida que se aplican unos hasta ese momento impensables confinamientos. Los bancos centrales dan un paso al frente y se comprometen a sostener la economía. El PIB se desploma, pero aumenta enormemente la cantidad de dinero.</w:t>
      </w:r>
    </w:p>
    <w:p w:rsidR="001D2FD6" w:rsidRPr="00E071BC" w:rsidRDefault="001D2FD6" w:rsidP="001D2FD6">
      <w:pPr>
        <w:spacing w:line="240" w:lineRule="auto"/>
        <w:jc w:val="both"/>
        <w:rPr>
          <w:rFonts w:ascii="Times New Roman" w:hAnsi="Times New Roman" w:cs="Times New Roman"/>
          <w:sz w:val="24"/>
          <w:szCs w:val="24"/>
        </w:rPr>
      </w:pPr>
      <w:r w:rsidRPr="00E071BC">
        <w:rPr>
          <w:rFonts w:ascii="Times New Roman" w:hAnsi="Times New Roman" w:cs="Times New Roman"/>
          <w:sz w:val="24"/>
          <w:szCs w:val="24"/>
        </w:rPr>
        <w:t>Los porcentajes y las cifras varían, pero la historia se repite en casi todo el mundo. En el caso del Eurosistema, el balance de los bancos centrales europeos creció en 2,32 billones de euros, repuntando un 50% en 2020 hasta un total de 6,97 billones. En el de la Reserva Federal, el incremento del balance fue de 3,16 billones de dólares. Un alza del 76% en un año, hasta fijar el balance en los 7,33 billones de dólares.</w:t>
      </w:r>
    </w:p>
    <w:p w:rsidR="001D2FD6" w:rsidRPr="00E071BC" w:rsidRDefault="001D2FD6" w:rsidP="001D2FD6">
      <w:pPr>
        <w:spacing w:line="240" w:lineRule="auto"/>
        <w:jc w:val="both"/>
        <w:rPr>
          <w:rFonts w:ascii="Times New Roman" w:hAnsi="Times New Roman" w:cs="Times New Roman"/>
          <w:sz w:val="24"/>
          <w:szCs w:val="24"/>
        </w:rPr>
      </w:pPr>
      <w:r w:rsidRPr="00E071BC">
        <w:rPr>
          <w:rFonts w:ascii="Times New Roman" w:hAnsi="Times New Roman" w:cs="Times New Roman"/>
          <w:sz w:val="24"/>
          <w:szCs w:val="24"/>
        </w:rPr>
        <w:t>El histórico engorde del balance de los bancos centrales propició que 2020 fuera el año en el que más dinero se creó en cinco décadas. Según datos del FMI, la suma de las deudas de los hogares, de las empresas no financieras y de los Gobiernos a nivel mundial alcanzó los 28 billones de dólares, hasta dejar el total en 226 billones, o lo que era lo mismo, el 256% del PIB mundial. Pero hasta en esto hay clases. En concreto, según el FMI, el 90% del aumento de deuda de 2020 se produjo en las economías avanzadas y China. Aquellos que pudieron recurrir a sus bancos centrales.</w:t>
      </w:r>
    </w:p>
    <w:p w:rsidR="001D2FD6" w:rsidRPr="00E071BC" w:rsidRDefault="001D2FD6" w:rsidP="001D2FD6">
      <w:pPr>
        <w:spacing w:line="240" w:lineRule="auto"/>
        <w:jc w:val="both"/>
        <w:rPr>
          <w:rFonts w:ascii="Times New Roman" w:hAnsi="Times New Roman" w:cs="Times New Roman"/>
          <w:sz w:val="24"/>
          <w:szCs w:val="24"/>
        </w:rPr>
      </w:pPr>
      <w:r w:rsidRPr="00E071BC">
        <w:rPr>
          <w:rFonts w:ascii="Times New Roman" w:hAnsi="Times New Roman" w:cs="Times New Roman"/>
          <w:sz w:val="24"/>
          <w:szCs w:val="24"/>
        </w:rPr>
        <w:t>Los bancos centrales de los países avanzados son los “socios del silencio” del establishment, se nota de inmediato que todos conocen una verdad indecible y que deben cerrarse sobre ella a cualquier precio para que no salga a la luz. Y cuando actúan, a remolque de los acontecimientos, todo es poco, siempre, y todo es demasiado tarde.</w:t>
      </w:r>
    </w:p>
    <w:p w:rsidR="001D2FD6" w:rsidRPr="00E071BC" w:rsidRDefault="001D2FD6" w:rsidP="001D2FD6">
      <w:pPr>
        <w:shd w:val="clear" w:color="auto" w:fill="FFFFFF"/>
        <w:spacing w:line="240" w:lineRule="auto"/>
        <w:jc w:val="both"/>
        <w:textAlignment w:val="baseline"/>
        <w:rPr>
          <w:rFonts w:ascii="Times New Roman" w:hAnsi="Times New Roman" w:cs="Times New Roman"/>
          <w:sz w:val="24"/>
          <w:szCs w:val="24"/>
        </w:rPr>
      </w:pPr>
      <w:r w:rsidRPr="00E071BC">
        <w:rPr>
          <w:rFonts w:ascii="Times New Roman" w:hAnsi="Times New Roman" w:cs="Times New Roman"/>
          <w:sz w:val="24"/>
          <w:szCs w:val="24"/>
        </w:rPr>
        <w:t>La omertá de esta banda solo se quiebra cuando el eslabón más débil de la cadena confiesa en un susurro: “No puedo pagar mi deuda”.  ¡The game is over!…</w:t>
      </w:r>
    </w:p>
    <w:p w:rsidR="001D2FD6" w:rsidRPr="00E071BC" w:rsidRDefault="001D2FD6" w:rsidP="001D2FD6">
      <w:pPr>
        <w:shd w:val="clear" w:color="auto" w:fill="FFFFFF"/>
        <w:spacing w:line="240" w:lineRule="auto"/>
        <w:jc w:val="both"/>
        <w:textAlignment w:val="baseline"/>
        <w:rPr>
          <w:rFonts w:ascii="Times New Roman" w:hAnsi="Times New Roman" w:cs="Times New Roman"/>
          <w:sz w:val="24"/>
          <w:szCs w:val="24"/>
        </w:rPr>
      </w:pPr>
      <w:r w:rsidRPr="00E071BC">
        <w:rPr>
          <w:rFonts w:ascii="Times New Roman" w:hAnsi="Times New Roman" w:cs="Times New Roman"/>
          <w:sz w:val="24"/>
          <w:szCs w:val="24"/>
        </w:rPr>
        <w:t xml:space="preserve">Esta modelo de </w:t>
      </w:r>
      <w:r w:rsidR="00B5431F" w:rsidRPr="00E071BC">
        <w:rPr>
          <w:rFonts w:ascii="Times New Roman" w:hAnsi="Times New Roman" w:cs="Times New Roman"/>
          <w:sz w:val="24"/>
          <w:szCs w:val="24"/>
        </w:rPr>
        <w:t>negocios (economía de casino</w:t>
      </w:r>
      <w:r w:rsidRPr="00E071BC">
        <w:rPr>
          <w:rFonts w:ascii="Times New Roman" w:hAnsi="Times New Roman" w:cs="Times New Roman"/>
          <w:sz w:val="24"/>
          <w:szCs w:val="24"/>
        </w:rPr>
        <w:t xml:space="preserve">) se llevó a cabo, en realidad, con racionalidad pura o en todo caso con “ebriedad financiera” y siguiendo la inspiración de los grandes “hacedores de mercado”, y luego se tiende sobre ello un conveniente manto de silencio: el vulgo no está preparado para comprender. A quien llega y comienza a interrogar sobre lo ocultado, sobre la gangrena muda que se intenta escamotear pero que devora los nervios de los “global players”, hay que hacerle la vida imposible y echarlo del mapa.  </w:t>
      </w:r>
    </w:p>
    <w:p w:rsidR="001D2FD6" w:rsidRPr="00E071BC" w:rsidRDefault="001D2FD6" w:rsidP="001D2FD6">
      <w:pPr>
        <w:shd w:val="clear" w:color="auto" w:fill="FFFFFF"/>
        <w:spacing w:line="240" w:lineRule="auto"/>
        <w:jc w:val="both"/>
        <w:textAlignment w:val="baseline"/>
        <w:rPr>
          <w:rFonts w:ascii="Times New Roman" w:hAnsi="Times New Roman" w:cs="Times New Roman"/>
          <w:sz w:val="24"/>
          <w:szCs w:val="24"/>
        </w:rPr>
      </w:pPr>
      <w:r w:rsidRPr="00E071BC">
        <w:rPr>
          <w:rFonts w:ascii="Times New Roman" w:hAnsi="Times New Roman" w:cs="Times New Roman"/>
          <w:sz w:val="24"/>
          <w:szCs w:val="24"/>
        </w:rPr>
        <w:t xml:space="preserve">Otro punto ciego, otro pecado impronunciable que hierve y se pudre en la oscuridad, y corroe el alma de los “global players”, es la evidencia de que las fórmulas que alguna vez construyeron su identidad ya no funcionan, que repetirlas ciegamente es por lo tanto un signo de necedad e impotencia y que sería necesario lo más delicado: hacer una autocrítica profunda, admitir los errores y modificar los procedimientos. </w:t>
      </w:r>
    </w:p>
    <w:p w:rsidR="001D2FD6" w:rsidRPr="00E071BC" w:rsidRDefault="001D2FD6" w:rsidP="001D2FD6">
      <w:pPr>
        <w:shd w:val="clear" w:color="auto" w:fill="FFFFFF"/>
        <w:spacing w:line="240" w:lineRule="auto"/>
        <w:jc w:val="both"/>
        <w:textAlignment w:val="baseline"/>
        <w:rPr>
          <w:rFonts w:ascii="Times New Roman" w:hAnsi="Times New Roman" w:cs="Times New Roman"/>
          <w:sz w:val="24"/>
          <w:szCs w:val="24"/>
        </w:rPr>
      </w:pPr>
      <w:r w:rsidRPr="00E071BC">
        <w:rPr>
          <w:rFonts w:ascii="Times New Roman" w:hAnsi="Times New Roman" w:cs="Times New Roman"/>
          <w:sz w:val="24"/>
          <w:szCs w:val="24"/>
        </w:rPr>
        <w:t>Si algo probó la crisis del año 2008 (financiera) y definitivamente la crisis del año 2020 (sanitaria) fue que ya no hay gobierno posible sin disciplina fiscal y con destrucción de la moneda; que deslocalizar la industria o empobrecer la clase media, son políticas suicidas.</w:t>
      </w:r>
    </w:p>
    <w:p w:rsidR="001D2FD6" w:rsidRPr="00E071BC" w:rsidRDefault="001D2FD6" w:rsidP="001D2FD6">
      <w:pPr>
        <w:shd w:val="clear" w:color="auto" w:fill="FFFFFF"/>
        <w:spacing w:line="240" w:lineRule="auto"/>
        <w:jc w:val="both"/>
        <w:textAlignment w:val="baseline"/>
        <w:rPr>
          <w:rFonts w:ascii="Times New Roman" w:hAnsi="Times New Roman" w:cs="Times New Roman"/>
          <w:sz w:val="24"/>
          <w:szCs w:val="24"/>
        </w:rPr>
      </w:pPr>
      <w:r w:rsidRPr="00E071BC">
        <w:rPr>
          <w:rFonts w:ascii="Times New Roman" w:hAnsi="Times New Roman" w:cs="Times New Roman"/>
          <w:sz w:val="24"/>
          <w:szCs w:val="24"/>
        </w:rPr>
        <w:t>Un desastre tapa el anterior. Las pifias se suceden sin enmienda. No hay culpables porque no hay culpas. Nada es grave o definitivo, por lo que los errores se convierten en anécdotas, las pifias se diluyen en la nimiedad. No hay culpas ni culpables. Todo es una maldita broma…</w:t>
      </w:r>
    </w:p>
    <w:p w:rsidR="001D2FD6" w:rsidRPr="00E071BC" w:rsidRDefault="001D2FD6" w:rsidP="001D2FD6">
      <w:pPr>
        <w:shd w:val="clear" w:color="auto" w:fill="FFFFFF"/>
        <w:spacing w:line="240" w:lineRule="auto"/>
        <w:jc w:val="both"/>
        <w:textAlignment w:val="baseline"/>
        <w:rPr>
          <w:rFonts w:ascii="Times New Roman" w:hAnsi="Times New Roman" w:cs="Times New Roman"/>
          <w:sz w:val="24"/>
          <w:szCs w:val="24"/>
        </w:rPr>
      </w:pPr>
      <w:r w:rsidRPr="00E071BC">
        <w:rPr>
          <w:rFonts w:ascii="Times New Roman" w:hAnsi="Times New Roman" w:cs="Times New Roman"/>
          <w:sz w:val="24"/>
          <w:szCs w:val="24"/>
        </w:rPr>
        <w:t>La cleptocracia de</w:t>
      </w:r>
      <w:r w:rsidR="00B5431F" w:rsidRPr="00E071BC">
        <w:rPr>
          <w:rFonts w:ascii="Times New Roman" w:hAnsi="Times New Roman" w:cs="Times New Roman"/>
          <w:sz w:val="24"/>
          <w:szCs w:val="24"/>
        </w:rPr>
        <w:t xml:space="preserve"> los</w:t>
      </w:r>
      <w:r w:rsidRPr="00E071BC">
        <w:rPr>
          <w:rFonts w:ascii="Times New Roman" w:hAnsi="Times New Roman" w:cs="Times New Roman"/>
          <w:sz w:val="24"/>
          <w:szCs w:val="24"/>
        </w:rPr>
        <w:t xml:space="preserve"> líderes políticos, la avaricia de los grandes empr</w:t>
      </w:r>
      <w:r w:rsidR="00B5431F" w:rsidRPr="00E071BC">
        <w:rPr>
          <w:rFonts w:ascii="Times New Roman" w:hAnsi="Times New Roman" w:cs="Times New Roman"/>
          <w:sz w:val="24"/>
          <w:szCs w:val="24"/>
        </w:rPr>
        <w:t xml:space="preserve">esarios, y la venalidad de los </w:t>
      </w:r>
      <w:r w:rsidRPr="00E071BC">
        <w:rPr>
          <w:rFonts w:ascii="Times New Roman" w:hAnsi="Times New Roman" w:cs="Times New Roman"/>
          <w:sz w:val="24"/>
          <w:szCs w:val="24"/>
        </w:rPr>
        <w:t xml:space="preserve">dirigentes sindicales -con la “cooperación necesaria” de los bancos centrales- y los </w:t>
      </w:r>
      <w:r w:rsidRPr="00E071BC">
        <w:rPr>
          <w:rFonts w:ascii="Times New Roman" w:hAnsi="Times New Roman" w:cs="Times New Roman"/>
          <w:sz w:val="24"/>
          <w:szCs w:val="24"/>
        </w:rPr>
        <w:lastRenderedPageBreak/>
        <w:t xml:space="preserve">fallos de un sistema económico globalista, especulativo y cortoplacista  (la “ideología” que los trajo a ellos mismos hasta esta hecatombe) deben negarse como se niega una infidelidad o un crimen; deben cerrarse sobre esos temas a cualquier precio para que la verdad no salga a la luz. Y patrullar esta planicie desértica en que se ha transformado la economía de los países avanzados (ahora, en vías de subdesarrollo), y agredir a cualquiera que haga preguntas inconvenientes o lance críticas certeras. </w:t>
      </w:r>
    </w:p>
    <w:p w:rsidR="001D2FD6" w:rsidRPr="00E071BC" w:rsidRDefault="001D2FD6" w:rsidP="001D2FD6">
      <w:pPr>
        <w:shd w:val="clear" w:color="auto" w:fill="FFFFFF"/>
        <w:spacing w:line="240" w:lineRule="auto"/>
        <w:jc w:val="both"/>
        <w:textAlignment w:val="baseline"/>
        <w:rPr>
          <w:rFonts w:ascii="Times New Roman" w:hAnsi="Times New Roman" w:cs="Times New Roman"/>
          <w:sz w:val="24"/>
          <w:szCs w:val="24"/>
        </w:rPr>
      </w:pPr>
      <w:r w:rsidRPr="00E071BC">
        <w:rPr>
          <w:rFonts w:ascii="Times New Roman" w:hAnsi="Times New Roman" w:cs="Times New Roman"/>
          <w:sz w:val="24"/>
          <w:szCs w:val="24"/>
        </w:rPr>
        <w:t>La verdad es la verdad, dígala Agamenón o su porquero: este modelo económico está muerto, y aunque cuando alguien baja del tren y lo señala, es atacado con furia por</w:t>
      </w:r>
      <w:r w:rsidR="00B5431F" w:rsidRPr="00E071BC">
        <w:rPr>
          <w:rFonts w:ascii="Times New Roman" w:hAnsi="Times New Roman" w:cs="Times New Roman"/>
          <w:sz w:val="24"/>
          <w:szCs w:val="24"/>
        </w:rPr>
        <w:t xml:space="preserve"> ignorante, antiguo, analógico</w:t>
      </w:r>
      <w:r w:rsidRPr="00E071BC">
        <w:rPr>
          <w:rFonts w:ascii="Times New Roman" w:hAnsi="Times New Roman" w:cs="Times New Roman"/>
          <w:sz w:val="24"/>
          <w:szCs w:val="24"/>
        </w:rPr>
        <w:t xml:space="preserve">, o retrógrado… </w:t>
      </w:r>
      <w:r w:rsidR="00B5431F" w:rsidRPr="00E071BC">
        <w:rPr>
          <w:rFonts w:ascii="Times New Roman" w:hAnsi="Times New Roman" w:cs="Times New Roman"/>
          <w:sz w:val="24"/>
          <w:szCs w:val="24"/>
        </w:rPr>
        <w:t xml:space="preserve">pero </w:t>
      </w:r>
      <w:r w:rsidRPr="00E071BC">
        <w:rPr>
          <w:rFonts w:ascii="Times New Roman" w:hAnsi="Times New Roman" w:cs="Times New Roman"/>
          <w:sz w:val="24"/>
          <w:szCs w:val="24"/>
        </w:rPr>
        <w:t xml:space="preserve">la procesión va por dentro, y todos saben que las cosas fueron mal hechas y que tarde o temprano deberán asumirlo y cambiar para seguir sobreviviendo. </w:t>
      </w:r>
    </w:p>
    <w:p w:rsidR="001D2FD6" w:rsidRPr="00E071BC" w:rsidRDefault="001D2FD6" w:rsidP="001D2FD6">
      <w:pPr>
        <w:shd w:val="clear" w:color="auto" w:fill="FFFFFF"/>
        <w:spacing w:line="240" w:lineRule="auto"/>
        <w:jc w:val="both"/>
        <w:textAlignment w:val="baseline"/>
        <w:rPr>
          <w:rFonts w:ascii="Times New Roman" w:hAnsi="Times New Roman" w:cs="Times New Roman"/>
          <w:sz w:val="24"/>
          <w:szCs w:val="24"/>
        </w:rPr>
      </w:pPr>
      <w:r w:rsidRPr="00E071BC">
        <w:rPr>
          <w:rFonts w:ascii="Times New Roman" w:hAnsi="Times New Roman" w:cs="Times New Roman"/>
          <w:sz w:val="24"/>
          <w:szCs w:val="24"/>
        </w:rPr>
        <w:t xml:space="preserve">A menos que estén esperando que la naturaleza cumpla su cometido y los alivie de tomar una decisión que complicaría aún más esa excrecencia que ha ido tomando cuerpo ante el pasmo general y la complicidad de los enterados (llamados, las “partes interesadas”, aunque me gusta más decir, los “extractores de renta”, y de todo </w:t>
      </w:r>
      <w:r w:rsidR="00B5431F" w:rsidRPr="00E071BC">
        <w:rPr>
          <w:rFonts w:ascii="Times New Roman" w:hAnsi="Times New Roman" w:cs="Times New Roman"/>
          <w:sz w:val="24"/>
          <w:szCs w:val="24"/>
        </w:rPr>
        <w:t>lo que no sabemos pero intuimos)</w:t>
      </w:r>
      <w:r w:rsidRPr="00E071BC">
        <w:rPr>
          <w:rFonts w:ascii="Times New Roman" w:hAnsi="Times New Roman" w:cs="Times New Roman"/>
          <w:sz w:val="24"/>
          <w:szCs w:val="24"/>
        </w:rPr>
        <w:t>.</w:t>
      </w:r>
    </w:p>
    <w:p w:rsidR="001D2FD6" w:rsidRPr="00E071BC" w:rsidRDefault="001D2FD6" w:rsidP="001D2FD6">
      <w:pPr>
        <w:shd w:val="clear" w:color="auto" w:fill="FFFFFF"/>
        <w:spacing w:line="240" w:lineRule="auto"/>
        <w:jc w:val="both"/>
        <w:textAlignment w:val="baseline"/>
        <w:rPr>
          <w:rFonts w:ascii="Times New Roman" w:hAnsi="Times New Roman" w:cs="Times New Roman"/>
          <w:sz w:val="24"/>
          <w:szCs w:val="24"/>
        </w:rPr>
      </w:pPr>
      <w:r w:rsidRPr="00E071BC">
        <w:rPr>
          <w:rFonts w:ascii="Times New Roman" w:hAnsi="Times New Roman" w:cs="Times New Roman"/>
          <w:sz w:val="24"/>
          <w:szCs w:val="24"/>
        </w:rPr>
        <w:t xml:space="preserve">Y al final, las autoridades monetarias, qué son: ¿Banqueros o magos? </w:t>
      </w:r>
    </w:p>
    <w:p w:rsidR="001D2FD6" w:rsidRPr="00E071BC" w:rsidRDefault="001D2FD6" w:rsidP="001D2FD6">
      <w:pPr>
        <w:shd w:val="clear" w:color="auto" w:fill="FFFFFF"/>
        <w:spacing w:line="240" w:lineRule="auto"/>
        <w:jc w:val="both"/>
        <w:textAlignment w:val="baseline"/>
        <w:rPr>
          <w:rFonts w:ascii="Times New Roman" w:hAnsi="Times New Roman" w:cs="Times New Roman"/>
          <w:sz w:val="24"/>
          <w:szCs w:val="24"/>
        </w:rPr>
      </w:pPr>
      <w:r w:rsidRPr="00E071BC">
        <w:rPr>
          <w:rFonts w:ascii="Times New Roman" w:hAnsi="Times New Roman" w:cs="Times New Roman"/>
          <w:sz w:val="24"/>
          <w:szCs w:val="24"/>
        </w:rPr>
        <w:t>Canción triste de Jackson Hole: sin miedo, y sin esperanza, me animo a decir que no son ni lo uno (banqueros), ni lo otro (magos), sino unos copistas del eco de un ruido ensordecedor que no significa absolutamente nada. Salvo lo mucho que mandan los necios (amos del universo).</w:t>
      </w:r>
    </w:p>
    <w:p w:rsidR="001D2FD6" w:rsidRPr="00E071BC" w:rsidRDefault="001D2FD6" w:rsidP="001D2FD6">
      <w:pPr>
        <w:shd w:val="clear" w:color="auto" w:fill="FFFFFF"/>
        <w:spacing w:line="240" w:lineRule="auto"/>
        <w:jc w:val="both"/>
        <w:textAlignment w:val="baseline"/>
        <w:rPr>
          <w:rFonts w:ascii="Times New Roman" w:hAnsi="Times New Roman" w:cs="Times New Roman"/>
          <w:sz w:val="24"/>
          <w:szCs w:val="24"/>
        </w:rPr>
      </w:pPr>
      <w:r w:rsidRPr="00E071BC">
        <w:rPr>
          <w:rFonts w:ascii="Times New Roman" w:hAnsi="Times New Roman" w:cs="Times New Roman"/>
          <w:sz w:val="24"/>
          <w:szCs w:val="24"/>
        </w:rPr>
        <w:t xml:space="preserve">Por la vida económica de los países avanzados hemos visto desfilar en las últimas décadas a personajes singulares, políticos convertidos en fábricas de vergüenza ajena, empresarios travestidos de dioses </w:t>
      </w:r>
      <w:r w:rsidR="0034663B" w:rsidRPr="00E071BC">
        <w:rPr>
          <w:rFonts w:ascii="Times New Roman" w:hAnsi="Times New Roman" w:cs="Times New Roman"/>
          <w:sz w:val="24"/>
          <w:szCs w:val="24"/>
        </w:rPr>
        <w:t>que nos han escandalizado, académicos o comunicadores</w:t>
      </w:r>
      <w:r w:rsidRPr="00E071BC">
        <w:rPr>
          <w:rFonts w:ascii="Times New Roman" w:hAnsi="Times New Roman" w:cs="Times New Roman"/>
          <w:sz w:val="24"/>
          <w:szCs w:val="24"/>
        </w:rPr>
        <w:t xml:space="preserve"> a los que hubiéramos arrojado por la alcantarilla… pero creo que los que más daño hacen a la confianza de los ciudadanos (que ya es decir), son los </w:t>
      </w:r>
      <w:r w:rsidR="0034663B" w:rsidRPr="00E071BC">
        <w:rPr>
          <w:rFonts w:ascii="Times New Roman" w:hAnsi="Times New Roman" w:cs="Times New Roman"/>
          <w:sz w:val="24"/>
          <w:szCs w:val="24"/>
        </w:rPr>
        <w:t>“</w:t>
      </w:r>
      <w:r w:rsidRPr="00E071BC">
        <w:rPr>
          <w:rFonts w:ascii="Times New Roman" w:hAnsi="Times New Roman" w:cs="Times New Roman"/>
          <w:sz w:val="24"/>
          <w:szCs w:val="24"/>
        </w:rPr>
        <w:t>guardianes del din</w:t>
      </w:r>
      <w:r w:rsidR="0034663B" w:rsidRPr="00E071BC">
        <w:rPr>
          <w:rFonts w:ascii="Times New Roman" w:hAnsi="Times New Roman" w:cs="Times New Roman"/>
          <w:sz w:val="24"/>
          <w:szCs w:val="24"/>
        </w:rPr>
        <w:t>ero” (por la suerte que les trae</w:t>
      </w:r>
      <w:r w:rsidRPr="00E071BC">
        <w:rPr>
          <w:rFonts w:ascii="Times New Roman" w:hAnsi="Times New Roman" w:cs="Times New Roman"/>
          <w:sz w:val="24"/>
          <w:szCs w:val="24"/>
        </w:rPr>
        <w:t xml:space="preserve">), y aquí los presidentes y gobernadores de los bancos centrales han asumido el triste papel de unos </w:t>
      </w:r>
      <w:r w:rsidR="001D02F7">
        <w:rPr>
          <w:rFonts w:ascii="Times New Roman" w:hAnsi="Times New Roman" w:cs="Times New Roman"/>
          <w:sz w:val="24"/>
          <w:szCs w:val="24"/>
        </w:rPr>
        <w:t>bufones cazarecompensas (¿agrada</w:t>
      </w:r>
      <w:r w:rsidRPr="00E071BC">
        <w:rPr>
          <w:rFonts w:ascii="Times New Roman" w:hAnsi="Times New Roman" w:cs="Times New Roman"/>
          <w:sz w:val="24"/>
          <w:szCs w:val="24"/>
        </w:rPr>
        <w:t>dores?</w:t>
      </w:r>
      <w:r w:rsidR="0034663B" w:rsidRPr="00E071BC">
        <w:rPr>
          <w:rFonts w:ascii="Times New Roman" w:hAnsi="Times New Roman" w:cs="Times New Roman"/>
          <w:sz w:val="24"/>
          <w:szCs w:val="24"/>
        </w:rPr>
        <w:t xml:space="preserve"> ¿animales de compañía?</w:t>
      </w:r>
      <w:r w:rsidRPr="00E071BC">
        <w:rPr>
          <w:rFonts w:ascii="Times New Roman" w:hAnsi="Times New Roman" w:cs="Times New Roman"/>
          <w:sz w:val="24"/>
          <w:szCs w:val="24"/>
        </w:rPr>
        <w:t>) de la economía de casino, pegados a la componenda, reacios al libre mercado.</w:t>
      </w:r>
    </w:p>
    <w:p w:rsidR="001D2FD6" w:rsidRPr="00E071BC" w:rsidRDefault="001D2FD6" w:rsidP="001D2FD6">
      <w:pPr>
        <w:shd w:val="clear" w:color="auto" w:fill="FFFFFF"/>
        <w:spacing w:line="240" w:lineRule="auto"/>
        <w:jc w:val="both"/>
        <w:textAlignment w:val="baseline"/>
        <w:rPr>
          <w:rFonts w:ascii="Times New Roman" w:hAnsi="Times New Roman" w:cs="Times New Roman"/>
          <w:sz w:val="24"/>
          <w:szCs w:val="24"/>
        </w:rPr>
      </w:pPr>
      <w:r w:rsidRPr="00E071BC">
        <w:rPr>
          <w:rFonts w:ascii="Times New Roman" w:hAnsi="Times New Roman" w:cs="Times New Roman"/>
          <w:sz w:val="24"/>
          <w:szCs w:val="24"/>
        </w:rPr>
        <w:t xml:space="preserve">Siempre en el filo de la navaja. Siempre salvando bolas de set y partido. Siempre listos para ayudar a los grandes bancos (dizque sistémicos) y al gobierno de turno (que maneja el boletín oficial, y </w:t>
      </w:r>
      <w:r w:rsidR="0034663B" w:rsidRPr="00E071BC">
        <w:rPr>
          <w:rFonts w:ascii="Times New Roman" w:hAnsi="Times New Roman" w:cs="Times New Roman"/>
          <w:sz w:val="24"/>
          <w:szCs w:val="24"/>
        </w:rPr>
        <w:t>los designa en el cargo</w:t>
      </w:r>
      <w:r w:rsidRPr="00E071BC">
        <w:rPr>
          <w:rFonts w:ascii="Times New Roman" w:hAnsi="Times New Roman" w:cs="Times New Roman"/>
          <w:sz w:val="24"/>
          <w:szCs w:val="24"/>
        </w:rPr>
        <w:t>). Un canto fúnebre a la libre competencia.</w:t>
      </w:r>
    </w:p>
    <w:p w:rsidR="001D2FD6" w:rsidRPr="00E071BC" w:rsidRDefault="001D2FD6" w:rsidP="001D2FD6">
      <w:pPr>
        <w:shd w:val="clear" w:color="auto" w:fill="FFFFFF"/>
        <w:spacing w:line="240" w:lineRule="auto"/>
        <w:jc w:val="both"/>
        <w:textAlignment w:val="baseline"/>
        <w:rPr>
          <w:rFonts w:ascii="Times New Roman" w:hAnsi="Times New Roman" w:cs="Times New Roman"/>
          <w:sz w:val="24"/>
          <w:szCs w:val="24"/>
        </w:rPr>
      </w:pPr>
      <w:r w:rsidRPr="00E071BC">
        <w:rPr>
          <w:rFonts w:ascii="Times New Roman" w:hAnsi="Times New Roman" w:cs="Times New Roman"/>
          <w:sz w:val="24"/>
          <w:szCs w:val="24"/>
        </w:rPr>
        <w:t>¡Silencio, se rueda!, en el BCE, o en la Fed, o en el BoE -tanto monta, monta tanto-: “Pájaros volan</w:t>
      </w:r>
      <w:r w:rsidR="005A4899" w:rsidRPr="00E071BC">
        <w:rPr>
          <w:rFonts w:ascii="Times New Roman" w:hAnsi="Times New Roman" w:cs="Times New Roman"/>
          <w:sz w:val="24"/>
          <w:szCs w:val="24"/>
        </w:rPr>
        <w:t>do” o si prefieren: “Canción tri</w:t>
      </w:r>
      <w:r w:rsidRPr="00E071BC">
        <w:rPr>
          <w:rFonts w:ascii="Times New Roman" w:hAnsi="Times New Roman" w:cs="Times New Roman"/>
          <w:sz w:val="24"/>
          <w:szCs w:val="24"/>
        </w:rPr>
        <w:t>ste de Jackson Hole”)… Unas fábricas de basura (monetaria) al por mayor, cuyas</w:t>
      </w:r>
      <w:r w:rsidR="0034663B" w:rsidRPr="00E071BC">
        <w:rPr>
          <w:rFonts w:ascii="Times New Roman" w:hAnsi="Times New Roman" w:cs="Times New Roman"/>
          <w:sz w:val="24"/>
          <w:szCs w:val="24"/>
        </w:rPr>
        <w:t xml:space="preserve"> consecuencias </w:t>
      </w:r>
      <w:r w:rsidRPr="00E071BC">
        <w:rPr>
          <w:rFonts w:ascii="Times New Roman" w:hAnsi="Times New Roman" w:cs="Times New Roman"/>
          <w:sz w:val="24"/>
          <w:szCs w:val="24"/>
        </w:rPr>
        <w:t>para la salud moral de la sociedad eran de prever. Dispuestos envilecer la moneda para continuar dopando a los mercados. Bomberos pirómanos. Socorristas de especuladores y corruptos (“que serán unos hijos de puta, pero que son nuestros hijos de puta”). Sin mecanismo alguno de control monetario. Sin vergüenza.</w:t>
      </w:r>
    </w:p>
    <w:p w:rsidR="00E43F9C" w:rsidRPr="00E071BC" w:rsidRDefault="00E43F9C" w:rsidP="00E43F9C">
      <w:pPr>
        <w:shd w:val="clear" w:color="auto" w:fill="FFFFFF"/>
        <w:spacing w:line="240" w:lineRule="auto"/>
        <w:jc w:val="both"/>
        <w:textAlignment w:val="baseline"/>
        <w:rPr>
          <w:rFonts w:ascii="Times New Roman" w:hAnsi="Times New Roman" w:cs="Times New Roman"/>
          <w:sz w:val="24"/>
          <w:szCs w:val="24"/>
        </w:rPr>
      </w:pPr>
      <w:r w:rsidRPr="00E071BC">
        <w:rPr>
          <w:rFonts w:ascii="Times New Roman" w:hAnsi="Times New Roman" w:cs="Times New Roman"/>
          <w:sz w:val="24"/>
          <w:szCs w:val="24"/>
        </w:rPr>
        <w:t>Pero, ni siquiera la retórica más encendida de los tragasables académicos, gurús mediáticos</w:t>
      </w:r>
      <w:r w:rsidR="00B977A4" w:rsidRPr="00E071BC">
        <w:rPr>
          <w:rFonts w:ascii="Times New Roman" w:hAnsi="Times New Roman" w:cs="Times New Roman"/>
          <w:sz w:val="24"/>
          <w:szCs w:val="24"/>
        </w:rPr>
        <w:t>,</w:t>
      </w:r>
      <w:r w:rsidRPr="00E071BC">
        <w:rPr>
          <w:rFonts w:ascii="Times New Roman" w:hAnsi="Times New Roman" w:cs="Times New Roman"/>
          <w:sz w:val="24"/>
          <w:szCs w:val="24"/>
        </w:rPr>
        <w:t xml:space="preserve"> o analistas serviles, puede seguir ocultando el fracaso de la economía de casino (especulación financiera, entretenimiento, y manguerazos de liquidez).</w:t>
      </w:r>
      <w:r w:rsidR="00D86C50" w:rsidRPr="00E071BC">
        <w:rPr>
          <w:rFonts w:ascii="Times New Roman" w:hAnsi="Times New Roman" w:cs="Times New Roman"/>
          <w:sz w:val="24"/>
          <w:szCs w:val="24"/>
        </w:rPr>
        <w:t xml:space="preserve"> “Barra libre” y que siga la fiesta…</w:t>
      </w:r>
    </w:p>
    <w:p w:rsidR="00E43F9C" w:rsidRPr="00E071BC" w:rsidRDefault="00E43F9C" w:rsidP="00E43F9C">
      <w:pPr>
        <w:shd w:val="clear" w:color="auto" w:fill="FFFFFF"/>
        <w:spacing w:line="240" w:lineRule="auto"/>
        <w:jc w:val="both"/>
        <w:textAlignment w:val="baseline"/>
        <w:rPr>
          <w:rFonts w:ascii="Times New Roman" w:hAnsi="Times New Roman" w:cs="Times New Roman"/>
          <w:sz w:val="24"/>
          <w:szCs w:val="24"/>
        </w:rPr>
      </w:pPr>
      <w:r w:rsidRPr="00E071BC">
        <w:rPr>
          <w:rFonts w:ascii="Times New Roman" w:hAnsi="Times New Roman" w:cs="Times New Roman"/>
          <w:sz w:val="24"/>
          <w:szCs w:val="24"/>
        </w:rPr>
        <w:t xml:space="preserve">El arte de lo terrible, lo inquietante y lo grotesco, llega a su fin: la </w:t>
      </w:r>
      <w:r w:rsidR="005A4899" w:rsidRPr="00E071BC">
        <w:rPr>
          <w:rFonts w:ascii="Times New Roman" w:hAnsi="Times New Roman" w:cs="Times New Roman"/>
          <w:sz w:val="24"/>
          <w:szCs w:val="24"/>
        </w:rPr>
        <w:t>“</w:t>
      </w:r>
      <w:r w:rsidRPr="00E071BC">
        <w:rPr>
          <w:rFonts w:ascii="Times New Roman" w:hAnsi="Times New Roman" w:cs="Times New Roman"/>
          <w:sz w:val="24"/>
          <w:szCs w:val="24"/>
        </w:rPr>
        <w:t>tierra prometida</w:t>
      </w:r>
      <w:r w:rsidR="005A4899" w:rsidRPr="00E071BC">
        <w:rPr>
          <w:rFonts w:ascii="Times New Roman" w:hAnsi="Times New Roman" w:cs="Times New Roman"/>
          <w:sz w:val="24"/>
          <w:szCs w:val="24"/>
        </w:rPr>
        <w:t>”</w:t>
      </w:r>
      <w:r w:rsidRPr="00E071BC">
        <w:rPr>
          <w:rFonts w:ascii="Times New Roman" w:hAnsi="Times New Roman" w:cs="Times New Roman"/>
          <w:sz w:val="24"/>
          <w:szCs w:val="24"/>
        </w:rPr>
        <w:t xml:space="preserve"> era China, el </w:t>
      </w:r>
      <w:r w:rsidR="005A4899" w:rsidRPr="00E071BC">
        <w:rPr>
          <w:rFonts w:ascii="Times New Roman" w:hAnsi="Times New Roman" w:cs="Times New Roman"/>
          <w:sz w:val="24"/>
          <w:szCs w:val="24"/>
        </w:rPr>
        <w:t>“</w:t>
      </w:r>
      <w:r w:rsidRPr="00E071BC">
        <w:rPr>
          <w:rFonts w:ascii="Times New Roman" w:hAnsi="Times New Roman" w:cs="Times New Roman"/>
          <w:sz w:val="24"/>
          <w:szCs w:val="24"/>
        </w:rPr>
        <w:t>líder supremo</w:t>
      </w:r>
      <w:r w:rsidR="005A4899" w:rsidRPr="00E071BC">
        <w:rPr>
          <w:rFonts w:ascii="Times New Roman" w:hAnsi="Times New Roman" w:cs="Times New Roman"/>
          <w:sz w:val="24"/>
          <w:szCs w:val="24"/>
        </w:rPr>
        <w:t>”</w:t>
      </w:r>
      <w:r w:rsidRPr="00E071BC">
        <w:rPr>
          <w:rFonts w:ascii="Times New Roman" w:hAnsi="Times New Roman" w:cs="Times New Roman"/>
          <w:sz w:val="24"/>
          <w:szCs w:val="24"/>
        </w:rPr>
        <w:t xml:space="preserve"> Xi Jinping, y el </w:t>
      </w:r>
      <w:r w:rsidR="005A4899" w:rsidRPr="00E071BC">
        <w:rPr>
          <w:rFonts w:ascii="Times New Roman" w:hAnsi="Times New Roman" w:cs="Times New Roman"/>
          <w:sz w:val="24"/>
          <w:szCs w:val="24"/>
        </w:rPr>
        <w:t>“</w:t>
      </w:r>
      <w:r w:rsidRPr="00E071BC">
        <w:rPr>
          <w:rFonts w:ascii="Times New Roman" w:hAnsi="Times New Roman" w:cs="Times New Roman"/>
          <w:sz w:val="24"/>
          <w:szCs w:val="24"/>
        </w:rPr>
        <w:t>nuevo testamento</w:t>
      </w:r>
      <w:r w:rsidR="005A4899" w:rsidRPr="00E071BC">
        <w:rPr>
          <w:rFonts w:ascii="Times New Roman" w:hAnsi="Times New Roman" w:cs="Times New Roman"/>
          <w:sz w:val="24"/>
          <w:szCs w:val="24"/>
        </w:rPr>
        <w:t>”</w:t>
      </w:r>
      <w:r w:rsidRPr="00E071BC">
        <w:rPr>
          <w:rFonts w:ascii="Times New Roman" w:hAnsi="Times New Roman" w:cs="Times New Roman"/>
          <w:sz w:val="24"/>
          <w:szCs w:val="24"/>
        </w:rPr>
        <w:t xml:space="preserve"> la Agenda 2030 de Davos.</w:t>
      </w:r>
    </w:p>
    <w:p w:rsidR="0092698E" w:rsidRPr="004D408D" w:rsidRDefault="004D408D" w:rsidP="0092698E">
      <w:pPr>
        <w:pStyle w:val="NormalWeb"/>
        <w:spacing w:after="0"/>
        <w:jc w:val="both"/>
      </w:pPr>
      <w:r>
        <w:rPr>
          <w:b/>
        </w:rPr>
        <w:t>Espero (y deseo) que los árboles de sus mentiras no oculten</w:t>
      </w:r>
      <w:r w:rsidRPr="004D408D">
        <w:rPr>
          <w:b/>
        </w:rPr>
        <w:t xml:space="preserve"> el bosque de su traición, que es ni más ni meno</w:t>
      </w:r>
      <w:r w:rsidR="00167516">
        <w:rPr>
          <w:b/>
        </w:rPr>
        <w:t>s</w:t>
      </w:r>
      <w:r w:rsidR="004A1D98">
        <w:rPr>
          <w:b/>
        </w:rPr>
        <w:t xml:space="preserve"> que la capitulación</w:t>
      </w:r>
      <w:r w:rsidR="00167516">
        <w:rPr>
          <w:b/>
        </w:rPr>
        <w:t xml:space="preserve"> de Occidente ante el Comunismo Chino</w:t>
      </w:r>
      <w:r>
        <w:rPr>
          <w:b/>
        </w:rPr>
        <w:t xml:space="preserve">, para poder seguir con </w:t>
      </w:r>
      <w:r w:rsidR="008E102F">
        <w:rPr>
          <w:b/>
        </w:rPr>
        <w:t>su exclusiva y partic</w:t>
      </w:r>
      <w:r w:rsidR="00D72F14">
        <w:rPr>
          <w:b/>
        </w:rPr>
        <w:t>ular forma de captura</w:t>
      </w:r>
      <w:r w:rsidR="008E102F">
        <w:rPr>
          <w:b/>
        </w:rPr>
        <w:t xml:space="preserve"> indebida de las rentas.</w:t>
      </w:r>
    </w:p>
    <w:p w:rsidR="004301A6" w:rsidRPr="00E071BC" w:rsidRDefault="004301A6" w:rsidP="0092698E">
      <w:pPr>
        <w:pStyle w:val="NormalWeb"/>
        <w:spacing w:after="0"/>
        <w:jc w:val="both"/>
        <w:rPr>
          <w:b/>
          <w:lang w:val="en-US"/>
        </w:rPr>
      </w:pPr>
      <w:r w:rsidRPr="00E071BC">
        <w:rPr>
          <w:b/>
          <w:lang w:val="en-US"/>
        </w:rPr>
        <w:lastRenderedPageBreak/>
        <w:t>- Intermezzo: The Hall of Fame</w:t>
      </w:r>
    </w:p>
    <w:p w:rsidR="00991ACD" w:rsidRPr="008A0E88" w:rsidRDefault="00991ACD" w:rsidP="0092698E">
      <w:pPr>
        <w:pStyle w:val="NormalWeb"/>
        <w:spacing w:after="0"/>
        <w:jc w:val="both"/>
        <w:rPr>
          <w:b/>
          <w:color w:val="FF0000"/>
        </w:rPr>
      </w:pPr>
      <w:r>
        <w:rPr>
          <w:noProof/>
        </w:rPr>
        <w:drawing>
          <wp:inline distT="0" distB="0" distL="0" distR="0">
            <wp:extent cx="5734049" cy="3168650"/>
            <wp:effectExtent l="0" t="0" r="635" b="0"/>
            <wp:docPr id="3" name="Imagen 3" descr="bce de frankfurt - banco central europeo fotografías e imágenes de sto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ce de frankfurt - banco central europeo fotografías e imágenes de stock"/>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31510" cy="3167247"/>
                    </a:xfrm>
                    <a:prstGeom prst="rect">
                      <a:avLst/>
                    </a:prstGeom>
                    <a:noFill/>
                    <a:ln>
                      <a:noFill/>
                    </a:ln>
                  </pic:spPr>
                </pic:pic>
              </a:graphicData>
            </a:graphic>
          </wp:inline>
        </w:drawing>
      </w:r>
    </w:p>
    <w:p w:rsidR="004301A6" w:rsidRPr="00B977A4" w:rsidRDefault="004301A6" w:rsidP="004301A6">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B977A4">
        <w:rPr>
          <w:rFonts w:ascii="Times New Roman" w:eastAsia="Times New Roman" w:hAnsi="Times New Roman" w:cs="Times New Roman"/>
          <w:sz w:val="24"/>
          <w:szCs w:val="24"/>
          <w:lang w:eastAsia="es-ES"/>
        </w:rPr>
        <w:t xml:space="preserve">- </w:t>
      </w:r>
      <w:r w:rsidRPr="00B977A4">
        <w:rPr>
          <w:rFonts w:ascii="Times New Roman" w:eastAsia="Times New Roman" w:hAnsi="Times New Roman" w:cs="Times New Roman"/>
          <w:sz w:val="24"/>
          <w:szCs w:val="24"/>
          <w:u w:val="single"/>
          <w:lang w:eastAsia="es-ES"/>
        </w:rPr>
        <w:t>De Trichet a Lagarde: 14 años de despliegue de arsenal monetario que toca retirar bajo amenaza de recesión</w:t>
      </w:r>
      <w:r w:rsidRPr="00B977A4">
        <w:rPr>
          <w:rFonts w:ascii="Times New Roman" w:eastAsia="Times New Roman" w:hAnsi="Times New Roman" w:cs="Times New Roman"/>
          <w:sz w:val="24"/>
          <w:szCs w:val="24"/>
          <w:lang w:eastAsia="es-ES"/>
        </w:rPr>
        <w:t xml:space="preserve"> (El Español - </w:t>
      </w:r>
      <w:r w:rsidRPr="00B977A4">
        <w:rPr>
          <w:rFonts w:ascii="Times New Roman" w:eastAsia="Times New Roman" w:hAnsi="Times New Roman" w:cs="Times New Roman"/>
          <w:b/>
          <w:sz w:val="24"/>
          <w:szCs w:val="24"/>
          <w:lang w:eastAsia="es-ES"/>
        </w:rPr>
        <w:t>12/6/22</w:t>
      </w:r>
      <w:r w:rsidRPr="00B977A4">
        <w:rPr>
          <w:rFonts w:ascii="Times New Roman" w:eastAsia="Times New Roman" w:hAnsi="Times New Roman" w:cs="Times New Roman"/>
          <w:sz w:val="24"/>
          <w:szCs w:val="24"/>
          <w:lang w:eastAsia="es-ES"/>
        </w:rPr>
        <w:t>)</w:t>
      </w:r>
    </w:p>
    <w:p w:rsidR="004301A6" w:rsidRPr="00B977A4" w:rsidRDefault="004301A6" w:rsidP="004301A6">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B977A4">
        <w:rPr>
          <w:rFonts w:ascii="Times New Roman" w:eastAsia="Times New Roman" w:hAnsi="Times New Roman" w:cs="Times New Roman"/>
          <w:sz w:val="24"/>
          <w:szCs w:val="24"/>
          <w:lang w:eastAsia="es-ES"/>
        </w:rPr>
        <w:t>La inflación devuelve al BCE al punto de partida de 2008: subirá los tipos y acabará con las compras de deuda en un momento difícil para la economía.</w:t>
      </w:r>
    </w:p>
    <w:p w:rsidR="004301A6" w:rsidRPr="00B977A4" w:rsidRDefault="004301A6" w:rsidP="004301A6">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B977A4">
        <w:rPr>
          <w:rFonts w:ascii="Times New Roman" w:eastAsia="Times New Roman" w:hAnsi="Times New Roman" w:cs="Times New Roman"/>
          <w:sz w:val="24"/>
          <w:szCs w:val="24"/>
          <w:lang w:eastAsia="es-ES"/>
        </w:rPr>
        <w:t>(Por María Vega)</w:t>
      </w:r>
    </w:p>
    <w:p w:rsidR="004301A6" w:rsidRPr="00B977A4" w:rsidRDefault="004301A6" w:rsidP="004301A6">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B977A4">
        <w:rPr>
          <w:rFonts w:ascii="Times New Roman" w:eastAsia="Times New Roman" w:hAnsi="Times New Roman" w:cs="Times New Roman"/>
          <w:sz w:val="24"/>
          <w:szCs w:val="24"/>
          <w:lang w:eastAsia="es-ES"/>
        </w:rPr>
        <w:t>En octubre de 2008, con la eurozona ya en recesión y España a las puertas de ella, el entonces presidente del Banco Central Europeo (BCE), Jean Claude Trichet, se plegó a las voces que venían reclamando una bajada de los tipos de interés y anunció una rebaja de medio punto para el precio del dinero, desde el 4,25% al 3,75%.</w:t>
      </w:r>
    </w:p>
    <w:p w:rsidR="004301A6" w:rsidRPr="00B977A4" w:rsidRDefault="004301A6" w:rsidP="004301A6">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B977A4">
        <w:rPr>
          <w:rFonts w:ascii="Times New Roman" w:eastAsia="Times New Roman" w:hAnsi="Times New Roman" w:cs="Times New Roman"/>
          <w:sz w:val="24"/>
          <w:szCs w:val="24"/>
          <w:lang w:eastAsia="es-ES"/>
        </w:rPr>
        <w:t>No lo hizo en solitario, sino dentro de una acción conjunta de los bancos centrales más importantes del mundo para hacer frente al tsunami financiero que había desatado la quiebra de Lehman Brothers unas semanas antes.</w:t>
      </w:r>
    </w:p>
    <w:p w:rsidR="004301A6" w:rsidRPr="00B977A4" w:rsidRDefault="004301A6" w:rsidP="004301A6">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B977A4">
        <w:rPr>
          <w:rFonts w:ascii="Times New Roman" w:eastAsia="Times New Roman" w:hAnsi="Times New Roman" w:cs="Times New Roman"/>
          <w:sz w:val="24"/>
          <w:szCs w:val="24"/>
          <w:lang w:eastAsia="es-ES"/>
        </w:rPr>
        <w:t xml:space="preserve">Con aquella decisión, Fráncfort rectificaba y comenzaba a dar respuesta a una crisis de origen financiero que llevaba tiempo dañando a las economías europeas. Solo unos meses antes, en julio de 2008, el BCE había subido los tipos, al 4,25%, pese a la debilidad del contexto económico. Lo hizo empeñado en cumplir con su mandato: el de combatir la inflación en la zona euro, que estaba en el 4% interanual. </w:t>
      </w:r>
    </w:p>
    <w:p w:rsidR="004301A6" w:rsidRPr="00B977A4" w:rsidRDefault="004301A6" w:rsidP="004301A6">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B977A4">
        <w:rPr>
          <w:rFonts w:ascii="Times New Roman" w:eastAsia="Times New Roman" w:hAnsi="Times New Roman" w:cs="Times New Roman"/>
          <w:sz w:val="24"/>
          <w:szCs w:val="24"/>
          <w:lang w:eastAsia="es-ES"/>
        </w:rPr>
        <w:t>Aquella decisión adoptada en un momento en el que la Reserva Federal de Estados Unidos ya había comenzado a bajar los tipos de interés para estimular la economía ante el colapso de las hipotecas subprime, acompañará para siempre la reputación de Trichet. Hay consenso en calificar esa subida como el mayor error de la historia del BCE.</w:t>
      </w:r>
    </w:p>
    <w:p w:rsidR="004301A6" w:rsidRPr="00B977A4" w:rsidRDefault="004301A6" w:rsidP="004301A6">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B977A4">
        <w:rPr>
          <w:rFonts w:ascii="Times New Roman" w:eastAsia="Times New Roman" w:hAnsi="Times New Roman" w:cs="Times New Roman"/>
          <w:sz w:val="24"/>
          <w:szCs w:val="24"/>
          <w:lang w:eastAsia="es-ES"/>
        </w:rPr>
        <w:t xml:space="preserve">Ya en febrero de ese año, el economista francés en una visita a España había escuchado las voces que desde el sur de Europa pedían una rebaja de los tipos para hacer frente a las incipientes turbulencias económicas. Sin embargo, consideró que su independencia y la </w:t>
      </w:r>
      <w:r w:rsidRPr="00B977A4">
        <w:rPr>
          <w:rFonts w:ascii="Times New Roman" w:eastAsia="Times New Roman" w:hAnsi="Times New Roman" w:cs="Times New Roman"/>
          <w:sz w:val="24"/>
          <w:szCs w:val="24"/>
          <w:lang w:eastAsia="es-ES"/>
        </w:rPr>
        <w:lastRenderedPageBreak/>
        <w:t>credibilidad del BCE frente a la inflación debían primar y optó por no sucumbir a las presiones que también venían de otros países del euro.</w:t>
      </w:r>
    </w:p>
    <w:p w:rsidR="004301A6" w:rsidRPr="00B977A4" w:rsidRDefault="004301A6" w:rsidP="004301A6">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B977A4">
        <w:rPr>
          <w:rFonts w:ascii="Times New Roman" w:eastAsia="Times New Roman" w:hAnsi="Times New Roman" w:cs="Times New Roman"/>
          <w:sz w:val="24"/>
          <w:szCs w:val="24"/>
          <w:lang w:eastAsia="es-ES"/>
        </w:rPr>
        <w:t>Así, cuando por fin, en octubre de 2008, Trichet aceptó bajar los tipos, voces como el presidente de Francia, Nicolás Sarkozy, salieron a expresar en público su satisfacción por el cambio de rumbo de Fráncfort.</w:t>
      </w:r>
    </w:p>
    <w:p w:rsidR="004301A6" w:rsidRPr="00B977A4" w:rsidRDefault="004301A6" w:rsidP="004301A6">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B977A4">
        <w:rPr>
          <w:rFonts w:ascii="Times New Roman" w:eastAsia="Times New Roman" w:hAnsi="Times New Roman" w:cs="Times New Roman"/>
          <w:sz w:val="24"/>
          <w:szCs w:val="24"/>
          <w:lang w:eastAsia="es-ES"/>
        </w:rPr>
        <w:t>Mucho ha llovido desde entonces en una política monetaria que podría decirse que ha llegado exhausta a 2022 tras dos crisis financieras muy seguidas.</w:t>
      </w:r>
    </w:p>
    <w:p w:rsidR="004301A6" w:rsidRPr="00B977A4" w:rsidRDefault="004301A6" w:rsidP="004301A6">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B977A4">
        <w:rPr>
          <w:rFonts w:ascii="Times New Roman" w:eastAsia="Times New Roman" w:hAnsi="Times New Roman" w:cs="Times New Roman"/>
          <w:sz w:val="24"/>
          <w:szCs w:val="24"/>
          <w:lang w:eastAsia="es-ES"/>
        </w:rPr>
        <w:t>De 2008 a Grecia</w:t>
      </w:r>
    </w:p>
    <w:p w:rsidR="004301A6" w:rsidRPr="00B977A4" w:rsidRDefault="004301A6" w:rsidP="004301A6">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B977A4">
        <w:rPr>
          <w:rFonts w:ascii="Times New Roman" w:eastAsia="Times New Roman" w:hAnsi="Times New Roman" w:cs="Times New Roman"/>
          <w:sz w:val="24"/>
          <w:szCs w:val="24"/>
          <w:lang w:eastAsia="es-ES"/>
        </w:rPr>
        <w:t xml:space="preserve">Ya en los años 2007 y 2008, el BCE comenzó a inyectar liquidez en los mercados para dar soporte al sistema financiero europeo, siempre con la sombra de que la Reserva Federal iba por delante en calendario y en ambición. </w:t>
      </w:r>
    </w:p>
    <w:p w:rsidR="004301A6" w:rsidRPr="00B977A4" w:rsidRDefault="004301A6" w:rsidP="004301A6">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B977A4">
        <w:rPr>
          <w:rFonts w:ascii="Times New Roman" w:eastAsia="Times New Roman" w:hAnsi="Times New Roman" w:cs="Times New Roman"/>
          <w:sz w:val="24"/>
          <w:szCs w:val="24"/>
          <w:lang w:eastAsia="es-ES"/>
        </w:rPr>
        <w:t>Sin embargo, con el mercado interbancario muy tensionado, el BCE optó po</w:t>
      </w:r>
      <w:r w:rsidR="0034663B" w:rsidRPr="00B977A4">
        <w:rPr>
          <w:rFonts w:ascii="Times New Roman" w:eastAsia="Times New Roman" w:hAnsi="Times New Roman" w:cs="Times New Roman"/>
          <w:sz w:val="24"/>
          <w:szCs w:val="24"/>
          <w:lang w:eastAsia="es-ES"/>
        </w:rPr>
        <w:t>r recurrir a herramientas “no convencionales”</w:t>
      </w:r>
      <w:r w:rsidRPr="00B977A4">
        <w:rPr>
          <w:rFonts w:ascii="Times New Roman" w:eastAsia="Times New Roman" w:hAnsi="Times New Roman" w:cs="Times New Roman"/>
          <w:sz w:val="24"/>
          <w:szCs w:val="24"/>
          <w:lang w:eastAsia="es-ES"/>
        </w:rPr>
        <w:t xml:space="preserve"> que en aquellos años fueron bautizadas de manera coloquial como manguerazos de liquidez a la banca. Se abrieron también programas de subastas para sostener al sector financiero europeo.</w:t>
      </w:r>
    </w:p>
    <w:p w:rsidR="004301A6" w:rsidRPr="00B977A4" w:rsidRDefault="004301A6" w:rsidP="004301A6">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B977A4">
        <w:rPr>
          <w:rFonts w:ascii="Times New Roman" w:eastAsia="Times New Roman" w:hAnsi="Times New Roman" w:cs="Times New Roman"/>
          <w:sz w:val="24"/>
          <w:szCs w:val="24"/>
          <w:lang w:eastAsia="es-ES"/>
        </w:rPr>
        <w:t xml:space="preserve">En 2009, con el estallido de la crisis de deuda griega, Europa abrió la era de la austeridad. El pulso que ahora se ilustra </w:t>
      </w:r>
      <w:r w:rsidR="0034663B" w:rsidRPr="00B977A4">
        <w:rPr>
          <w:rFonts w:ascii="Times New Roman" w:eastAsia="Times New Roman" w:hAnsi="Times New Roman" w:cs="Times New Roman"/>
          <w:sz w:val="24"/>
          <w:szCs w:val="24"/>
          <w:lang w:eastAsia="es-ES"/>
        </w:rPr>
        <w:t>cómo</w:t>
      </w:r>
      <w:r w:rsidRPr="00B977A4">
        <w:rPr>
          <w:rFonts w:ascii="Times New Roman" w:eastAsia="Times New Roman" w:hAnsi="Times New Roman" w:cs="Times New Roman"/>
          <w:sz w:val="24"/>
          <w:szCs w:val="24"/>
          <w:lang w:eastAsia="es-ES"/>
        </w:rPr>
        <w:t xml:space="preserve"> una batalla entre halcones y palomas comenzó a marcar comenzó a marcar el devenir de una institución, difícilmente reconocible 14 años después. Por aquel entonces, la inflación ya no preocupaba. Al contrario, el riesgo era la deflación y los tipos llegaron en verano al 1%. En aquel tiempo, intervenir en el mercado de deuda soberana era una de las líneas rojas de los países del norte.</w:t>
      </w:r>
    </w:p>
    <w:p w:rsidR="004301A6" w:rsidRPr="00B977A4" w:rsidRDefault="004301A6" w:rsidP="004301A6">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B977A4">
        <w:rPr>
          <w:rFonts w:ascii="Times New Roman" w:eastAsia="Times New Roman" w:hAnsi="Times New Roman" w:cs="Times New Roman"/>
          <w:sz w:val="24"/>
          <w:szCs w:val="24"/>
          <w:lang w:eastAsia="es-ES"/>
        </w:rPr>
        <w:t xml:space="preserve">Sin embargo, Trichet acabó cruzando ese umbral al comenzar a comprar deuda pública y privada en los mercados para ayudar a los tres países rescatados por Bruselas: Grecia, Portugal e Irlanda. </w:t>
      </w:r>
    </w:p>
    <w:p w:rsidR="004301A6" w:rsidRPr="00B977A4" w:rsidRDefault="004301A6" w:rsidP="004301A6">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B977A4">
        <w:rPr>
          <w:rFonts w:ascii="Times New Roman" w:eastAsia="Times New Roman" w:hAnsi="Times New Roman" w:cs="Times New Roman"/>
          <w:sz w:val="24"/>
          <w:szCs w:val="24"/>
          <w:lang w:eastAsia="es-ES"/>
        </w:rPr>
        <w:t>Trichet y Zapatero</w:t>
      </w:r>
    </w:p>
    <w:p w:rsidR="004301A6" w:rsidRPr="00B977A4" w:rsidRDefault="004301A6" w:rsidP="004301A6">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B977A4">
        <w:rPr>
          <w:rFonts w:ascii="Times New Roman" w:eastAsia="Times New Roman" w:hAnsi="Times New Roman" w:cs="Times New Roman"/>
          <w:sz w:val="24"/>
          <w:szCs w:val="24"/>
          <w:lang w:eastAsia="es-ES"/>
        </w:rPr>
        <w:t>Pronto, llegaría el contagio a Italia y a España. Como testigo de aquellos tiempos de tensión, quedaron las cartas intercambiadas entre José Luis Rodríguez Zapatero y Trichet en el verano de 2011. Unos meses en los que ante el ataque de los mercados, España pidió ayuda al banco central para la compra de deuda soberana a cambio de ofrecer medidas para consolidación fiscal (con un cambio en la Constitución para limitar el déficit público) o para el mercado laboral.</w:t>
      </w:r>
    </w:p>
    <w:p w:rsidR="004301A6" w:rsidRPr="00B977A4" w:rsidRDefault="004301A6" w:rsidP="004301A6">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B977A4">
        <w:rPr>
          <w:rFonts w:ascii="Times New Roman" w:eastAsia="Times New Roman" w:hAnsi="Times New Roman" w:cs="Times New Roman"/>
          <w:sz w:val="24"/>
          <w:szCs w:val="24"/>
          <w:lang w:eastAsia="es-ES"/>
        </w:rPr>
        <w:t>Fue en aquel convulso contexto en el que un economista italiano, Mario Draghi, tomó el relevo del ortodoxo Trichet en un momento en el que el futuro del euro como divisa común se tambaleaba.</w:t>
      </w:r>
    </w:p>
    <w:p w:rsidR="004301A6" w:rsidRPr="00B977A4" w:rsidRDefault="0034663B" w:rsidP="004301A6">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B977A4">
        <w:rPr>
          <w:rFonts w:ascii="Times New Roman" w:eastAsia="Times New Roman" w:hAnsi="Times New Roman" w:cs="Times New Roman"/>
          <w:sz w:val="24"/>
          <w:szCs w:val="24"/>
          <w:lang w:eastAsia="es-ES"/>
        </w:rPr>
        <w:t>“Lo que sea necesario”</w:t>
      </w:r>
    </w:p>
    <w:p w:rsidR="004301A6" w:rsidRPr="00B977A4" w:rsidRDefault="004301A6" w:rsidP="004301A6">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B977A4">
        <w:rPr>
          <w:rFonts w:ascii="Times New Roman" w:eastAsia="Times New Roman" w:hAnsi="Times New Roman" w:cs="Times New Roman"/>
          <w:sz w:val="24"/>
          <w:szCs w:val="24"/>
          <w:lang w:eastAsia="es-ES"/>
        </w:rPr>
        <w:t>La primera decisión de Draghi fue solo el anticipo de la nueva era monetaria que se abría en la eurozona, con una rebaja de los tipos de interés al 1,25%.</w:t>
      </w:r>
    </w:p>
    <w:p w:rsidR="004301A6" w:rsidRPr="00B977A4" w:rsidRDefault="004301A6" w:rsidP="004301A6">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B977A4">
        <w:rPr>
          <w:rFonts w:ascii="Times New Roman" w:eastAsia="Times New Roman" w:hAnsi="Times New Roman" w:cs="Times New Roman"/>
          <w:sz w:val="24"/>
          <w:szCs w:val="24"/>
          <w:lang w:eastAsia="es-ES"/>
        </w:rPr>
        <w:t>Si la reputación de Trichet quedó marcada para siempre por su decisión de subir los tipos en 2008, Draghi pasó a la historia como el salvador del euro por unas palabras que pronunció en julio de 2012.</w:t>
      </w:r>
    </w:p>
    <w:p w:rsidR="004301A6" w:rsidRPr="00B977A4" w:rsidRDefault="0034663B" w:rsidP="004301A6">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B977A4">
        <w:rPr>
          <w:rFonts w:ascii="Times New Roman" w:eastAsia="Times New Roman" w:hAnsi="Times New Roman" w:cs="Times New Roman"/>
          <w:sz w:val="24"/>
          <w:szCs w:val="24"/>
          <w:lang w:eastAsia="es-ES"/>
        </w:rPr>
        <w:lastRenderedPageBreak/>
        <w:t>El famoso “whatever it takes”</w:t>
      </w:r>
      <w:r w:rsidR="004301A6" w:rsidRPr="00B977A4">
        <w:rPr>
          <w:rFonts w:ascii="Times New Roman" w:eastAsia="Times New Roman" w:hAnsi="Times New Roman" w:cs="Times New Roman"/>
          <w:sz w:val="24"/>
          <w:szCs w:val="24"/>
          <w:lang w:eastAsia="es-ES"/>
        </w:rPr>
        <w:t xml:space="preserve"> (lo que sea necesario) en defensa de la moneda común fue un mensaje contundente lanzado contra la especulación de los mercados financieros.</w:t>
      </w:r>
    </w:p>
    <w:p w:rsidR="004301A6" w:rsidRPr="00B977A4" w:rsidRDefault="004301A6" w:rsidP="004301A6">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B977A4">
        <w:rPr>
          <w:rFonts w:ascii="Times New Roman" w:eastAsia="Times New Roman" w:hAnsi="Times New Roman" w:cs="Times New Roman"/>
          <w:sz w:val="24"/>
          <w:szCs w:val="24"/>
          <w:lang w:eastAsia="es-ES"/>
        </w:rPr>
        <w:t>La credibilidad de la institución hizo que se diera por seguro que ningún ataque especulativo contra España o contra Italia tendría éxito frente al BCE. Comenzó así la relajación de las primas de riesgo tras meses de alta tensión.</w:t>
      </w:r>
    </w:p>
    <w:p w:rsidR="004301A6" w:rsidRPr="00B977A4" w:rsidRDefault="0034663B" w:rsidP="004301A6">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B977A4">
        <w:rPr>
          <w:rFonts w:ascii="Times New Roman" w:eastAsia="Times New Roman" w:hAnsi="Times New Roman" w:cs="Times New Roman"/>
          <w:sz w:val="24"/>
          <w:szCs w:val="24"/>
          <w:lang w:eastAsia="es-ES"/>
        </w:rPr>
        <w:t>“Halcones”</w:t>
      </w:r>
      <w:r w:rsidR="004301A6" w:rsidRPr="00B977A4">
        <w:rPr>
          <w:rFonts w:ascii="Times New Roman" w:eastAsia="Times New Roman" w:hAnsi="Times New Roman" w:cs="Times New Roman"/>
          <w:sz w:val="24"/>
          <w:szCs w:val="24"/>
          <w:lang w:eastAsia="es-ES"/>
        </w:rPr>
        <w:t xml:space="preserve"> e inflación</w:t>
      </w:r>
    </w:p>
    <w:p w:rsidR="004301A6" w:rsidRPr="00B977A4" w:rsidRDefault="004301A6" w:rsidP="004301A6">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B977A4">
        <w:rPr>
          <w:rFonts w:ascii="Times New Roman" w:eastAsia="Times New Roman" w:hAnsi="Times New Roman" w:cs="Times New Roman"/>
          <w:sz w:val="24"/>
          <w:szCs w:val="24"/>
          <w:lang w:eastAsia="es-ES"/>
        </w:rPr>
        <w:t>Desde entonces, el pulso entre halcones (representantes de los países del norte) y palomas (países del sur) ha sido una constante en las decisiones del BCE. El motivo no era otro que retirar munición para evitar que en Europa se volvieran a vivir episodios como los que precedieron a la llegada de Hitler al poder por el aumento de los precios derivado de la inflación.</w:t>
      </w:r>
    </w:p>
    <w:p w:rsidR="004301A6" w:rsidRPr="00B977A4" w:rsidRDefault="004301A6" w:rsidP="004301A6">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B977A4">
        <w:rPr>
          <w:rFonts w:ascii="Times New Roman" w:eastAsia="Times New Roman" w:hAnsi="Times New Roman" w:cs="Times New Roman"/>
          <w:sz w:val="24"/>
          <w:szCs w:val="24"/>
          <w:lang w:eastAsia="es-ES"/>
        </w:rPr>
        <w:t>No sin dificultades, Draghi logró aprobar su programa OMT (Operaciones Monetarias de Compraventa, por sus siglas en inglés) en septiembre de 2012 para comprar bonos soberanos en los mercados secundarios. Además, los tipos siguieron bajando hasta el 0,05% en 2014.</w:t>
      </w:r>
    </w:p>
    <w:p w:rsidR="004301A6" w:rsidRPr="00B977A4" w:rsidRDefault="004301A6" w:rsidP="004301A6">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B977A4">
        <w:rPr>
          <w:rFonts w:ascii="Times New Roman" w:eastAsia="Times New Roman" w:hAnsi="Times New Roman" w:cs="Times New Roman"/>
          <w:sz w:val="24"/>
          <w:szCs w:val="24"/>
          <w:lang w:eastAsia="es-ES"/>
        </w:rPr>
        <w:t>Hasta que, en 2015, seis años y medio después de la quiebra de Lehman, el BCE anunció por fin su primer gran programa de estímulos para inyectar en la economía 60.000 millones de euros al mes con los que comprar deuda pública y privada emitida en la Eurozona.</w:t>
      </w:r>
    </w:p>
    <w:p w:rsidR="004301A6" w:rsidRPr="00B977A4" w:rsidRDefault="004301A6" w:rsidP="004301A6">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B977A4">
        <w:rPr>
          <w:rFonts w:ascii="Times New Roman" w:eastAsia="Times New Roman" w:hAnsi="Times New Roman" w:cs="Times New Roman"/>
          <w:sz w:val="24"/>
          <w:szCs w:val="24"/>
          <w:lang w:eastAsia="es-ES"/>
        </w:rPr>
        <w:t>El ahora primer ministro italiano terminó su m</w:t>
      </w:r>
      <w:r w:rsidR="0034663B" w:rsidRPr="00B977A4">
        <w:rPr>
          <w:rFonts w:ascii="Times New Roman" w:eastAsia="Times New Roman" w:hAnsi="Times New Roman" w:cs="Times New Roman"/>
          <w:sz w:val="24"/>
          <w:szCs w:val="24"/>
          <w:lang w:eastAsia="es-ES"/>
        </w:rPr>
        <w:t>andato en el BCE conocido como “SuperMario”</w:t>
      </w:r>
      <w:r w:rsidRPr="00B977A4">
        <w:rPr>
          <w:rFonts w:ascii="Times New Roman" w:eastAsia="Times New Roman" w:hAnsi="Times New Roman" w:cs="Times New Roman"/>
          <w:sz w:val="24"/>
          <w:szCs w:val="24"/>
          <w:lang w:eastAsia="es-ES"/>
        </w:rPr>
        <w:t>. Pese a su heterodoxia, también quedaron en la hemeroteca sus roces con la política europea, algo entendible dada la independencia de la que siempre debe hacer gala un banquero central.</w:t>
      </w:r>
    </w:p>
    <w:p w:rsidR="004301A6" w:rsidRPr="00B977A4" w:rsidRDefault="004301A6" w:rsidP="004301A6">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B977A4">
        <w:rPr>
          <w:rFonts w:ascii="Times New Roman" w:eastAsia="Times New Roman" w:hAnsi="Times New Roman" w:cs="Times New Roman"/>
          <w:sz w:val="24"/>
          <w:szCs w:val="24"/>
          <w:lang w:eastAsia="es-ES"/>
        </w:rPr>
        <w:t>Una expolítica en el BCE</w:t>
      </w:r>
    </w:p>
    <w:p w:rsidR="004301A6" w:rsidRPr="00B977A4" w:rsidRDefault="004301A6" w:rsidP="004301A6">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B977A4">
        <w:rPr>
          <w:rFonts w:ascii="Times New Roman" w:eastAsia="Times New Roman" w:hAnsi="Times New Roman" w:cs="Times New Roman"/>
          <w:sz w:val="24"/>
          <w:szCs w:val="24"/>
          <w:lang w:eastAsia="es-ES"/>
        </w:rPr>
        <w:t>La sorpresa fue cuando el Consejo Europeo decidió nombrar a una expolítica y abogada, Christine Lagarde, como nueva presidenta del BCE en octubre de 2019.</w:t>
      </w:r>
    </w:p>
    <w:p w:rsidR="004301A6" w:rsidRPr="00B977A4" w:rsidRDefault="004301A6" w:rsidP="004301A6">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B977A4">
        <w:rPr>
          <w:rFonts w:ascii="Times New Roman" w:eastAsia="Times New Roman" w:hAnsi="Times New Roman" w:cs="Times New Roman"/>
          <w:sz w:val="24"/>
          <w:szCs w:val="24"/>
          <w:lang w:eastAsia="es-ES"/>
        </w:rPr>
        <w:t>Una paloma que quiso quitarse el apodo para llamarse lechuza ante las presiones de los halcones para una rápida retirada de estímulos de la economía que evitara un estallido futuro de la inflación en la zona euro y permitiera tener munición por si en el futuro se producía una nueva crisis económica.</w:t>
      </w:r>
    </w:p>
    <w:p w:rsidR="004301A6" w:rsidRPr="00B977A4" w:rsidRDefault="004301A6" w:rsidP="004301A6">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B977A4">
        <w:rPr>
          <w:rFonts w:ascii="Times New Roman" w:eastAsia="Times New Roman" w:hAnsi="Times New Roman" w:cs="Times New Roman"/>
          <w:sz w:val="24"/>
          <w:szCs w:val="24"/>
          <w:lang w:eastAsia="es-ES"/>
        </w:rPr>
        <w:t>Muy pocos meses después de que Lagarde aterrizara en Fráncfort, llegó la pandemia. Y con la Covid-19, su prim</w:t>
      </w:r>
      <w:r w:rsidR="0034663B" w:rsidRPr="00B977A4">
        <w:rPr>
          <w:rFonts w:ascii="Times New Roman" w:eastAsia="Times New Roman" w:hAnsi="Times New Roman" w:cs="Times New Roman"/>
          <w:sz w:val="24"/>
          <w:szCs w:val="24"/>
          <w:lang w:eastAsia="es-ES"/>
        </w:rPr>
        <w:t>er resbalón, cuando afirmó que “</w:t>
      </w:r>
      <w:r w:rsidRPr="00B977A4">
        <w:rPr>
          <w:rFonts w:ascii="Times New Roman" w:eastAsia="Times New Roman" w:hAnsi="Times New Roman" w:cs="Times New Roman"/>
          <w:sz w:val="24"/>
          <w:szCs w:val="24"/>
          <w:lang w:eastAsia="es-ES"/>
        </w:rPr>
        <w:t>no estamos aquí pa</w:t>
      </w:r>
      <w:r w:rsidR="0034663B" w:rsidRPr="00B977A4">
        <w:rPr>
          <w:rFonts w:ascii="Times New Roman" w:eastAsia="Times New Roman" w:hAnsi="Times New Roman" w:cs="Times New Roman"/>
          <w:sz w:val="24"/>
          <w:szCs w:val="24"/>
          <w:lang w:eastAsia="es-ES"/>
        </w:rPr>
        <w:t>ra reducir las primas de riesgo”</w:t>
      </w:r>
      <w:r w:rsidRPr="00B977A4">
        <w:rPr>
          <w:rFonts w:ascii="Times New Roman" w:eastAsia="Times New Roman" w:hAnsi="Times New Roman" w:cs="Times New Roman"/>
          <w:sz w:val="24"/>
          <w:szCs w:val="24"/>
          <w:lang w:eastAsia="es-ES"/>
        </w:rPr>
        <w:t>. La reacción de los mercados no se hizo esperar y acabó forzando al BCE a lanzar un programa de 750.000 millones de euros en estímulos.</w:t>
      </w:r>
    </w:p>
    <w:p w:rsidR="004301A6" w:rsidRPr="00B977A4" w:rsidRDefault="004301A6" w:rsidP="004301A6">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B977A4">
        <w:rPr>
          <w:rFonts w:ascii="Times New Roman" w:eastAsia="Times New Roman" w:hAnsi="Times New Roman" w:cs="Times New Roman"/>
          <w:sz w:val="24"/>
          <w:szCs w:val="24"/>
          <w:lang w:eastAsia="es-ES"/>
        </w:rPr>
        <w:t xml:space="preserve">Lo que ha sucedido después lo resumió en su columna en este periódico el analista financiero Juan Ignacio Crespo, con el llamado 'Gráfico del siglo'. </w:t>
      </w:r>
    </w:p>
    <w:p w:rsidR="004301A6" w:rsidRPr="00B977A4" w:rsidRDefault="004301A6" w:rsidP="004301A6">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B977A4">
        <w:rPr>
          <w:rFonts w:ascii="Times New Roman" w:eastAsia="Times New Roman" w:hAnsi="Times New Roman" w:cs="Times New Roman"/>
          <w:sz w:val="24"/>
          <w:szCs w:val="24"/>
          <w:lang w:eastAsia="es-ES"/>
        </w:rPr>
        <w:t>Los cuatro grandes bancos centrales (Estados Unidos, China, Eurozona y Japón) han inyectado en dos años casi 12 billones de euros en las economías. De esa cantidad, alrededor de cinco billones se han puesto en circulación por el BCE.</w:t>
      </w:r>
    </w:p>
    <w:p w:rsidR="004301A6" w:rsidRPr="00B977A4" w:rsidRDefault="004301A6" w:rsidP="004301A6">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B977A4">
        <w:rPr>
          <w:rFonts w:ascii="Times New Roman" w:eastAsia="Times New Roman" w:hAnsi="Times New Roman" w:cs="Times New Roman"/>
          <w:sz w:val="24"/>
          <w:szCs w:val="24"/>
          <w:lang w:eastAsia="es-ES"/>
        </w:rPr>
        <w:t xml:space="preserve">Para calibrar el impacto de esa cifra en dos años, basta con recordar que, entre 2006 y 2020, el dinero inyectado para combatir la crisis por esos bancos centrales fue de 14,7 billones. </w:t>
      </w:r>
    </w:p>
    <w:p w:rsidR="0034663B" w:rsidRPr="00B977A4" w:rsidRDefault="0034663B" w:rsidP="004301A6">
      <w:pPr>
        <w:shd w:val="clear" w:color="auto" w:fill="FFFFFF"/>
        <w:spacing w:line="240" w:lineRule="auto"/>
        <w:jc w:val="both"/>
        <w:textAlignment w:val="baseline"/>
        <w:rPr>
          <w:rFonts w:ascii="Times New Roman" w:eastAsia="Times New Roman" w:hAnsi="Times New Roman" w:cs="Times New Roman"/>
          <w:sz w:val="24"/>
          <w:szCs w:val="24"/>
          <w:lang w:eastAsia="es-ES"/>
        </w:rPr>
      </w:pPr>
    </w:p>
    <w:p w:rsidR="004301A6" w:rsidRPr="00B977A4" w:rsidRDefault="004301A6" w:rsidP="004301A6">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B977A4">
        <w:rPr>
          <w:rFonts w:ascii="Times New Roman" w:eastAsia="Times New Roman" w:hAnsi="Times New Roman" w:cs="Times New Roman"/>
          <w:sz w:val="24"/>
          <w:szCs w:val="24"/>
          <w:lang w:eastAsia="es-ES"/>
        </w:rPr>
        <w:lastRenderedPageBreak/>
        <w:t>Inflación desbocada</w:t>
      </w:r>
    </w:p>
    <w:p w:rsidR="004301A6" w:rsidRPr="00B977A4" w:rsidRDefault="004301A6" w:rsidP="004301A6">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B977A4">
        <w:rPr>
          <w:rFonts w:ascii="Times New Roman" w:eastAsia="Times New Roman" w:hAnsi="Times New Roman" w:cs="Times New Roman"/>
          <w:sz w:val="24"/>
          <w:szCs w:val="24"/>
          <w:lang w:eastAsia="es-ES"/>
        </w:rPr>
        <w:t>Con el fantasma de la inflación fuera de la tumba (en mayo marcó un nuevo récord en el 8,1%), el BCE de Lagarde afronta ahora el reto de drenar esa liquidez con una guerra librándose en territorio europeo. Para ello, anunció este jueves el fin de las compras de bonos soberanos, una subida de tipos en julio y otra en septiembre.</w:t>
      </w:r>
    </w:p>
    <w:p w:rsidR="004301A6" w:rsidRPr="00B977A4" w:rsidRDefault="004301A6" w:rsidP="004301A6">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B977A4">
        <w:rPr>
          <w:rFonts w:ascii="Times New Roman" w:eastAsia="Times New Roman" w:hAnsi="Times New Roman" w:cs="Times New Roman"/>
          <w:sz w:val="24"/>
          <w:szCs w:val="24"/>
          <w:lang w:eastAsia="es-ES"/>
        </w:rPr>
        <w:t>Empezará, así,</w:t>
      </w:r>
      <w:r w:rsidR="0034663B" w:rsidRPr="00B977A4">
        <w:rPr>
          <w:rFonts w:ascii="Times New Roman" w:eastAsia="Times New Roman" w:hAnsi="Times New Roman" w:cs="Times New Roman"/>
          <w:sz w:val="24"/>
          <w:szCs w:val="24"/>
          <w:lang w:eastAsia="es-ES"/>
        </w:rPr>
        <w:t xml:space="preserve"> lo que Lagarde describió como “</w:t>
      </w:r>
      <w:r w:rsidRPr="00B977A4">
        <w:rPr>
          <w:rFonts w:ascii="Times New Roman" w:eastAsia="Times New Roman" w:hAnsi="Times New Roman" w:cs="Times New Roman"/>
          <w:sz w:val="24"/>
          <w:szCs w:val="24"/>
          <w:lang w:eastAsia="es-ES"/>
        </w:rPr>
        <w:t>largo v</w:t>
      </w:r>
      <w:r w:rsidR="0034663B" w:rsidRPr="00B977A4">
        <w:rPr>
          <w:rFonts w:ascii="Times New Roman" w:eastAsia="Times New Roman" w:hAnsi="Times New Roman" w:cs="Times New Roman"/>
          <w:sz w:val="24"/>
          <w:szCs w:val="24"/>
          <w:lang w:eastAsia="es-ES"/>
        </w:rPr>
        <w:t>iaje”</w:t>
      </w:r>
      <w:r w:rsidRPr="00B977A4">
        <w:rPr>
          <w:rFonts w:ascii="Times New Roman" w:eastAsia="Times New Roman" w:hAnsi="Times New Roman" w:cs="Times New Roman"/>
          <w:sz w:val="24"/>
          <w:szCs w:val="24"/>
          <w:lang w:eastAsia="es-ES"/>
        </w:rPr>
        <w:t xml:space="preserve"> para volver a la estabilidad de precios en un escenario en el que no se descarta una recesión si se recrudece la tensión con Rusia.</w:t>
      </w:r>
    </w:p>
    <w:p w:rsidR="004301A6" w:rsidRPr="00B977A4" w:rsidRDefault="004301A6" w:rsidP="004301A6">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B977A4">
        <w:rPr>
          <w:rFonts w:ascii="Times New Roman" w:eastAsia="Times New Roman" w:hAnsi="Times New Roman" w:cs="Times New Roman"/>
          <w:sz w:val="24"/>
          <w:szCs w:val="24"/>
          <w:lang w:eastAsia="es-ES"/>
        </w:rPr>
        <w:t>Al repasar las hemerotecas, se puede ver cómo desde los tiempos de Trichet y Draghi se venía pidiendo a países como España un esfuerzo con la reforma laboral, la reforma de las pensiones o la consolidación fiscal para que la prima de riesgo fuera más resiliente a una retirada de estímulos que tarde o temprano iba a tener que llegar.</w:t>
      </w:r>
    </w:p>
    <w:p w:rsidR="004301A6" w:rsidRPr="00B977A4" w:rsidRDefault="004301A6" w:rsidP="004301A6">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B977A4">
        <w:rPr>
          <w:rFonts w:ascii="Times New Roman" w:eastAsia="Times New Roman" w:hAnsi="Times New Roman" w:cs="Times New Roman"/>
          <w:sz w:val="24"/>
          <w:szCs w:val="24"/>
          <w:lang w:eastAsia="es-ES"/>
        </w:rPr>
        <w:t>No fueron pocas las veces que Draghi recordó a los políticos europeos desde su atril en Fráncfort que la política monetaria no podía sustituir a la política fiscal y a la política económica.</w:t>
      </w:r>
    </w:p>
    <w:p w:rsidR="004301A6" w:rsidRPr="00B977A4" w:rsidRDefault="004301A6" w:rsidP="004301A6">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B977A4">
        <w:rPr>
          <w:rFonts w:ascii="Times New Roman" w:eastAsia="Times New Roman" w:hAnsi="Times New Roman" w:cs="Times New Roman"/>
          <w:sz w:val="24"/>
          <w:szCs w:val="24"/>
          <w:lang w:eastAsia="es-ES"/>
        </w:rPr>
        <w:t>La pandemia diluyó ese mensaje al tiempo que permitió a los Estados del euro emitir volúmenes de deuda sin precedentes amparados por la liquidez del sistema y la credibilidad del BCE ante los inversores. Una reputación que Lagarde debe ahora consolidar frente a la inflación.</w:t>
      </w:r>
    </w:p>
    <w:p w:rsidR="004301A6" w:rsidRPr="00B977A4" w:rsidRDefault="004301A6" w:rsidP="004301A6">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B977A4">
        <w:rPr>
          <w:rFonts w:ascii="Times New Roman" w:eastAsia="Times New Roman" w:hAnsi="Times New Roman" w:cs="Times New Roman"/>
          <w:noProof/>
          <w:sz w:val="24"/>
          <w:szCs w:val="24"/>
          <w:lang w:eastAsia="es-ES"/>
        </w:rPr>
        <w:drawing>
          <wp:inline distT="0" distB="0" distL="0" distR="0" wp14:anchorId="4F495CBD" wp14:editId="4C779A86">
            <wp:extent cx="5683250" cy="2844800"/>
            <wp:effectExtent l="0" t="0" r="0" b="0"/>
            <wp:docPr id="156" name="Imagen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687219" cy="2846787"/>
                    </a:xfrm>
                    <a:prstGeom prst="rect">
                      <a:avLst/>
                    </a:prstGeom>
                  </pic:spPr>
                </pic:pic>
              </a:graphicData>
            </a:graphic>
          </wp:inline>
        </w:drawing>
      </w:r>
    </w:p>
    <w:p w:rsidR="004301A6" w:rsidRPr="00B977A4" w:rsidRDefault="004301A6" w:rsidP="004301A6">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B977A4">
        <w:rPr>
          <w:rFonts w:ascii="Times New Roman" w:eastAsia="Times New Roman" w:hAnsi="Times New Roman" w:cs="Times New Roman"/>
          <w:sz w:val="24"/>
          <w:szCs w:val="24"/>
          <w:lang w:eastAsia="es-ES"/>
        </w:rPr>
        <w:t>España y la periferia</w:t>
      </w:r>
    </w:p>
    <w:p w:rsidR="004301A6" w:rsidRPr="00B977A4" w:rsidRDefault="0034663B" w:rsidP="004301A6">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B977A4">
        <w:rPr>
          <w:rFonts w:ascii="Times New Roman" w:eastAsia="Times New Roman" w:hAnsi="Times New Roman" w:cs="Times New Roman"/>
          <w:sz w:val="24"/>
          <w:szCs w:val="24"/>
          <w:lang w:eastAsia="es-ES"/>
        </w:rPr>
        <w:t>Con la “contrarreforma laboral”</w:t>
      </w:r>
      <w:r w:rsidR="004301A6" w:rsidRPr="00B977A4">
        <w:rPr>
          <w:rFonts w:ascii="Times New Roman" w:eastAsia="Times New Roman" w:hAnsi="Times New Roman" w:cs="Times New Roman"/>
          <w:sz w:val="24"/>
          <w:szCs w:val="24"/>
          <w:lang w:eastAsia="es-ES"/>
        </w:rPr>
        <w:t xml:space="preserve"> recién aprobada y el resto de reformas como asignaturas pendientes, la prima de riesgo española llega a este momento en la manejable cota de 112 puntos. Es una situación parecida a la de Portugal (117) y más holgada que la de Italia (213) o Grecia (249). En el otro extremo de los países que más sufrieron en 2012 figura Irlanda, con una prima de riesgo de 57 puntos.</w:t>
      </w:r>
    </w:p>
    <w:p w:rsidR="004301A6" w:rsidRPr="00B977A4" w:rsidRDefault="004301A6" w:rsidP="004301A6">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B977A4">
        <w:rPr>
          <w:rFonts w:ascii="Times New Roman" w:eastAsia="Times New Roman" w:hAnsi="Times New Roman" w:cs="Times New Roman"/>
          <w:sz w:val="24"/>
          <w:szCs w:val="24"/>
          <w:lang w:eastAsia="es-ES"/>
        </w:rPr>
        <w:lastRenderedPageBreak/>
        <w:t>Curiosamente, la Eurozona se enfrenta en este momento a la amenaza de una recesión económica o, en el mejor de los casos, al estancamiento económico por la guerra de Ucrania y las sanciones a Rusia.</w:t>
      </w:r>
    </w:p>
    <w:p w:rsidR="004301A6" w:rsidRPr="00B977A4" w:rsidRDefault="004301A6" w:rsidP="004301A6">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B977A4">
        <w:rPr>
          <w:rFonts w:ascii="Times New Roman" w:eastAsia="Times New Roman" w:hAnsi="Times New Roman" w:cs="Times New Roman"/>
          <w:sz w:val="24"/>
          <w:szCs w:val="24"/>
          <w:lang w:eastAsia="es-ES"/>
        </w:rPr>
        <w:t>Esto ha devuelto al BCE a la casilla de salida del dilema monetario. Toca subir los tipos y retirar estímulos para combatir la inflación sin un crecimiento sólido. La duda es hasta dónde tendrá que llegar Lagarde para que el BCE pueda cumplir con el mandato que obsesionaba a Trichet: mantener la estabilidad de los precios, es decir, actuar hasta que la inflación vuelva al entorno del 2%. Algo que no ocurrirá hasta 2024.</w:t>
      </w:r>
    </w:p>
    <w:p w:rsidR="008357A3" w:rsidRPr="00B977A4" w:rsidRDefault="008357A3" w:rsidP="004301A6">
      <w:pPr>
        <w:shd w:val="clear" w:color="auto" w:fill="FFFFFF"/>
        <w:spacing w:line="240" w:lineRule="auto"/>
        <w:jc w:val="both"/>
        <w:textAlignment w:val="baseline"/>
        <w:rPr>
          <w:rFonts w:ascii="Times New Roman" w:eastAsia="Times New Roman" w:hAnsi="Times New Roman" w:cs="Times New Roman"/>
          <w:sz w:val="24"/>
          <w:szCs w:val="24"/>
          <w:lang w:eastAsia="es-ES"/>
        </w:rPr>
      </w:pPr>
    </w:p>
    <w:p w:rsidR="008357A3" w:rsidRDefault="008357A3" w:rsidP="004301A6">
      <w:pPr>
        <w:shd w:val="clear" w:color="auto" w:fill="FFFFFF"/>
        <w:spacing w:line="240" w:lineRule="auto"/>
        <w:jc w:val="both"/>
        <w:textAlignment w:val="baseline"/>
        <w:rPr>
          <w:rFonts w:ascii="Times New Roman" w:eastAsia="Times New Roman" w:hAnsi="Times New Roman" w:cs="Times New Roman"/>
          <w:color w:val="333333"/>
          <w:sz w:val="24"/>
          <w:szCs w:val="24"/>
          <w:lang w:eastAsia="es-ES"/>
        </w:rPr>
      </w:pPr>
      <w:r>
        <w:rPr>
          <w:noProof/>
          <w:lang w:eastAsia="es-ES"/>
        </w:rPr>
        <w:drawing>
          <wp:inline distT="0" distB="0" distL="0" distR="0">
            <wp:extent cx="5734049" cy="3333750"/>
            <wp:effectExtent l="0" t="0" r="635" b="0"/>
            <wp:docPr id="5" name="Imagen 5" descr="Aumenta el temor a que la Fed lleve a EEUU a la recesión si sube demasiado  los tipos de interés | Públi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Aumenta el temor a que la Fed lleve a EEUU a la recesión si sube demasiado  los tipos de interés | Público"/>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31510" cy="3332274"/>
                    </a:xfrm>
                    <a:prstGeom prst="rect">
                      <a:avLst/>
                    </a:prstGeom>
                    <a:noFill/>
                    <a:ln>
                      <a:noFill/>
                    </a:ln>
                  </pic:spPr>
                </pic:pic>
              </a:graphicData>
            </a:graphic>
          </wp:inline>
        </w:drawing>
      </w:r>
    </w:p>
    <w:p w:rsidR="008357A3" w:rsidRDefault="004301A6" w:rsidP="004301A6">
      <w:pPr>
        <w:pStyle w:val="NormalWeb"/>
        <w:spacing w:after="360"/>
        <w:jc w:val="both"/>
      </w:pPr>
      <w:r>
        <w:t xml:space="preserve">- </w:t>
      </w:r>
      <w:r w:rsidRPr="00653257">
        <w:rPr>
          <w:u w:val="single"/>
        </w:rPr>
        <w:t>Banqueros centrales que controlaron o sucumbieron al monstruo de la inflación</w:t>
      </w:r>
      <w:r>
        <w:t xml:space="preserve"> (El Economista - </w:t>
      </w:r>
      <w:r w:rsidRPr="00653257">
        <w:rPr>
          <w:b/>
        </w:rPr>
        <w:t>7/7/22</w:t>
      </w:r>
      <w:r>
        <w:t>)</w:t>
      </w:r>
    </w:p>
    <w:p w:rsidR="004301A6" w:rsidRPr="00600492" w:rsidRDefault="004301A6" w:rsidP="004301A6">
      <w:pPr>
        <w:pStyle w:val="NormalWeb"/>
        <w:spacing w:after="360"/>
        <w:jc w:val="both"/>
        <w:rPr>
          <w:color w:val="FF0000"/>
        </w:rPr>
      </w:pPr>
      <w:r w:rsidRPr="00600492">
        <w:rPr>
          <w:color w:val="FF0000"/>
        </w:rPr>
        <w:t>Black, Volcker y Yellen tuvieron éxito...</w:t>
      </w:r>
    </w:p>
    <w:p w:rsidR="004301A6" w:rsidRPr="00600492" w:rsidRDefault="004301A6" w:rsidP="004301A6">
      <w:pPr>
        <w:pStyle w:val="NormalWeb"/>
        <w:spacing w:after="360"/>
        <w:jc w:val="both"/>
        <w:rPr>
          <w:color w:val="FF0000"/>
        </w:rPr>
      </w:pPr>
      <w:r w:rsidRPr="00600492">
        <w:rPr>
          <w:color w:val="FF0000"/>
        </w:rPr>
        <w:t>...pero la mayor parte de gobernadores no lograron su objetivo</w:t>
      </w:r>
    </w:p>
    <w:p w:rsidR="004301A6" w:rsidRDefault="004301A6" w:rsidP="004301A6">
      <w:pPr>
        <w:pStyle w:val="NormalWeb"/>
        <w:spacing w:after="360"/>
        <w:jc w:val="both"/>
      </w:pPr>
      <w:r>
        <w:t>(Por Víctor Blanco Moro)</w:t>
      </w:r>
    </w:p>
    <w:p w:rsidR="004301A6" w:rsidRDefault="004301A6" w:rsidP="004301A6">
      <w:pPr>
        <w:pStyle w:val="NormalWeb"/>
        <w:spacing w:after="360"/>
        <w:jc w:val="both"/>
      </w:pPr>
      <w:r>
        <w:t>Encabezar la Reserva Federal estadounidense (Fed) nunca ha sido tarea fácil. Desde que nació la institución como la conocemos hoy en día, en 1913, con la ley que aprobó el presidente Woodrow Wilson ese año, el organismo ha tenido dieciséis gobernadores diferentes.</w:t>
      </w:r>
    </w:p>
    <w:p w:rsidR="004301A6" w:rsidRDefault="004301A6" w:rsidP="004301A6">
      <w:pPr>
        <w:pStyle w:val="NormalWeb"/>
        <w:spacing w:after="360"/>
        <w:jc w:val="both"/>
      </w:pPr>
      <w:r>
        <w:t>Desde Charles S. Hamlin, quien inauguró el cargo en agosto de 1914, hasta Jerome Powell, el presidente actual de la institución, las distintas cabezas de la Fed han medido sus fuerzas en la lucha contra uno de los mayores peligros económicos que se conocen: el monstruo de la inflación (o el de la deflación, como ocurrió en los años posteriores a la Gran Depresión).</w:t>
      </w:r>
    </w:p>
    <w:p w:rsidR="004301A6" w:rsidRDefault="004301A6" w:rsidP="004301A6">
      <w:pPr>
        <w:pStyle w:val="NormalWeb"/>
        <w:spacing w:after="360"/>
        <w:jc w:val="both"/>
      </w:pPr>
      <w:r>
        <w:lastRenderedPageBreak/>
        <w:t>La lucha nunca ha sido fácil: desde la Primera Guerra Mundial hasta el conflicto bélico de Ucrania, pasando por periodos como la Gran Depresión, el periodo de entreguerras, la Segunda Guerra Mundial, o la crisis del petróleo de la década de los 70, la mayor parte de gobernadores de la Fed no ha sido capaz de meter en vereda a la inflación, o de conseguir que repunte por encima del 0%, en los momentos en los que la deflación ha sido la tónica predominante en la economía americana.</w:t>
      </w:r>
    </w:p>
    <w:p w:rsidR="008357A3" w:rsidRDefault="008357A3" w:rsidP="004301A6">
      <w:pPr>
        <w:pStyle w:val="NormalWeb"/>
        <w:spacing w:after="360"/>
        <w:jc w:val="both"/>
      </w:pPr>
      <w:r w:rsidRPr="00653257">
        <w:rPr>
          <w:noProof/>
        </w:rPr>
        <w:drawing>
          <wp:inline distT="0" distB="0" distL="0" distR="0" wp14:anchorId="64BDDD41" wp14:editId="62DDEFBC">
            <wp:extent cx="5467350" cy="6629400"/>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468114" cy="6630326"/>
                    </a:xfrm>
                    <a:prstGeom prst="rect">
                      <a:avLst/>
                    </a:prstGeom>
                  </pic:spPr>
                </pic:pic>
              </a:graphicData>
            </a:graphic>
          </wp:inline>
        </w:drawing>
      </w:r>
    </w:p>
    <w:p w:rsidR="004301A6" w:rsidRDefault="004301A6" w:rsidP="004301A6">
      <w:pPr>
        <w:pStyle w:val="NormalWeb"/>
        <w:spacing w:after="360"/>
        <w:jc w:val="both"/>
      </w:pPr>
      <w:r>
        <w:t>El contexto económico y geopolítico casi siempre se ha impuesto sobre los objetivos de los presidentes del principal banco central del planeta, dificultando su tarea e impidiendo que consiguiesen mantener una estabilidad de precios, el objetivo que se marcó la Fed en 1978 por primera vez en su historia.</w:t>
      </w:r>
    </w:p>
    <w:p w:rsidR="004301A6" w:rsidRDefault="004301A6" w:rsidP="004301A6">
      <w:pPr>
        <w:pStyle w:val="NormalWeb"/>
        <w:spacing w:after="360"/>
        <w:jc w:val="both"/>
      </w:pPr>
      <w:r>
        <w:lastRenderedPageBreak/>
        <w:t>Desde los años previos al inicio de la Primera Guerra Mundial hasta la década anterior al comienzo de la Segunda, la tónica predominante fue la desinflación: William Handing cogió las riendas de la Fed en agosto de 2016, con una inflación del 7,9%, y la dejó en agosto de 1922 en el -6,2%. Los tres siguientes presidentes, Daniel Crissinger, Roy Young y Eugene Meyer, la dejaron en terreno negativo, especialmente este último, quien se marchó en 1933 con una tasa de inflación del -8% en Estados Unidos.</w:t>
      </w:r>
    </w:p>
    <w:p w:rsidR="004301A6" w:rsidRDefault="004301A6" w:rsidP="004301A6">
      <w:pPr>
        <w:pStyle w:val="NormalWeb"/>
        <w:spacing w:after="360"/>
        <w:jc w:val="both"/>
      </w:pPr>
      <w:r>
        <w:t>A partir de ese momento, historia cambió por completo: nunca volvió a haber un presidente de la Fed que dejase su cargo con la inflación en terreno negativo, y la pelea constante de los políticos monetarios en EEUU fue frenar el incremento excesivo de los precios.</w:t>
      </w:r>
    </w:p>
    <w:p w:rsidR="004301A6" w:rsidRDefault="004301A6" w:rsidP="004301A6">
      <w:pPr>
        <w:pStyle w:val="NormalWeb"/>
        <w:spacing w:after="360"/>
        <w:jc w:val="both"/>
      </w:pPr>
      <w:r>
        <w:t>Éxitos y fracasos</w:t>
      </w:r>
    </w:p>
    <w:p w:rsidR="004301A6" w:rsidRDefault="004301A6" w:rsidP="004301A6">
      <w:pPr>
        <w:pStyle w:val="NormalWeb"/>
        <w:spacing w:after="360"/>
        <w:jc w:val="both"/>
      </w:pPr>
      <w:r>
        <w:t>Eugene Black, en 1933-1934, Paul Volcker, entre 1979 y 1987, y Janet Yellen (la única mujer que ha estado al frente de la institución en más de un siglo de historia) son los tres presidentes que consiguieron poner la situación bajo control, a pesar de recibir en herencia un contexto macroeconómico bastante complicada, al menos en lo que se refiere a la inflación.</w:t>
      </w:r>
    </w:p>
    <w:p w:rsidR="004301A6" w:rsidRDefault="004301A6" w:rsidP="004301A6">
      <w:pPr>
        <w:pStyle w:val="NormalWeb"/>
        <w:spacing w:after="360"/>
        <w:jc w:val="both"/>
      </w:pPr>
      <w:r>
        <w:t>Durante el mandato de Black, entre 1933 y 1934, se consiguió dejar atrás el periodo deflacionista posterior a la crisis de 1929. El presidente de la Fed heredó una economía con una inflación en el -8% anual, y la dejó 9,5 puntos porcentuales por encima, en el 1,5%.</w:t>
      </w:r>
    </w:p>
    <w:p w:rsidR="004301A6" w:rsidRDefault="004301A6" w:rsidP="004301A6">
      <w:pPr>
        <w:pStyle w:val="NormalWeb"/>
        <w:spacing w:after="360"/>
        <w:jc w:val="both"/>
      </w:pPr>
      <w:r>
        <w:t>Volcker, por el contrario, fue capaz de reconducir al monstruo inflacionista que se había alimentado en la década de los 70 por la crisis del petróleo. Su éxito fue conseguir reducir el avance del IPC, desde el 11,8% en el que se situaba cuando comenzó su mandato, en 1979, hasta una tasa mucho más normalizada, el 4,3%, en el año 1987.</w:t>
      </w:r>
    </w:p>
    <w:p w:rsidR="004301A6" w:rsidRDefault="004301A6" w:rsidP="004301A6">
      <w:pPr>
        <w:pStyle w:val="NormalWeb"/>
        <w:spacing w:after="360"/>
        <w:jc w:val="both"/>
      </w:pPr>
      <w:r>
        <w:t>La situación que había antes de Volcker, que</w:t>
      </w:r>
      <w:r w:rsidR="0034663B">
        <w:t xml:space="preserve"> se ha llegado a bautizar como “la gran inflación”, terminó “</w:t>
      </w:r>
      <w:r>
        <w:t>debido a las políticas anti-inflacionarias que promovió Paul A. Volcker que inicio con un nivel de precios de 11,8% y lo dejó en 4,3%. Esta nueva estabilidad de los precios que se reflejó en una relativa estabilidad del producto continuó con el afamado Alan Greenspan d</w:t>
      </w:r>
      <w:r w:rsidR="0034663B">
        <w:t>ando lugar a la Gran Moderación”</w:t>
      </w:r>
      <w:r>
        <w:t>, explica Mario Rojas Miranda, profesor e investigador de economía en la Universidad del Istmo.</w:t>
      </w:r>
    </w:p>
    <w:p w:rsidR="004301A6" w:rsidRDefault="0034663B" w:rsidP="004301A6">
      <w:pPr>
        <w:pStyle w:val="NormalWeb"/>
        <w:spacing w:after="360"/>
        <w:jc w:val="both"/>
      </w:pPr>
      <w:r>
        <w:t>“</w:t>
      </w:r>
      <w:r w:rsidR="004301A6">
        <w:t xml:space="preserve">Alan Greenspan continuó el trabajo de Volcker durante más de tres lustros y su exitosa labor es </w:t>
      </w:r>
      <w:r>
        <w:t>recordada como la era Greenspan”</w:t>
      </w:r>
      <w:r w:rsidR="004301A6">
        <w:t>, explica</w:t>
      </w:r>
      <w:r>
        <w:t xml:space="preserve"> Rojas, señalando también cómo “</w:t>
      </w:r>
      <w:r w:rsidR="004301A6">
        <w:t xml:space="preserve">el desarrollo </w:t>
      </w:r>
      <w:r>
        <w:t>de “la buena política monetaria”</w:t>
      </w:r>
      <w:r w:rsidR="004301A6">
        <w:t xml:space="preserve"> permitió experimentar un tercer ensayo monetario: la Gran Moderación que duró de 1982 a 2006 y que se caracterizó porque la inflación y el producto observaron una variabilidad muy baja, generando las dos expansiones más largas y las tres recesiones más cortas de la historia </w:t>
      </w:r>
      <w:r>
        <w:t>reciente de Estados Unidos”</w:t>
      </w:r>
      <w:r w:rsidR="004301A6">
        <w:t>, destaca.</w:t>
      </w:r>
    </w:p>
    <w:p w:rsidR="004301A6" w:rsidRDefault="004301A6" w:rsidP="004301A6">
      <w:pPr>
        <w:pStyle w:val="NormalWeb"/>
        <w:spacing w:after="360"/>
        <w:jc w:val="both"/>
      </w:pPr>
      <w:r>
        <w:t>Yellen, la presidenta más reciente de la Fed que cumplió con su mandato, logró dejar la inflación en el entorno del objetivo de la institución (del 2%, aproximadamente), después de varios años en los que parecía misión imposible evitar que la deflación volviese a instaurarse en la primera economía del mundo. Esto, si se tiene en cuenta la historia de la institución, ha sido algo excepcional. Eso sí, hay que matizar que no siempre hubo un objetivo concreto de inflación, como hay ahora, ya que el objetivo del 2% se aprobó por primera vez en el año 2012, durante el mandato de Ben Bernanke.</w:t>
      </w:r>
    </w:p>
    <w:p w:rsidR="004301A6" w:rsidRDefault="004301A6" w:rsidP="004301A6">
      <w:pPr>
        <w:pStyle w:val="NormalWeb"/>
        <w:spacing w:after="360"/>
        <w:jc w:val="both"/>
      </w:pPr>
      <w:r>
        <w:lastRenderedPageBreak/>
        <w:t>Por el contrario, los presidentes de la Fed que han fracasado estrepitosamente, y han dejado en herencia un problema mayúsculo a sus sucesores, en forma de inflación en tasas de doble dígito, fueron George W. Miller, antecesor de Volcker, que dejó la Fed en 1979 con una inflación del 11,8%, y antes que él, Marriner S. Eccler, quien se marchó en 1948 dejando el IPC corriendo al 10,2% anual.</w:t>
      </w:r>
    </w:p>
    <w:p w:rsidR="004301A6" w:rsidRDefault="004301A6" w:rsidP="004301A6">
      <w:pPr>
        <w:pStyle w:val="NormalWeb"/>
        <w:spacing w:after="360"/>
        <w:jc w:val="both"/>
      </w:pPr>
      <w:r>
        <w:t>El reto de Jerome Powell</w:t>
      </w:r>
    </w:p>
    <w:p w:rsidR="004301A6" w:rsidRDefault="004301A6" w:rsidP="004301A6">
      <w:pPr>
        <w:pStyle w:val="NormalWeb"/>
        <w:spacing w:after="360"/>
        <w:jc w:val="both"/>
      </w:pPr>
      <w:r>
        <w:t>El presidente actual de la Reserva Federal, Jerome Powell, empezó su mandato con una inflación del 2,2% en febrero de 2018, con Donald Trump como presidente. Los problemas a los que se ha tenido que enfrentar Powell no es baladí, la pandemia de Covid-19 y el inicio de la guerra de Ucrania, que ha generado una crisis energética que no se veía desde hace décadas, y ha vuelto a despertar la inflación, hasta llevarla al terreno del 8,6% en Estados Unidos.</w:t>
      </w:r>
    </w:p>
    <w:p w:rsidR="004301A6" w:rsidRDefault="004301A6" w:rsidP="004301A6">
      <w:pPr>
        <w:pStyle w:val="NormalWeb"/>
        <w:spacing w:after="360"/>
        <w:jc w:val="both"/>
      </w:pPr>
      <w:r>
        <w:t>Ahora, Powell y los miembros de la mesa de gobernadores de la Fed se enfrentan a un reto mayúsculo: deben contener este repunte inflacionista a base de endurecer su política monetaria, al mismo tiempo que intentan evitar que la economía se hunda en una recesión, una tarea que cada vez más analistas dudan que vaya a ser posible.</w:t>
      </w:r>
    </w:p>
    <w:p w:rsidR="004301A6" w:rsidRPr="00865BB5" w:rsidRDefault="004301A6" w:rsidP="004301A6">
      <w:pPr>
        <w:pStyle w:val="NormalWeb"/>
        <w:spacing w:after="360"/>
        <w:jc w:val="both"/>
        <w:rPr>
          <w:b/>
        </w:rPr>
      </w:pPr>
      <w:r>
        <w:rPr>
          <w:b/>
        </w:rPr>
        <w:t>Sigue el ridículo: habrá circo hasta el final</w:t>
      </w:r>
      <w:r w:rsidRPr="00865BB5">
        <w:rPr>
          <w:b/>
        </w:rPr>
        <w:t xml:space="preserve"> (¿por qué</w:t>
      </w:r>
      <w:r>
        <w:rPr>
          <w:b/>
        </w:rPr>
        <w:t xml:space="preserve"> no lo dejan ya, y desconectan a la Unión Europea? -hora de la muerte-. Si no lo hacen por vergüenza, háganlo por piedad.</w:t>
      </w:r>
    </w:p>
    <w:p w:rsidR="004301A6" w:rsidRDefault="004301A6" w:rsidP="004301A6">
      <w:pPr>
        <w:pStyle w:val="NormalWeb"/>
        <w:spacing w:after="360"/>
        <w:jc w:val="both"/>
      </w:pPr>
      <w:r>
        <w:t xml:space="preserve">- </w:t>
      </w:r>
      <w:r w:rsidRPr="00653257">
        <w:rPr>
          <w:u w:val="single"/>
        </w:rPr>
        <w:t>La escultura gigante del euro que ha representado al BCE durante años será subastada porque no se puede mantener</w:t>
      </w:r>
      <w:r>
        <w:t xml:space="preserve"> (El Economista - </w:t>
      </w:r>
      <w:r w:rsidRPr="00653257">
        <w:rPr>
          <w:b/>
        </w:rPr>
        <w:t>6/7/22</w:t>
      </w:r>
      <w:r>
        <w:t>)</w:t>
      </w:r>
    </w:p>
    <w:p w:rsidR="004301A6" w:rsidRDefault="004301A6" w:rsidP="004301A6">
      <w:pPr>
        <w:pStyle w:val="NormalWeb"/>
        <w:spacing w:after="360"/>
        <w:jc w:val="both"/>
      </w:pPr>
      <w:r>
        <w:rPr>
          <w:noProof/>
        </w:rPr>
        <w:drawing>
          <wp:inline distT="0" distB="0" distL="0" distR="0" wp14:anchorId="442D338E" wp14:editId="151FA907">
            <wp:extent cx="5731510" cy="3126857"/>
            <wp:effectExtent l="0" t="0" r="2540" b="0"/>
            <wp:docPr id="64" name="Imagen 64" descr="bce-euro-decadenc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bce-euro-decadencia.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31510" cy="3126857"/>
                    </a:xfrm>
                    <a:prstGeom prst="rect">
                      <a:avLst/>
                    </a:prstGeom>
                    <a:noFill/>
                    <a:ln>
                      <a:noFill/>
                    </a:ln>
                  </pic:spPr>
                </pic:pic>
              </a:graphicData>
            </a:graphic>
          </wp:inline>
        </w:drawing>
      </w:r>
    </w:p>
    <w:p w:rsidR="0034663B" w:rsidRDefault="004301A6" w:rsidP="0034663B">
      <w:pPr>
        <w:pStyle w:val="NormalWeb"/>
        <w:spacing w:after="360"/>
        <w:jc w:val="both"/>
      </w:pPr>
      <w:r>
        <w:t>Fotografías de esta escultura del euro aparecen en todas las informaciones relacionadas con el euro y hace años también se veía en las informaciones sobre el Banco Central Europeo (BCE) porque su primera sede se encontraba a pocos metros de distancia.</w:t>
      </w:r>
      <w:r w:rsidR="0034663B">
        <w:t xml:space="preserve"> La escultura mide 14 metros y pesa 50 toneladas.</w:t>
      </w:r>
    </w:p>
    <w:p w:rsidR="0034663B" w:rsidRDefault="0034663B" w:rsidP="0034663B">
      <w:pPr>
        <w:pStyle w:val="NormalWeb"/>
        <w:spacing w:after="360"/>
        <w:jc w:val="both"/>
      </w:pPr>
      <w:r>
        <w:lastRenderedPageBreak/>
        <w:t>La escultura gigante azul del euro, símbolo de Europa y sobre todo de la divisa, será subastada a mediados de octubre porque es demasiado cara de mantener.</w:t>
      </w:r>
    </w:p>
    <w:p w:rsidR="0034663B" w:rsidRDefault="0034663B" w:rsidP="004301A6">
      <w:pPr>
        <w:pStyle w:val="NormalWeb"/>
        <w:spacing w:after="360"/>
        <w:jc w:val="both"/>
      </w:pPr>
      <w:r>
        <w:t>Situada en la Plaza Willy-Brandt de Fráncfort, la capital financiera de Alemania, se ha convertido desde finales de 2001 en un símbolo de identidad de la ciudad pese al recelo de los alemanes con el euro</w:t>
      </w:r>
      <w:r w:rsidR="005B142A">
        <w:t>.</w:t>
      </w:r>
    </w:p>
    <w:p w:rsidR="004301A6" w:rsidRDefault="004301A6" w:rsidP="004301A6">
      <w:pPr>
        <w:pStyle w:val="NormalWeb"/>
        <w:spacing w:after="360"/>
        <w:jc w:val="both"/>
      </w:pPr>
      <w:r>
        <w:t>La escultura es propiedad del comité sin ánimo de lucro Verein Frankfurter Kultur Komitee, que dirige Manfred Pohl. Pero el aumento del vandalismo los últimos dos años, que ha engullido los medios financieros de que dispone el comité para todos sus proyectos, impide que las aportaciones económicas privadas sean suficientes para mantenerla.</w:t>
      </w:r>
    </w:p>
    <w:p w:rsidR="004301A6" w:rsidRDefault="004301A6" w:rsidP="004301A6">
      <w:pPr>
        <w:pStyle w:val="NormalWeb"/>
        <w:spacing w:after="360"/>
        <w:jc w:val="both"/>
      </w:pPr>
      <w:r>
        <w:t>Tras fracasar los intentos de asegurar la financiación, ya que nadie quiete mantenerla, el comité ha decidido que lo mejor es subastarla.</w:t>
      </w:r>
    </w:p>
    <w:p w:rsidR="004301A6" w:rsidRDefault="004301A6" w:rsidP="004301A6">
      <w:pPr>
        <w:pStyle w:val="NormalWeb"/>
        <w:spacing w:after="360"/>
        <w:jc w:val="both"/>
      </w:pPr>
      <w:r>
        <w:t>La escultura del euro, que es obra del artista alemán Ottmar Hörl, tiene una altura de 14 metros, pesa 50 toneladas y por la noche se ilumina durante todo el año con luces LED (Diodo Emisor de Luz).</w:t>
      </w:r>
    </w:p>
    <w:p w:rsidR="00E43F9C" w:rsidRPr="00EB3A48" w:rsidRDefault="00E43F9C" w:rsidP="004301A6">
      <w:pPr>
        <w:pStyle w:val="NormalWeb"/>
        <w:spacing w:after="360"/>
        <w:jc w:val="both"/>
        <w:rPr>
          <w:b/>
        </w:rPr>
      </w:pPr>
      <w:r w:rsidRPr="00EB3A48">
        <w:rPr>
          <w:b/>
        </w:rPr>
        <w:t>Nota:</w:t>
      </w:r>
      <w:r w:rsidR="00EB3A48" w:rsidRPr="00EB3A48">
        <w:rPr>
          <w:b/>
        </w:rPr>
        <w:t xml:space="preserve"> </w:t>
      </w:r>
      <w:r w:rsidR="00EB3A48">
        <w:rPr>
          <w:b/>
        </w:rPr>
        <w:t>¿</w:t>
      </w:r>
      <w:r w:rsidR="00EB3A48" w:rsidRPr="00EB3A48">
        <w:rPr>
          <w:b/>
        </w:rPr>
        <w:t>profesionales de la quietud, servidores de la inmovilidad</w:t>
      </w:r>
      <w:r w:rsidR="00E071BC">
        <w:rPr>
          <w:b/>
        </w:rPr>
        <w:t>,</w:t>
      </w:r>
      <w:r w:rsidR="00EB3A48" w:rsidRPr="00EB3A48">
        <w:rPr>
          <w:b/>
        </w:rPr>
        <w:t xml:space="preserve"> o si</w:t>
      </w:r>
      <w:r w:rsidR="00EB3A48">
        <w:rPr>
          <w:b/>
        </w:rPr>
        <w:t>mples</w:t>
      </w:r>
      <w:r w:rsidR="00EB3A48" w:rsidRPr="00EB3A48">
        <w:rPr>
          <w:b/>
        </w:rPr>
        <w:t xml:space="preserve"> simuladores</w:t>
      </w:r>
      <w:r w:rsidR="00EB3A48">
        <w:rPr>
          <w:b/>
        </w:rPr>
        <w:t>?</w:t>
      </w:r>
      <w:r w:rsidRPr="00EB3A48">
        <w:rPr>
          <w:b/>
        </w:rPr>
        <w:t xml:space="preserve"> </w:t>
      </w:r>
    </w:p>
    <w:p w:rsidR="00E43F9C" w:rsidRDefault="00E43F9C" w:rsidP="00E43F9C">
      <w:pPr>
        <w:pStyle w:val="NormalWeb"/>
        <w:spacing w:after="360"/>
        <w:jc w:val="both"/>
      </w:pPr>
      <w:r>
        <w:t xml:space="preserve">Ni un día tranquilo en Frankfurt, Washington o Londres, se lamentan los capitostes monetarios… ni un instante de respiro, susurran algunos burócratas del </w:t>
      </w:r>
      <w:r w:rsidRPr="00E43F9C">
        <w:t>apparatchik</w:t>
      </w:r>
      <w:r>
        <w:t xml:space="preserve">… ahogados en un océano de problemas. Una marea creciente que, sin embargo, no parece inquietar los planes de los gobernantes, bancos y grandes empresas adormilados por el dopaje (chute) monetario (intereses por debajo de la inflación, crédito ilimitado, compra de deuda pública y privada…)… </w:t>
      </w:r>
    </w:p>
    <w:p w:rsidR="00E43F9C" w:rsidRDefault="00E43F9C" w:rsidP="00E43F9C">
      <w:pPr>
        <w:pStyle w:val="NormalWeb"/>
        <w:spacing w:after="360"/>
        <w:jc w:val="both"/>
      </w:pPr>
      <w:r>
        <w:t>El rosario de novedades adversas no logra alterar el ánimo de los ilustres saltimbanquis de la política (los grandes conductores del progreso), mientras los bancos centrales (y su elenco de conversos y fanáticos) sigan actuando como los grandes monigotes bobos del establishment, se mantengan en el papel de bufones de la corte (de mangantes y aprovechados).</w:t>
      </w:r>
    </w:p>
    <w:p w:rsidR="00E43F9C" w:rsidRDefault="00EB3A48" w:rsidP="00E43F9C">
      <w:pPr>
        <w:pStyle w:val="NormalWeb"/>
        <w:spacing w:after="360"/>
        <w:jc w:val="both"/>
      </w:pPr>
      <w:r>
        <w:t>Unos entretenedores (</w:t>
      </w:r>
      <w:r w:rsidR="00E43F9C">
        <w:t xml:space="preserve">contemporizadores, acomodaticios, relativistas, consentidores, agradadores…) que han transformado su maleable (anodino) cortoplacismo en un sinuoso (delirante) diaplacismo. </w:t>
      </w:r>
    </w:p>
    <w:p w:rsidR="00E43F9C" w:rsidRDefault="00E43F9C" w:rsidP="00E43F9C">
      <w:pPr>
        <w:pStyle w:val="NormalWeb"/>
        <w:spacing w:after="360"/>
        <w:jc w:val="both"/>
      </w:pPr>
      <w:r>
        <w:t>Dirán que todavía es pronto… que nada de esto es urgente…</w:t>
      </w:r>
      <w:r w:rsidR="00EB3A48">
        <w:t xml:space="preserve"> que la inflación es transitoria…</w:t>
      </w:r>
      <w:r>
        <w:t xml:space="preserve"> que ya escampará… “observando con entusiasmo que todo los lleva a</w:t>
      </w:r>
      <w:r w:rsidR="00EB3A48">
        <w:t>l territorio de la indiferencia”</w:t>
      </w:r>
      <w:r>
        <w:t xml:space="preserve"> (Pla)… Y el que venga detrás, que arree.</w:t>
      </w:r>
    </w:p>
    <w:p w:rsidR="005A4899" w:rsidRPr="005A4899" w:rsidRDefault="005A4899" w:rsidP="005A4899">
      <w:pPr>
        <w:pStyle w:val="Ttulo2"/>
        <w:shd w:val="clear" w:color="auto" w:fill="FFFFFF"/>
        <w:rPr>
          <w:rFonts w:ascii="Times New Roman" w:hAnsi="Times New Roman" w:cs="Times New Roman"/>
          <w:b w:val="0"/>
          <w:bCs w:val="0"/>
          <w:color w:val="auto"/>
          <w:sz w:val="24"/>
          <w:szCs w:val="24"/>
        </w:rPr>
      </w:pPr>
      <w:r w:rsidRPr="005A4899">
        <w:rPr>
          <w:rFonts w:ascii="Times New Roman" w:hAnsi="Times New Roman" w:cs="Times New Roman"/>
          <w:b w:val="0"/>
          <w:bCs w:val="0"/>
          <w:color w:val="auto"/>
          <w:sz w:val="24"/>
          <w:szCs w:val="24"/>
        </w:rPr>
        <w:t>¿Ti</w:t>
      </w:r>
      <w:r w:rsidR="00D71B68">
        <w:rPr>
          <w:rFonts w:ascii="Times New Roman" w:hAnsi="Times New Roman" w:cs="Times New Roman"/>
          <w:b w:val="0"/>
          <w:bCs w:val="0"/>
          <w:color w:val="auto"/>
          <w:sz w:val="24"/>
          <w:szCs w:val="24"/>
        </w:rPr>
        <w:t>enen por ventura estos alquimistas patente de infalibilidad?</w:t>
      </w:r>
    </w:p>
    <w:p w:rsidR="005A4899" w:rsidRPr="005A4899" w:rsidRDefault="005A4899" w:rsidP="005A4899">
      <w:pPr>
        <w:pStyle w:val="Ttulo2"/>
        <w:shd w:val="clear" w:color="auto" w:fill="FFFFFF"/>
        <w:jc w:val="both"/>
        <w:rPr>
          <w:rFonts w:ascii="Times New Roman" w:hAnsi="Times New Roman" w:cs="Times New Roman"/>
          <w:b w:val="0"/>
          <w:bCs w:val="0"/>
          <w:color w:val="auto"/>
          <w:sz w:val="24"/>
          <w:szCs w:val="24"/>
        </w:rPr>
      </w:pPr>
      <w:r w:rsidRPr="005A4899">
        <w:rPr>
          <w:rFonts w:ascii="Times New Roman" w:hAnsi="Times New Roman" w:cs="Times New Roman"/>
          <w:b w:val="0"/>
          <w:bCs w:val="0"/>
          <w:color w:val="auto"/>
          <w:sz w:val="24"/>
          <w:szCs w:val="24"/>
        </w:rPr>
        <w:t>¿Tienen por ventura estos señorones paten</w:t>
      </w:r>
      <w:r w:rsidR="00543F82">
        <w:rPr>
          <w:rFonts w:ascii="Times New Roman" w:hAnsi="Times New Roman" w:cs="Times New Roman"/>
          <w:b w:val="0"/>
          <w:bCs w:val="0"/>
          <w:color w:val="auto"/>
          <w:sz w:val="24"/>
          <w:szCs w:val="24"/>
        </w:rPr>
        <w:t xml:space="preserve">te de inmunidad? </w:t>
      </w:r>
    </w:p>
    <w:p w:rsidR="00EB3A48" w:rsidRDefault="00EB3A48" w:rsidP="00EB3A48">
      <w:pPr>
        <w:pStyle w:val="NormalWeb"/>
        <w:spacing w:after="360"/>
        <w:jc w:val="both"/>
      </w:pPr>
      <w:r>
        <w:t>Será imprescindible destapar sus miserias y servidumbre</w:t>
      </w:r>
      <w:r w:rsidR="004A134F">
        <w:t>s, para que los bancos centrales (de los países avanzados) vuelvan a ser los</w:t>
      </w:r>
      <w:r>
        <w:t xml:space="preserve"> garante</w:t>
      </w:r>
      <w:r w:rsidR="004A134F">
        <w:t>s</w:t>
      </w:r>
      <w:r>
        <w:t xml:space="preserve"> de la estabilidad del sistema m</w:t>
      </w:r>
      <w:r w:rsidR="004A134F">
        <w:t xml:space="preserve">onetario. </w:t>
      </w:r>
    </w:p>
    <w:p w:rsidR="00D71B68" w:rsidRDefault="004A134F" w:rsidP="00D71B68">
      <w:pPr>
        <w:pStyle w:val="NormalWeb"/>
        <w:spacing w:after="360"/>
        <w:jc w:val="both"/>
      </w:pPr>
      <w:r>
        <w:t xml:space="preserve">No se debe permitir el </w:t>
      </w:r>
      <w:r w:rsidR="00EB3A48">
        <w:t>abuso de resiliencia económica mientras un rosario de</w:t>
      </w:r>
      <w:r>
        <w:t xml:space="preserve"> incendios inflacionarios rodea a</w:t>
      </w:r>
      <w:r w:rsidR="00EB3A48">
        <w:t xml:space="preserve"> los países avanzados</w:t>
      </w:r>
      <w:r>
        <w:t>.</w:t>
      </w:r>
    </w:p>
    <w:p w:rsidR="00C13D96" w:rsidRPr="00D175FD" w:rsidRDefault="004A134F" w:rsidP="00D71B68">
      <w:pPr>
        <w:pStyle w:val="NormalWeb"/>
        <w:spacing w:after="360"/>
        <w:jc w:val="both"/>
      </w:pPr>
      <w:r>
        <w:rPr>
          <w:b/>
        </w:rPr>
        <w:lastRenderedPageBreak/>
        <w:t xml:space="preserve">- Un sugerente </w:t>
      </w:r>
      <w:r w:rsidR="00C13D96" w:rsidRPr="00C13D96">
        <w:rPr>
          <w:b/>
        </w:rPr>
        <w:t xml:space="preserve">recorrido por la “maldita hemeroteca” </w:t>
      </w:r>
    </w:p>
    <w:p w:rsidR="00C13D96" w:rsidRPr="00D175FD" w:rsidRDefault="00C13D96" w:rsidP="00D175FD">
      <w:pPr>
        <w:rPr>
          <w:rFonts w:ascii="Times New Roman" w:hAnsi="Times New Roman" w:cs="Times New Roman"/>
          <w:sz w:val="24"/>
          <w:szCs w:val="24"/>
        </w:rPr>
      </w:pPr>
      <w:r w:rsidRPr="00D175FD">
        <w:rPr>
          <w:rFonts w:ascii="Times New Roman" w:hAnsi="Times New Roman" w:cs="Times New Roman"/>
          <w:noProof/>
          <w:sz w:val="24"/>
          <w:szCs w:val="24"/>
          <w:lang w:eastAsia="es-ES"/>
        </w:rPr>
        <w:drawing>
          <wp:inline distT="0" distB="0" distL="0" distR="0" wp14:anchorId="566B9F66" wp14:editId="79CEF2DA">
            <wp:extent cx="5727700" cy="2768600"/>
            <wp:effectExtent l="0" t="0" r="6350" b="0"/>
            <wp:docPr id="10" name="Imagen 10" descr="Sabrías qué hacer en caso de tsunami o marem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Sabrías qué hacer en caso de tsunami o maremoto?"/>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31510" cy="2770442"/>
                    </a:xfrm>
                    <a:prstGeom prst="rect">
                      <a:avLst/>
                    </a:prstGeom>
                    <a:noFill/>
                    <a:ln>
                      <a:noFill/>
                    </a:ln>
                  </pic:spPr>
                </pic:pic>
              </a:graphicData>
            </a:graphic>
          </wp:inline>
        </w:drawing>
      </w:r>
      <w:r w:rsidRPr="00D175FD">
        <w:rPr>
          <w:rFonts w:ascii="Times New Roman" w:hAnsi="Times New Roman" w:cs="Times New Roman"/>
          <w:sz w:val="24"/>
          <w:szCs w:val="24"/>
        </w:rPr>
        <w:t>(Nota: se ofrecen completos los artículos de opinión</w:t>
      </w:r>
      <w:r w:rsidR="00FD5B9C" w:rsidRPr="00D175FD">
        <w:rPr>
          <w:rFonts w:ascii="Times New Roman" w:hAnsi="Times New Roman" w:cs="Times New Roman"/>
          <w:sz w:val="24"/>
          <w:szCs w:val="24"/>
        </w:rPr>
        <w:t>,</w:t>
      </w:r>
      <w:r w:rsidRPr="00D175FD">
        <w:rPr>
          <w:rFonts w:ascii="Times New Roman" w:hAnsi="Times New Roman" w:cs="Times New Roman"/>
          <w:sz w:val="24"/>
          <w:szCs w:val="24"/>
        </w:rPr>
        <w:t xml:space="preserve"> y se resumen las noticias económicas</w:t>
      </w:r>
      <w:r w:rsidR="00D175FD" w:rsidRPr="00D175FD">
        <w:rPr>
          <w:rFonts w:ascii="Times New Roman" w:hAnsi="Times New Roman" w:cs="Times New Roman"/>
          <w:sz w:val="24"/>
          <w:szCs w:val="24"/>
        </w:rPr>
        <w:t>. Si desean saltear este Apartado, pueden ir directamente</w:t>
      </w:r>
      <w:r w:rsidR="00D175FD">
        <w:rPr>
          <w:rFonts w:ascii="Times New Roman" w:hAnsi="Times New Roman" w:cs="Times New Roman"/>
          <w:sz w:val="24"/>
          <w:szCs w:val="24"/>
        </w:rPr>
        <w:t xml:space="preserve"> a la página 213</w:t>
      </w:r>
      <w:r w:rsidR="00D175FD" w:rsidRPr="00D175FD">
        <w:rPr>
          <w:rFonts w:ascii="Times New Roman" w:hAnsi="Times New Roman" w:cs="Times New Roman"/>
          <w:sz w:val="24"/>
          <w:szCs w:val="24"/>
        </w:rPr>
        <w:t>)</w:t>
      </w:r>
    </w:p>
    <w:p w:rsidR="00C13D96" w:rsidRPr="00716104" w:rsidRDefault="00C13D96" w:rsidP="00C13D9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716104">
        <w:rPr>
          <w:rFonts w:ascii="Times New Roman" w:hAnsi="Times New Roman" w:cs="Times New Roman"/>
          <w:sz w:val="24"/>
          <w:szCs w:val="24"/>
          <w:u w:val="single"/>
        </w:rPr>
        <w:t>El inteligente gradualismo del BCE</w:t>
      </w:r>
      <w:r>
        <w:rPr>
          <w:rFonts w:ascii="Times New Roman" w:hAnsi="Times New Roman" w:cs="Times New Roman"/>
          <w:sz w:val="24"/>
          <w:szCs w:val="24"/>
        </w:rPr>
        <w:t xml:space="preserve"> (Project Syndicate - </w:t>
      </w:r>
      <w:r w:rsidRPr="00716104">
        <w:rPr>
          <w:rFonts w:ascii="Times New Roman" w:hAnsi="Times New Roman" w:cs="Times New Roman"/>
          <w:b/>
          <w:sz w:val="24"/>
          <w:szCs w:val="24"/>
        </w:rPr>
        <w:t>31/12/21</w:t>
      </w:r>
      <w:r>
        <w:rPr>
          <w:rFonts w:ascii="Times New Roman" w:hAnsi="Times New Roman" w:cs="Times New Roman"/>
          <w:sz w:val="24"/>
          <w:szCs w:val="24"/>
        </w:rPr>
        <w:t>)</w:t>
      </w:r>
    </w:p>
    <w:p w:rsidR="00C13D96" w:rsidRPr="00C40D24" w:rsidRDefault="00C13D96" w:rsidP="00C13D96">
      <w:pPr>
        <w:spacing w:line="240" w:lineRule="auto"/>
        <w:jc w:val="both"/>
        <w:rPr>
          <w:rFonts w:ascii="Times New Roman" w:hAnsi="Times New Roman" w:cs="Times New Roman"/>
          <w:color w:val="FF0000"/>
          <w:sz w:val="24"/>
          <w:szCs w:val="24"/>
        </w:rPr>
      </w:pPr>
      <w:r w:rsidRPr="00C40D24">
        <w:rPr>
          <w:rFonts w:ascii="Times New Roman" w:hAnsi="Times New Roman" w:cs="Times New Roman"/>
          <w:color w:val="FF0000"/>
          <w:sz w:val="24"/>
          <w:szCs w:val="24"/>
        </w:rPr>
        <w:t>A diferencia de la Reserva Federal de Estados Unidos, el Banco Central Europeo no tiene un respaldo fiscal y debe preocuparse por la cohesión de la eurozona, además del riesgo de inflación. Dadas estas complejas condiciones políticas, el enfoque cuidadoso de la presidenta del BCE, Christine Lagarde, parece ser tan sólido desde el punto de vista político como económico.</w:t>
      </w:r>
    </w:p>
    <w:p w:rsidR="00C13D96" w:rsidRPr="00C40D24" w:rsidRDefault="00FD5B9C" w:rsidP="00C13D96">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Stanford.-</w:t>
      </w:r>
      <w:r w:rsidR="00C13D96" w:rsidRPr="00716104">
        <w:rPr>
          <w:rFonts w:ascii="Times New Roman" w:hAnsi="Times New Roman" w:cs="Times New Roman"/>
          <w:sz w:val="24"/>
          <w:szCs w:val="24"/>
        </w:rPr>
        <w:t xml:space="preserve"> </w:t>
      </w:r>
      <w:r w:rsidR="00C13D96" w:rsidRPr="00C40D24">
        <w:rPr>
          <w:rFonts w:ascii="Times New Roman" w:hAnsi="Times New Roman" w:cs="Times New Roman"/>
          <w:sz w:val="24"/>
          <w:szCs w:val="24"/>
          <w:u w:val="single"/>
        </w:rPr>
        <w:t>Este mes, los principales bancos centrales del mundo cambiaron de marcha y anunciaron planes para endurecer la política monetaria. Pero hubo una excepción notable: el Banco Central Europeo, que dice que no tiene la intención de subir las tasas de interés en 2022, aunque es muy consciente de los riesgos de inflación actuales.</w:t>
      </w:r>
    </w:p>
    <w:p w:rsidR="00C13D96" w:rsidRPr="00716104" w:rsidRDefault="00C13D96" w:rsidP="00C13D96">
      <w:pPr>
        <w:spacing w:line="240" w:lineRule="auto"/>
        <w:jc w:val="both"/>
        <w:rPr>
          <w:rFonts w:ascii="Times New Roman" w:hAnsi="Times New Roman" w:cs="Times New Roman"/>
          <w:sz w:val="24"/>
          <w:szCs w:val="24"/>
        </w:rPr>
      </w:pPr>
      <w:r w:rsidRPr="00716104">
        <w:rPr>
          <w:rFonts w:ascii="Times New Roman" w:hAnsi="Times New Roman" w:cs="Times New Roman"/>
          <w:sz w:val="24"/>
          <w:szCs w:val="24"/>
        </w:rPr>
        <w:t>Por el contrario,</w:t>
      </w:r>
      <w:r w:rsidR="00FD5B9C">
        <w:rPr>
          <w:rFonts w:ascii="Times New Roman" w:hAnsi="Times New Roman" w:cs="Times New Roman"/>
          <w:sz w:val="24"/>
          <w:szCs w:val="24"/>
        </w:rPr>
        <w:t xml:space="preserve"> la Reserva Federal de EEUU</w:t>
      </w:r>
      <w:r>
        <w:rPr>
          <w:rFonts w:ascii="Times New Roman" w:hAnsi="Times New Roman" w:cs="Times New Roman"/>
          <w:sz w:val="24"/>
          <w:szCs w:val="24"/>
        </w:rPr>
        <w:t xml:space="preserve"> a</w:t>
      </w:r>
      <w:r w:rsidRPr="00716104">
        <w:rPr>
          <w:rFonts w:ascii="Times New Roman" w:hAnsi="Times New Roman" w:cs="Times New Roman"/>
          <w:sz w:val="24"/>
          <w:szCs w:val="24"/>
        </w:rPr>
        <w:t>hora espera aumentar su tasa de política tres veces en 2022, y el Banco de Inglaterra ya ha aumentado su tasa de política</w:t>
      </w:r>
      <w:r>
        <w:rPr>
          <w:rFonts w:ascii="Times New Roman" w:hAnsi="Times New Roman" w:cs="Times New Roman"/>
          <w:sz w:val="24"/>
          <w:szCs w:val="24"/>
        </w:rPr>
        <w:t xml:space="preserve"> principal en 15 puntos básicos</w:t>
      </w:r>
      <w:r w:rsidRPr="00716104">
        <w:rPr>
          <w:rFonts w:ascii="Times New Roman" w:hAnsi="Times New Roman" w:cs="Times New Roman"/>
          <w:sz w:val="24"/>
          <w:szCs w:val="24"/>
        </w:rPr>
        <w:t>. Además, para mantener una promesa anterior de que no subiría las tasas hasta que no hubiera desenrollado su balance, la Fed acelerará la liquidación de su</w:t>
      </w:r>
      <w:r>
        <w:rPr>
          <w:rFonts w:ascii="Times New Roman" w:hAnsi="Times New Roman" w:cs="Times New Roman"/>
          <w:sz w:val="24"/>
          <w:szCs w:val="24"/>
        </w:rPr>
        <w:t>s compras mensuales de activos.</w:t>
      </w:r>
    </w:p>
    <w:p w:rsidR="00C13D96" w:rsidRPr="00C40D24" w:rsidRDefault="00FD5B9C" w:rsidP="00C13D96">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¿Significa esto que el BCE es “blando con la inflación”</w:t>
      </w:r>
      <w:r w:rsidR="00C13D96" w:rsidRPr="00C40D24">
        <w:rPr>
          <w:rFonts w:ascii="Times New Roman" w:hAnsi="Times New Roman" w:cs="Times New Roman"/>
          <w:color w:val="FF0000"/>
          <w:sz w:val="24"/>
          <w:szCs w:val="24"/>
          <w:u w:val="single"/>
        </w:rPr>
        <w:t>, ocupando una posición atípica moderada entre los principales bancos centrales del mundo? ¿Se justifica que el tabloide alemán más vendido, Bild, otorgue a la presidenta del BCE, Christine Laga</w:t>
      </w:r>
      <w:r>
        <w:rPr>
          <w:rFonts w:ascii="Times New Roman" w:hAnsi="Times New Roman" w:cs="Times New Roman"/>
          <w:color w:val="FF0000"/>
          <w:sz w:val="24"/>
          <w:szCs w:val="24"/>
          <w:u w:val="single"/>
        </w:rPr>
        <w:t>rde, el sobrenombre burlón de “Madame Inflation</w:t>
      </w:r>
      <w:r w:rsidR="00C13D96" w:rsidRPr="00C40D24">
        <w:rPr>
          <w:rFonts w:ascii="Times New Roman" w:hAnsi="Times New Roman" w:cs="Times New Roman"/>
          <w:color w:val="FF0000"/>
          <w:sz w:val="24"/>
          <w:szCs w:val="24"/>
          <w:u w:val="single"/>
        </w:rPr>
        <w:t>”?</w:t>
      </w:r>
    </w:p>
    <w:p w:rsidR="00C13D96" w:rsidRPr="00C40D24" w:rsidRDefault="00C13D96" w:rsidP="00C13D96">
      <w:pPr>
        <w:spacing w:line="240" w:lineRule="auto"/>
        <w:jc w:val="both"/>
        <w:rPr>
          <w:rFonts w:ascii="Times New Roman" w:hAnsi="Times New Roman" w:cs="Times New Roman"/>
          <w:sz w:val="24"/>
          <w:szCs w:val="24"/>
          <w:u w:val="single"/>
        </w:rPr>
      </w:pPr>
      <w:r w:rsidRPr="00C40D24">
        <w:rPr>
          <w:rFonts w:ascii="Times New Roman" w:hAnsi="Times New Roman" w:cs="Times New Roman"/>
          <w:color w:val="FF0000"/>
          <w:sz w:val="24"/>
          <w:szCs w:val="24"/>
          <w:u w:val="single"/>
        </w:rPr>
        <w:t>No y no</w:t>
      </w:r>
      <w:r w:rsidRPr="00716104">
        <w:rPr>
          <w:rFonts w:ascii="Times New Roman" w:hAnsi="Times New Roman" w:cs="Times New Roman"/>
          <w:sz w:val="24"/>
          <w:szCs w:val="24"/>
        </w:rPr>
        <w:t xml:space="preserve">. </w:t>
      </w:r>
      <w:r w:rsidRPr="00C40D24">
        <w:rPr>
          <w:rFonts w:ascii="Times New Roman" w:hAnsi="Times New Roman" w:cs="Times New Roman"/>
          <w:sz w:val="24"/>
          <w:szCs w:val="24"/>
          <w:u w:val="single"/>
        </w:rPr>
        <w:t>Si bien Bild puede reflejar con precisión la visión tradicional alemana de que la inflación lo cuenta todo en la política monetaria del BCE, esa perspectiva está irremediablemente desactualizada en la Europa de 2022.</w:t>
      </w:r>
    </w:p>
    <w:p w:rsidR="00C13D96" w:rsidRPr="00C40D24" w:rsidRDefault="00C13D96" w:rsidP="00C13D96">
      <w:pPr>
        <w:spacing w:line="240" w:lineRule="auto"/>
        <w:jc w:val="both"/>
        <w:rPr>
          <w:rFonts w:ascii="Times New Roman" w:hAnsi="Times New Roman" w:cs="Times New Roman"/>
          <w:color w:val="FF0000"/>
          <w:sz w:val="24"/>
          <w:szCs w:val="24"/>
          <w:u w:val="single"/>
        </w:rPr>
      </w:pPr>
      <w:r w:rsidRPr="00C40D24">
        <w:rPr>
          <w:rFonts w:ascii="Times New Roman" w:hAnsi="Times New Roman" w:cs="Times New Roman"/>
          <w:color w:val="FF0000"/>
          <w:sz w:val="24"/>
          <w:szCs w:val="24"/>
          <w:u w:val="single"/>
        </w:rPr>
        <w:t xml:space="preserve">Lagarde comprende que retirar el estímulo monetario después de una crisis puede ser una tarea complicada. Subir las tasas de interés demasiado rápido podría destrozar la unión monetaria al hacer subir los costos de los préstamos y sofocar las recuperaciones de estados </w:t>
      </w:r>
      <w:r w:rsidRPr="00C40D24">
        <w:rPr>
          <w:rFonts w:ascii="Times New Roman" w:hAnsi="Times New Roman" w:cs="Times New Roman"/>
          <w:color w:val="FF0000"/>
          <w:sz w:val="24"/>
          <w:szCs w:val="24"/>
          <w:u w:val="single"/>
        </w:rPr>
        <w:lastRenderedPageBreak/>
        <w:t>miembros muy endeudados como Italia, España y Grecia.</w:t>
      </w:r>
      <w:r w:rsidR="00FD5B9C">
        <w:rPr>
          <w:rFonts w:ascii="Times New Roman" w:hAnsi="Times New Roman" w:cs="Times New Roman"/>
          <w:color w:val="FF0000"/>
          <w:sz w:val="24"/>
          <w:szCs w:val="24"/>
          <w:u w:val="single"/>
        </w:rPr>
        <w:t xml:space="preserve"> Los economistas llaman a esto “</w:t>
      </w:r>
      <w:r w:rsidRPr="00C40D24">
        <w:rPr>
          <w:rFonts w:ascii="Times New Roman" w:hAnsi="Times New Roman" w:cs="Times New Roman"/>
          <w:color w:val="FF0000"/>
          <w:sz w:val="24"/>
          <w:szCs w:val="24"/>
          <w:u w:val="single"/>
        </w:rPr>
        <w:t>r</w:t>
      </w:r>
      <w:r w:rsidR="00FD5B9C">
        <w:rPr>
          <w:rFonts w:ascii="Times New Roman" w:hAnsi="Times New Roman" w:cs="Times New Roman"/>
          <w:color w:val="FF0000"/>
          <w:sz w:val="24"/>
          <w:szCs w:val="24"/>
          <w:u w:val="single"/>
        </w:rPr>
        <w:t>iesgo de fragmentación”</w:t>
      </w:r>
      <w:r w:rsidRPr="00C40D24">
        <w:rPr>
          <w:rFonts w:ascii="Times New Roman" w:hAnsi="Times New Roman" w:cs="Times New Roman"/>
          <w:color w:val="FF0000"/>
          <w:sz w:val="24"/>
          <w:szCs w:val="24"/>
          <w:u w:val="single"/>
        </w:rPr>
        <w:t>. La fragmentación del área monetaria es un problema crónico para la eurozona porque, a diferencia de la Fed y el BOE, que están respaldados por una sola autoridad fiscal, el BCE opera con 19 autoridades fiscales independientes.</w:t>
      </w:r>
    </w:p>
    <w:p w:rsidR="00C13D96" w:rsidRPr="00716104" w:rsidRDefault="00C13D96" w:rsidP="00C13D96">
      <w:pPr>
        <w:spacing w:line="240" w:lineRule="auto"/>
        <w:jc w:val="both"/>
        <w:rPr>
          <w:rFonts w:ascii="Times New Roman" w:hAnsi="Times New Roman" w:cs="Times New Roman"/>
          <w:sz w:val="24"/>
          <w:szCs w:val="24"/>
        </w:rPr>
      </w:pPr>
      <w:r w:rsidRPr="00C40D24">
        <w:rPr>
          <w:rFonts w:ascii="Times New Roman" w:hAnsi="Times New Roman" w:cs="Times New Roman"/>
          <w:color w:val="FF0000"/>
          <w:sz w:val="24"/>
          <w:szCs w:val="24"/>
          <w:u w:val="single"/>
        </w:rPr>
        <w:t>Esto puede haber sido lo más importante en la mente de Lagarde en su conferencia de prensa de diciembre, donde explicó que el gradualismo es necesario para evitar una “transición brutal” hacia una política monetaria más restrictiva</w:t>
      </w:r>
      <w:r w:rsidRPr="00716104">
        <w:rPr>
          <w:rFonts w:ascii="Times New Roman" w:hAnsi="Times New Roman" w:cs="Times New Roman"/>
          <w:sz w:val="24"/>
          <w:szCs w:val="24"/>
        </w:rPr>
        <w:t>. No es sorprendente que esa declaración provocara una respuesta grosera del presidente saliente del Bundesbank, tradicionalmente agresivo, Jens Weidmann. De manera similar, Christian Lindner, el nuevo ministro de Finanzas alemán, dice que hay crecientes temores en Berlín de que la sensibilidad del BCE a los costos de endeudamiento de los estados miembros muy endeudados lo lleve a retirar el estímulo con demasiada lentitud.</w:t>
      </w:r>
    </w:p>
    <w:p w:rsidR="00C13D96" w:rsidRPr="00C40D24" w:rsidRDefault="00C13D96" w:rsidP="00C13D96">
      <w:pPr>
        <w:spacing w:line="240" w:lineRule="auto"/>
        <w:jc w:val="both"/>
        <w:rPr>
          <w:rFonts w:ascii="Times New Roman" w:hAnsi="Times New Roman" w:cs="Times New Roman"/>
          <w:color w:val="FF0000"/>
          <w:sz w:val="24"/>
          <w:szCs w:val="24"/>
          <w:u w:val="single"/>
        </w:rPr>
      </w:pPr>
      <w:r w:rsidRPr="00716104">
        <w:rPr>
          <w:rFonts w:ascii="Times New Roman" w:hAnsi="Times New Roman" w:cs="Times New Roman"/>
          <w:sz w:val="24"/>
          <w:szCs w:val="24"/>
        </w:rPr>
        <w:t xml:space="preserve">En cierto modo, Lindner tiene razón. De hecho, Lagarde no tiene prisa por endurecer la política monetaria, debido a su preocupación por mantener intacta la unión monetaria mientras se reduce el estímulo. Como un profesional médico responsable, no quiere apresurar el proceso de dejar a un adicto de una droga poderosa. </w:t>
      </w:r>
      <w:r w:rsidRPr="00C40D24">
        <w:rPr>
          <w:rFonts w:ascii="Times New Roman" w:hAnsi="Times New Roman" w:cs="Times New Roman"/>
          <w:color w:val="FF0000"/>
          <w:sz w:val="24"/>
          <w:szCs w:val="24"/>
          <w:u w:val="single"/>
        </w:rPr>
        <w:t>Y no se equivoquen, las políticas de estímulo del BCE han tenido un efecto potente en la economía, que a su vez se ha vuelto dependiente de ellas.</w:t>
      </w:r>
    </w:p>
    <w:p w:rsidR="00C13D96" w:rsidRPr="00716104" w:rsidRDefault="00C13D96" w:rsidP="00C13D96">
      <w:pPr>
        <w:spacing w:line="240" w:lineRule="auto"/>
        <w:jc w:val="both"/>
        <w:rPr>
          <w:rFonts w:ascii="Times New Roman" w:hAnsi="Times New Roman" w:cs="Times New Roman"/>
          <w:sz w:val="24"/>
          <w:szCs w:val="24"/>
        </w:rPr>
      </w:pPr>
      <w:r w:rsidRPr="00716104">
        <w:rPr>
          <w:rFonts w:ascii="Times New Roman" w:hAnsi="Times New Roman" w:cs="Times New Roman"/>
          <w:sz w:val="24"/>
          <w:szCs w:val="24"/>
        </w:rPr>
        <w:t>Siempre hábil políticamente, Lagarde entiende que en una región que ha creado un fondo de recuperación de 750.000 millones de euros (850.000 millones de dólares) para mantener unida la unión monetaria, una política monetaria que amenaza con dividir la unión no le sentaría bien al público. Un enfoque de “pavo frío” sería tan imprudente pol</w:t>
      </w:r>
      <w:r>
        <w:rPr>
          <w:rFonts w:ascii="Times New Roman" w:hAnsi="Times New Roman" w:cs="Times New Roman"/>
          <w:sz w:val="24"/>
          <w:szCs w:val="24"/>
        </w:rPr>
        <w:t>íticamente como económicamente.</w:t>
      </w:r>
    </w:p>
    <w:p w:rsidR="00C13D96" w:rsidRPr="00716104" w:rsidRDefault="00C13D96" w:rsidP="00C13D96">
      <w:pPr>
        <w:spacing w:line="240" w:lineRule="auto"/>
        <w:jc w:val="both"/>
        <w:rPr>
          <w:rFonts w:ascii="Times New Roman" w:hAnsi="Times New Roman" w:cs="Times New Roman"/>
          <w:sz w:val="24"/>
          <w:szCs w:val="24"/>
        </w:rPr>
      </w:pPr>
      <w:r w:rsidRPr="00716104">
        <w:rPr>
          <w:rFonts w:ascii="Times New Roman" w:hAnsi="Times New Roman" w:cs="Times New Roman"/>
          <w:sz w:val="24"/>
          <w:szCs w:val="24"/>
        </w:rPr>
        <w:t xml:space="preserve">La mayor fuente potencial de riesgo de fragmentación en la actualidad es Italia, con sus 2,6 billones de euros en deuda pública y una larga historia de inestabilidad política. El manejo de estas condiciones requiere un manejo muy cuidadoso. Hasta ahora, los inversores parecen complacidos con el liderazgo del primer ministro italiano, Mario </w:t>
      </w:r>
      <w:r w:rsidR="001D02F7" w:rsidRPr="00716104">
        <w:rPr>
          <w:rFonts w:ascii="Times New Roman" w:hAnsi="Times New Roman" w:cs="Times New Roman"/>
          <w:sz w:val="24"/>
          <w:szCs w:val="24"/>
        </w:rPr>
        <w:t xml:space="preserve">Draghi. </w:t>
      </w:r>
      <w:r w:rsidRPr="00716104">
        <w:rPr>
          <w:rFonts w:ascii="Times New Roman" w:hAnsi="Times New Roman" w:cs="Times New Roman"/>
          <w:sz w:val="24"/>
          <w:szCs w:val="24"/>
        </w:rPr>
        <w:t xml:space="preserve">Pero temen que la inestabilidad política regrese si Draghi elige ejercer la presidencia (generalmente un papel más ceremonial) luego de la inminente salida de </w:t>
      </w:r>
      <w:r>
        <w:rPr>
          <w:rFonts w:ascii="Times New Roman" w:hAnsi="Times New Roman" w:cs="Times New Roman"/>
          <w:sz w:val="24"/>
          <w:szCs w:val="24"/>
        </w:rPr>
        <w:t>Sergio Mattarella de ese cargo.</w:t>
      </w:r>
    </w:p>
    <w:p w:rsidR="00C13D96" w:rsidRPr="00716104" w:rsidRDefault="00C13D96" w:rsidP="00C13D96">
      <w:pPr>
        <w:spacing w:line="240" w:lineRule="auto"/>
        <w:jc w:val="both"/>
        <w:rPr>
          <w:rFonts w:ascii="Times New Roman" w:hAnsi="Times New Roman" w:cs="Times New Roman"/>
          <w:sz w:val="24"/>
          <w:szCs w:val="24"/>
        </w:rPr>
      </w:pPr>
      <w:r w:rsidRPr="00716104">
        <w:rPr>
          <w:rFonts w:ascii="Times New Roman" w:hAnsi="Times New Roman" w:cs="Times New Roman"/>
          <w:sz w:val="24"/>
          <w:szCs w:val="24"/>
        </w:rPr>
        <w:t>Los mercados financieros ya temblaron después de la conferencia de prensa de fin de año de Draghi a principios de este mes, cuando sugirió que su permanencia en el cargo podría terminar pronto. Pero los inversores deberían relajarse, porque hay una pequeña posibilidad de que Draghi se convierta en el próximo presidente de Italia. Lo más probable es que su insinuación en la conferencia de prensa fuera una táctica para contradecir a dos de los sindicatos más grandes de Italia, la Confederación General del Trabajo de Italia (CGIL) y el Sindicato de Trabajadores de Italia (UIL), tras su llamado a una huelga general pocos días antes de una votación parlamentaria para aprobar una ley presupuestaria crucial. El astuto ex presidente del BCE convertido en político sabe que a veces no hay nada como amenazar con renu</w:t>
      </w:r>
      <w:r>
        <w:rPr>
          <w:rFonts w:ascii="Times New Roman" w:hAnsi="Times New Roman" w:cs="Times New Roman"/>
          <w:sz w:val="24"/>
          <w:szCs w:val="24"/>
        </w:rPr>
        <w:t>nciar para salirse con la suya.</w:t>
      </w:r>
    </w:p>
    <w:p w:rsidR="00FD5B9C" w:rsidRDefault="00C13D96" w:rsidP="00C13D96">
      <w:pPr>
        <w:spacing w:line="240" w:lineRule="auto"/>
        <w:jc w:val="both"/>
        <w:rPr>
          <w:rFonts w:ascii="Times New Roman" w:hAnsi="Times New Roman" w:cs="Times New Roman"/>
          <w:sz w:val="24"/>
          <w:szCs w:val="24"/>
        </w:rPr>
      </w:pPr>
      <w:r w:rsidRPr="00716104">
        <w:rPr>
          <w:rFonts w:ascii="Times New Roman" w:hAnsi="Times New Roman" w:cs="Times New Roman"/>
          <w:sz w:val="24"/>
          <w:szCs w:val="24"/>
        </w:rPr>
        <w:t>No hace falta decir que el esfuerzo de Lagarde para gestionar el riesgo de fragmentación de la eurozona será mucho más fácil si su predecesor al frente del BCE permanece en su puesto actual hasta que expire su mandato en 2023. En mi opinión, lo hará. Pero un poco de estímulo adicional por parte de Bruselas y Berlín podría contribuir en gran medida a garantizar que Draghi permanezca en su puesto y que la recuperación europea siga por buen camino.</w:t>
      </w:r>
    </w:p>
    <w:p w:rsidR="00C13D96" w:rsidRDefault="00C13D96" w:rsidP="00C13D96">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716104">
        <w:rPr>
          <w:rFonts w:ascii="Times New Roman" w:hAnsi="Times New Roman" w:cs="Times New Roman"/>
          <w:sz w:val="24"/>
          <w:szCs w:val="24"/>
        </w:rPr>
        <w:t xml:space="preserve">Melvyn B. Krauss es profesor emérito de economía </w:t>
      </w:r>
      <w:r>
        <w:rPr>
          <w:rFonts w:ascii="Times New Roman" w:hAnsi="Times New Roman" w:cs="Times New Roman"/>
          <w:sz w:val="24"/>
          <w:szCs w:val="24"/>
        </w:rPr>
        <w:t>en la Universidad de Nueva York)</w:t>
      </w:r>
    </w:p>
    <w:p w:rsidR="00FD5B9C" w:rsidRPr="009164F2" w:rsidRDefault="00FD5B9C" w:rsidP="00FD5B9C">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9164F2">
        <w:rPr>
          <w:rFonts w:ascii="Times New Roman" w:hAnsi="Times New Roman" w:cs="Times New Roman"/>
          <w:sz w:val="24"/>
          <w:szCs w:val="24"/>
          <w:u w:val="single"/>
        </w:rPr>
        <w:t>Causas de la inflación: una terrible política monetaria</w:t>
      </w:r>
      <w:r>
        <w:rPr>
          <w:rFonts w:ascii="Times New Roman" w:hAnsi="Times New Roman" w:cs="Times New Roman"/>
          <w:sz w:val="24"/>
          <w:szCs w:val="24"/>
        </w:rPr>
        <w:t xml:space="preserve"> (Libertad Digital - </w:t>
      </w:r>
      <w:r w:rsidRPr="009164F2">
        <w:rPr>
          <w:rFonts w:ascii="Times New Roman" w:hAnsi="Times New Roman" w:cs="Times New Roman"/>
          <w:b/>
          <w:sz w:val="24"/>
          <w:szCs w:val="24"/>
        </w:rPr>
        <w:t>5/1/22</w:t>
      </w:r>
      <w:r>
        <w:rPr>
          <w:rFonts w:ascii="Times New Roman" w:hAnsi="Times New Roman" w:cs="Times New Roman"/>
          <w:sz w:val="24"/>
          <w:szCs w:val="24"/>
        </w:rPr>
        <w:t>)</w:t>
      </w:r>
    </w:p>
    <w:p w:rsidR="00FD5B9C" w:rsidRPr="006E3D17" w:rsidRDefault="00FD5B9C" w:rsidP="00FD5B9C">
      <w:pPr>
        <w:spacing w:line="240" w:lineRule="auto"/>
        <w:jc w:val="both"/>
        <w:rPr>
          <w:rFonts w:ascii="Times New Roman" w:hAnsi="Times New Roman" w:cs="Times New Roman"/>
          <w:color w:val="FF0000"/>
          <w:sz w:val="24"/>
          <w:szCs w:val="24"/>
        </w:rPr>
      </w:pPr>
      <w:r w:rsidRPr="006E3D17">
        <w:rPr>
          <w:rFonts w:ascii="Times New Roman" w:hAnsi="Times New Roman" w:cs="Times New Roman"/>
          <w:color w:val="FF0000"/>
          <w:sz w:val="24"/>
          <w:szCs w:val="24"/>
        </w:rPr>
        <w:t>La baja inflación se ha acabado, cosa que, antes o después, con esta política monetaria, tenía que terminar sucediendo.</w:t>
      </w:r>
    </w:p>
    <w:p w:rsidR="00FD5B9C" w:rsidRPr="009164F2" w:rsidRDefault="00FD5B9C" w:rsidP="00FD5B9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9164F2">
        <w:rPr>
          <w:rFonts w:ascii="Times New Roman" w:hAnsi="Times New Roman" w:cs="Times New Roman"/>
          <w:sz w:val="24"/>
          <w:szCs w:val="24"/>
        </w:rPr>
        <w:t>José María Rotellar</w:t>
      </w:r>
      <w:r>
        <w:rPr>
          <w:rFonts w:ascii="Times New Roman" w:hAnsi="Times New Roman" w:cs="Times New Roman"/>
          <w:sz w:val="24"/>
          <w:szCs w:val="24"/>
        </w:rPr>
        <w:t>)</w:t>
      </w:r>
    </w:p>
    <w:p w:rsidR="00FD5B9C" w:rsidRPr="009164F2" w:rsidRDefault="00FD5B9C" w:rsidP="00FD5B9C">
      <w:pPr>
        <w:spacing w:line="240" w:lineRule="auto"/>
        <w:jc w:val="both"/>
        <w:rPr>
          <w:rFonts w:ascii="Times New Roman" w:hAnsi="Times New Roman" w:cs="Times New Roman"/>
          <w:sz w:val="24"/>
          <w:szCs w:val="24"/>
        </w:rPr>
      </w:pPr>
      <w:r w:rsidRPr="009164F2">
        <w:rPr>
          <w:rFonts w:ascii="Times New Roman" w:hAnsi="Times New Roman" w:cs="Times New Roman"/>
          <w:sz w:val="24"/>
          <w:szCs w:val="24"/>
        </w:rPr>
        <w:t>Llevábamos varios años sin una inflación elevada pese a haber contado con ejercicios de importante crecimiento económico y una política monetaria extremadamente laxa, heterodoxa incluso, podríamos decir, con el precio oficial del dinero en el 0% y los interbancarios, las facilidades marginales de depósito y los tipos de financiación de gran parte del endeu</w:t>
      </w:r>
      <w:r>
        <w:rPr>
          <w:rFonts w:ascii="Times New Roman" w:hAnsi="Times New Roman" w:cs="Times New Roman"/>
          <w:sz w:val="24"/>
          <w:szCs w:val="24"/>
        </w:rPr>
        <w:t>damiento soberano, en negativo.</w:t>
      </w:r>
    </w:p>
    <w:p w:rsidR="00FD5B9C" w:rsidRPr="009164F2" w:rsidRDefault="00FD5B9C" w:rsidP="00FD5B9C">
      <w:pPr>
        <w:spacing w:line="240" w:lineRule="auto"/>
        <w:jc w:val="both"/>
        <w:rPr>
          <w:rFonts w:ascii="Times New Roman" w:hAnsi="Times New Roman" w:cs="Times New Roman"/>
          <w:sz w:val="24"/>
          <w:szCs w:val="24"/>
        </w:rPr>
      </w:pPr>
      <w:r w:rsidRPr="009164F2">
        <w:rPr>
          <w:rFonts w:ascii="Times New Roman" w:hAnsi="Times New Roman" w:cs="Times New Roman"/>
          <w:sz w:val="24"/>
          <w:szCs w:val="24"/>
        </w:rPr>
        <w:t>Todo ello, respondía a una situación anómala, que se correspondía con una política monetaria terriblemente expansiva iniciada en uno de los momentos más graves de la anterior crisis. La gran mayoría de bancos centrales asumieron esa expansión monetaria. Recordemos, aquí, en la eurozona, la famosa frase de Draghi "whatever it takes", con la que aseguraba una inundación de liquidez temporal, pero con la advertencia de que por sí sola no podría hacer nada si los gobiernos no realizaban reformas estructurales profundas, cosa que no sucedió</w:t>
      </w:r>
      <w:r>
        <w:rPr>
          <w:rFonts w:ascii="Times New Roman" w:hAnsi="Times New Roman" w:cs="Times New Roman"/>
          <w:sz w:val="24"/>
          <w:szCs w:val="24"/>
        </w:rPr>
        <w:t xml:space="preserve"> en una gran mayoría de países.</w:t>
      </w:r>
    </w:p>
    <w:p w:rsidR="00FD5B9C" w:rsidRPr="006E3D17" w:rsidRDefault="00FD5B9C" w:rsidP="00FD5B9C">
      <w:pPr>
        <w:spacing w:line="240" w:lineRule="auto"/>
        <w:jc w:val="both"/>
        <w:rPr>
          <w:rFonts w:ascii="Times New Roman" w:hAnsi="Times New Roman" w:cs="Times New Roman"/>
          <w:sz w:val="24"/>
          <w:szCs w:val="24"/>
          <w:u w:val="single"/>
        </w:rPr>
      </w:pPr>
      <w:r w:rsidRPr="009164F2">
        <w:rPr>
          <w:rFonts w:ascii="Times New Roman" w:hAnsi="Times New Roman" w:cs="Times New Roman"/>
          <w:sz w:val="24"/>
          <w:szCs w:val="24"/>
        </w:rPr>
        <w:t xml:space="preserve">Pues bien, </w:t>
      </w:r>
      <w:r w:rsidRPr="006E3D17">
        <w:rPr>
          <w:rFonts w:ascii="Times New Roman" w:hAnsi="Times New Roman" w:cs="Times New Roman"/>
          <w:sz w:val="24"/>
          <w:szCs w:val="24"/>
          <w:u w:val="single"/>
        </w:rPr>
        <w:t>todavía hoy seguimos con dicha política monetaria expansiva. Hubo un conato de vuelta a la ortodoxia, pero la pandemia llegó y el mercado se inundó de más liquidez. Ahora, el BCE ha vuelto a aplazar las subidas de tipos en 2022, aunque la FED parece más decidida a empezar con la retirada de liquidez, al anunciar tres subidas de tipos en este ejercicio que acaba de comenzar, al tiempo que el Banco de Inglaterra ya ha subido tipos en veinticinco puntos básicos.</w:t>
      </w:r>
    </w:p>
    <w:p w:rsidR="00FD5B9C" w:rsidRPr="006E3D17" w:rsidRDefault="00FD5B9C" w:rsidP="00FD5B9C">
      <w:pPr>
        <w:spacing w:line="240" w:lineRule="auto"/>
        <w:jc w:val="both"/>
        <w:rPr>
          <w:rFonts w:ascii="Times New Roman" w:hAnsi="Times New Roman" w:cs="Times New Roman"/>
          <w:color w:val="FF0000"/>
          <w:sz w:val="24"/>
          <w:szCs w:val="24"/>
          <w:u w:val="single"/>
        </w:rPr>
      </w:pPr>
      <w:r w:rsidRPr="006E3D17">
        <w:rPr>
          <w:rFonts w:ascii="Times New Roman" w:hAnsi="Times New Roman" w:cs="Times New Roman"/>
          <w:color w:val="FF0000"/>
          <w:sz w:val="24"/>
          <w:szCs w:val="24"/>
          <w:u w:val="single"/>
        </w:rPr>
        <w:t>En este punto, hay que recordar que el objetivo único del BCE es mantener la estabilidad de precios y sólo subsidiariamente se encuentra el contribuir al crecimiento económico. Si la Fed, que sí que tiene entre sus objetivos velar por el crecimiento económico, y el Banco de Inglaterra, que tiene dicho objetivo de manera secundaria, han dado pasos más firmes en el retorno a una política monetaria menos laxa, resulta sorprendente que el BCE, que, insistimos, tiene como único objetivo controlar la inflación, no lo haga. No se trata de pasar de una laxitud extrema a una política monetaria tremendamente contractiva, porque la economía colapsaría, pero sí que sería deseable ver al BCE orientado hacia su objetivo de control de precios de manera más decidida.</w:t>
      </w:r>
    </w:p>
    <w:p w:rsidR="00FD5B9C" w:rsidRPr="00AB66F3" w:rsidRDefault="00FD5B9C" w:rsidP="00FD5B9C">
      <w:pPr>
        <w:spacing w:line="240" w:lineRule="auto"/>
        <w:jc w:val="both"/>
        <w:rPr>
          <w:rFonts w:ascii="Times New Roman" w:hAnsi="Times New Roman" w:cs="Times New Roman"/>
          <w:color w:val="FF0000"/>
          <w:sz w:val="24"/>
          <w:szCs w:val="24"/>
          <w:u w:val="single"/>
        </w:rPr>
      </w:pPr>
      <w:r w:rsidRPr="00AB66F3">
        <w:rPr>
          <w:rFonts w:ascii="Times New Roman" w:hAnsi="Times New Roman" w:cs="Times New Roman"/>
          <w:color w:val="FF0000"/>
          <w:sz w:val="24"/>
          <w:szCs w:val="24"/>
          <w:u w:val="single"/>
        </w:rPr>
        <w:t>Toda esa política monetaria extremadamente expansiva, ha generado una financiación que anestesia a la economía, haciéndola vivir muy por encima de sus posibilidades, con la banca, por un lado, con respiración asistida en cuanto a la abundante financiación y, por otro, con sus márgenes constreñidos por los nulos tipos, que le impiden contar con un buen margen de financiación -que, no lo olvidemos, es la base de su negocio., que unido a la sobrerregulación que se le impone ahora está acabando con dicho sector, al menos, tal y como lo hemos conocido.</w:t>
      </w:r>
    </w:p>
    <w:p w:rsidR="00FD5B9C" w:rsidRPr="00AB66F3" w:rsidRDefault="00FD5B9C" w:rsidP="00FD5B9C">
      <w:pPr>
        <w:spacing w:line="240" w:lineRule="auto"/>
        <w:jc w:val="both"/>
        <w:rPr>
          <w:rFonts w:ascii="Times New Roman" w:hAnsi="Times New Roman" w:cs="Times New Roman"/>
          <w:color w:val="FF0000"/>
          <w:sz w:val="24"/>
          <w:szCs w:val="24"/>
          <w:u w:val="single"/>
        </w:rPr>
      </w:pPr>
      <w:r w:rsidRPr="00AB66F3">
        <w:rPr>
          <w:rFonts w:ascii="Times New Roman" w:hAnsi="Times New Roman" w:cs="Times New Roman"/>
          <w:color w:val="FF0000"/>
          <w:sz w:val="24"/>
          <w:szCs w:val="24"/>
          <w:u w:val="single"/>
        </w:rPr>
        <w:t xml:space="preserve">La baja inflación se ha acabado, cosa que, antes o después, con esta política monetaria, tenía que terminar sucediendo, por mucho que el comercio electrónico haya disminuido costes. Esa liquidez casi ilimitada está financiando los distintos cuellos de botella que se están produciendo. Ahora que estamos teniendo un problema de abastecimiento, con la disminución de la oferta, que nos lleva a subida de precios, que el coste energético se dispara por la disparatada política energética en la que se ha metido el mundo, retirando fuentes de </w:t>
      </w:r>
      <w:r w:rsidRPr="00AB66F3">
        <w:rPr>
          <w:rFonts w:ascii="Times New Roman" w:hAnsi="Times New Roman" w:cs="Times New Roman"/>
          <w:color w:val="FF0000"/>
          <w:sz w:val="24"/>
          <w:szCs w:val="24"/>
          <w:u w:val="single"/>
        </w:rPr>
        <w:lastRenderedPageBreak/>
        <w:t>energía y no apostando por la nuclear sin un sistema alternativo, y con el aumento de costes de transporte, esa liquidez ilimitada está financiando dichos cuellos de botella, que hace que los precios no bajen, por no permitir que los mercados se vacíen y disminuya el precio en unos de ellos al subir en otros, pues el dinero es finito. Como se imprime dinero abundante que lo financia, no se produce dicho ajuste, sino que la demanda sigue presionando al alza y los precios crecen.</w:t>
      </w:r>
    </w:p>
    <w:p w:rsidR="00FD5B9C" w:rsidRPr="009164F2" w:rsidRDefault="00FD5B9C" w:rsidP="00FD5B9C">
      <w:pPr>
        <w:spacing w:line="240" w:lineRule="auto"/>
        <w:jc w:val="both"/>
        <w:rPr>
          <w:rFonts w:ascii="Times New Roman" w:hAnsi="Times New Roman" w:cs="Times New Roman"/>
          <w:sz w:val="24"/>
          <w:szCs w:val="24"/>
        </w:rPr>
      </w:pPr>
      <w:r w:rsidRPr="00AB66F3">
        <w:rPr>
          <w:rFonts w:ascii="Times New Roman" w:hAnsi="Times New Roman" w:cs="Times New Roman"/>
          <w:sz w:val="24"/>
          <w:szCs w:val="24"/>
          <w:u w:val="single"/>
        </w:rPr>
        <w:t>Ahora, se señala que mientras el indicador adelantado de la inflación se sitúa en el 6,7% interanual, los salarios apenas suben y que los trabajadores perderán, así, poder adquisitivo.</w:t>
      </w:r>
      <w:r w:rsidRPr="009164F2">
        <w:rPr>
          <w:rFonts w:ascii="Times New Roman" w:hAnsi="Times New Roman" w:cs="Times New Roman"/>
          <w:sz w:val="24"/>
          <w:szCs w:val="24"/>
        </w:rPr>
        <w:t xml:space="preserve"> Sería un grave error que se produjese un movimiento de intensas subidas salariales generalizadas, pues mantendrían artificialmente la demanda, subirían más los precios que las subidas salariales, perderían, por tanto, más poder adquisitivo que ahora los trabajadores, y entraríamos en una espiral precios-salarios que terminaría por llevarnos a una estanflación. En este sentido, es especialmente peligrosa la contrarreforma laboral del Gobierno, pues recupera la prevalencia de los convenios sectoriales frente a los de empresa en lo relativo a materia salarial, con lo que puede arruinar a muchas pymes.</w:t>
      </w:r>
    </w:p>
    <w:p w:rsidR="00FD5B9C" w:rsidRPr="00AB66F3" w:rsidRDefault="00FD5B9C" w:rsidP="00FD5B9C">
      <w:pPr>
        <w:spacing w:line="240" w:lineRule="auto"/>
        <w:jc w:val="both"/>
        <w:rPr>
          <w:rFonts w:ascii="Times New Roman" w:hAnsi="Times New Roman" w:cs="Times New Roman"/>
          <w:sz w:val="24"/>
          <w:szCs w:val="24"/>
          <w:u w:val="single"/>
        </w:rPr>
      </w:pPr>
      <w:r w:rsidRPr="00AB66F3">
        <w:rPr>
          <w:rFonts w:ascii="Times New Roman" w:hAnsi="Times New Roman" w:cs="Times New Roman"/>
          <w:color w:val="FF0000"/>
          <w:sz w:val="24"/>
          <w:szCs w:val="24"/>
          <w:u w:val="single"/>
        </w:rPr>
        <w:t>La solución no es subir salarios, sino aplicar una política monetaria que permita volver a la ortodoxia y acabar con la financiación de esos cuellos de botella que están generando el crecimiento de los precios, empobreciendo a los ciudadanos y lastrando a la economía</w:t>
      </w:r>
      <w:r w:rsidRPr="009164F2">
        <w:rPr>
          <w:rFonts w:ascii="Times New Roman" w:hAnsi="Times New Roman" w:cs="Times New Roman"/>
          <w:sz w:val="24"/>
          <w:szCs w:val="24"/>
        </w:rPr>
        <w:t xml:space="preserve">. Una cosa es que, de manera extraordinaria se haya intensificado la liquidez en el mercado -ya inundado en exceso desde 2012- y otra que no haya que ir pensando en retirarlo de manera completa en algún momento, obviamente, con prudencia, porque retirar tanta liquidez no es una cosa sencilla y hay que medir bien cómo hacerlo para no provocar un colapso económico -es el problema que tiene inundar el mercado de liquidez-, pero </w:t>
      </w:r>
      <w:r w:rsidRPr="00AB66F3">
        <w:rPr>
          <w:rFonts w:ascii="Times New Roman" w:hAnsi="Times New Roman" w:cs="Times New Roman"/>
          <w:sz w:val="24"/>
          <w:szCs w:val="24"/>
          <w:u w:val="single"/>
        </w:rPr>
        <w:t>a la ortodoxia hay que volver en algún momento, porque si se siguen financiando los cuellos de botella, entonces no se producirá el ajuste de precios entre los distintos mercados y la inflación, al impulsarse artificialmente, permanecerá.</w:t>
      </w:r>
    </w:p>
    <w:p w:rsidR="00FD5B9C" w:rsidRDefault="00FD5B9C" w:rsidP="00FD5B9C">
      <w:pPr>
        <w:spacing w:line="240" w:lineRule="auto"/>
        <w:jc w:val="both"/>
        <w:rPr>
          <w:rFonts w:ascii="Times New Roman" w:hAnsi="Times New Roman" w:cs="Times New Roman"/>
          <w:sz w:val="24"/>
          <w:szCs w:val="24"/>
        </w:rPr>
      </w:pPr>
      <w:r w:rsidRPr="009164F2">
        <w:rPr>
          <w:rFonts w:ascii="Times New Roman" w:hAnsi="Times New Roman" w:cs="Times New Roman"/>
          <w:sz w:val="24"/>
          <w:szCs w:val="24"/>
        </w:rPr>
        <w:t>En definitiva, el BCE no puede olvidar su único objetivo, su mandato, que no es otro que la estabilidad de precios. La inflación, en los primeros momentos, se dijo que iba a ser pasajera; después, el BCE reconoció que será transitoria, pero que ese período temporal durará más. Ahora, corremos el riesgo de que dure mucho más tiempo todavía, expandiéndose por toda la actividad productiva. El BCE, desde la prudencia, debe no olvidar su mandato y luchar claramente contra la inflación, en lugar de alimentarla con una inundación de liquidez como la que vivimos desde hace diez años.</w:t>
      </w:r>
    </w:p>
    <w:p w:rsidR="00FD5B9C" w:rsidRPr="009164F2" w:rsidRDefault="00FD5B9C" w:rsidP="00FD5B9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9164F2">
        <w:rPr>
          <w:rFonts w:ascii="Times New Roman" w:hAnsi="Times New Roman" w:cs="Times New Roman"/>
          <w:sz w:val="24"/>
          <w:szCs w:val="24"/>
          <w:u w:val="single"/>
        </w:rPr>
        <w:t>Consecuencias de la inflación: sumisión al Estado y un hachazo a las familias</w:t>
      </w:r>
      <w:r>
        <w:rPr>
          <w:rFonts w:ascii="Times New Roman" w:hAnsi="Times New Roman" w:cs="Times New Roman"/>
          <w:sz w:val="24"/>
          <w:szCs w:val="24"/>
        </w:rPr>
        <w:t xml:space="preserve"> (Libertad Digital - </w:t>
      </w:r>
      <w:r w:rsidRPr="009164F2">
        <w:rPr>
          <w:rFonts w:ascii="Times New Roman" w:hAnsi="Times New Roman" w:cs="Times New Roman"/>
          <w:b/>
          <w:sz w:val="24"/>
          <w:szCs w:val="24"/>
        </w:rPr>
        <w:t>5/1/22</w:t>
      </w:r>
      <w:r>
        <w:rPr>
          <w:rFonts w:ascii="Times New Roman" w:hAnsi="Times New Roman" w:cs="Times New Roman"/>
          <w:sz w:val="24"/>
          <w:szCs w:val="24"/>
        </w:rPr>
        <w:t>)</w:t>
      </w:r>
    </w:p>
    <w:p w:rsidR="00FD5B9C" w:rsidRPr="00AB66F3" w:rsidRDefault="00FD5B9C" w:rsidP="00FD5B9C">
      <w:pPr>
        <w:spacing w:line="240" w:lineRule="auto"/>
        <w:jc w:val="both"/>
        <w:rPr>
          <w:rFonts w:ascii="Times New Roman" w:hAnsi="Times New Roman" w:cs="Times New Roman"/>
          <w:color w:val="FF0000"/>
          <w:sz w:val="24"/>
          <w:szCs w:val="24"/>
        </w:rPr>
      </w:pPr>
      <w:r w:rsidRPr="00AB66F3">
        <w:rPr>
          <w:rFonts w:ascii="Times New Roman" w:hAnsi="Times New Roman" w:cs="Times New Roman"/>
          <w:color w:val="FF0000"/>
          <w:sz w:val="24"/>
          <w:szCs w:val="24"/>
        </w:rPr>
        <w:t>La inflación es el impuesto de los pobres. Tiene un perdedor (usted y yo) y un claro ganador: el Estado.</w:t>
      </w:r>
    </w:p>
    <w:p w:rsidR="00FD5B9C" w:rsidRPr="009164F2" w:rsidRDefault="00FD5B9C" w:rsidP="00FD5B9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9164F2">
        <w:rPr>
          <w:rFonts w:ascii="Times New Roman" w:hAnsi="Times New Roman" w:cs="Times New Roman"/>
          <w:sz w:val="24"/>
          <w:szCs w:val="24"/>
        </w:rPr>
        <w:t>Daniel Rodríguez Asensio</w:t>
      </w:r>
      <w:r>
        <w:rPr>
          <w:rFonts w:ascii="Times New Roman" w:hAnsi="Times New Roman" w:cs="Times New Roman"/>
          <w:sz w:val="24"/>
          <w:szCs w:val="24"/>
        </w:rPr>
        <w:t>)</w:t>
      </w:r>
    </w:p>
    <w:p w:rsidR="00FD5B9C" w:rsidRPr="009164F2" w:rsidRDefault="00FD5B9C" w:rsidP="00FD5B9C">
      <w:pPr>
        <w:spacing w:line="240" w:lineRule="auto"/>
        <w:jc w:val="both"/>
        <w:rPr>
          <w:rFonts w:ascii="Times New Roman" w:hAnsi="Times New Roman" w:cs="Times New Roman"/>
          <w:sz w:val="24"/>
          <w:szCs w:val="24"/>
        </w:rPr>
      </w:pPr>
      <w:r w:rsidRPr="009164F2">
        <w:rPr>
          <w:rFonts w:ascii="Times New Roman" w:hAnsi="Times New Roman" w:cs="Times New Roman"/>
          <w:sz w:val="24"/>
          <w:szCs w:val="24"/>
        </w:rPr>
        <w:t>La inflación es un fenómeno que muchos europeos han dado por superado. Poco nos ha importado que, desde la creación del primer banco central a finales del siglo XVII en Inglaterra, el crecimiento descontrolado de los precios y los ciclos económicos hayan estado íntimamente ligados a la impresión masiva de dinero fiduciario y sus consecuencias. Hechos que, por cierto, se han repetido en cualquier lugar del mundo en el que se han llevado a cabo políti</w:t>
      </w:r>
      <w:r>
        <w:rPr>
          <w:rFonts w:ascii="Times New Roman" w:hAnsi="Times New Roman" w:cs="Times New Roman"/>
          <w:sz w:val="24"/>
          <w:szCs w:val="24"/>
        </w:rPr>
        <w:t>cas de hiperestímulo monetario.</w:t>
      </w:r>
    </w:p>
    <w:p w:rsidR="00FD5B9C" w:rsidRPr="00AB66F3" w:rsidRDefault="00FD5B9C" w:rsidP="00FD5B9C">
      <w:pPr>
        <w:spacing w:line="240" w:lineRule="auto"/>
        <w:jc w:val="both"/>
        <w:rPr>
          <w:rFonts w:ascii="Times New Roman" w:hAnsi="Times New Roman" w:cs="Times New Roman"/>
          <w:sz w:val="24"/>
          <w:szCs w:val="24"/>
          <w:u w:val="single"/>
        </w:rPr>
      </w:pPr>
      <w:r w:rsidRPr="00AB66F3">
        <w:rPr>
          <w:rFonts w:ascii="Times New Roman" w:hAnsi="Times New Roman" w:cs="Times New Roman"/>
          <w:sz w:val="24"/>
          <w:szCs w:val="24"/>
          <w:u w:val="single"/>
        </w:rPr>
        <w:lastRenderedPageBreak/>
        <w:t>En este momento, afortunadamente, el escenario base para 2022 es el de una inflación moderada y no una hiperinflación. Esto, sin embargo, no deja sin efectos a este fenómeno y mucho menos en un entorno económico de tanta inestabilidad y con tantos desequilibrios como el que vivimos.</w:t>
      </w:r>
    </w:p>
    <w:p w:rsidR="00FD5B9C" w:rsidRPr="00AB66F3" w:rsidRDefault="00FD5B9C" w:rsidP="00FD5B9C">
      <w:pPr>
        <w:spacing w:line="240" w:lineRule="auto"/>
        <w:jc w:val="both"/>
        <w:rPr>
          <w:rFonts w:ascii="Times New Roman" w:hAnsi="Times New Roman" w:cs="Times New Roman"/>
          <w:color w:val="FF0000"/>
          <w:sz w:val="24"/>
          <w:szCs w:val="24"/>
          <w:u w:val="single"/>
        </w:rPr>
      </w:pPr>
      <w:r w:rsidRPr="00AB66F3">
        <w:rPr>
          <w:rFonts w:ascii="Times New Roman" w:hAnsi="Times New Roman" w:cs="Times New Roman"/>
          <w:color w:val="FF0000"/>
          <w:sz w:val="24"/>
          <w:szCs w:val="24"/>
          <w:u w:val="single"/>
        </w:rPr>
        <w:t>La inflación es el impuesto de los pobres. Tiene un perdedor (usted y yo) y un claro ganador: el Estado. Y, entre medias, hay quien tiene margen para gestionarla e, incluso aprovecharse de ella. Es preciso ver los efectos de la inflación para entenderla bien.</w:t>
      </w:r>
    </w:p>
    <w:p w:rsidR="00FD5B9C" w:rsidRPr="009164F2" w:rsidRDefault="00FD5B9C" w:rsidP="00FD5B9C">
      <w:pPr>
        <w:spacing w:line="240" w:lineRule="auto"/>
        <w:jc w:val="both"/>
        <w:rPr>
          <w:rFonts w:ascii="Times New Roman" w:hAnsi="Times New Roman" w:cs="Times New Roman"/>
          <w:sz w:val="24"/>
          <w:szCs w:val="24"/>
        </w:rPr>
      </w:pPr>
      <w:r w:rsidRPr="009164F2">
        <w:rPr>
          <w:rFonts w:ascii="Times New Roman" w:hAnsi="Times New Roman" w:cs="Times New Roman"/>
          <w:sz w:val="24"/>
          <w:szCs w:val="24"/>
        </w:rPr>
        <w:t>Pérdida de poder adquisitivo</w:t>
      </w:r>
    </w:p>
    <w:p w:rsidR="00FD5B9C" w:rsidRPr="009164F2" w:rsidRDefault="00FD5B9C" w:rsidP="00FD5B9C">
      <w:pPr>
        <w:spacing w:line="240" w:lineRule="auto"/>
        <w:jc w:val="both"/>
        <w:rPr>
          <w:rFonts w:ascii="Times New Roman" w:hAnsi="Times New Roman" w:cs="Times New Roman"/>
          <w:sz w:val="24"/>
          <w:szCs w:val="24"/>
        </w:rPr>
      </w:pPr>
      <w:r w:rsidRPr="009164F2">
        <w:rPr>
          <w:rFonts w:ascii="Times New Roman" w:hAnsi="Times New Roman" w:cs="Times New Roman"/>
          <w:sz w:val="24"/>
          <w:szCs w:val="24"/>
        </w:rPr>
        <w:t>El hecho de que los precios suban supone una pérdida de poder adquisitivo directo en las familias y una pérdida de competitividad en las empresas. Si la barra de pan pasa de costar 1€ a 1,20€ (inflación del 20%) y al comprador no le han subido el sueldo, su pérdida de poder adquisitivo ascien</w:t>
      </w:r>
      <w:r>
        <w:rPr>
          <w:rFonts w:ascii="Times New Roman" w:hAnsi="Times New Roman" w:cs="Times New Roman"/>
          <w:sz w:val="24"/>
          <w:szCs w:val="24"/>
        </w:rPr>
        <w:t>de al 20%.</w:t>
      </w:r>
    </w:p>
    <w:p w:rsidR="00FD5B9C" w:rsidRPr="009164F2" w:rsidRDefault="00FD5B9C" w:rsidP="00FD5B9C">
      <w:pPr>
        <w:spacing w:line="240" w:lineRule="auto"/>
        <w:jc w:val="both"/>
        <w:rPr>
          <w:rFonts w:ascii="Times New Roman" w:hAnsi="Times New Roman" w:cs="Times New Roman"/>
          <w:sz w:val="24"/>
          <w:szCs w:val="24"/>
        </w:rPr>
      </w:pPr>
      <w:r w:rsidRPr="009164F2">
        <w:rPr>
          <w:rFonts w:ascii="Times New Roman" w:hAnsi="Times New Roman" w:cs="Times New Roman"/>
          <w:sz w:val="24"/>
          <w:szCs w:val="24"/>
        </w:rPr>
        <w:t>Además, con el dinero que tiene usted ahorrado en su cuenta va perdiendo valor conforme los precios suben porque puede comprar m</w:t>
      </w:r>
      <w:r>
        <w:rPr>
          <w:rFonts w:ascii="Times New Roman" w:hAnsi="Times New Roman" w:cs="Times New Roman"/>
          <w:sz w:val="24"/>
          <w:szCs w:val="24"/>
        </w:rPr>
        <w:t>enos bienes y servicios con él.</w:t>
      </w:r>
    </w:p>
    <w:p w:rsidR="00FD5B9C" w:rsidRPr="00AB66F3" w:rsidRDefault="00FD5B9C" w:rsidP="00FD5B9C">
      <w:pPr>
        <w:spacing w:line="240" w:lineRule="auto"/>
        <w:jc w:val="both"/>
        <w:rPr>
          <w:rFonts w:ascii="Times New Roman" w:hAnsi="Times New Roman" w:cs="Times New Roman"/>
          <w:color w:val="FF0000"/>
          <w:sz w:val="24"/>
          <w:szCs w:val="24"/>
          <w:u w:val="single"/>
        </w:rPr>
      </w:pPr>
      <w:r w:rsidRPr="00AB66F3">
        <w:rPr>
          <w:rFonts w:ascii="Times New Roman" w:hAnsi="Times New Roman" w:cs="Times New Roman"/>
          <w:color w:val="FF0000"/>
          <w:sz w:val="24"/>
          <w:szCs w:val="24"/>
          <w:u w:val="single"/>
        </w:rPr>
        <w:t>La inflación es el impuesto de los pobres, y en un entorno de represión financiera salvaje, aún más. ¿Por qué? Porque los depósitos bancarios son el instrumento más usado por las clases más desfavorecidas (probablemente porque apenas tienen acceso a otro) y, sin embargo, la inversión es un instrumento para protegerse de la inflación muy usado por las más pudientes.</w:t>
      </w:r>
    </w:p>
    <w:p w:rsidR="00FD5B9C" w:rsidRPr="009164F2" w:rsidRDefault="00FD5B9C" w:rsidP="00FD5B9C">
      <w:pPr>
        <w:spacing w:line="240" w:lineRule="auto"/>
        <w:jc w:val="both"/>
        <w:rPr>
          <w:rFonts w:ascii="Times New Roman" w:hAnsi="Times New Roman" w:cs="Times New Roman"/>
          <w:sz w:val="24"/>
          <w:szCs w:val="24"/>
        </w:rPr>
      </w:pPr>
      <w:r w:rsidRPr="009164F2">
        <w:rPr>
          <w:rFonts w:ascii="Times New Roman" w:hAnsi="Times New Roman" w:cs="Times New Roman"/>
          <w:sz w:val="24"/>
          <w:szCs w:val="24"/>
        </w:rPr>
        <w:t>Siguiendo con nuestro ejemplo. Si el IPC ha subido un 20% en el último año, para que nuestros ahorros no pierdan poder adquisitivo hemos tenido que generar rendimientos de, al menos, el 20%. El dinero puesto en una cuenta corriente ha generado 0€ (suponiendo que no cobren comisiones) o, dicho de otra manera, quien no ha podido inve</w:t>
      </w:r>
      <w:r>
        <w:rPr>
          <w:rFonts w:ascii="Times New Roman" w:hAnsi="Times New Roman" w:cs="Times New Roman"/>
          <w:sz w:val="24"/>
          <w:szCs w:val="24"/>
        </w:rPr>
        <w:t>rtir ahora es un 20% más pobre.</w:t>
      </w:r>
    </w:p>
    <w:p w:rsidR="00FD5B9C" w:rsidRDefault="00FD5B9C" w:rsidP="00FD5B9C">
      <w:pPr>
        <w:spacing w:line="240" w:lineRule="auto"/>
        <w:jc w:val="both"/>
        <w:rPr>
          <w:rFonts w:ascii="Times New Roman" w:hAnsi="Times New Roman" w:cs="Times New Roman"/>
          <w:sz w:val="24"/>
          <w:szCs w:val="24"/>
        </w:rPr>
      </w:pPr>
      <w:r w:rsidRPr="009164F2">
        <w:rPr>
          <w:rFonts w:ascii="Times New Roman" w:hAnsi="Times New Roman" w:cs="Times New Roman"/>
          <w:sz w:val="24"/>
          <w:szCs w:val="24"/>
        </w:rPr>
        <w:t>Vean la siguiente gráfica, que refleja los activos financieros de las familias españolas por percentiles de riqueza neta, y les será fácil comprender el hachazo que están sufriendo la mayor parte de las familias españolas.</w:t>
      </w:r>
    </w:p>
    <w:p w:rsidR="00FD5B9C" w:rsidRPr="009164F2" w:rsidRDefault="00FD5B9C" w:rsidP="00FD5B9C">
      <w:pPr>
        <w:spacing w:line="240" w:lineRule="auto"/>
        <w:jc w:val="both"/>
        <w:rPr>
          <w:rFonts w:ascii="Times New Roman" w:hAnsi="Times New Roman" w:cs="Times New Roman"/>
          <w:sz w:val="24"/>
          <w:szCs w:val="24"/>
        </w:rPr>
      </w:pPr>
      <w:r>
        <w:rPr>
          <w:noProof/>
          <w:lang w:eastAsia="es-ES"/>
        </w:rPr>
        <w:drawing>
          <wp:inline distT="0" distB="0" distL="0" distR="0" wp14:anchorId="2B9FEDDA" wp14:editId="31749EA3">
            <wp:extent cx="5778500" cy="3251200"/>
            <wp:effectExtent l="0" t="0" r="0" b="6350"/>
            <wp:docPr id="11" name="Imagen 11" descr="inversion-por-percentil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nversion-por-percentiles.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78500" cy="3251200"/>
                    </a:xfrm>
                    <a:prstGeom prst="rect">
                      <a:avLst/>
                    </a:prstGeom>
                    <a:noFill/>
                    <a:ln>
                      <a:noFill/>
                    </a:ln>
                  </pic:spPr>
                </pic:pic>
              </a:graphicData>
            </a:graphic>
          </wp:inline>
        </w:drawing>
      </w:r>
    </w:p>
    <w:p w:rsidR="00FD5B9C" w:rsidRPr="009164F2" w:rsidRDefault="00FD5B9C" w:rsidP="00FD5B9C">
      <w:pPr>
        <w:spacing w:line="240" w:lineRule="auto"/>
        <w:jc w:val="both"/>
        <w:rPr>
          <w:rFonts w:ascii="Times New Roman" w:hAnsi="Times New Roman" w:cs="Times New Roman"/>
          <w:sz w:val="24"/>
          <w:szCs w:val="24"/>
        </w:rPr>
      </w:pPr>
      <w:r w:rsidRPr="009164F2">
        <w:rPr>
          <w:rFonts w:ascii="Times New Roman" w:hAnsi="Times New Roman" w:cs="Times New Roman"/>
          <w:sz w:val="24"/>
          <w:szCs w:val="24"/>
        </w:rPr>
        <w:lastRenderedPageBreak/>
        <w:t>Efectos en los mercados financieros</w:t>
      </w:r>
    </w:p>
    <w:p w:rsidR="00FD5B9C" w:rsidRPr="009164F2" w:rsidRDefault="00FD5B9C" w:rsidP="00FD5B9C">
      <w:pPr>
        <w:spacing w:line="240" w:lineRule="auto"/>
        <w:jc w:val="both"/>
        <w:rPr>
          <w:rFonts w:ascii="Times New Roman" w:hAnsi="Times New Roman" w:cs="Times New Roman"/>
          <w:sz w:val="24"/>
          <w:szCs w:val="24"/>
        </w:rPr>
      </w:pPr>
      <w:r w:rsidRPr="009164F2">
        <w:rPr>
          <w:rFonts w:ascii="Times New Roman" w:hAnsi="Times New Roman" w:cs="Times New Roman"/>
          <w:sz w:val="24"/>
          <w:szCs w:val="24"/>
        </w:rPr>
        <w:t>Pero la aparición de la inflación va más allá de generar efectos en la economía real. También los tiene, y muy relevante</w:t>
      </w:r>
      <w:r>
        <w:rPr>
          <w:rFonts w:ascii="Times New Roman" w:hAnsi="Times New Roman" w:cs="Times New Roman"/>
          <w:sz w:val="24"/>
          <w:szCs w:val="24"/>
        </w:rPr>
        <w:t>s, en los mercados financieros.</w:t>
      </w:r>
    </w:p>
    <w:p w:rsidR="00FD5B9C" w:rsidRPr="009164F2" w:rsidRDefault="00FD5B9C" w:rsidP="00FD5B9C">
      <w:pPr>
        <w:spacing w:line="240" w:lineRule="auto"/>
        <w:jc w:val="both"/>
        <w:rPr>
          <w:rFonts w:ascii="Times New Roman" w:hAnsi="Times New Roman" w:cs="Times New Roman"/>
          <w:sz w:val="24"/>
          <w:szCs w:val="24"/>
        </w:rPr>
      </w:pPr>
      <w:r w:rsidRPr="009164F2">
        <w:rPr>
          <w:rFonts w:ascii="Times New Roman" w:hAnsi="Times New Roman" w:cs="Times New Roman"/>
          <w:sz w:val="24"/>
          <w:szCs w:val="24"/>
        </w:rPr>
        <w:t>Concretamente, las expectativas de inflación son un elemento fundamental a la hora de medir la rentabilidad de los activos financieros. Si los mercados descuentan una inflación al alza durante los próximos años, las rentabilidades nominales de los productos financieros perderán</w:t>
      </w:r>
      <w:r>
        <w:rPr>
          <w:rFonts w:ascii="Times New Roman" w:hAnsi="Times New Roman" w:cs="Times New Roman"/>
          <w:sz w:val="24"/>
          <w:szCs w:val="24"/>
        </w:rPr>
        <w:t xml:space="preserve"> valor y evolucionarán al alza.</w:t>
      </w:r>
    </w:p>
    <w:p w:rsidR="00FD5B9C" w:rsidRPr="009164F2" w:rsidRDefault="00FD5B9C" w:rsidP="00FD5B9C">
      <w:pPr>
        <w:spacing w:line="240" w:lineRule="auto"/>
        <w:jc w:val="both"/>
        <w:rPr>
          <w:rFonts w:ascii="Times New Roman" w:hAnsi="Times New Roman" w:cs="Times New Roman"/>
          <w:sz w:val="24"/>
          <w:szCs w:val="24"/>
        </w:rPr>
      </w:pPr>
      <w:r w:rsidRPr="009164F2">
        <w:rPr>
          <w:rFonts w:ascii="Times New Roman" w:hAnsi="Times New Roman" w:cs="Times New Roman"/>
          <w:sz w:val="24"/>
          <w:szCs w:val="24"/>
        </w:rPr>
        <w:t>De esta manera si, por ejemplo, los mercados prevén que la inflación a 2 años en Estados Unidos va a permanecer en el 4% (esto es un ejemplo ilustrativo, no un dato real) y el bono a 2 años está al 1,5%, la rentabilidad medida en términos rea</w:t>
      </w:r>
      <w:r>
        <w:rPr>
          <w:rFonts w:ascii="Times New Roman" w:hAnsi="Times New Roman" w:cs="Times New Roman"/>
          <w:sz w:val="24"/>
          <w:szCs w:val="24"/>
        </w:rPr>
        <w:t>les de ese bono será del -2,5%.</w:t>
      </w:r>
    </w:p>
    <w:p w:rsidR="00FD5B9C" w:rsidRPr="00AB66F3" w:rsidRDefault="00FD5B9C" w:rsidP="00FD5B9C">
      <w:pPr>
        <w:spacing w:line="240" w:lineRule="auto"/>
        <w:jc w:val="both"/>
        <w:rPr>
          <w:rFonts w:ascii="Times New Roman" w:hAnsi="Times New Roman" w:cs="Times New Roman"/>
          <w:sz w:val="24"/>
          <w:szCs w:val="24"/>
          <w:u w:val="single"/>
        </w:rPr>
      </w:pPr>
      <w:r w:rsidRPr="009164F2">
        <w:rPr>
          <w:rFonts w:ascii="Times New Roman" w:hAnsi="Times New Roman" w:cs="Times New Roman"/>
          <w:sz w:val="24"/>
          <w:szCs w:val="24"/>
        </w:rPr>
        <w:t xml:space="preserve">O, dicho de otra manera, los inversores estarán perdiendo dinero con ese producto financiero y lo venderán a un comprador que exija un tipo de interés mayor para cubrirse de esas pérdidas. De esta manera, </w:t>
      </w:r>
      <w:r w:rsidRPr="00AB66F3">
        <w:rPr>
          <w:rFonts w:ascii="Times New Roman" w:hAnsi="Times New Roman" w:cs="Times New Roman"/>
          <w:sz w:val="24"/>
          <w:szCs w:val="24"/>
          <w:u w:val="single"/>
        </w:rPr>
        <w:t>es muy probable que en los próximos meses veamos un encarecimiento de la deuda pública que tenga un impacto directo sobre la solvencia de muchos Estados.</w:t>
      </w:r>
    </w:p>
    <w:p w:rsidR="00FD5B9C" w:rsidRPr="009164F2" w:rsidRDefault="00FD5B9C" w:rsidP="00FD5B9C">
      <w:pPr>
        <w:spacing w:line="240" w:lineRule="auto"/>
        <w:jc w:val="both"/>
        <w:rPr>
          <w:rFonts w:ascii="Times New Roman" w:hAnsi="Times New Roman" w:cs="Times New Roman"/>
          <w:sz w:val="24"/>
          <w:szCs w:val="24"/>
        </w:rPr>
      </w:pPr>
      <w:r w:rsidRPr="009164F2">
        <w:rPr>
          <w:rFonts w:ascii="Times New Roman" w:hAnsi="Times New Roman" w:cs="Times New Roman"/>
          <w:sz w:val="24"/>
          <w:szCs w:val="24"/>
        </w:rPr>
        <w:t>Menos márgenes empresariales y pérdida de competitividad</w:t>
      </w:r>
    </w:p>
    <w:p w:rsidR="00FD5B9C" w:rsidRPr="00AB66F3" w:rsidRDefault="00FD5B9C" w:rsidP="00FD5B9C">
      <w:pPr>
        <w:spacing w:line="240" w:lineRule="auto"/>
        <w:jc w:val="both"/>
        <w:rPr>
          <w:rFonts w:ascii="Times New Roman" w:hAnsi="Times New Roman" w:cs="Times New Roman"/>
          <w:color w:val="FF0000"/>
          <w:sz w:val="24"/>
          <w:szCs w:val="24"/>
          <w:u w:val="single"/>
        </w:rPr>
      </w:pPr>
      <w:r w:rsidRPr="00AB66F3">
        <w:rPr>
          <w:rFonts w:ascii="Times New Roman" w:hAnsi="Times New Roman" w:cs="Times New Roman"/>
          <w:color w:val="FF0000"/>
          <w:sz w:val="24"/>
          <w:szCs w:val="24"/>
          <w:u w:val="single"/>
        </w:rPr>
        <w:t>En mercados competitivos como los que tenemos en prácticamente todos los segmentos de Europa y Estados Unidos, subir precios sin ninguna aportación de valor supone un suicidio que se lleva a unos cuantos clientes a la competencia.</w:t>
      </w:r>
    </w:p>
    <w:p w:rsidR="00FD5B9C" w:rsidRPr="009164F2" w:rsidRDefault="00FD5B9C" w:rsidP="00FD5B9C">
      <w:pPr>
        <w:spacing w:line="240" w:lineRule="auto"/>
        <w:jc w:val="both"/>
        <w:rPr>
          <w:rFonts w:ascii="Times New Roman" w:hAnsi="Times New Roman" w:cs="Times New Roman"/>
          <w:sz w:val="24"/>
          <w:szCs w:val="24"/>
        </w:rPr>
      </w:pPr>
      <w:r w:rsidRPr="009164F2">
        <w:rPr>
          <w:rFonts w:ascii="Times New Roman" w:hAnsi="Times New Roman" w:cs="Times New Roman"/>
          <w:sz w:val="24"/>
          <w:szCs w:val="24"/>
        </w:rPr>
        <w:t xml:space="preserve">Si la inflación ha tardado tanto en aparecer (algunos la llevamos advirtiendo desde finales de verano de 2020) ha sido porque las empresas han intentado evitar trasladar el incremento de costes que llevan sufriendo desde entonces a la venta del producto final. Y, en buena parte de los casos, no </w:t>
      </w:r>
      <w:r>
        <w:rPr>
          <w:rFonts w:ascii="Times New Roman" w:hAnsi="Times New Roman" w:cs="Times New Roman"/>
          <w:sz w:val="24"/>
          <w:szCs w:val="24"/>
        </w:rPr>
        <w:t>están trasladando la totalidad.</w:t>
      </w:r>
    </w:p>
    <w:p w:rsidR="00FD5B9C" w:rsidRPr="009164F2" w:rsidRDefault="00FD5B9C" w:rsidP="00FD5B9C">
      <w:pPr>
        <w:spacing w:line="240" w:lineRule="auto"/>
        <w:jc w:val="both"/>
        <w:rPr>
          <w:rFonts w:ascii="Times New Roman" w:hAnsi="Times New Roman" w:cs="Times New Roman"/>
          <w:sz w:val="24"/>
          <w:szCs w:val="24"/>
        </w:rPr>
      </w:pPr>
      <w:r w:rsidRPr="009164F2">
        <w:rPr>
          <w:rFonts w:ascii="Times New Roman" w:hAnsi="Times New Roman" w:cs="Times New Roman"/>
          <w:sz w:val="24"/>
          <w:szCs w:val="24"/>
        </w:rPr>
        <w:t>Veamos el ejemplo de España: Las empresas están sufriendo un incremento de los precios industriales del 33,1% interanual y de los precios de importación de un 24,4% interanual. Y, sin embargo, "sólo" se está trasladando u</w:t>
      </w:r>
      <w:r>
        <w:rPr>
          <w:rFonts w:ascii="Times New Roman" w:hAnsi="Times New Roman" w:cs="Times New Roman"/>
          <w:sz w:val="24"/>
          <w:szCs w:val="24"/>
        </w:rPr>
        <w:t>n 6,7% al producto final (IPC).</w:t>
      </w:r>
    </w:p>
    <w:p w:rsidR="00FD5B9C" w:rsidRPr="009164F2" w:rsidRDefault="00FD5B9C" w:rsidP="00FD5B9C">
      <w:pPr>
        <w:spacing w:line="240" w:lineRule="auto"/>
        <w:jc w:val="both"/>
        <w:rPr>
          <w:rFonts w:ascii="Times New Roman" w:hAnsi="Times New Roman" w:cs="Times New Roman"/>
          <w:sz w:val="24"/>
          <w:szCs w:val="24"/>
        </w:rPr>
      </w:pPr>
      <w:r w:rsidRPr="009164F2">
        <w:rPr>
          <w:rFonts w:ascii="Times New Roman" w:hAnsi="Times New Roman" w:cs="Times New Roman"/>
          <w:sz w:val="24"/>
          <w:szCs w:val="24"/>
        </w:rPr>
        <w:t>Este descenso de márgenes supone una menor capacidad inversora, un impacto a la baja en la valoración bursátil para empresas que operen en bolsa, y menor capacidad para llevar a cabo planes de expansión y</w:t>
      </w:r>
      <w:r>
        <w:rPr>
          <w:rFonts w:ascii="Times New Roman" w:hAnsi="Times New Roman" w:cs="Times New Roman"/>
          <w:sz w:val="24"/>
          <w:szCs w:val="24"/>
        </w:rPr>
        <w:t>/o subir salarios en el futuro.</w:t>
      </w:r>
    </w:p>
    <w:p w:rsidR="00FD5B9C" w:rsidRPr="009164F2" w:rsidRDefault="00FD5B9C" w:rsidP="00FD5B9C">
      <w:pPr>
        <w:spacing w:line="240" w:lineRule="auto"/>
        <w:jc w:val="both"/>
        <w:rPr>
          <w:rFonts w:ascii="Times New Roman" w:hAnsi="Times New Roman" w:cs="Times New Roman"/>
          <w:sz w:val="24"/>
          <w:szCs w:val="24"/>
        </w:rPr>
      </w:pPr>
      <w:r w:rsidRPr="009164F2">
        <w:rPr>
          <w:rFonts w:ascii="Times New Roman" w:hAnsi="Times New Roman" w:cs="Times New Roman"/>
          <w:sz w:val="24"/>
          <w:szCs w:val="24"/>
        </w:rPr>
        <w:t>Pero las empresas tienen un impacto adicional derivado de la inflación. Como consecuencia del incremento en la rentabilidad exigida a los activos sin riesgo (los bonos de deuda pública), el tipo de interés exigido a la deuda empresarial aumentará (incluso manteniendo constante la prima de riesgo asociada) y, por consiguiente, su valoración bursátil se reducirá y tendrán que hacer más esfuerzos para acceder a l</w:t>
      </w:r>
      <w:r>
        <w:rPr>
          <w:rFonts w:ascii="Times New Roman" w:hAnsi="Times New Roman" w:cs="Times New Roman"/>
          <w:sz w:val="24"/>
          <w:szCs w:val="24"/>
        </w:rPr>
        <w:t>os mecanismos de endeudamiento.</w:t>
      </w:r>
    </w:p>
    <w:p w:rsidR="00FD5B9C" w:rsidRPr="009164F2" w:rsidRDefault="00FD5B9C" w:rsidP="00FD5B9C">
      <w:pPr>
        <w:spacing w:line="240" w:lineRule="auto"/>
        <w:jc w:val="both"/>
        <w:rPr>
          <w:rFonts w:ascii="Times New Roman" w:hAnsi="Times New Roman" w:cs="Times New Roman"/>
          <w:sz w:val="24"/>
          <w:szCs w:val="24"/>
        </w:rPr>
      </w:pPr>
      <w:r w:rsidRPr="009164F2">
        <w:rPr>
          <w:rFonts w:ascii="Times New Roman" w:hAnsi="Times New Roman" w:cs="Times New Roman"/>
          <w:sz w:val="24"/>
          <w:szCs w:val="24"/>
        </w:rPr>
        <w:t>El Estado, el mayor beneficiado de la inflación</w:t>
      </w:r>
    </w:p>
    <w:p w:rsidR="00FD5B9C" w:rsidRPr="00AB66F3" w:rsidRDefault="00FD5B9C" w:rsidP="00FD5B9C">
      <w:pPr>
        <w:spacing w:line="240" w:lineRule="auto"/>
        <w:jc w:val="both"/>
        <w:rPr>
          <w:rFonts w:ascii="Times New Roman" w:hAnsi="Times New Roman" w:cs="Times New Roman"/>
          <w:sz w:val="24"/>
          <w:szCs w:val="24"/>
          <w:u w:val="single"/>
        </w:rPr>
      </w:pPr>
      <w:r w:rsidRPr="00AB66F3">
        <w:rPr>
          <w:rFonts w:ascii="Times New Roman" w:hAnsi="Times New Roman" w:cs="Times New Roman"/>
          <w:sz w:val="24"/>
          <w:szCs w:val="24"/>
          <w:u w:val="single"/>
        </w:rPr>
        <w:t>Ya hemos visto que la inflación perjudica especialmente a las familias más vulnerables. Los que tienen capacidad para operar en los mercados pueden protegerse con productos vinculados a la inflación, pero quienes tienen sus ahorros en cuenta corriente no.</w:t>
      </w:r>
    </w:p>
    <w:p w:rsidR="00FD5B9C" w:rsidRPr="009164F2" w:rsidRDefault="00FD5B9C" w:rsidP="00FD5B9C">
      <w:pPr>
        <w:spacing w:line="240" w:lineRule="auto"/>
        <w:jc w:val="both"/>
        <w:rPr>
          <w:rFonts w:ascii="Times New Roman" w:hAnsi="Times New Roman" w:cs="Times New Roman"/>
          <w:sz w:val="24"/>
          <w:szCs w:val="24"/>
        </w:rPr>
      </w:pPr>
      <w:r w:rsidRPr="00AB66F3">
        <w:rPr>
          <w:rFonts w:ascii="Times New Roman" w:hAnsi="Times New Roman" w:cs="Times New Roman"/>
          <w:color w:val="FF0000"/>
          <w:sz w:val="24"/>
          <w:szCs w:val="24"/>
          <w:u w:val="single"/>
        </w:rPr>
        <w:t>Ahora bien, ¿quién es el mayor beneficiado de la inflación? El Estado. Con dos efectos complementarios: El primero es el incremento en la recaudación</w:t>
      </w:r>
      <w:r w:rsidRPr="009164F2">
        <w:rPr>
          <w:rFonts w:ascii="Times New Roman" w:hAnsi="Times New Roman" w:cs="Times New Roman"/>
          <w:sz w:val="24"/>
          <w:szCs w:val="24"/>
        </w:rPr>
        <w:t>.</w:t>
      </w:r>
      <w:r>
        <w:rPr>
          <w:rFonts w:ascii="Times New Roman" w:hAnsi="Times New Roman" w:cs="Times New Roman"/>
          <w:sz w:val="24"/>
          <w:szCs w:val="24"/>
        </w:rPr>
        <w:t xml:space="preserve"> Volvamos al ejemplo de España.</w:t>
      </w:r>
    </w:p>
    <w:p w:rsidR="00FD5B9C" w:rsidRPr="009164F2" w:rsidRDefault="00FD5B9C" w:rsidP="00FD5B9C">
      <w:pPr>
        <w:spacing w:line="240" w:lineRule="auto"/>
        <w:jc w:val="both"/>
        <w:rPr>
          <w:rFonts w:ascii="Times New Roman" w:hAnsi="Times New Roman" w:cs="Times New Roman"/>
          <w:sz w:val="24"/>
          <w:szCs w:val="24"/>
        </w:rPr>
      </w:pPr>
      <w:r w:rsidRPr="009164F2">
        <w:rPr>
          <w:rFonts w:ascii="Times New Roman" w:hAnsi="Times New Roman" w:cs="Times New Roman"/>
          <w:sz w:val="24"/>
          <w:szCs w:val="24"/>
        </w:rPr>
        <w:lastRenderedPageBreak/>
        <w:t>El Gobierno de España espera una recaudación récord para 2021. De hecho, hasta noviembre, y a pesar de tener unos datos de coyuntura económica y macroeconómicos pobres, la recaudación acumulada está creciendo al 14,9% con respecto al mismo período de 2020. ¿Cómo puede ser eso, si las nuevas figuras tributarias (tasa Google, tasa Tob</w:t>
      </w:r>
      <w:r>
        <w:rPr>
          <w:rFonts w:ascii="Times New Roman" w:hAnsi="Times New Roman" w:cs="Times New Roman"/>
          <w:sz w:val="24"/>
          <w:szCs w:val="24"/>
        </w:rPr>
        <w:t>in, etc.) no están funcionando?</w:t>
      </w:r>
    </w:p>
    <w:p w:rsidR="00FD5B9C" w:rsidRPr="009164F2" w:rsidRDefault="00FD5B9C" w:rsidP="00FD5B9C">
      <w:pPr>
        <w:spacing w:line="240" w:lineRule="auto"/>
        <w:jc w:val="both"/>
        <w:rPr>
          <w:rFonts w:ascii="Times New Roman" w:hAnsi="Times New Roman" w:cs="Times New Roman"/>
          <w:sz w:val="24"/>
          <w:szCs w:val="24"/>
        </w:rPr>
      </w:pPr>
      <w:r w:rsidRPr="009164F2">
        <w:rPr>
          <w:rFonts w:ascii="Times New Roman" w:hAnsi="Times New Roman" w:cs="Times New Roman"/>
          <w:sz w:val="24"/>
          <w:szCs w:val="24"/>
        </w:rPr>
        <w:t>Sencillo. Vean es</w:t>
      </w:r>
      <w:r>
        <w:rPr>
          <w:rFonts w:ascii="Times New Roman" w:hAnsi="Times New Roman" w:cs="Times New Roman"/>
          <w:sz w:val="24"/>
          <w:szCs w:val="24"/>
        </w:rPr>
        <w:t>tos incrementos de recaudación:</w:t>
      </w:r>
    </w:p>
    <w:p w:rsidR="00FD5B9C" w:rsidRPr="009164F2" w:rsidRDefault="00FD5B9C" w:rsidP="00FD5B9C">
      <w:pPr>
        <w:spacing w:line="240" w:lineRule="auto"/>
        <w:jc w:val="both"/>
        <w:rPr>
          <w:rFonts w:ascii="Times New Roman" w:hAnsi="Times New Roman" w:cs="Times New Roman"/>
          <w:sz w:val="24"/>
          <w:szCs w:val="24"/>
        </w:rPr>
      </w:pPr>
      <w:r w:rsidRPr="009164F2">
        <w:rPr>
          <w:rFonts w:ascii="Times New Roman" w:hAnsi="Times New Roman" w:cs="Times New Roman"/>
          <w:sz w:val="24"/>
          <w:szCs w:val="24"/>
        </w:rPr>
        <w:t>IVA: +14,2%</w:t>
      </w:r>
    </w:p>
    <w:p w:rsidR="00FD5B9C" w:rsidRPr="009164F2" w:rsidRDefault="00FD5B9C" w:rsidP="00FD5B9C">
      <w:pPr>
        <w:spacing w:line="240" w:lineRule="auto"/>
        <w:jc w:val="both"/>
        <w:rPr>
          <w:rFonts w:ascii="Times New Roman" w:hAnsi="Times New Roman" w:cs="Times New Roman"/>
          <w:sz w:val="24"/>
          <w:szCs w:val="24"/>
        </w:rPr>
      </w:pPr>
      <w:r w:rsidRPr="009164F2">
        <w:rPr>
          <w:rFonts w:ascii="Times New Roman" w:hAnsi="Times New Roman" w:cs="Times New Roman"/>
          <w:sz w:val="24"/>
          <w:szCs w:val="24"/>
        </w:rPr>
        <w:t>Impuesto de hidrocarburos: +10,2%.</w:t>
      </w:r>
    </w:p>
    <w:p w:rsidR="00FD5B9C" w:rsidRPr="009164F2" w:rsidRDefault="00FD5B9C" w:rsidP="00FD5B9C">
      <w:pPr>
        <w:spacing w:line="240" w:lineRule="auto"/>
        <w:jc w:val="both"/>
        <w:rPr>
          <w:rFonts w:ascii="Times New Roman" w:hAnsi="Times New Roman" w:cs="Times New Roman"/>
          <w:sz w:val="24"/>
          <w:szCs w:val="24"/>
        </w:rPr>
      </w:pPr>
      <w:r w:rsidRPr="009164F2">
        <w:rPr>
          <w:rFonts w:ascii="Times New Roman" w:hAnsi="Times New Roman" w:cs="Times New Roman"/>
          <w:sz w:val="24"/>
          <w:szCs w:val="24"/>
        </w:rPr>
        <w:t>Impuesto sobre las primas de seguro: +32,7%.</w:t>
      </w:r>
    </w:p>
    <w:p w:rsidR="00FD5B9C" w:rsidRPr="009164F2" w:rsidRDefault="00FD5B9C" w:rsidP="00FD5B9C">
      <w:pPr>
        <w:spacing w:line="240" w:lineRule="auto"/>
        <w:jc w:val="both"/>
        <w:rPr>
          <w:rFonts w:ascii="Times New Roman" w:hAnsi="Times New Roman" w:cs="Times New Roman"/>
          <w:sz w:val="24"/>
          <w:szCs w:val="24"/>
        </w:rPr>
      </w:pPr>
      <w:r w:rsidRPr="009164F2">
        <w:rPr>
          <w:rFonts w:ascii="Times New Roman" w:hAnsi="Times New Roman" w:cs="Times New Roman"/>
          <w:sz w:val="24"/>
          <w:szCs w:val="24"/>
        </w:rPr>
        <w:t>Todos ello</w:t>
      </w:r>
      <w:r>
        <w:rPr>
          <w:rFonts w:ascii="Times New Roman" w:hAnsi="Times New Roman" w:cs="Times New Roman"/>
          <w:sz w:val="24"/>
          <w:szCs w:val="24"/>
        </w:rPr>
        <w:t>s consecuencia de la inflación.</w:t>
      </w:r>
    </w:p>
    <w:p w:rsidR="00FD5B9C" w:rsidRPr="009164F2" w:rsidRDefault="00FD5B9C" w:rsidP="00FD5B9C">
      <w:pPr>
        <w:spacing w:line="240" w:lineRule="auto"/>
        <w:jc w:val="both"/>
        <w:rPr>
          <w:rFonts w:ascii="Times New Roman" w:hAnsi="Times New Roman" w:cs="Times New Roman"/>
          <w:sz w:val="24"/>
          <w:szCs w:val="24"/>
        </w:rPr>
      </w:pPr>
      <w:r w:rsidRPr="009164F2">
        <w:rPr>
          <w:rFonts w:ascii="Times New Roman" w:hAnsi="Times New Roman" w:cs="Times New Roman"/>
          <w:sz w:val="24"/>
          <w:szCs w:val="24"/>
        </w:rPr>
        <w:t>Y el segundo efecto es la pérdida de valor de la deuda pública viva. Los 1,4 billones de euros que tiene el Estado español en forma de deuda pública irán perdiendo valor conforme pase el tiempo, con lo cual será más fácil pagarla con la mayor r</w:t>
      </w:r>
      <w:r>
        <w:rPr>
          <w:rFonts w:ascii="Times New Roman" w:hAnsi="Times New Roman" w:cs="Times New Roman"/>
          <w:sz w:val="24"/>
          <w:szCs w:val="24"/>
        </w:rPr>
        <w:t>ecaudación que acabamos de ver.</w:t>
      </w:r>
    </w:p>
    <w:p w:rsidR="00FD5B9C" w:rsidRPr="00AB66F3" w:rsidRDefault="00FD5B9C" w:rsidP="00FD5B9C">
      <w:pPr>
        <w:spacing w:line="240" w:lineRule="auto"/>
        <w:jc w:val="both"/>
        <w:rPr>
          <w:rFonts w:ascii="Times New Roman" w:hAnsi="Times New Roman" w:cs="Times New Roman"/>
          <w:color w:val="FF0000"/>
          <w:sz w:val="24"/>
          <w:szCs w:val="24"/>
          <w:u w:val="single"/>
        </w:rPr>
      </w:pPr>
      <w:r w:rsidRPr="00AB66F3">
        <w:rPr>
          <w:rFonts w:ascii="Times New Roman" w:hAnsi="Times New Roman" w:cs="Times New Roman"/>
          <w:color w:val="FF0000"/>
          <w:sz w:val="24"/>
          <w:szCs w:val="24"/>
          <w:u w:val="single"/>
        </w:rPr>
        <w:t>Es difícil pensar en algo más nocivo, empobrecedor y dinamitador de la paz social como la inflación. Los bancos centrales modernos, de hecho, se crearon para luchar contra ella. Y, sin embargo, han cometido los mismos errores que los que se crearon en los siglos XVII y XVIII. Entonces se crearon para financiar déficits creados como consecuencia de la guerra. Ahora, para financiar déficits creados como consecuencia de la irresponsabilidad política.</w:t>
      </w:r>
    </w:p>
    <w:p w:rsidR="00FD5B9C" w:rsidRPr="00AB66F3" w:rsidRDefault="00FD5B9C" w:rsidP="00FD5B9C">
      <w:pPr>
        <w:spacing w:line="240" w:lineRule="auto"/>
        <w:jc w:val="both"/>
        <w:rPr>
          <w:rFonts w:ascii="Times New Roman" w:hAnsi="Times New Roman" w:cs="Times New Roman"/>
          <w:color w:val="FF0000"/>
          <w:sz w:val="24"/>
          <w:szCs w:val="24"/>
          <w:u w:val="single"/>
        </w:rPr>
      </w:pPr>
      <w:r w:rsidRPr="00AB66F3">
        <w:rPr>
          <w:rFonts w:ascii="Times New Roman" w:hAnsi="Times New Roman" w:cs="Times New Roman"/>
          <w:color w:val="FF0000"/>
          <w:sz w:val="24"/>
          <w:szCs w:val="24"/>
          <w:u w:val="single"/>
        </w:rPr>
        <w:t>Pero el resultado será el mismo: Una inflación que nos empobrece a todos y unos ciclos económicos que suponen crisis cada vez más intensas y prolongadas.</w:t>
      </w:r>
    </w:p>
    <w:p w:rsidR="00FD5B9C" w:rsidRPr="000228F1" w:rsidRDefault="00FD5B9C" w:rsidP="00FD5B9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Uno de los “Cinco Sabios”</w:t>
      </w:r>
      <w:r w:rsidRPr="009D74BB">
        <w:rPr>
          <w:rFonts w:ascii="Times New Roman" w:hAnsi="Times New Roman" w:cs="Times New Roman"/>
          <w:sz w:val="24"/>
          <w:szCs w:val="24"/>
          <w:u w:val="single"/>
        </w:rPr>
        <w:t xml:space="preserve"> alemanes pide al BCE subir los tipos este año</w:t>
      </w:r>
      <w:r>
        <w:rPr>
          <w:rFonts w:ascii="Times New Roman" w:hAnsi="Times New Roman" w:cs="Times New Roman"/>
          <w:sz w:val="24"/>
          <w:szCs w:val="24"/>
        </w:rPr>
        <w:t xml:space="preserve"> (El Economista - </w:t>
      </w:r>
      <w:r w:rsidRPr="00A77587">
        <w:rPr>
          <w:rFonts w:ascii="Times New Roman" w:hAnsi="Times New Roman" w:cs="Times New Roman"/>
          <w:b/>
          <w:sz w:val="24"/>
          <w:szCs w:val="24"/>
        </w:rPr>
        <w:t>10/1/22</w:t>
      </w:r>
      <w:r>
        <w:rPr>
          <w:rFonts w:ascii="Times New Roman" w:hAnsi="Times New Roman" w:cs="Times New Roman"/>
          <w:sz w:val="24"/>
          <w:szCs w:val="24"/>
        </w:rPr>
        <w:t>)</w:t>
      </w:r>
    </w:p>
    <w:p w:rsidR="00FD5B9C" w:rsidRDefault="00FD5B9C" w:rsidP="00FD5B9C">
      <w:pPr>
        <w:spacing w:line="240" w:lineRule="auto"/>
        <w:jc w:val="both"/>
        <w:rPr>
          <w:rFonts w:ascii="Times New Roman" w:hAnsi="Times New Roman" w:cs="Times New Roman"/>
          <w:color w:val="FF0000"/>
          <w:sz w:val="24"/>
          <w:szCs w:val="24"/>
          <w:u w:val="single"/>
        </w:rPr>
      </w:pPr>
      <w:r w:rsidRPr="00F22729">
        <w:rPr>
          <w:rFonts w:ascii="Times New Roman" w:hAnsi="Times New Roman" w:cs="Times New Roman"/>
          <w:color w:val="FF0000"/>
          <w:sz w:val="24"/>
          <w:szCs w:val="24"/>
          <w:u w:val="single"/>
        </w:rPr>
        <w:t>El ala alemana se pone seria. Pese a que Ber</w:t>
      </w:r>
      <w:r>
        <w:rPr>
          <w:rFonts w:ascii="Times New Roman" w:hAnsi="Times New Roman" w:cs="Times New Roman"/>
          <w:color w:val="FF0000"/>
          <w:sz w:val="24"/>
          <w:szCs w:val="24"/>
          <w:u w:val="single"/>
        </w:rPr>
        <w:t>l</w:t>
      </w:r>
      <w:r w:rsidRPr="00F22729">
        <w:rPr>
          <w:rFonts w:ascii="Times New Roman" w:hAnsi="Times New Roman" w:cs="Times New Roman"/>
          <w:color w:val="FF0000"/>
          <w:sz w:val="24"/>
          <w:szCs w:val="24"/>
          <w:u w:val="single"/>
        </w:rPr>
        <w:t>ín siempre ha sido más proclive a iniciar antes la retirada de estímulos del Banco Central Europeo (BCE), el avance de la inflación alemana, en máximos desde 1993 ha hecho saltar ya todas las alarmas y varios halcones alemanes piden seguir los pasos de la Reserva Federal Americana y subir los tipos este mismo año</w:t>
      </w:r>
      <w:r w:rsidRPr="00FD5B9C">
        <w:rPr>
          <w:rFonts w:ascii="Times New Roman" w:hAnsi="Times New Roman" w:cs="Times New Roman"/>
          <w:color w:val="FF0000"/>
          <w:sz w:val="24"/>
          <w:szCs w:val="24"/>
        </w:rPr>
        <w:t>…</w:t>
      </w:r>
    </w:p>
    <w:p w:rsidR="00FD5B9C" w:rsidRPr="00F22729" w:rsidRDefault="00FD5B9C" w:rsidP="00FD5B9C">
      <w:pPr>
        <w:spacing w:line="240" w:lineRule="auto"/>
        <w:jc w:val="both"/>
        <w:rPr>
          <w:rFonts w:ascii="Times New Roman" w:hAnsi="Times New Roman" w:cs="Times New Roman"/>
          <w:color w:val="FF0000"/>
          <w:sz w:val="24"/>
          <w:szCs w:val="24"/>
          <w:u w:val="single"/>
        </w:rPr>
      </w:pPr>
      <w:r w:rsidRPr="00F22729">
        <w:rPr>
          <w:rFonts w:ascii="Times New Roman" w:hAnsi="Times New Roman" w:cs="Times New Roman"/>
          <w:color w:val="FF0000"/>
          <w:sz w:val="24"/>
          <w:szCs w:val="24"/>
          <w:u w:val="single"/>
        </w:rPr>
        <w:t>Ante ello, surgen voces que piden que el Banco Central Europeo (BCE) de un giro en su política de bajos intereses. En ese sentido se expresa el presidente de la Confederación Alemana de Comercio Mayorista y Comerci</w:t>
      </w:r>
      <w:r>
        <w:rPr>
          <w:rFonts w:ascii="Times New Roman" w:hAnsi="Times New Roman" w:cs="Times New Roman"/>
          <w:color w:val="FF0000"/>
          <w:sz w:val="24"/>
          <w:szCs w:val="24"/>
          <w:u w:val="single"/>
        </w:rPr>
        <w:t>o Exterior (BGA), Dirk Jadura. “</w:t>
      </w:r>
      <w:r w:rsidRPr="00F22729">
        <w:rPr>
          <w:rFonts w:ascii="Times New Roman" w:hAnsi="Times New Roman" w:cs="Times New Roman"/>
          <w:color w:val="FF0000"/>
          <w:sz w:val="24"/>
          <w:szCs w:val="24"/>
          <w:u w:val="single"/>
        </w:rPr>
        <w:t xml:space="preserve">No es que el BCE esté haciendo muy poco, es que lo </w:t>
      </w:r>
      <w:r>
        <w:rPr>
          <w:rFonts w:ascii="Times New Roman" w:hAnsi="Times New Roman" w:cs="Times New Roman"/>
          <w:color w:val="FF0000"/>
          <w:sz w:val="24"/>
          <w:szCs w:val="24"/>
          <w:u w:val="single"/>
        </w:rPr>
        <w:t>que está haciendo es equivocado”</w:t>
      </w:r>
      <w:r w:rsidRPr="00F22729">
        <w:rPr>
          <w:rFonts w:ascii="Times New Roman" w:hAnsi="Times New Roman" w:cs="Times New Roman"/>
          <w:color w:val="FF0000"/>
          <w:sz w:val="24"/>
          <w:szCs w:val="24"/>
          <w:u w:val="single"/>
        </w:rPr>
        <w:t>, indica Jadura.</w:t>
      </w:r>
    </w:p>
    <w:p w:rsidR="00FD5B9C" w:rsidRPr="00F22729" w:rsidRDefault="00FD5B9C" w:rsidP="00FD5B9C">
      <w:pPr>
        <w:spacing w:line="240" w:lineRule="auto"/>
        <w:jc w:val="both"/>
        <w:rPr>
          <w:rFonts w:ascii="Times New Roman" w:hAnsi="Times New Roman" w:cs="Times New Roman"/>
          <w:color w:val="FF0000"/>
          <w:sz w:val="24"/>
          <w:szCs w:val="24"/>
          <w:u w:val="single"/>
        </w:rPr>
      </w:pPr>
      <w:r w:rsidRPr="00F22729">
        <w:rPr>
          <w:rFonts w:ascii="Times New Roman" w:hAnsi="Times New Roman" w:cs="Times New Roman"/>
          <w:color w:val="FF0000"/>
          <w:sz w:val="24"/>
          <w:szCs w:val="24"/>
          <w:u w:val="single"/>
        </w:rPr>
        <w:t>En la misma dirección va la opinión del catedrático de economía Volker Wieland, miembro del Consejo Asesor de Economistas del Gobierno alemán, conocido como</w:t>
      </w:r>
      <w:r>
        <w:rPr>
          <w:rFonts w:ascii="Times New Roman" w:hAnsi="Times New Roman" w:cs="Times New Roman"/>
          <w:color w:val="FF0000"/>
          <w:sz w:val="24"/>
          <w:szCs w:val="24"/>
          <w:u w:val="single"/>
        </w:rPr>
        <w:t xml:space="preserve"> el Grupo de los Cinco Sabios. “</w:t>
      </w:r>
      <w:r w:rsidRPr="00F22729">
        <w:rPr>
          <w:rFonts w:ascii="Times New Roman" w:hAnsi="Times New Roman" w:cs="Times New Roman"/>
          <w:color w:val="FF0000"/>
          <w:sz w:val="24"/>
          <w:szCs w:val="24"/>
          <w:u w:val="single"/>
        </w:rPr>
        <w:t>Descartar un alza de tipos de interés en 2022 es algo difíc</w:t>
      </w:r>
      <w:r>
        <w:rPr>
          <w:rFonts w:ascii="Times New Roman" w:hAnsi="Times New Roman" w:cs="Times New Roman"/>
          <w:color w:val="FF0000"/>
          <w:sz w:val="24"/>
          <w:szCs w:val="24"/>
          <w:u w:val="single"/>
        </w:rPr>
        <w:t>il de defender y es innecesario”</w:t>
      </w:r>
      <w:r w:rsidRPr="00F22729">
        <w:rPr>
          <w:rFonts w:ascii="Times New Roman" w:hAnsi="Times New Roman" w:cs="Times New Roman"/>
          <w:color w:val="FF0000"/>
          <w:sz w:val="24"/>
          <w:szCs w:val="24"/>
          <w:u w:val="single"/>
        </w:rPr>
        <w:t>, señala Wieland. El BCE debería dar, según Wieland, un giro en su política ya en 2022, siguiendo el ejemplo del FED, y no esperar a 2023. El experto critica directamente la política de comunicación de la presidenta del BCE, Christine Lagarde.</w:t>
      </w:r>
    </w:p>
    <w:p w:rsidR="00FD5B9C" w:rsidRDefault="00FD5B9C" w:rsidP="00FD5B9C">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w:t>
      </w:r>
      <w:r w:rsidRPr="00F22729">
        <w:rPr>
          <w:rFonts w:ascii="Times New Roman" w:hAnsi="Times New Roman" w:cs="Times New Roman"/>
          <w:color w:val="FF0000"/>
          <w:sz w:val="24"/>
          <w:szCs w:val="24"/>
          <w:u w:val="single"/>
        </w:rPr>
        <w:t>Me sorprende que justifique su política expansiva diciendo que en 2023 y 2024 estaremos otra vez por debajo del 2%, como lo</w:t>
      </w:r>
      <w:r>
        <w:rPr>
          <w:rFonts w:ascii="Times New Roman" w:hAnsi="Times New Roman" w:cs="Times New Roman"/>
          <w:color w:val="FF0000"/>
          <w:sz w:val="24"/>
          <w:szCs w:val="24"/>
          <w:u w:val="single"/>
        </w:rPr>
        <w:t xml:space="preserve"> exigen las metas de inflación”</w:t>
      </w:r>
      <w:r w:rsidRPr="00F22729">
        <w:rPr>
          <w:rFonts w:ascii="Times New Roman" w:hAnsi="Times New Roman" w:cs="Times New Roman"/>
          <w:color w:val="FF0000"/>
          <w:sz w:val="24"/>
          <w:szCs w:val="24"/>
          <w:u w:val="single"/>
        </w:rPr>
        <w:t xml:space="preserve">, señala tras conocer los </w:t>
      </w:r>
      <w:r>
        <w:rPr>
          <w:rFonts w:ascii="Times New Roman" w:hAnsi="Times New Roman" w:cs="Times New Roman"/>
          <w:color w:val="FF0000"/>
          <w:sz w:val="24"/>
          <w:szCs w:val="24"/>
          <w:u w:val="single"/>
        </w:rPr>
        <w:t>últimos datos de la inflación. “</w:t>
      </w:r>
      <w:r w:rsidRPr="00F22729">
        <w:rPr>
          <w:rFonts w:ascii="Times New Roman" w:hAnsi="Times New Roman" w:cs="Times New Roman"/>
          <w:color w:val="FF0000"/>
          <w:sz w:val="24"/>
          <w:szCs w:val="24"/>
          <w:u w:val="single"/>
        </w:rPr>
        <w:t>En vista de los fallos en los pronósticos de inflación me parece muy atrevido ligar la políti</w:t>
      </w:r>
      <w:r>
        <w:rPr>
          <w:rFonts w:ascii="Times New Roman" w:hAnsi="Times New Roman" w:cs="Times New Roman"/>
          <w:color w:val="FF0000"/>
          <w:sz w:val="24"/>
          <w:szCs w:val="24"/>
          <w:u w:val="single"/>
        </w:rPr>
        <w:t>ca monetaria a esos pronósticos”</w:t>
      </w:r>
      <w:r w:rsidRPr="00F22729">
        <w:rPr>
          <w:rFonts w:ascii="Times New Roman" w:hAnsi="Times New Roman" w:cs="Times New Roman"/>
          <w:color w:val="FF0000"/>
          <w:sz w:val="24"/>
          <w:szCs w:val="24"/>
          <w:u w:val="single"/>
        </w:rPr>
        <w:t>, agrega el economista</w:t>
      </w:r>
      <w:r>
        <w:rPr>
          <w:rFonts w:ascii="Times New Roman" w:hAnsi="Times New Roman" w:cs="Times New Roman"/>
          <w:color w:val="FF0000"/>
          <w:sz w:val="24"/>
          <w:szCs w:val="24"/>
          <w:u w:val="single"/>
        </w:rPr>
        <w:t>…</w:t>
      </w:r>
    </w:p>
    <w:p w:rsidR="00FD5B9C" w:rsidRPr="008C7C25" w:rsidRDefault="00FD5B9C" w:rsidP="00FD5B9C">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8C7C25">
        <w:rPr>
          <w:rFonts w:ascii="Times New Roman" w:hAnsi="Times New Roman" w:cs="Times New Roman"/>
          <w:sz w:val="24"/>
          <w:szCs w:val="24"/>
          <w:u w:val="single"/>
        </w:rPr>
        <w:t>El dilema del BCE: sepultar el crecimiento o seguir alimentando la mayor burbuja de la historia</w:t>
      </w:r>
      <w:r>
        <w:rPr>
          <w:rFonts w:ascii="Times New Roman" w:hAnsi="Times New Roman" w:cs="Times New Roman"/>
          <w:sz w:val="24"/>
          <w:szCs w:val="24"/>
        </w:rPr>
        <w:t xml:space="preserve"> (Libertad Digital - </w:t>
      </w:r>
      <w:r w:rsidRPr="008C7C25">
        <w:rPr>
          <w:rFonts w:ascii="Times New Roman" w:hAnsi="Times New Roman" w:cs="Times New Roman"/>
          <w:b/>
          <w:sz w:val="24"/>
          <w:szCs w:val="24"/>
        </w:rPr>
        <w:t>6/2/22</w:t>
      </w:r>
      <w:r>
        <w:rPr>
          <w:rFonts w:ascii="Times New Roman" w:hAnsi="Times New Roman" w:cs="Times New Roman"/>
          <w:sz w:val="24"/>
          <w:szCs w:val="24"/>
        </w:rPr>
        <w:t>)</w:t>
      </w:r>
    </w:p>
    <w:p w:rsidR="00FD5B9C" w:rsidRPr="00EE7EBE" w:rsidRDefault="00FD5B9C" w:rsidP="00FD5B9C">
      <w:pPr>
        <w:spacing w:line="240" w:lineRule="auto"/>
        <w:jc w:val="both"/>
        <w:rPr>
          <w:rFonts w:ascii="Times New Roman" w:hAnsi="Times New Roman" w:cs="Times New Roman"/>
          <w:color w:val="FF0000"/>
          <w:sz w:val="24"/>
          <w:szCs w:val="24"/>
        </w:rPr>
      </w:pPr>
      <w:r w:rsidRPr="00EE7EBE">
        <w:rPr>
          <w:rFonts w:ascii="Times New Roman" w:hAnsi="Times New Roman" w:cs="Times New Roman"/>
          <w:color w:val="FF0000"/>
          <w:sz w:val="24"/>
          <w:szCs w:val="24"/>
        </w:rPr>
        <w:t xml:space="preserve">Con el mayor impulso monetario de la historia (el BCE ya supera el 70% de la Eurozona), Europa muestra una desaceleración económica más que preocupante. </w:t>
      </w:r>
    </w:p>
    <w:p w:rsidR="00FD5B9C" w:rsidRPr="008C7C25" w:rsidRDefault="00FD5B9C" w:rsidP="00FD5B9C">
      <w:pPr>
        <w:spacing w:line="240" w:lineRule="auto"/>
        <w:jc w:val="both"/>
        <w:rPr>
          <w:rFonts w:ascii="Times New Roman" w:hAnsi="Times New Roman" w:cs="Times New Roman"/>
          <w:sz w:val="24"/>
          <w:szCs w:val="24"/>
        </w:rPr>
      </w:pPr>
      <w:r>
        <w:rPr>
          <w:rFonts w:ascii="Times New Roman" w:hAnsi="Times New Roman" w:cs="Times New Roman"/>
          <w:sz w:val="24"/>
          <w:szCs w:val="24"/>
        </w:rPr>
        <w:t>(Por Daniel Rodríguez Asensio)</w:t>
      </w:r>
    </w:p>
    <w:p w:rsidR="00FD5B9C" w:rsidRPr="00D82D52" w:rsidRDefault="00FD5B9C" w:rsidP="00FD5B9C">
      <w:pPr>
        <w:spacing w:line="240" w:lineRule="auto"/>
        <w:jc w:val="both"/>
        <w:rPr>
          <w:rFonts w:ascii="Times New Roman" w:hAnsi="Times New Roman" w:cs="Times New Roman"/>
          <w:sz w:val="24"/>
          <w:szCs w:val="24"/>
          <w:u w:val="single"/>
        </w:rPr>
      </w:pPr>
      <w:r w:rsidRPr="00D82D52">
        <w:rPr>
          <w:rFonts w:ascii="Times New Roman" w:hAnsi="Times New Roman" w:cs="Times New Roman"/>
          <w:sz w:val="24"/>
          <w:szCs w:val="24"/>
          <w:u w:val="single"/>
        </w:rPr>
        <w:t>El Banco Central Europeo se encuentra ante un callejón sin salida. En la última semana, el Banco de Inglaterra ha vuelto a subir los tipos hasta el 0,5% y el mercado ya está descontando 4 subidas de tipos de la Reserva Federal (FED) como consecuencia de la última reunión mantenida.</w:t>
      </w:r>
    </w:p>
    <w:p w:rsidR="00FD5B9C" w:rsidRPr="008C7C25" w:rsidRDefault="00FD5B9C" w:rsidP="00FD5B9C">
      <w:pPr>
        <w:spacing w:line="240" w:lineRule="auto"/>
        <w:jc w:val="both"/>
        <w:rPr>
          <w:rFonts w:ascii="Times New Roman" w:hAnsi="Times New Roman" w:cs="Times New Roman"/>
          <w:sz w:val="24"/>
          <w:szCs w:val="24"/>
        </w:rPr>
      </w:pPr>
      <w:r w:rsidRPr="00D82D52">
        <w:rPr>
          <w:rFonts w:ascii="Times New Roman" w:hAnsi="Times New Roman" w:cs="Times New Roman"/>
          <w:sz w:val="24"/>
          <w:szCs w:val="24"/>
          <w:u w:val="single"/>
        </w:rPr>
        <w:t>El BCE</w:t>
      </w:r>
      <w:r w:rsidRPr="008C7C25">
        <w:rPr>
          <w:rFonts w:ascii="Times New Roman" w:hAnsi="Times New Roman" w:cs="Times New Roman"/>
          <w:sz w:val="24"/>
          <w:szCs w:val="24"/>
        </w:rPr>
        <w:t>, por el momento, no ha anunciado ninguna subida de tipos, aunque el mercado ya comienza a descontar hasta 2 este año por la mayor preocupación que ha mostrado por la infl</w:t>
      </w:r>
      <w:r>
        <w:rPr>
          <w:rFonts w:ascii="Times New Roman" w:hAnsi="Times New Roman" w:cs="Times New Roman"/>
          <w:sz w:val="24"/>
          <w:szCs w:val="24"/>
        </w:rPr>
        <w:t>ación. ¿</w:t>
      </w:r>
      <w:r w:rsidRPr="00D82D52">
        <w:rPr>
          <w:rFonts w:ascii="Times New Roman" w:hAnsi="Times New Roman" w:cs="Times New Roman"/>
          <w:sz w:val="24"/>
          <w:szCs w:val="24"/>
          <w:u w:val="single"/>
        </w:rPr>
        <w:t>Qué alternativas tiene</w:t>
      </w:r>
      <w:r>
        <w:rPr>
          <w:rFonts w:ascii="Times New Roman" w:hAnsi="Times New Roman" w:cs="Times New Roman"/>
          <w:sz w:val="24"/>
          <w:szCs w:val="24"/>
        </w:rPr>
        <w:t>?</w:t>
      </w:r>
    </w:p>
    <w:p w:rsidR="00FD5B9C" w:rsidRPr="00D82D52" w:rsidRDefault="00FD5B9C" w:rsidP="00FD5B9C">
      <w:pPr>
        <w:spacing w:line="240" w:lineRule="auto"/>
        <w:jc w:val="both"/>
        <w:rPr>
          <w:rFonts w:ascii="Times New Roman" w:hAnsi="Times New Roman" w:cs="Times New Roman"/>
          <w:color w:val="FF0000"/>
          <w:sz w:val="24"/>
          <w:szCs w:val="24"/>
        </w:rPr>
      </w:pPr>
      <w:r w:rsidRPr="00D82D52">
        <w:rPr>
          <w:rFonts w:ascii="Times New Roman" w:hAnsi="Times New Roman" w:cs="Times New Roman"/>
          <w:color w:val="FF0000"/>
          <w:sz w:val="24"/>
          <w:szCs w:val="24"/>
        </w:rPr>
        <w:t>Mantener los tipos en mínimos históricos mientras alimenta la temida estanflación.</w:t>
      </w:r>
    </w:p>
    <w:p w:rsidR="00FD5B9C" w:rsidRPr="00D82D52" w:rsidRDefault="00FD5B9C" w:rsidP="00FD5B9C">
      <w:pPr>
        <w:spacing w:line="240" w:lineRule="auto"/>
        <w:jc w:val="both"/>
        <w:rPr>
          <w:rFonts w:ascii="Times New Roman" w:hAnsi="Times New Roman" w:cs="Times New Roman"/>
          <w:color w:val="FF0000"/>
          <w:sz w:val="24"/>
          <w:szCs w:val="24"/>
        </w:rPr>
      </w:pPr>
      <w:r w:rsidRPr="00D82D52">
        <w:rPr>
          <w:rFonts w:ascii="Times New Roman" w:hAnsi="Times New Roman" w:cs="Times New Roman"/>
          <w:color w:val="FF0000"/>
          <w:sz w:val="24"/>
          <w:szCs w:val="24"/>
        </w:rPr>
        <w:t>Racionaliza la política monetaria, sube tipos y se arriesga a una situación de restricción de crédito similar a la de 2011/2012.</w:t>
      </w:r>
    </w:p>
    <w:p w:rsidR="00FD5B9C" w:rsidRPr="008C7C25" w:rsidRDefault="00FD5B9C" w:rsidP="00FD5B9C">
      <w:pPr>
        <w:spacing w:line="240" w:lineRule="auto"/>
        <w:jc w:val="both"/>
        <w:rPr>
          <w:rFonts w:ascii="Times New Roman" w:hAnsi="Times New Roman" w:cs="Times New Roman"/>
          <w:sz w:val="24"/>
          <w:szCs w:val="24"/>
        </w:rPr>
      </w:pPr>
      <w:r w:rsidRPr="008C7C25">
        <w:rPr>
          <w:rFonts w:ascii="Times New Roman" w:hAnsi="Times New Roman" w:cs="Times New Roman"/>
          <w:sz w:val="24"/>
          <w:szCs w:val="24"/>
        </w:rPr>
        <w:t>Dicho de otra manera: Tras 7 años de QE y de política monetaria insana, el BCE ha llegado a un callejón sin salida que pone a la Eurozona en una situación muy sensible incluso ya en este año.</w:t>
      </w:r>
    </w:p>
    <w:p w:rsidR="00FD5B9C" w:rsidRPr="008C7C25" w:rsidRDefault="00FD5B9C" w:rsidP="00FD5B9C">
      <w:pPr>
        <w:spacing w:line="240" w:lineRule="auto"/>
        <w:jc w:val="both"/>
        <w:rPr>
          <w:rFonts w:ascii="Times New Roman" w:hAnsi="Times New Roman" w:cs="Times New Roman"/>
          <w:sz w:val="24"/>
          <w:szCs w:val="24"/>
        </w:rPr>
      </w:pPr>
      <w:r w:rsidRPr="008C7C25">
        <w:rPr>
          <w:rFonts w:ascii="Times New Roman" w:hAnsi="Times New Roman" w:cs="Times New Roman"/>
          <w:sz w:val="24"/>
          <w:szCs w:val="24"/>
        </w:rPr>
        <w:t>Lo que es evidente es que, aún con el mayor impulso monetario de la historia reciente (recordemos que el BCE ya supera el 70% de la Eurozona y mantiene el programa de compra de bonos covid19 hasta marzo), Europa muestra una desaceleración</w:t>
      </w:r>
      <w:r>
        <w:rPr>
          <w:rFonts w:ascii="Times New Roman" w:hAnsi="Times New Roman" w:cs="Times New Roman"/>
          <w:sz w:val="24"/>
          <w:szCs w:val="24"/>
        </w:rPr>
        <w:t xml:space="preserve"> económica más que preocupante.</w:t>
      </w:r>
    </w:p>
    <w:p w:rsidR="00FD5B9C" w:rsidRPr="008C7C25" w:rsidRDefault="00FD5B9C" w:rsidP="00FD5B9C">
      <w:pPr>
        <w:spacing w:line="240" w:lineRule="auto"/>
        <w:jc w:val="both"/>
        <w:rPr>
          <w:rFonts w:ascii="Times New Roman" w:hAnsi="Times New Roman" w:cs="Times New Roman"/>
          <w:sz w:val="24"/>
          <w:szCs w:val="24"/>
        </w:rPr>
      </w:pPr>
      <w:r w:rsidRPr="008C7C25">
        <w:rPr>
          <w:rFonts w:ascii="Times New Roman" w:hAnsi="Times New Roman" w:cs="Times New Roman"/>
          <w:sz w:val="24"/>
          <w:szCs w:val="24"/>
        </w:rPr>
        <w:t>Alemania, Italia, España...</w:t>
      </w:r>
    </w:p>
    <w:p w:rsidR="00FD5B9C" w:rsidRPr="008C7C25" w:rsidRDefault="00FD5B9C" w:rsidP="00FD5B9C">
      <w:pPr>
        <w:spacing w:line="240" w:lineRule="auto"/>
        <w:jc w:val="both"/>
        <w:rPr>
          <w:rFonts w:ascii="Times New Roman" w:hAnsi="Times New Roman" w:cs="Times New Roman"/>
          <w:sz w:val="24"/>
          <w:szCs w:val="24"/>
        </w:rPr>
      </w:pPr>
      <w:r w:rsidRPr="008C7C25">
        <w:rPr>
          <w:rFonts w:ascii="Times New Roman" w:hAnsi="Times New Roman" w:cs="Times New Roman"/>
          <w:sz w:val="24"/>
          <w:szCs w:val="24"/>
        </w:rPr>
        <w:t>El caso más ilustrativo es Alemania, que ha hecho público un dato de PIB del -0,7% trimestral para el último trimestre de 2021. El consumo y la inversión pri</w:t>
      </w:r>
      <w:r>
        <w:rPr>
          <w:rFonts w:ascii="Times New Roman" w:hAnsi="Times New Roman" w:cs="Times New Roman"/>
          <w:sz w:val="24"/>
          <w:szCs w:val="24"/>
        </w:rPr>
        <w:t>vada</w:t>
      </w:r>
      <w:r w:rsidRPr="008C7C25">
        <w:rPr>
          <w:rFonts w:ascii="Times New Roman" w:hAnsi="Times New Roman" w:cs="Times New Roman"/>
          <w:sz w:val="24"/>
          <w:szCs w:val="24"/>
        </w:rPr>
        <w:t xml:space="preserve"> evolucionan el negativo, y tan sólo la inversión pública (programas de estímulos) salvan al paí</w:t>
      </w:r>
      <w:r>
        <w:rPr>
          <w:rFonts w:ascii="Times New Roman" w:hAnsi="Times New Roman" w:cs="Times New Roman"/>
          <w:sz w:val="24"/>
          <w:szCs w:val="24"/>
        </w:rPr>
        <w:t>s de un dato aún peor.</w:t>
      </w:r>
    </w:p>
    <w:p w:rsidR="00FD5B9C" w:rsidRPr="008C7C25" w:rsidRDefault="00FD5B9C" w:rsidP="00FD5B9C">
      <w:pPr>
        <w:spacing w:line="240" w:lineRule="auto"/>
        <w:jc w:val="both"/>
        <w:rPr>
          <w:rFonts w:ascii="Times New Roman" w:hAnsi="Times New Roman" w:cs="Times New Roman"/>
          <w:sz w:val="24"/>
          <w:szCs w:val="24"/>
        </w:rPr>
      </w:pPr>
      <w:r w:rsidRPr="008C7C25">
        <w:rPr>
          <w:rFonts w:ascii="Times New Roman" w:hAnsi="Times New Roman" w:cs="Times New Roman"/>
          <w:sz w:val="24"/>
          <w:szCs w:val="24"/>
        </w:rPr>
        <w:t>Merece la pena recordar que Alemania empezó a dar muestras de debilidad en los indicadores adelantados de actividad económica ya en el mes de octubre, y no se ha recuperado desde entonces. Es cierto que es un país muy dependiente del sector industrial y, por lo tanto, altamente afectado por las rupturas de las cadenas de valor a nivel global, los cuellos de botella y la inflación de bienes industriales. Pero no es menos cierto que hay otros países que también tienen unas características similares y, hasta</w:t>
      </w:r>
      <w:r>
        <w:rPr>
          <w:rFonts w:ascii="Times New Roman" w:hAnsi="Times New Roman" w:cs="Times New Roman"/>
          <w:sz w:val="24"/>
          <w:szCs w:val="24"/>
        </w:rPr>
        <w:t xml:space="preserve"> ahora, han evolucionado mejor.</w:t>
      </w:r>
    </w:p>
    <w:p w:rsidR="00FD5B9C" w:rsidRPr="008C7C25" w:rsidRDefault="00FD5B9C" w:rsidP="00FD5B9C">
      <w:pPr>
        <w:spacing w:line="240" w:lineRule="auto"/>
        <w:jc w:val="both"/>
        <w:rPr>
          <w:rFonts w:ascii="Times New Roman" w:hAnsi="Times New Roman" w:cs="Times New Roman"/>
          <w:sz w:val="24"/>
          <w:szCs w:val="24"/>
        </w:rPr>
      </w:pPr>
      <w:r w:rsidRPr="008C7C25">
        <w:rPr>
          <w:rFonts w:ascii="Times New Roman" w:hAnsi="Times New Roman" w:cs="Times New Roman"/>
          <w:sz w:val="24"/>
          <w:szCs w:val="24"/>
        </w:rPr>
        <w:t>Un ejemplo es Italia, que ha mantenido unos niveles de crecimiento sólidos durante el último trimestre del año (de hecho ha sido la gran economía que más ha crecido en los últimos tres meses)… aunque el dato de actividad económica adelantado de enero la sitúa al borde de la recesión.</w:t>
      </w:r>
    </w:p>
    <w:p w:rsidR="00FD5B9C" w:rsidRPr="008C7C25" w:rsidRDefault="00FD5B9C" w:rsidP="00FD5B9C">
      <w:pPr>
        <w:spacing w:line="240" w:lineRule="auto"/>
        <w:jc w:val="both"/>
        <w:rPr>
          <w:rFonts w:ascii="Times New Roman" w:hAnsi="Times New Roman" w:cs="Times New Roman"/>
          <w:sz w:val="24"/>
          <w:szCs w:val="24"/>
        </w:rPr>
      </w:pPr>
      <w:r w:rsidRPr="008C7C25">
        <w:rPr>
          <w:rFonts w:ascii="Times New Roman" w:hAnsi="Times New Roman" w:cs="Times New Roman"/>
          <w:sz w:val="24"/>
          <w:szCs w:val="24"/>
        </w:rPr>
        <w:t>España, con un modelo productivo muy distinto a los dos anteriores y sin apenas restricciones por esta última ola Covid19 también arroja indicadores adelantados y de coyuntura (comercio minorista, ISM compuesto, demanda de electricidad, etc.) muy débiles,</w:t>
      </w:r>
      <w:r>
        <w:rPr>
          <w:rFonts w:ascii="Times New Roman" w:hAnsi="Times New Roman" w:cs="Times New Roman"/>
          <w:sz w:val="24"/>
          <w:szCs w:val="24"/>
        </w:rPr>
        <w:t xml:space="preserve"> e incluso algunos en negativo.</w:t>
      </w:r>
    </w:p>
    <w:p w:rsidR="00FD5B9C" w:rsidRPr="00D82D52" w:rsidRDefault="00FD5B9C" w:rsidP="00FD5B9C">
      <w:pPr>
        <w:spacing w:line="240" w:lineRule="auto"/>
        <w:jc w:val="both"/>
        <w:rPr>
          <w:rFonts w:ascii="Times New Roman" w:hAnsi="Times New Roman" w:cs="Times New Roman"/>
          <w:sz w:val="24"/>
          <w:szCs w:val="24"/>
          <w:u w:val="single"/>
        </w:rPr>
      </w:pPr>
      <w:r w:rsidRPr="00D82D52">
        <w:rPr>
          <w:rFonts w:ascii="Times New Roman" w:hAnsi="Times New Roman" w:cs="Times New Roman"/>
          <w:sz w:val="24"/>
          <w:szCs w:val="24"/>
          <w:u w:val="single"/>
        </w:rPr>
        <w:lastRenderedPageBreak/>
        <w:t>O, dicho de otra manera: 3 de las 4 grandes economías de la Eurozona muestran ya un claro patrón de desaceleración económica, o muestran indicios de que podrían comenzar a mostrarlos en los próximos meses.</w:t>
      </w:r>
    </w:p>
    <w:p w:rsidR="00FD5B9C" w:rsidRPr="008C7C25" w:rsidRDefault="00FD5B9C" w:rsidP="00FD5B9C">
      <w:pPr>
        <w:spacing w:line="240" w:lineRule="auto"/>
        <w:jc w:val="both"/>
        <w:rPr>
          <w:rFonts w:ascii="Times New Roman" w:hAnsi="Times New Roman" w:cs="Times New Roman"/>
          <w:sz w:val="24"/>
          <w:szCs w:val="24"/>
        </w:rPr>
      </w:pPr>
      <w:r w:rsidRPr="008C7C25">
        <w:rPr>
          <w:rFonts w:ascii="Times New Roman" w:hAnsi="Times New Roman" w:cs="Times New Roman"/>
          <w:sz w:val="24"/>
          <w:szCs w:val="24"/>
        </w:rPr>
        <w:t>La inflación, al alza</w:t>
      </w:r>
    </w:p>
    <w:p w:rsidR="00FD5B9C" w:rsidRPr="008C7C25" w:rsidRDefault="00FD5B9C" w:rsidP="00FD5B9C">
      <w:pPr>
        <w:spacing w:line="240" w:lineRule="auto"/>
        <w:jc w:val="both"/>
        <w:rPr>
          <w:rFonts w:ascii="Times New Roman" w:hAnsi="Times New Roman" w:cs="Times New Roman"/>
          <w:sz w:val="24"/>
          <w:szCs w:val="24"/>
        </w:rPr>
      </w:pPr>
      <w:r w:rsidRPr="008C7C25">
        <w:rPr>
          <w:rFonts w:ascii="Times New Roman" w:hAnsi="Times New Roman" w:cs="Times New Roman"/>
          <w:sz w:val="24"/>
          <w:szCs w:val="24"/>
        </w:rPr>
        <w:t>Mientras, la inflación continúa al alza, supera el 5% y ya tiene a dos grandes economías como Alemania y</w:t>
      </w:r>
      <w:r>
        <w:rPr>
          <w:rFonts w:ascii="Times New Roman" w:hAnsi="Times New Roman" w:cs="Times New Roman"/>
          <w:sz w:val="24"/>
          <w:szCs w:val="24"/>
        </w:rPr>
        <w:t xml:space="preserve"> España en niveles inasumibles.</w:t>
      </w:r>
    </w:p>
    <w:p w:rsidR="00FD5B9C" w:rsidRPr="008C7C25" w:rsidRDefault="00FD5B9C" w:rsidP="00FD5B9C">
      <w:pPr>
        <w:spacing w:line="240" w:lineRule="auto"/>
        <w:jc w:val="both"/>
        <w:rPr>
          <w:rFonts w:ascii="Times New Roman" w:hAnsi="Times New Roman" w:cs="Times New Roman"/>
          <w:sz w:val="24"/>
          <w:szCs w:val="24"/>
        </w:rPr>
      </w:pPr>
      <w:r w:rsidRPr="008C7C25">
        <w:rPr>
          <w:rFonts w:ascii="Times New Roman" w:hAnsi="Times New Roman" w:cs="Times New Roman"/>
          <w:sz w:val="24"/>
          <w:szCs w:val="24"/>
        </w:rPr>
        <w:t>Hace ya algunos meses anticipé en público que 2022 podría ser el año en el que algunos países, entre ellos el nuestro, ya podrían entrar en un escenario de estanflación (crecimiento económico muy bajo e inflación elevada). Pueden leer el artículo aquí. Los datos evidencian una clara tendencia a este escenario, que podría empeorar si la FED ejecuta la subida de tipos prevista y añade una presión infl</w:t>
      </w:r>
      <w:r>
        <w:rPr>
          <w:rFonts w:ascii="Times New Roman" w:hAnsi="Times New Roman" w:cs="Times New Roman"/>
          <w:sz w:val="24"/>
          <w:szCs w:val="24"/>
        </w:rPr>
        <w:t>acionista más a la UE.</w:t>
      </w:r>
    </w:p>
    <w:p w:rsidR="00FD5B9C" w:rsidRDefault="00FD5B9C" w:rsidP="00FD5B9C">
      <w:pPr>
        <w:spacing w:line="240" w:lineRule="auto"/>
        <w:jc w:val="both"/>
        <w:rPr>
          <w:rFonts w:ascii="Times New Roman" w:hAnsi="Times New Roman" w:cs="Times New Roman"/>
          <w:sz w:val="24"/>
          <w:szCs w:val="24"/>
        </w:rPr>
      </w:pPr>
      <w:r w:rsidRPr="008C7C25">
        <w:rPr>
          <w:rFonts w:ascii="Times New Roman" w:hAnsi="Times New Roman" w:cs="Times New Roman"/>
          <w:sz w:val="24"/>
          <w:szCs w:val="24"/>
        </w:rPr>
        <w:t>Además, la subida de tipos de interés de los bonos soberanos es un hecho y comienza a ser motivo de debate y preocupación en algunas casas de analista por sus efectos sobre la solvencia de algunas grandes empresas y, sobre todo países. Hay a quien le sorprende que los tipos estén subiendo en todos los segmentos de la curva, y tanto en países considerados seguros como en los que tenemos una calidad crediticia menor.</w:t>
      </w:r>
    </w:p>
    <w:p w:rsidR="00FD5B9C" w:rsidRPr="008C7C25" w:rsidRDefault="00FD5B9C" w:rsidP="00FD5B9C">
      <w:pPr>
        <w:spacing w:line="240" w:lineRule="auto"/>
        <w:jc w:val="both"/>
        <w:rPr>
          <w:rFonts w:ascii="Times New Roman" w:hAnsi="Times New Roman" w:cs="Times New Roman"/>
          <w:sz w:val="24"/>
          <w:szCs w:val="24"/>
        </w:rPr>
      </w:pPr>
      <w:r>
        <w:rPr>
          <w:noProof/>
          <w:lang w:eastAsia="es-ES"/>
        </w:rPr>
        <w:drawing>
          <wp:inline distT="0" distB="0" distL="0" distR="0" wp14:anchorId="6433D14E" wp14:editId="32F190E0">
            <wp:extent cx="5746750" cy="3371850"/>
            <wp:effectExtent l="0" t="0" r="6350" b="0"/>
            <wp:docPr id="12" name="Imagen 12" descr="bond-yield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ond-yields.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46750" cy="3371850"/>
                    </a:xfrm>
                    <a:prstGeom prst="rect">
                      <a:avLst/>
                    </a:prstGeom>
                    <a:noFill/>
                    <a:ln>
                      <a:noFill/>
                    </a:ln>
                  </pic:spPr>
                </pic:pic>
              </a:graphicData>
            </a:graphic>
          </wp:inline>
        </w:drawing>
      </w:r>
    </w:p>
    <w:p w:rsidR="00FD5B9C" w:rsidRPr="00D82D52" w:rsidRDefault="00FD5B9C" w:rsidP="00FD5B9C">
      <w:pPr>
        <w:spacing w:line="240" w:lineRule="auto"/>
        <w:jc w:val="both"/>
        <w:rPr>
          <w:rFonts w:ascii="Times New Roman" w:hAnsi="Times New Roman" w:cs="Times New Roman"/>
          <w:sz w:val="24"/>
          <w:szCs w:val="24"/>
          <w:u w:val="single"/>
        </w:rPr>
      </w:pPr>
      <w:r w:rsidRPr="00D82D52">
        <w:rPr>
          <w:rFonts w:ascii="Times New Roman" w:hAnsi="Times New Roman" w:cs="Times New Roman"/>
          <w:sz w:val="24"/>
          <w:szCs w:val="24"/>
          <w:u w:val="single"/>
        </w:rPr>
        <w:t>Que los tipos iban a subir era evidente. Lo advertimos en esta columna en el análisis de perspectivas para 2022 y afinamos en el análisis hace 15 días (lean), la gran pregunta es cuál será el ritmo de subida y, sobre todo, si se producirá una divergencia entre los activos de riesgo y los seguros, que se mostraría en un repunte de las primas de riesgo.</w:t>
      </w:r>
    </w:p>
    <w:p w:rsidR="00FD5B9C" w:rsidRDefault="00FD5B9C" w:rsidP="00FD5B9C">
      <w:pPr>
        <w:spacing w:line="240" w:lineRule="auto"/>
        <w:jc w:val="both"/>
        <w:rPr>
          <w:rFonts w:ascii="Times New Roman" w:hAnsi="Times New Roman" w:cs="Times New Roman"/>
          <w:sz w:val="24"/>
          <w:szCs w:val="24"/>
        </w:rPr>
      </w:pPr>
      <w:r w:rsidRPr="008C7C25">
        <w:rPr>
          <w:rFonts w:ascii="Times New Roman" w:hAnsi="Times New Roman" w:cs="Times New Roman"/>
          <w:sz w:val="24"/>
          <w:szCs w:val="24"/>
        </w:rPr>
        <w:t>Por el momento este fenómeno no se ha producido a una escala relevante, aunque la encuesta de condiciones de crédito que ha hecho pública el BCE ya recoge un empeoramiento de las condiciones de financiación en países como el nuestro, motivada por una percepción de riesgo claramente al alza por la que los bancos necesitan cubrirse.</w:t>
      </w:r>
    </w:p>
    <w:p w:rsidR="00FD5B9C" w:rsidRPr="008C7C25" w:rsidRDefault="00FD5B9C" w:rsidP="00FD5B9C">
      <w:pPr>
        <w:spacing w:line="240" w:lineRule="auto"/>
        <w:jc w:val="both"/>
        <w:rPr>
          <w:rFonts w:ascii="Times New Roman" w:hAnsi="Times New Roman" w:cs="Times New Roman"/>
          <w:sz w:val="24"/>
          <w:szCs w:val="24"/>
        </w:rPr>
      </w:pPr>
      <w:r>
        <w:rPr>
          <w:noProof/>
          <w:lang w:eastAsia="es-ES"/>
        </w:rPr>
        <w:lastRenderedPageBreak/>
        <w:drawing>
          <wp:inline distT="0" distB="0" distL="0" distR="0" wp14:anchorId="784FBEA8" wp14:editId="265238B5">
            <wp:extent cx="5403850" cy="4305300"/>
            <wp:effectExtent l="0" t="0" r="6350" b="0"/>
            <wp:docPr id="13" name="Imagen 13" descr="condiciones-de-credit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ondiciones-de-credito.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403850" cy="4305300"/>
                    </a:xfrm>
                    <a:prstGeom prst="rect">
                      <a:avLst/>
                    </a:prstGeom>
                    <a:noFill/>
                    <a:ln>
                      <a:noFill/>
                    </a:ln>
                  </pic:spPr>
                </pic:pic>
              </a:graphicData>
            </a:graphic>
          </wp:inline>
        </w:drawing>
      </w:r>
    </w:p>
    <w:p w:rsidR="00FD5B9C" w:rsidRPr="00D82D52" w:rsidRDefault="00FD5B9C" w:rsidP="00FD5B9C">
      <w:pPr>
        <w:spacing w:line="240" w:lineRule="auto"/>
        <w:jc w:val="both"/>
        <w:rPr>
          <w:rFonts w:ascii="Times New Roman" w:hAnsi="Times New Roman" w:cs="Times New Roman"/>
          <w:sz w:val="24"/>
          <w:szCs w:val="24"/>
          <w:u w:val="single"/>
        </w:rPr>
      </w:pPr>
      <w:r w:rsidRPr="00D82D52">
        <w:rPr>
          <w:rFonts w:ascii="Times New Roman" w:hAnsi="Times New Roman" w:cs="Times New Roman"/>
          <w:sz w:val="24"/>
          <w:szCs w:val="24"/>
          <w:u w:val="single"/>
        </w:rPr>
        <w:t>¿Primer paso hacia la crisis bancaria? ¿Un asunto puramente coyuntural? Veremos. Por el momento, son solo indicios, aunque los riesgos siguen siendo solamente a la baja.</w:t>
      </w:r>
    </w:p>
    <w:p w:rsidR="00FD5B9C" w:rsidRPr="00D82D52" w:rsidRDefault="00FD5B9C" w:rsidP="00FD5B9C">
      <w:pPr>
        <w:spacing w:line="240" w:lineRule="auto"/>
        <w:jc w:val="both"/>
        <w:rPr>
          <w:rFonts w:ascii="Times New Roman" w:hAnsi="Times New Roman" w:cs="Times New Roman"/>
          <w:sz w:val="24"/>
          <w:szCs w:val="24"/>
          <w:u w:val="single"/>
        </w:rPr>
      </w:pPr>
      <w:r w:rsidRPr="00D82D52">
        <w:rPr>
          <w:rFonts w:ascii="Times New Roman" w:hAnsi="Times New Roman" w:cs="Times New Roman"/>
          <w:sz w:val="24"/>
          <w:szCs w:val="24"/>
          <w:u w:val="single"/>
        </w:rPr>
        <w:t>Todo lo anterior, y esto es importante remarcarlo, se produce en un contexto de estímulos fiscales y monetarios sin precedentes en la historia, lo cual es aún más preocupante.</w:t>
      </w:r>
    </w:p>
    <w:p w:rsidR="00FD5B9C" w:rsidRPr="00D82D52" w:rsidRDefault="00FD5B9C" w:rsidP="00FD5B9C">
      <w:pPr>
        <w:spacing w:line="240" w:lineRule="auto"/>
        <w:jc w:val="both"/>
        <w:rPr>
          <w:rFonts w:ascii="Times New Roman" w:hAnsi="Times New Roman" w:cs="Times New Roman"/>
          <w:sz w:val="24"/>
          <w:szCs w:val="24"/>
          <w:u w:val="single"/>
        </w:rPr>
      </w:pPr>
      <w:r w:rsidRPr="00D82D52">
        <w:rPr>
          <w:rFonts w:ascii="Times New Roman" w:hAnsi="Times New Roman" w:cs="Times New Roman"/>
          <w:sz w:val="24"/>
          <w:szCs w:val="24"/>
          <w:u w:val="single"/>
        </w:rPr>
        <w:t>¿El BCE puede frenar esta situación? Sí. Pero para eso tiene que cambiar su estrategia de política monetaria: Subir tipos y retirar estímulos.</w:t>
      </w:r>
    </w:p>
    <w:p w:rsidR="00FD5B9C" w:rsidRPr="00D82D52" w:rsidRDefault="00FD5B9C" w:rsidP="00FD5B9C">
      <w:pPr>
        <w:spacing w:line="240" w:lineRule="auto"/>
        <w:jc w:val="both"/>
        <w:rPr>
          <w:rFonts w:ascii="Times New Roman" w:hAnsi="Times New Roman" w:cs="Times New Roman"/>
          <w:sz w:val="24"/>
          <w:szCs w:val="24"/>
          <w:u w:val="single"/>
        </w:rPr>
      </w:pPr>
      <w:r w:rsidRPr="00D82D52">
        <w:rPr>
          <w:rFonts w:ascii="Times New Roman" w:hAnsi="Times New Roman" w:cs="Times New Roman"/>
          <w:sz w:val="24"/>
          <w:szCs w:val="24"/>
          <w:u w:val="single"/>
        </w:rPr>
        <w:t>¿Lo hará? En mi opinión, pocas alternativas le quedarán a finales de este año. Y la contrapartida será una economía muy débil, muy endeudada y con graves desequilibrios macroeconómicos que podrían explotar ante cualquier mínimo empeoramiento de las condiciones financieras.</w:t>
      </w:r>
    </w:p>
    <w:p w:rsidR="00FD5B9C" w:rsidRPr="008C7C25" w:rsidRDefault="00FD5B9C" w:rsidP="00FD5B9C">
      <w:pPr>
        <w:spacing w:line="240" w:lineRule="auto"/>
        <w:jc w:val="both"/>
        <w:rPr>
          <w:rFonts w:ascii="Times New Roman" w:hAnsi="Times New Roman" w:cs="Times New Roman"/>
          <w:sz w:val="24"/>
          <w:szCs w:val="24"/>
        </w:rPr>
      </w:pPr>
      <w:r w:rsidRPr="008C7C25">
        <w:rPr>
          <w:rFonts w:ascii="Times New Roman" w:hAnsi="Times New Roman" w:cs="Times New Roman"/>
          <w:sz w:val="24"/>
          <w:szCs w:val="24"/>
        </w:rPr>
        <w:t>Las subidas de tipos de la deuda pública ya están produciendo un encarecimiento del crédito bancario a empresas y particulares por puro efecto arrastre. El Euríbor, principal índice de referencia para las hipotecas. Por el momento, el tipo ESTER (tipo de interés de referencia para los préstamos del mercado interbancario a un día, la antigua EONIA) se mantiene estable, en niveles de hace 3 años. Este es el verdadero indicador que mide el estado de los mercados financieros internacionales y el que puede desencadenar un empeoramiento masivo de las condiciones de cré</w:t>
      </w:r>
      <w:r>
        <w:rPr>
          <w:rFonts w:ascii="Times New Roman" w:hAnsi="Times New Roman" w:cs="Times New Roman"/>
          <w:sz w:val="24"/>
          <w:szCs w:val="24"/>
        </w:rPr>
        <w:t>dito en países como el nuestro.</w:t>
      </w:r>
    </w:p>
    <w:p w:rsidR="00FD5B9C" w:rsidRDefault="00FD5B9C" w:rsidP="00FD5B9C">
      <w:pPr>
        <w:spacing w:line="240" w:lineRule="auto"/>
        <w:jc w:val="both"/>
        <w:rPr>
          <w:rFonts w:ascii="Times New Roman" w:hAnsi="Times New Roman" w:cs="Times New Roman"/>
          <w:sz w:val="24"/>
          <w:szCs w:val="24"/>
        </w:rPr>
      </w:pPr>
      <w:r w:rsidRPr="008C7C25">
        <w:rPr>
          <w:rFonts w:ascii="Times New Roman" w:hAnsi="Times New Roman" w:cs="Times New Roman"/>
          <w:sz w:val="24"/>
          <w:szCs w:val="24"/>
        </w:rPr>
        <w:t>En resumen: Mi opinión es que el BCE subirá tipos a finales de año, tal y como descuenta el mercado, aunque los riesgos sean muy alto y las condiciones ciertamente inciertas. No por convicción, sino por ausencia de alternativas. Llevamos años transitando por un callejón sin salida del que ya vemos el final.</w:t>
      </w:r>
    </w:p>
    <w:p w:rsidR="00557409" w:rsidRDefault="00557409" w:rsidP="00FD5B9C">
      <w:pPr>
        <w:spacing w:line="240" w:lineRule="auto"/>
        <w:jc w:val="both"/>
        <w:rPr>
          <w:rFonts w:ascii="Times New Roman" w:hAnsi="Times New Roman" w:cs="Times New Roman"/>
          <w:sz w:val="24"/>
          <w:szCs w:val="24"/>
        </w:rPr>
      </w:pPr>
      <w:r>
        <w:rPr>
          <w:noProof/>
          <w:lang w:eastAsia="es-ES"/>
        </w:rPr>
        <w:lastRenderedPageBreak/>
        <w:drawing>
          <wp:inline distT="0" distB="0" distL="0" distR="0" wp14:anchorId="69096797" wp14:editId="28D7FE46">
            <wp:extent cx="5731510" cy="5719445"/>
            <wp:effectExtent l="0" t="0" r="2540" b="0"/>
            <wp:docPr id="19" name="Imagen 19" descr="Bruselas alerta de que la inflación rozará el 4% durante 2022 en toda la 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ruselas alerta de que la inflación rozará el 4% durante 2022 en toda la UE"/>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31510" cy="5719445"/>
                    </a:xfrm>
                    <a:prstGeom prst="rect">
                      <a:avLst/>
                    </a:prstGeom>
                    <a:noFill/>
                    <a:ln>
                      <a:noFill/>
                    </a:ln>
                  </pic:spPr>
                </pic:pic>
              </a:graphicData>
            </a:graphic>
          </wp:inline>
        </w:drawing>
      </w:r>
    </w:p>
    <w:p w:rsidR="00557409" w:rsidRDefault="00557409" w:rsidP="00557409">
      <w:pPr>
        <w:pStyle w:val="bbc-bm53ic"/>
        <w:shd w:val="clear" w:color="auto" w:fill="FDFDFD"/>
        <w:spacing w:after="0"/>
        <w:jc w:val="both"/>
      </w:pPr>
      <w:r>
        <w:t xml:space="preserve">- </w:t>
      </w:r>
      <w:r w:rsidRPr="00C44851">
        <w:rPr>
          <w:u w:val="single"/>
        </w:rPr>
        <w:t>El-Erian casi descarta un aterrizaje suave para los mercados y sube la apuesta por dos escenarios fatales</w:t>
      </w:r>
      <w:r>
        <w:t xml:space="preserve"> (El Economista - </w:t>
      </w:r>
      <w:r w:rsidRPr="004F7C87">
        <w:rPr>
          <w:b/>
        </w:rPr>
        <w:t>21/2/22</w:t>
      </w:r>
      <w:r>
        <w:t>)</w:t>
      </w:r>
    </w:p>
    <w:p w:rsidR="00557409" w:rsidRPr="00C44851" w:rsidRDefault="00557409" w:rsidP="00557409">
      <w:pPr>
        <w:pStyle w:val="bbc-bm53ic"/>
        <w:shd w:val="clear" w:color="auto" w:fill="FDFDFD"/>
        <w:spacing w:after="0"/>
        <w:jc w:val="both"/>
        <w:rPr>
          <w:color w:val="FF0000"/>
        </w:rPr>
      </w:pPr>
      <w:r>
        <w:rPr>
          <w:color w:val="FF0000"/>
        </w:rPr>
        <w:t>“</w:t>
      </w:r>
      <w:r w:rsidRPr="00C44851">
        <w:rPr>
          <w:color w:val="FF0000"/>
        </w:rPr>
        <w:t xml:space="preserve">La probabilidad de un aterrizaje suave en </w:t>
      </w:r>
      <w:r>
        <w:rPr>
          <w:color w:val="FF0000"/>
        </w:rPr>
        <w:t>los próximos meses es de un 10%”</w:t>
      </w:r>
      <w:r w:rsidRPr="00C44851">
        <w:rPr>
          <w:color w:val="FF0000"/>
        </w:rPr>
        <w:t xml:space="preserve"> </w:t>
      </w:r>
    </w:p>
    <w:p w:rsidR="00557409" w:rsidRPr="00C44851" w:rsidRDefault="00557409" w:rsidP="00557409">
      <w:pPr>
        <w:pStyle w:val="bbc-bm53ic"/>
        <w:shd w:val="clear" w:color="auto" w:fill="FDFDFD"/>
        <w:spacing w:after="0"/>
        <w:jc w:val="both"/>
        <w:rPr>
          <w:color w:val="FF0000"/>
        </w:rPr>
      </w:pPr>
      <w:r w:rsidRPr="00C44851">
        <w:rPr>
          <w:color w:val="FF0000"/>
        </w:rPr>
        <w:t>La Fed podría tener que echar los frenos de la política monetaria...</w:t>
      </w:r>
    </w:p>
    <w:p w:rsidR="00557409" w:rsidRPr="00C44851" w:rsidRDefault="00557409" w:rsidP="00557409">
      <w:pPr>
        <w:pStyle w:val="bbc-bm53ic"/>
        <w:shd w:val="clear" w:color="auto" w:fill="FDFDFD"/>
        <w:spacing w:after="0"/>
        <w:jc w:val="both"/>
        <w:rPr>
          <w:color w:val="FF0000"/>
        </w:rPr>
      </w:pPr>
      <w:r w:rsidRPr="00C44851">
        <w:rPr>
          <w:color w:val="FF0000"/>
        </w:rPr>
        <w:t>... lo que generaría un grave daño a la economía y a los mercados</w:t>
      </w:r>
    </w:p>
    <w:p w:rsidR="00557409" w:rsidRPr="00C44851" w:rsidRDefault="00557409" w:rsidP="00557409">
      <w:pPr>
        <w:pStyle w:val="bbc-bm53ic"/>
        <w:shd w:val="clear" w:color="auto" w:fill="FDFDFD"/>
        <w:spacing w:after="0"/>
        <w:jc w:val="both"/>
        <w:rPr>
          <w:u w:val="single"/>
        </w:rPr>
      </w:pPr>
      <w:r w:rsidRPr="00C44851">
        <w:rPr>
          <w:u w:val="single"/>
        </w:rPr>
        <w:t>Mohamed El-Erian, principal asesor económico de Allianz, es una de las voces autorizadas para realizar anális</w:t>
      </w:r>
      <w:r>
        <w:rPr>
          <w:u w:val="single"/>
        </w:rPr>
        <w:t>is de los mercados en términos “macro”</w:t>
      </w:r>
      <w:r w:rsidRPr="00C44851">
        <w:rPr>
          <w:u w:val="single"/>
        </w:rPr>
        <w:t>. Este experto cree que poner ahora mismo todo el foco en Ucrania y Rusia para explicar las turbulencias en los mercados es un error. La corrección de las bolsas y los bonos se está produciendo por una serie de factores que van más allá de la tensión geopolítica y que pueden ahondar en la caída de los mercados. Además, esta corrección podría estar solo en una fase inicial.</w:t>
      </w:r>
    </w:p>
    <w:p w:rsidR="00557409" w:rsidRDefault="00557409" w:rsidP="00557409">
      <w:pPr>
        <w:pStyle w:val="bbc-bm53ic"/>
        <w:shd w:val="clear" w:color="auto" w:fill="FDFDFD"/>
        <w:spacing w:after="0"/>
        <w:jc w:val="both"/>
      </w:pPr>
      <w:r>
        <w:lastRenderedPageBreak/>
        <w:t>En una columna publicada en el Financial Times, El-Erian cree que resulta “tentador achacar la reciente volatilidad de los mercados únicamente a las novedades de la situación entre Rusia y Ucrania”. Pero los movimientos de bolsas y bonos van mucho más allá.</w:t>
      </w:r>
    </w:p>
    <w:p w:rsidR="00557409" w:rsidRDefault="00557409" w:rsidP="00557409">
      <w:pPr>
        <w:pStyle w:val="bbc-bm53ic"/>
        <w:shd w:val="clear" w:color="auto" w:fill="FDFDFD"/>
        <w:spacing w:after="0"/>
        <w:jc w:val="both"/>
      </w:pPr>
      <w:r>
        <w:t xml:space="preserve">Este choque entre Rusia y Occidente importa, aunque no lo es todo. Importa porque “después de todo, dependiendo del escenario que se produzca, la economía global se beneficiaría de una fuerte reducción en los precios de las materias primas o, por el contrario, enfrentaría un gran shock estanflacionario”. </w:t>
      </w:r>
    </w:p>
    <w:p w:rsidR="00557409" w:rsidRPr="009C6A17" w:rsidRDefault="00557409" w:rsidP="00557409">
      <w:pPr>
        <w:pStyle w:val="bbc-bm53ic"/>
        <w:shd w:val="clear" w:color="auto" w:fill="FDFDFD"/>
        <w:spacing w:after="0"/>
        <w:jc w:val="both"/>
        <w:rPr>
          <w:u w:val="single"/>
        </w:rPr>
      </w:pPr>
      <w:r w:rsidRPr="009C6A17">
        <w:rPr>
          <w:u w:val="single"/>
        </w:rPr>
        <w:t>Pero El-Erian cree que esto no debería cegarnos ante dos cuestiones estructurales importantes que nos acompañarán por un tiempo, casi independientemente de có</w:t>
      </w:r>
      <w:r>
        <w:rPr>
          <w:u w:val="single"/>
        </w:rPr>
        <w:t>mo se desarrolle el conflicto. “</w:t>
      </w:r>
      <w:r w:rsidRPr="009C6A17">
        <w:rPr>
          <w:u w:val="single"/>
        </w:rPr>
        <w:t>Primero, los mercados están perdiendo el ancla de la liquidez abundante y predecible proporc</w:t>
      </w:r>
      <w:r>
        <w:rPr>
          <w:u w:val="single"/>
        </w:rPr>
        <w:t>ionada por los bancos centrales”</w:t>
      </w:r>
      <w:r w:rsidRPr="009C6A17">
        <w:rPr>
          <w:u w:val="single"/>
        </w:rPr>
        <w:t xml:space="preserve">. Esta es una cuestión sobre la que ya alertó este economista </w:t>
      </w:r>
      <w:r>
        <w:rPr>
          <w:u w:val="single"/>
        </w:rPr>
        <w:t>hace meses, advirtiendo de que “</w:t>
      </w:r>
      <w:r w:rsidRPr="009C6A17">
        <w:rPr>
          <w:u w:val="single"/>
        </w:rPr>
        <w:t>todas las olas de liquidez tien</w:t>
      </w:r>
      <w:r>
        <w:rPr>
          <w:u w:val="single"/>
        </w:rPr>
        <w:t>den a romperse en algún momento”</w:t>
      </w:r>
      <w:r w:rsidRPr="009C6A17">
        <w:rPr>
          <w:u w:val="single"/>
        </w:rPr>
        <w:t>.</w:t>
      </w:r>
    </w:p>
    <w:p w:rsidR="00557409" w:rsidRDefault="00557409" w:rsidP="00557409">
      <w:pPr>
        <w:pStyle w:val="bbc-bm53ic"/>
        <w:shd w:val="clear" w:color="auto" w:fill="FDFDFD"/>
        <w:spacing w:after="0"/>
        <w:jc w:val="both"/>
      </w:pPr>
      <w:r>
        <w:t>La lentitud de la Fed</w:t>
      </w:r>
    </w:p>
    <w:p w:rsidR="00557409" w:rsidRPr="009C6A17" w:rsidRDefault="00557409" w:rsidP="00557409">
      <w:pPr>
        <w:pStyle w:val="bbc-bm53ic"/>
        <w:shd w:val="clear" w:color="auto" w:fill="FDFDFD"/>
        <w:spacing w:after="0"/>
        <w:jc w:val="both"/>
        <w:rPr>
          <w:u w:val="single"/>
        </w:rPr>
      </w:pPr>
      <w:r w:rsidRPr="009C6A17">
        <w:rPr>
          <w:u w:val="single"/>
        </w:rPr>
        <w:t>Con una Reserva Federal que intenta poner freno a la alta y persistente inflación de forma tardía (según El-Erian), los mercados ahora deben navegar por un cambio fundamental en su régimen de liquidez. Esto implica no solo tipos de interés más altos, sino también una contracción en el balance de la Fed. Aunque las bolsas han caído reduciendo la exuberancia del mercado, el nuevo precio de equilibrio aún podría estar lejos.</w:t>
      </w:r>
    </w:p>
    <w:p w:rsidR="00557409" w:rsidRPr="009C6A17" w:rsidRDefault="00557409" w:rsidP="00557409">
      <w:pPr>
        <w:pStyle w:val="bbc-bm53ic"/>
        <w:shd w:val="clear" w:color="auto" w:fill="FDFDFD"/>
        <w:spacing w:after="0"/>
        <w:jc w:val="both"/>
        <w:rPr>
          <w:color w:val="FF0000"/>
          <w:u w:val="single"/>
        </w:rPr>
      </w:pPr>
      <w:r>
        <w:rPr>
          <w:color w:val="FF0000"/>
          <w:u w:val="single"/>
        </w:rPr>
        <w:t>“</w:t>
      </w:r>
      <w:r w:rsidRPr="009C6A17">
        <w:rPr>
          <w:color w:val="FF0000"/>
          <w:u w:val="single"/>
        </w:rPr>
        <w:t xml:space="preserve">Las valoraciones de las acciones pueden ser más atractivas de lo que eran hace unas semanas, pero no han alcanzado el nivel necesario para constituir un caso de inversión obvio, independiente y generalizado, </w:t>
      </w:r>
      <w:r>
        <w:rPr>
          <w:color w:val="FF0000"/>
          <w:u w:val="single"/>
        </w:rPr>
        <w:t>para comprar acciones”</w:t>
      </w:r>
      <w:r w:rsidRPr="009C6A17">
        <w:rPr>
          <w:color w:val="FF0000"/>
          <w:u w:val="single"/>
        </w:rPr>
        <w:t>, advierte El-Erian.</w:t>
      </w:r>
    </w:p>
    <w:p w:rsidR="00557409" w:rsidRDefault="00557409" w:rsidP="00557409">
      <w:pPr>
        <w:pStyle w:val="bbc-bm53ic"/>
        <w:shd w:val="clear" w:color="auto" w:fill="FDFDFD"/>
        <w:spacing w:after="0"/>
        <w:jc w:val="both"/>
      </w:pPr>
      <w:r>
        <w:t>Esto no quiere decir que los mercados no tengan anclas con las que sujetar sus valoraciones. Los beneficios son sólidos y los inversores siempre están tentados a comprar la caída (buy the dip). “Pero estos son intrínsecamente menos fuertes y muy sensibles a lo que haga la Fed”, advierte el economista de Allianz.</w:t>
      </w:r>
    </w:p>
    <w:p w:rsidR="00557409" w:rsidRPr="009C6A17" w:rsidRDefault="00557409" w:rsidP="00557409">
      <w:pPr>
        <w:pStyle w:val="bbc-bm53ic"/>
        <w:shd w:val="clear" w:color="auto" w:fill="FDFDFD"/>
        <w:spacing w:after="0"/>
        <w:jc w:val="both"/>
        <w:rPr>
          <w:color w:val="FF0000"/>
          <w:u w:val="single"/>
        </w:rPr>
      </w:pPr>
      <w:r w:rsidRPr="009C6A17">
        <w:rPr>
          <w:color w:val="FF0000"/>
          <w:u w:val="single"/>
        </w:rPr>
        <w:t>El-Erian cree que los factores que han impulsado el mercado tienen poco que hacer contra los que reman a favor de las consolidaciones y correcciones puesto</w:t>
      </w:r>
      <w:r>
        <w:rPr>
          <w:color w:val="FF0000"/>
          <w:u w:val="single"/>
        </w:rPr>
        <w:t xml:space="preserve"> que “</w:t>
      </w:r>
      <w:r w:rsidRPr="009C6A17">
        <w:rPr>
          <w:color w:val="FF0000"/>
          <w:u w:val="single"/>
        </w:rPr>
        <w:t>la Fed primero interpretó erróneamente la inflación y luego titubeó al ajustar las políticas. Incluso hoy, con una inflación de precios al consumidor del 7,5%, la Reserva Federal sigue iny</w:t>
      </w:r>
      <w:r>
        <w:rPr>
          <w:color w:val="FF0000"/>
          <w:u w:val="single"/>
        </w:rPr>
        <w:t>ectando liquidez en la economía”</w:t>
      </w:r>
      <w:r w:rsidRPr="009C6A17">
        <w:rPr>
          <w:color w:val="FF0000"/>
          <w:u w:val="single"/>
        </w:rPr>
        <w:t>.</w:t>
      </w:r>
    </w:p>
    <w:p w:rsidR="00557409" w:rsidRPr="009C6A17" w:rsidRDefault="00557409" w:rsidP="00557409">
      <w:pPr>
        <w:pStyle w:val="bbc-bm53ic"/>
        <w:shd w:val="clear" w:color="auto" w:fill="FDFDFD"/>
        <w:spacing w:after="0"/>
        <w:jc w:val="both"/>
        <w:rPr>
          <w:color w:val="FF0000"/>
          <w:u w:val="single"/>
        </w:rPr>
      </w:pPr>
      <w:r w:rsidRPr="009C6A17">
        <w:rPr>
          <w:color w:val="FF0000"/>
          <w:u w:val="single"/>
        </w:rPr>
        <w:t>Ahora, la posibilidad de que el mercado y la economía alcancen su nuevo punto de equilibrio de una forma progresiva y sin generar grandes caídas para los mercados se ha reducido sobremanera. Los inversores deben prepararse para un entorno de mucha volatilidad.</w:t>
      </w:r>
    </w:p>
    <w:p w:rsidR="00557409" w:rsidRDefault="00557409" w:rsidP="00557409">
      <w:pPr>
        <w:pStyle w:val="bbc-bm53ic"/>
        <w:shd w:val="clear" w:color="auto" w:fill="FDFDFD"/>
        <w:spacing w:after="0"/>
        <w:jc w:val="both"/>
      </w:pPr>
      <w:r>
        <w:t>Tres escenarios para los mercados</w:t>
      </w:r>
    </w:p>
    <w:p w:rsidR="00557409" w:rsidRPr="009C6A17" w:rsidRDefault="00557409" w:rsidP="00557409">
      <w:pPr>
        <w:pStyle w:val="bbc-bm53ic"/>
        <w:shd w:val="clear" w:color="auto" w:fill="FDFDFD"/>
        <w:spacing w:after="0"/>
        <w:jc w:val="both"/>
        <w:rPr>
          <w:color w:val="FF0000"/>
          <w:u w:val="single"/>
        </w:rPr>
      </w:pPr>
      <w:r>
        <w:rPr>
          <w:color w:val="FF0000"/>
          <w:u w:val="single"/>
        </w:rPr>
        <w:t>“</w:t>
      </w:r>
      <w:r w:rsidRPr="009C6A17">
        <w:rPr>
          <w:color w:val="FF0000"/>
          <w:u w:val="single"/>
        </w:rPr>
        <w:t xml:space="preserve">Estimaría la probabilidad de un aterrizaje suave y cómodo para la economía y los mercados durante los próximos 12 meses en un 10%, muy por debajo de otros </w:t>
      </w:r>
      <w:r>
        <w:rPr>
          <w:color w:val="FF0000"/>
          <w:u w:val="single"/>
        </w:rPr>
        <w:t>tres escenarios macroeconómicos”</w:t>
      </w:r>
      <w:r w:rsidRPr="009C6A17">
        <w:rPr>
          <w:color w:val="FF0000"/>
          <w:u w:val="single"/>
        </w:rPr>
        <w:t>, asegura El-Erian.</w:t>
      </w:r>
    </w:p>
    <w:p w:rsidR="00557409" w:rsidRPr="009C6A17" w:rsidRDefault="00557409" w:rsidP="00557409">
      <w:pPr>
        <w:pStyle w:val="bbc-bm53ic"/>
        <w:shd w:val="clear" w:color="auto" w:fill="FDFDFD"/>
        <w:spacing w:after="0"/>
        <w:jc w:val="both"/>
        <w:rPr>
          <w:color w:val="FF0000"/>
          <w:u w:val="single"/>
        </w:rPr>
      </w:pPr>
      <w:r w:rsidRPr="009C6A17">
        <w:rPr>
          <w:color w:val="FF0000"/>
          <w:u w:val="single"/>
        </w:rPr>
        <w:lastRenderedPageBreak/>
        <w:t>Un desenlace más probable para el economista estaría protagonizado por un desplome de la activida</w:t>
      </w:r>
      <w:r>
        <w:rPr>
          <w:color w:val="FF0000"/>
          <w:u w:val="single"/>
        </w:rPr>
        <w:t>d económica y de los mercados: “</w:t>
      </w:r>
      <w:r w:rsidRPr="009C6A17">
        <w:rPr>
          <w:color w:val="FF0000"/>
          <w:u w:val="single"/>
        </w:rPr>
        <w:t>Otro escenario es uno en el que crecimiento económico y los mercados se ven gravemente dañados por una Fed que se ve obligada a pisar los frenos de la política en respuesta a una inflación persistenteme</w:t>
      </w:r>
      <w:r>
        <w:rPr>
          <w:color w:val="FF0000"/>
          <w:u w:val="single"/>
        </w:rPr>
        <w:t>nte alta (probabilidad del 40%)”</w:t>
      </w:r>
      <w:r w:rsidRPr="009C6A17">
        <w:rPr>
          <w:color w:val="FF0000"/>
          <w:u w:val="single"/>
        </w:rPr>
        <w:t>.</w:t>
      </w:r>
    </w:p>
    <w:p w:rsidR="00557409" w:rsidRPr="009C6A17" w:rsidRDefault="00557409" w:rsidP="00557409">
      <w:pPr>
        <w:pStyle w:val="bbc-bm53ic"/>
        <w:shd w:val="clear" w:color="auto" w:fill="FDFDFD"/>
        <w:spacing w:after="0"/>
        <w:jc w:val="both"/>
        <w:rPr>
          <w:color w:val="FF0000"/>
          <w:u w:val="single"/>
        </w:rPr>
      </w:pPr>
      <w:r>
        <w:rPr>
          <w:color w:val="FF0000"/>
          <w:u w:val="single"/>
        </w:rPr>
        <w:t>“</w:t>
      </w:r>
      <w:r w:rsidRPr="009C6A17">
        <w:rPr>
          <w:color w:val="FF0000"/>
          <w:u w:val="single"/>
        </w:rPr>
        <w:t>Otro es una Fed que renuncia, por ahora, a su objetivo de inflación con la esperanza de que surjan factores favorables exógenos, como un aumento de la productividad o la rápida recuperación de las cadenas de suministro, que ayuda a acomodar los crecientes costes la</w:t>
      </w:r>
      <w:r>
        <w:rPr>
          <w:color w:val="FF0000"/>
          <w:u w:val="single"/>
        </w:rPr>
        <w:t>borales (30% de probabilidades)”</w:t>
      </w:r>
      <w:r w:rsidRPr="009C6A17">
        <w:rPr>
          <w:color w:val="FF0000"/>
          <w:u w:val="single"/>
        </w:rPr>
        <w:t>, sostiene El-Erian.</w:t>
      </w:r>
    </w:p>
    <w:p w:rsidR="00557409" w:rsidRPr="009C6A17" w:rsidRDefault="00557409" w:rsidP="00557409">
      <w:pPr>
        <w:pStyle w:val="bbc-bm53ic"/>
        <w:shd w:val="clear" w:color="auto" w:fill="FDFDFD"/>
        <w:spacing w:after="0"/>
        <w:jc w:val="both"/>
        <w:rPr>
          <w:color w:val="FF0000"/>
          <w:u w:val="single"/>
        </w:rPr>
      </w:pPr>
      <w:r>
        <w:rPr>
          <w:color w:val="FF0000"/>
          <w:u w:val="single"/>
        </w:rPr>
        <w:t>“</w:t>
      </w:r>
      <w:r w:rsidRPr="009C6A17">
        <w:rPr>
          <w:color w:val="FF0000"/>
          <w:u w:val="single"/>
        </w:rPr>
        <w:t>Un tercer escenario es la estanflación (un 20%), el resultado más preocupante para los medios de vida, la estabilidad financiera</w:t>
      </w:r>
      <w:r>
        <w:rPr>
          <w:color w:val="FF0000"/>
          <w:u w:val="single"/>
        </w:rPr>
        <w:t xml:space="preserve"> y la eficacia de las políticas”</w:t>
      </w:r>
      <w:r w:rsidRPr="009C6A17">
        <w:rPr>
          <w:color w:val="FF0000"/>
          <w:u w:val="single"/>
        </w:rPr>
        <w:t>, advierte el experto.</w:t>
      </w:r>
    </w:p>
    <w:p w:rsidR="00557409" w:rsidRPr="009C6A17" w:rsidRDefault="00557409" w:rsidP="00557409">
      <w:pPr>
        <w:pStyle w:val="bbc-bm53ic"/>
        <w:shd w:val="clear" w:color="auto" w:fill="FDFDFD"/>
        <w:spacing w:after="0"/>
        <w:jc w:val="both"/>
        <w:rPr>
          <w:u w:val="single"/>
        </w:rPr>
      </w:pPr>
      <w:r>
        <w:t xml:space="preserve">Según El-Erian se puede producir un desequilibrio entre la demanda y la oferta de activos (acciones y bonos, sobre todo), por lo que el precio de estos últimos tenderá a corregir. </w:t>
      </w:r>
      <w:r w:rsidRPr="009C6A17">
        <w:rPr>
          <w:u w:val="single"/>
        </w:rPr>
        <w:t>Cuando un inversor busca vender sus acciones y no encuentra nadie que las compras el desenlace es evidente: una corrección del precio hasta que se encuentre un comprador.</w:t>
      </w:r>
    </w:p>
    <w:p w:rsidR="00557409" w:rsidRDefault="00557409" w:rsidP="00557409">
      <w:pPr>
        <w:pStyle w:val="bbc-bm53ic"/>
        <w:shd w:val="clear" w:color="auto" w:fill="FDFDFD"/>
        <w:spacing w:after="0"/>
        <w:jc w:val="both"/>
      </w:pPr>
      <w:r>
        <w:t>Brecha de precios</w:t>
      </w:r>
    </w:p>
    <w:p w:rsidR="00557409" w:rsidRDefault="00557409" w:rsidP="00557409">
      <w:pPr>
        <w:pStyle w:val="bbc-bm53ic"/>
        <w:shd w:val="clear" w:color="auto" w:fill="FDFDFD"/>
        <w:spacing w:after="0"/>
        <w:jc w:val="both"/>
      </w:pPr>
      <w:r>
        <w:t>“Como tal, este desajuste entre la oferta y la demanda puede dar lugar a grandes movimientos del mercado o “brecha de precios”, cada vez que hay un cambio en la sabiduría convencional, un fenómeno que ha sido visible no solo para algunas acciones concreta sino también para segmentos completos del mercado”, asegura El-Erian.</w:t>
      </w:r>
    </w:p>
    <w:p w:rsidR="00557409" w:rsidRDefault="00557409" w:rsidP="00557409">
      <w:pPr>
        <w:pStyle w:val="bbc-bm53ic"/>
        <w:shd w:val="clear" w:color="auto" w:fill="FDFDFD"/>
        <w:spacing w:after="0"/>
        <w:jc w:val="both"/>
        <w:rPr>
          <w:u w:val="single"/>
        </w:rPr>
      </w:pPr>
      <w:r>
        <w:rPr>
          <w:u w:val="single"/>
        </w:rPr>
        <w:t>“</w:t>
      </w:r>
      <w:r w:rsidRPr="009C6A17">
        <w:rPr>
          <w:u w:val="single"/>
        </w:rPr>
        <w:t>Esto requiere que los inversores anticipen una volatilidad más inquietante y tengan un estóm</w:t>
      </w:r>
      <w:r>
        <w:rPr>
          <w:u w:val="single"/>
        </w:rPr>
        <w:t>ago fuerte para lidiar con ella”</w:t>
      </w:r>
      <w:r w:rsidRPr="009C6A17">
        <w:rPr>
          <w:u w:val="single"/>
        </w:rPr>
        <w:t>, advierte El-Erian.</w:t>
      </w:r>
    </w:p>
    <w:p w:rsidR="00557409" w:rsidRDefault="00557409" w:rsidP="00557409">
      <w:pPr>
        <w:pStyle w:val="bbc-bm53ic"/>
        <w:shd w:val="clear" w:color="auto" w:fill="FDFDFD"/>
        <w:spacing w:after="0"/>
        <w:jc w:val="both"/>
      </w:pPr>
      <w:r>
        <w:t xml:space="preserve">- </w:t>
      </w:r>
      <w:r w:rsidRPr="00A1311F">
        <w:rPr>
          <w:u w:val="single"/>
        </w:rPr>
        <w:t>Dónde deberían estar los tipos de interés en EEUU: así es la regla que deja en 'evidencia' a la Fed</w:t>
      </w:r>
      <w:r>
        <w:t xml:space="preserve"> (El Economista - </w:t>
      </w:r>
      <w:r w:rsidRPr="00A1311F">
        <w:rPr>
          <w:b/>
        </w:rPr>
        <w:t>22/2/22</w:t>
      </w:r>
      <w:r>
        <w:t>)</w:t>
      </w:r>
    </w:p>
    <w:p w:rsidR="00557409" w:rsidRPr="00587B9F" w:rsidRDefault="00557409" w:rsidP="00557409">
      <w:pPr>
        <w:pStyle w:val="bbc-bm53ic"/>
        <w:shd w:val="clear" w:color="auto" w:fill="FDFDFD"/>
        <w:spacing w:after="0"/>
        <w:jc w:val="both"/>
        <w:rPr>
          <w:color w:val="FF0000"/>
        </w:rPr>
      </w:pPr>
      <w:r w:rsidRPr="00587B9F">
        <w:rPr>
          <w:color w:val="FF0000"/>
        </w:rPr>
        <w:t>La Regla de Taylor determina el tipo de interés adecuado para un país</w:t>
      </w:r>
    </w:p>
    <w:p w:rsidR="00557409" w:rsidRPr="00587B9F" w:rsidRDefault="00557409" w:rsidP="00557409">
      <w:pPr>
        <w:pStyle w:val="bbc-bm53ic"/>
        <w:shd w:val="clear" w:color="auto" w:fill="FDFDFD"/>
        <w:spacing w:after="0"/>
        <w:jc w:val="both"/>
        <w:rPr>
          <w:color w:val="FF0000"/>
        </w:rPr>
      </w:pPr>
      <w:r w:rsidRPr="00587B9F">
        <w:rPr>
          <w:color w:val="FF0000"/>
        </w:rPr>
        <w:t>Varios modelos apuntan a que los tipos de EEUU deberían estar en el 7-9%</w:t>
      </w:r>
    </w:p>
    <w:p w:rsidR="00557409" w:rsidRPr="00587B9F" w:rsidRDefault="00557409" w:rsidP="00557409">
      <w:pPr>
        <w:pStyle w:val="bbc-bm53ic"/>
        <w:shd w:val="clear" w:color="auto" w:fill="FDFDFD"/>
        <w:spacing w:after="0"/>
        <w:jc w:val="both"/>
        <w:rPr>
          <w:color w:val="FF0000"/>
        </w:rPr>
      </w:pPr>
      <w:r w:rsidRPr="00587B9F">
        <w:rPr>
          <w:color w:val="FF0000"/>
        </w:rPr>
        <w:t>Crece la presión en torno a la Fed de cara a su reunión del mes de marzo</w:t>
      </w:r>
    </w:p>
    <w:p w:rsidR="00557409" w:rsidRDefault="00557409" w:rsidP="00557409">
      <w:pPr>
        <w:pStyle w:val="bbc-bm53ic"/>
        <w:shd w:val="clear" w:color="auto" w:fill="FDFDFD"/>
        <w:spacing w:after="0"/>
        <w:jc w:val="both"/>
      </w:pPr>
      <w:r w:rsidRPr="00587B9F">
        <w:rPr>
          <w:color w:val="FF0000"/>
          <w:u w:val="single"/>
        </w:rPr>
        <w:t>John Taylor, profesor de Economía en la Universidad de Stanford, es un relevante economista que ha ganado gran parte de su fama por haber desarrollado una fórmula a comienzos de los noventa (conocida desde entonces como la Regla de Taylor) para determinar el tipo de interés apropiado que debe aplicar un banco central. La Regla de Taylor describe la relación adecuada entre el tipo de interés oficial, el tipo de interés natural (el tipo de equilibrio), la inflación y la brecha de producción</w:t>
      </w:r>
      <w:r>
        <w:t>. Ahora mismo, esa regla y sus modificaciones posteriores sugieren que la Reserva Federal debería endurecer la política monetaria…</w:t>
      </w:r>
    </w:p>
    <w:p w:rsidR="00557409" w:rsidRDefault="00557409" w:rsidP="00557409">
      <w:pPr>
        <w:pStyle w:val="bbc-bm53ic"/>
        <w:shd w:val="clear" w:color="auto" w:fill="FDFDFD"/>
        <w:spacing w:after="0"/>
        <w:jc w:val="both"/>
      </w:pPr>
      <w:r w:rsidRPr="00587B9F">
        <w:rPr>
          <w:color w:val="FF0000"/>
          <w:u w:val="single"/>
        </w:rPr>
        <w:t>El simulador de la Regla de Taylor de Bloomberg establece que los tipos de interés que maneja la Fed debería situarse a día de hoy en el 9%, frente al 0,25% que marca el precio oficial del dinero</w:t>
      </w:r>
      <w:r>
        <w:t xml:space="preserve">. El simulador muestra cómo desde finales de los 70 (crisis del petróleo) </w:t>
      </w:r>
      <w:r>
        <w:lastRenderedPageBreak/>
        <w:t>hasta mediados de los 90, los tipos de interés de la Fed superaron incluso a la recomendación de Taylor en un intento por sofocar la inflación. Desde entonces ha sido más habitual ver unos tipos de interés oficiales por debajo de la Regla de Taylor, sobre todo después de la última crisis financiera…</w:t>
      </w:r>
    </w:p>
    <w:p w:rsidR="00557409" w:rsidRDefault="00557409" w:rsidP="00557409">
      <w:pPr>
        <w:pStyle w:val="bbc-bm53ic"/>
        <w:shd w:val="clear" w:color="auto" w:fill="FDFDFD"/>
        <w:spacing w:after="0"/>
        <w:jc w:val="both"/>
      </w:pPr>
      <w:r w:rsidRPr="00A1311F">
        <w:rPr>
          <w:noProof/>
        </w:rPr>
        <w:drawing>
          <wp:inline distT="0" distB="0" distL="0" distR="0" wp14:anchorId="0F446418" wp14:editId="4DC097E0">
            <wp:extent cx="5734050" cy="3460750"/>
            <wp:effectExtent l="0" t="0" r="0" b="635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731510" cy="3459217"/>
                    </a:xfrm>
                    <a:prstGeom prst="rect">
                      <a:avLst/>
                    </a:prstGeom>
                  </pic:spPr>
                </pic:pic>
              </a:graphicData>
            </a:graphic>
          </wp:inline>
        </w:drawing>
      </w:r>
      <w:r w:rsidRPr="00587B9F">
        <w:rPr>
          <w:color w:val="FF0000"/>
          <w:u w:val="single"/>
        </w:rPr>
        <w:t xml:space="preserve">Si los cálculos de Bloomberg dejan poco espacio a la duda, los de la propia Reserva Federal de Atlanta lo confirman. El servicio de estudios de esta división del banco central calcula la Regla de Taylor con tres modelos distintos y los tres arrojan que los tipos de interés ideales deberían rondar el 7%. </w:t>
      </w:r>
      <w:r>
        <w:t>De las tres simulaciones, una los sitúa en el 7,55%, otra en el 7,5% y la más baja en el 6,98%. Si las dos primeras se han calculado teniendo en cuenta el desempleo de EEUU, la tercera se ha estimado con la brecha del PIB…</w:t>
      </w:r>
    </w:p>
    <w:p w:rsidR="00557409" w:rsidRDefault="00557409" w:rsidP="00557409">
      <w:pPr>
        <w:pStyle w:val="bbc-bm53ic"/>
        <w:shd w:val="clear" w:color="auto" w:fill="FDFDFD"/>
        <w:spacing w:after="0"/>
        <w:jc w:val="both"/>
      </w:pPr>
      <w:r w:rsidRPr="00A1311F">
        <w:rPr>
          <w:noProof/>
        </w:rPr>
        <w:drawing>
          <wp:inline distT="0" distB="0" distL="0" distR="0" wp14:anchorId="17CC2304" wp14:editId="0D681EAF">
            <wp:extent cx="5734049" cy="3251200"/>
            <wp:effectExtent l="0" t="0" r="635" b="6350"/>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731510" cy="3249760"/>
                    </a:xfrm>
                    <a:prstGeom prst="rect">
                      <a:avLst/>
                    </a:prstGeom>
                  </pic:spPr>
                </pic:pic>
              </a:graphicData>
            </a:graphic>
          </wp:inline>
        </w:drawing>
      </w:r>
    </w:p>
    <w:p w:rsidR="00557409" w:rsidRDefault="00557409" w:rsidP="00557409">
      <w:pPr>
        <w:pStyle w:val="bbc-bm53ic"/>
        <w:shd w:val="clear" w:color="auto" w:fill="FDFDFD"/>
        <w:spacing w:after="0"/>
        <w:jc w:val="both"/>
        <w:rPr>
          <w:color w:val="FF0000"/>
          <w:u w:val="single"/>
        </w:rPr>
      </w:pPr>
      <w:r>
        <w:lastRenderedPageBreak/>
        <w:t xml:space="preserve">Corroboran esta misma tesis los analistas de </w:t>
      </w:r>
      <w:r w:rsidRPr="00587B9F">
        <w:rPr>
          <w:color w:val="FF0000"/>
          <w:u w:val="single"/>
        </w:rPr>
        <w:t>Bank of America (BofA) Securities</w:t>
      </w:r>
      <w:r>
        <w:t xml:space="preserve">. “Nuestro equipo de economía estadounidense lleva mucho tiempo sosteniendo que la Fed está retrasada en la curva y nosotros estamos de acuerdo. La regla de Taylor es una medida simplificada para medir el retraso de la Fed, y es interesante compararla con ciclos anteriores. </w:t>
      </w:r>
      <w:r w:rsidRPr="00587B9F">
        <w:rPr>
          <w:color w:val="FF0000"/>
          <w:u w:val="single"/>
        </w:rPr>
        <w:t>Utilizando un tipo de interés neutral real del 0% y ponderaciones estándar sobre la inflación y la brecha de desempleo, esta regla implicaría un objetivo de política actual del 6,2% (Taylor utilizando e</w:t>
      </w:r>
      <w:r>
        <w:rPr>
          <w:color w:val="FF0000"/>
          <w:u w:val="single"/>
        </w:rPr>
        <w:t>l IPC subyacente sugiere un 8%)”</w:t>
      </w:r>
      <w:r w:rsidRPr="00587B9F">
        <w:rPr>
          <w:color w:val="FF0000"/>
          <w:u w:val="single"/>
        </w:rPr>
        <w:t>, señala el equipo formado por Ralph Axel, Mark Cabana &amp; Bruno Braizinha</w:t>
      </w:r>
      <w:r w:rsidRPr="00557409">
        <w:rPr>
          <w:color w:val="FF0000"/>
        </w:rPr>
        <w:t>…</w:t>
      </w:r>
    </w:p>
    <w:p w:rsidR="00557409" w:rsidRDefault="00557409" w:rsidP="00557409">
      <w:pPr>
        <w:pStyle w:val="bbc-bm53ic"/>
        <w:shd w:val="clear" w:color="auto" w:fill="FDFDFD"/>
        <w:spacing w:after="0"/>
        <w:jc w:val="both"/>
        <w:rPr>
          <w:color w:val="FF0000"/>
          <w:u w:val="single"/>
        </w:rPr>
      </w:pPr>
      <w:r w:rsidRPr="00A1311F">
        <w:rPr>
          <w:noProof/>
        </w:rPr>
        <w:drawing>
          <wp:inline distT="0" distB="0" distL="0" distR="0" wp14:anchorId="3BF31CB0" wp14:editId="78A06EB1">
            <wp:extent cx="5733354" cy="3575050"/>
            <wp:effectExtent l="0" t="0" r="1270" b="6350"/>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731510" cy="3573900"/>
                    </a:xfrm>
                    <a:prstGeom prst="rect">
                      <a:avLst/>
                    </a:prstGeom>
                  </pic:spPr>
                </pic:pic>
              </a:graphicData>
            </a:graphic>
          </wp:inline>
        </w:drawing>
      </w:r>
    </w:p>
    <w:p w:rsidR="00557409" w:rsidRDefault="00557409" w:rsidP="00557409">
      <w:pPr>
        <w:pStyle w:val="bbc-bm53ic"/>
        <w:shd w:val="clear" w:color="auto" w:fill="FDFDFD"/>
        <w:spacing w:after="0"/>
        <w:jc w:val="both"/>
      </w:pPr>
      <w:r>
        <w:t>Un cálculo aún más exhaustivo hacen los analistas de la entidad nórdica Danske Bank en un informe reciente. Los analistas Mikael Olai Milhøj y Jens Nærvig Pedersen examinan cuatro especificaciones diferentes de la regla de Taylor: la Regla de Taylor original, la Regla de Taylor con expectativas de inflación en lugar de la inflación real, la Regla del expresidente de la Fed Ben Bernanke (mayor peso en la brecha de producción) y la Regla de Bernanke con expectativas de inflación en lugar de la inflación real. Con los cuatro modelos los dos economistas concluyen que la Fed está por detrás de la curva…</w:t>
      </w:r>
    </w:p>
    <w:p w:rsidR="00D62DB5" w:rsidRPr="00D62DB5" w:rsidRDefault="00D62DB5" w:rsidP="00D62DB5">
      <w:pPr>
        <w:pStyle w:val="bbc-bm53ic"/>
        <w:shd w:val="clear" w:color="auto" w:fill="FDFDFD"/>
        <w:spacing w:after="0"/>
        <w:jc w:val="both"/>
        <w:rPr>
          <w:color w:val="FF0000"/>
        </w:rPr>
      </w:pPr>
      <w:r>
        <w:t>Mi</w:t>
      </w:r>
      <w:r w:rsidR="005D24AE">
        <w:t>lhøj y Pedersen encuentran que “</w:t>
      </w:r>
      <w:r>
        <w:t xml:space="preserve">la Fed está ya entre 60 y 110 puntos básicos por detrás de la curva (60 puntos básicos sólo mirando el nivel superior actual del rango objetivo de los fondos de la Reserva Federal del 0,25% y 100 puntos básicos mirando el llamado tipo sombra que intenta capturar el efecto de la QE) cuando se miran las dos reglas con expectativas de inflación, ya que las expectativas de inflación a largo plazo no han aumentado tanto como </w:t>
      </w:r>
      <w:r w:rsidR="005D24AE">
        <w:t>la inflación subyacente del IPC”</w:t>
      </w:r>
      <w:r>
        <w:t xml:space="preserve">. </w:t>
      </w:r>
      <w:r w:rsidR="005D24AE">
        <w:rPr>
          <w:color w:val="FF0000"/>
          <w:u w:val="single"/>
        </w:rPr>
        <w:t>“</w:t>
      </w:r>
      <w:r w:rsidRPr="00FD46AC">
        <w:rPr>
          <w:color w:val="FF0000"/>
          <w:u w:val="single"/>
        </w:rPr>
        <w:t>Cuando se observan las dos reglas con la inflación subyacente del IPC, la Reserva Federal está entre 200 y 250 puntos</w:t>
      </w:r>
      <w:r w:rsidR="005D24AE">
        <w:rPr>
          <w:color w:val="FF0000"/>
          <w:u w:val="single"/>
        </w:rPr>
        <w:t xml:space="preserve"> básicos por detrás de la curva”</w:t>
      </w:r>
      <w:r w:rsidRPr="00FD46AC">
        <w:rPr>
          <w:color w:val="FF0000"/>
          <w:u w:val="single"/>
        </w:rPr>
        <w:t>, apostillan</w:t>
      </w:r>
      <w:r>
        <w:rPr>
          <w:color w:val="FF0000"/>
          <w:u w:val="single"/>
        </w:rPr>
        <w:t>…</w:t>
      </w:r>
    </w:p>
    <w:p w:rsidR="00D62DB5" w:rsidRDefault="00D62DB5" w:rsidP="00557409">
      <w:pPr>
        <w:pStyle w:val="bbc-bm53ic"/>
        <w:shd w:val="clear" w:color="auto" w:fill="FDFDFD"/>
        <w:spacing w:after="0"/>
        <w:jc w:val="both"/>
      </w:pPr>
    </w:p>
    <w:p w:rsidR="00557409" w:rsidRDefault="00D62DB5" w:rsidP="00557409">
      <w:pPr>
        <w:pStyle w:val="bbc-bm53ic"/>
        <w:shd w:val="clear" w:color="auto" w:fill="FDFDFD"/>
        <w:spacing w:after="0"/>
        <w:jc w:val="both"/>
      </w:pPr>
      <w:r w:rsidRPr="00A1311F">
        <w:rPr>
          <w:noProof/>
        </w:rPr>
        <w:lastRenderedPageBreak/>
        <w:drawing>
          <wp:inline distT="0" distB="0" distL="0" distR="0" wp14:anchorId="5185487D" wp14:editId="013AB683">
            <wp:extent cx="5729878" cy="3771900"/>
            <wp:effectExtent l="0" t="0" r="4445" b="0"/>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731510" cy="3772975"/>
                    </a:xfrm>
                    <a:prstGeom prst="rect">
                      <a:avLst/>
                    </a:prstGeom>
                  </pic:spPr>
                </pic:pic>
              </a:graphicData>
            </a:graphic>
          </wp:inline>
        </w:drawing>
      </w:r>
    </w:p>
    <w:p w:rsidR="00D62DB5" w:rsidRPr="006011F9" w:rsidRDefault="00D62DB5" w:rsidP="00D62DB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6011F9">
        <w:rPr>
          <w:rFonts w:ascii="Times New Roman" w:hAnsi="Times New Roman" w:cs="Times New Roman"/>
          <w:sz w:val="24"/>
          <w:szCs w:val="24"/>
          <w:u w:val="single"/>
        </w:rPr>
        <w:t>Por qué la Reserva Federal volverá a dejar atrás al BCE ante un shock inflacionario que parece similar</w:t>
      </w:r>
      <w:r>
        <w:rPr>
          <w:rFonts w:ascii="Times New Roman" w:hAnsi="Times New Roman" w:cs="Times New Roman"/>
          <w:sz w:val="24"/>
          <w:szCs w:val="24"/>
        </w:rPr>
        <w:t xml:space="preserve"> (El Economista - </w:t>
      </w:r>
      <w:r w:rsidRPr="006011F9">
        <w:rPr>
          <w:rFonts w:ascii="Times New Roman" w:hAnsi="Times New Roman" w:cs="Times New Roman"/>
          <w:b/>
          <w:sz w:val="24"/>
          <w:szCs w:val="24"/>
        </w:rPr>
        <w:t>9/3/22</w:t>
      </w:r>
      <w:r>
        <w:rPr>
          <w:rFonts w:ascii="Times New Roman" w:hAnsi="Times New Roman" w:cs="Times New Roman"/>
          <w:sz w:val="24"/>
          <w:szCs w:val="24"/>
        </w:rPr>
        <w:t>)</w:t>
      </w:r>
    </w:p>
    <w:p w:rsidR="00D62DB5" w:rsidRPr="00843287" w:rsidRDefault="00D62DB5" w:rsidP="00D62DB5">
      <w:pPr>
        <w:spacing w:line="240" w:lineRule="auto"/>
        <w:jc w:val="both"/>
        <w:rPr>
          <w:rFonts w:ascii="Times New Roman" w:hAnsi="Times New Roman" w:cs="Times New Roman"/>
          <w:color w:val="FF0000"/>
          <w:sz w:val="24"/>
          <w:szCs w:val="24"/>
        </w:rPr>
      </w:pPr>
      <w:r w:rsidRPr="00843287">
        <w:rPr>
          <w:rFonts w:ascii="Times New Roman" w:hAnsi="Times New Roman" w:cs="Times New Roman"/>
          <w:color w:val="FF0000"/>
          <w:sz w:val="24"/>
          <w:szCs w:val="24"/>
        </w:rPr>
        <w:t>La inflación que sufre Europa está provocada por un shock de oferta</w:t>
      </w:r>
    </w:p>
    <w:p w:rsidR="00D62DB5" w:rsidRPr="00843287" w:rsidRDefault="00D62DB5" w:rsidP="00D62DB5">
      <w:pPr>
        <w:spacing w:line="240" w:lineRule="auto"/>
        <w:jc w:val="both"/>
        <w:rPr>
          <w:rFonts w:ascii="Times New Roman" w:hAnsi="Times New Roman" w:cs="Times New Roman"/>
          <w:color w:val="FF0000"/>
          <w:sz w:val="24"/>
          <w:szCs w:val="24"/>
        </w:rPr>
      </w:pPr>
      <w:r w:rsidRPr="00843287">
        <w:rPr>
          <w:rFonts w:ascii="Times New Roman" w:hAnsi="Times New Roman" w:cs="Times New Roman"/>
          <w:color w:val="FF0000"/>
          <w:sz w:val="24"/>
          <w:szCs w:val="24"/>
        </w:rPr>
        <w:t>En EEUU, por el contrario, la demanda ha sido el principal desencadenante</w:t>
      </w:r>
    </w:p>
    <w:p w:rsidR="00D62DB5" w:rsidRPr="00843287" w:rsidRDefault="00D62DB5" w:rsidP="00D62DB5">
      <w:pPr>
        <w:spacing w:line="240" w:lineRule="auto"/>
        <w:jc w:val="both"/>
        <w:rPr>
          <w:rFonts w:ascii="Times New Roman" w:hAnsi="Times New Roman" w:cs="Times New Roman"/>
          <w:color w:val="FF0000"/>
          <w:sz w:val="24"/>
          <w:szCs w:val="24"/>
        </w:rPr>
      </w:pPr>
      <w:r w:rsidRPr="00843287">
        <w:rPr>
          <w:rFonts w:ascii="Times New Roman" w:hAnsi="Times New Roman" w:cs="Times New Roman"/>
          <w:color w:val="FF0000"/>
          <w:sz w:val="24"/>
          <w:szCs w:val="24"/>
        </w:rPr>
        <w:t>La clave está en los datos de consumo y en la producción de vehículos</w:t>
      </w:r>
    </w:p>
    <w:p w:rsidR="00D62DB5" w:rsidRPr="006011F9" w:rsidRDefault="00D62DB5" w:rsidP="00D62DB5">
      <w:pPr>
        <w:spacing w:line="240" w:lineRule="auto"/>
        <w:jc w:val="both"/>
        <w:rPr>
          <w:rFonts w:ascii="Times New Roman" w:hAnsi="Times New Roman" w:cs="Times New Roman"/>
          <w:sz w:val="24"/>
          <w:szCs w:val="24"/>
        </w:rPr>
      </w:pPr>
      <w:r w:rsidRPr="006011F9">
        <w:rPr>
          <w:rFonts w:ascii="Times New Roman" w:hAnsi="Times New Roman" w:cs="Times New Roman"/>
          <w:sz w:val="24"/>
          <w:szCs w:val="24"/>
        </w:rPr>
        <w:t>Los banqueros centrales EEUU y Europa se enfrentan a un grave problema de inflación, pero con raíces diferentes que podrían llevar a la Reserva Federal de EEUU a aumentar los tipos de interés más rápido y con más intensidad que el Banco Central Europeo, pese a que los datos de inflación reflejan si</w:t>
      </w:r>
      <w:r>
        <w:rPr>
          <w:rFonts w:ascii="Times New Roman" w:hAnsi="Times New Roman" w:cs="Times New Roman"/>
          <w:sz w:val="24"/>
          <w:szCs w:val="24"/>
        </w:rPr>
        <w:t>tuaciones, a priori, similares.</w:t>
      </w:r>
    </w:p>
    <w:p w:rsidR="00D62DB5" w:rsidRDefault="00D62DB5" w:rsidP="00D62DB5">
      <w:pPr>
        <w:spacing w:line="240" w:lineRule="auto"/>
        <w:jc w:val="both"/>
        <w:rPr>
          <w:rFonts w:ascii="Times New Roman" w:hAnsi="Times New Roman" w:cs="Times New Roman"/>
          <w:color w:val="FF0000"/>
          <w:sz w:val="24"/>
          <w:szCs w:val="24"/>
        </w:rPr>
      </w:pPr>
      <w:r w:rsidRPr="00843287">
        <w:rPr>
          <w:rFonts w:ascii="Times New Roman" w:hAnsi="Times New Roman" w:cs="Times New Roman"/>
          <w:color w:val="FF0000"/>
          <w:sz w:val="24"/>
          <w:szCs w:val="24"/>
          <w:u w:val="single"/>
        </w:rPr>
        <w:t>Si bien es cierto que todo puede cambiar en los próximos días o semanas ante una guerra en Ucrania que está golpeando los mercados y la economía global de manera imprevista, todo hace indicar que la Fed comenzará a subir los tipos de interés de forma inminente, mientras que el BCE podría retrasar (por enésima vez) su primer movimiento al alza de los tipos de interés en años</w:t>
      </w:r>
      <w:r w:rsidRPr="00D62DB5">
        <w:rPr>
          <w:rFonts w:ascii="Times New Roman" w:hAnsi="Times New Roman" w:cs="Times New Roman"/>
          <w:color w:val="FF0000"/>
          <w:sz w:val="24"/>
          <w:szCs w:val="24"/>
        </w:rPr>
        <w:t>…</w:t>
      </w:r>
    </w:p>
    <w:p w:rsidR="00D62DB5" w:rsidRDefault="00D62DB5" w:rsidP="00D62DB5">
      <w:pPr>
        <w:spacing w:line="240" w:lineRule="auto"/>
        <w:jc w:val="both"/>
        <w:rPr>
          <w:rFonts w:ascii="Times New Roman" w:hAnsi="Times New Roman" w:cs="Times New Roman"/>
          <w:sz w:val="24"/>
          <w:szCs w:val="24"/>
        </w:rPr>
      </w:pPr>
      <w:r w:rsidRPr="004F6741">
        <w:rPr>
          <w:rFonts w:ascii="Times New Roman" w:hAnsi="Times New Roman" w:cs="Times New Roman"/>
          <w:sz w:val="24"/>
          <w:szCs w:val="24"/>
          <w:u w:val="single"/>
        </w:rPr>
        <w:t>Aunque el BCE comenzase a eliminar sus medidas de estímulo nunca lo haría al mismo ritmo que la Reserva Federal porque la inflación europea se debe en gran medida a las interrupciones en el suministro, particularmente en energía, según han revelado varios economistas a The Wall Street Journal. Por el contrario, la inflación de EEUU, aunque también refleja problemas de oferta, parece que está principalmente impulsada por una fuerte demanda de bienes y servicios</w:t>
      </w:r>
      <w:r>
        <w:rPr>
          <w:rFonts w:ascii="Times New Roman" w:hAnsi="Times New Roman" w:cs="Times New Roman"/>
          <w:sz w:val="24"/>
          <w:szCs w:val="24"/>
        </w:rPr>
        <w:t>.</w:t>
      </w:r>
    </w:p>
    <w:p w:rsidR="00D62DB5" w:rsidRPr="004F6741" w:rsidRDefault="00D62DB5" w:rsidP="00D62DB5">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w:t>
      </w:r>
      <w:r w:rsidRPr="004F6741">
        <w:rPr>
          <w:rFonts w:ascii="Times New Roman" w:hAnsi="Times New Roman" w:cs="Times New Roman"/>
          <w:sz w:val="24"/>
          <w:szCs w:val="24"/>
          <w:u w:val="single"/>
        </w:rPr>
        <w:t>La demanda juega un papel mucho más importante en Estados Unidos</w:t>
      </w:r>
      <w:r>
        <w:rPr>
          <w:rFonts w:ascii="Times New Roman" w:hAnsi="Times New Roman" w:cs="Times New Roman"/>
          <w:sz w:val="24"/>
          <w:szCs w:val="24"/>
        </w:rPr>
        <w:t>”</w:t>
      </w:r>
      <w:r w:rsidRPr="006011F9">
        <w:rPr>
          <w:rFonts w:ascii="Times New Roman" w:hAnsi="Times New Roman" w:cs="Times New Roman"/>
          <w:sz w:val="24"/>
          <w:szCs w:val="24"/>
        </w:rPr>
        <w:t xml:space="preserve">, asegura Alfred Kammer, jefe del departamento europeo del Fondo Monetario Internacional. La mayor parte </w:t>
      </w:r>
      <w:r w:rsidRPr="006011F9">
        <w:rPr>
          <w:rFonts w:ascii="Times New Roman" w:hAnsi="Times New Roman" w:cs="Times New Roman"/>
          <w:sz w:val="24"/>
          <w:szCs w:val="24"/>
        </w:rPr>
        <w:lastRenderedPageBreak/>
        <w:t xml:space="preserve">de </w:t>
      </w:r>
      <w:r>
        <w:rPr>
          <w:rFonts w:ascii="Times New Roman" w:hAnsi="Times New Roman" w:cs="Times New Roman"/>
          <w:sz w:val="24"/>
          <w:szCs w:val="24"/>
          <w:u w:val="single"/>
        </w:rPr>
        <w:t>la inflación en Europa “</w:t>
      </w:r>
      <w:r w:rsidR="001D02F7">
        <w:rPr>
          <w:rFonts w:ascii="Times New Roman" w:hAnsi="Times New Roman" w:cs="Times New Roman"/>
          <w:sz w:val="24"/>
          <w:szCs w:val="24"/>
          <w:u w:val="single"/>
        </w:rPr>
        <w:t>es</w:t>
      </w:r>
      <w:r w:rsidRPr="004F6741">
        <w:rPr>
          <w:rFonts w:ascii="Times New Roman" w:hAnsi="Times New Roman" w:cs="Times New Roman"/>
          <w:sz w:val="24"/>
          <w:szCs w:val="24"/>
          <w:u w:val="single"/>
        </w:rPr>
        <w:t xml:space="preserve">tá impulsada por el lado energético contra el que la política monetaria no </w:t>
      </w:r>
      <w:r>
        <w:rPr>
          <w:rFonts w:ascii="Times New Roman" w:hAnsi="Times New Roman" w:cs="Times New Roman"/>
          <w:sz w:val="24"/>
          <w:szCs w:val="24"/>
          <w:u w:val="single"/>
        </w:rPr>
        <w:t>puede hacer nada de todos modos”</w:t>
      </w:r>
      <w:r w:rsidRPr="004F6741">
        <w:rPr>
          <w:rFonts w:ascii="Times New Roman" w:hAnsi="Times New Roman" w:cs="Times New Roman"/>
          <w:sz w:val="24"/>
          <w:szCs w:val="24"/>
          <w:u w:val="single"/>
        </w:rPr>
        <w:t>, asegura.</w:t>
      </w:r>
    </w:p>
    <w:p w:rsidR="00D62DB5" w:rsidRDefault="00D62DB5" w:rsidP="00D62DB5">
      <w:pPr>
        <w:spacing w:line="240" w:lineRule="auto"/>
        <w:jc w:val="both"/>
        <w:rPr>
          <w:rFonts w:ascii="Times New Roman" w:hAnsi="Times New Roman" w:cs="Times New Roman"/>
          <w:color w:val="FF0000"/>
          <w:sz w:val="24"/>
          <w:szCs w:val="24"/>
        </w:rPr>
      </w:pPr>
      <w:r w:rsidRPr="004F6741">
        <w:rPr>
          <w:rFonts w:ascii="Times New Roman" w:hAnsi="Times New Roman" w:cs="Times New Roman"/>
          <w:color w:val="FF0000"/>
          <w:sz w:val="24"/>
          <w:szCs w:val="24"/>
          <w:u w:val="single"/>
        </w:rPr>
        <w:t>La invasión rusa de Ucrania incrementa esta disparidad entre las clases de inflación que sufren Estados Unidos y Europa. Es probable que el choque genere una mayor inflación en ambas economías al intensificar los problemas de suministro, pero probablemente reducirá la demanda en Europa mucho más que en EEUU</w:t>
      </w:r>
      <w:r w:rsidRPr="00D62DB5">
        <w:rPr>
          <w:rFonts w:ascii="Times New Roman" w:hAnsi="Times New Roman" w:cs="Times New Roman"/>
          <w:color w:val="FF0000"/>
          <w:sz w:val="24"/>
          <w:szCs w:val="24"/>
        </w:rPr>
        <w:t>…</w:t>
      </w:r>
    </w:p>
    <w:p w:rsidR="00D62DB5" w:rsidRDefault="00D62DB5" w:rsidP="00D62DB5">
      <w:pPr>
        <w:spacing w:line="240" w:lineRule="auto"/>
        <w:jc w:val="both"/>
        <w:rPr>
          <w:rFonts w:ascii="Times New Roman" w:hAnsi="Times New Roman" w:cs="Times New Roman"/>
          <w:color w:val="FF0000"/>
          <w:sz w:val="24"/>
          <w:szCs w:val="24"/>
          <w:u w:val="single"/>
        </w:rPr>
      </w:pPr>
      <w:r w:rsidRPr="00C7248D">
        <w:rPr>
          <w:rFonts w:ascii="Times New Roman" w:hAnsi="Times New Roman" w:cs="Times New Roman"/>
          <w:color w:val="FF0000"/>
          <w:sz w:val="24"/>
          <w:szCs w:val="24"/>
          <w:u w:val="single"/>
        </w:rPr>
        <w:t>Todo lo anterior lleva a que la Fed sí tenga cierta responsabilidad y capacidad de reducir la inflación, sobre todo la que está relacionada con esa demanda exuberante. Por el contrario, en la zona euro una subida de tipos podría tener un impacto negativo sobre una demanda que todavía no se ha recuperado, mientras que el efecto en la inflación sería mínimo.</w:t>
      </w:r>
    </w:p>
    <w:p w:rsidR="00D62DB5" w:rsidRPr="00372701" w:rsidRDefault="00D62DB5" w:rsidP="00D62DB5">
      <w:pPr>
        <w:spacing w:line="240" w:lineRule="auto"/>
        <w:jc w:val="both"/>
        <w:rPr>
          <w:rFonts w:ascii="Times New Roman" w:hAnsi="Times New Roman" w:cs="Times New Roman"/>
          <w:sz w:val="24"/>
          <w:szCs w:val="24"/>
        </w:rPr>
      </w:pPr>
      <w:r w:rsidRPr="00372701">
        <w:rPr>
          <w:rFonts w:ascii="Times New Roman" w:hAnsi="Times New Roman" w:cs="Times New Roman"/>
          <w:sz w:val="24"/>
          <w:szCs w:val="24"/>
        </w:rPr>
        <w:t xml:space="preserve">- </w:t>
      </w:r>
      <w:r w:rsidRPr="00372701">
        <w:rPr>
          <w:rFonts w:ascii="Times New Roman" w:hAnsi="Times New Roman" w:cs="Times New Roman"/>
          <w:sz w:val="24"/>
          <w:szCs w:val="24"/>
          <w:u w:val="single"/>
        </w:rPr>
        <w:t>La Fed insistirá en frenar la inflación y subir tipos</w:t>
      </w:r>
      <w:r w:rsidR="005D24AE">
        <w:rPr>
          <w:rFonts w:ascii="Times New Roman" w:hAnsi="Times New Roman" w:cs="Times New Roman"/>
          <w:sz w:val="24"/>
          <w:szCs w:val="24"/>
          <w:u w:val="single"/>
        </w:rPr>
        <w:t xml:space="preserve"> pese al tropiezo del PIB de EE</w:t>
      </w:r>
      <w:r w:rsidRPr="00372701">
        <w:rPr>
          <w:rFonts w:ascii="Times New Roman" w:hAnsi="Times New Roman" w:cs="Times New Roman"/>
          <w:sz w:val="24"/>
          <w:szCs w:val="24"/>
          <w:u w:val="single"/>
        </w:rPr>
        <w:t>UU</w:t>
      </w:r>
      <w:r w:rsidRPr="00372701">
        <w:rPr>
          <w:rFonts w:ascii="Times New Roman" w:hAnsi="Times New Roman" w:cs="Times New Roman"/>
          <w:sz w:val="24"/>
          <w:szCs w:val="24"/>
        </w:rPr>
        <w:t xml:space="preserve"> (Cinco Días - </w:t>
      </w:r>
      <w:r w:rsidRPr="00372701">
        <w:rPr>
          <w:rFonts w:ascii="Times New Roman" w:hAnsi="Times New Roman" w:cs="Times New Roman"/>
          <w:b/>
          <w:sz w:val="24"/>
          <w:szCs w:val="24"/>
        </w:rPr>
        <w:t>3/5/22</w:t>
      </w:r>
      <w:r w:rsidRPr="00372701">
        <w:rPr>
          <w:rFonts w:ascii="Times New Roman" w:hAnsi="Times New Roman" w:cs="Times New Roman"/>
          <w:sz w:val="24"/>
          <w:szCs w:val="24"/>
        </w:rPr>
        <w:t>)</w:t>
      </w:r>
    </w:p>
    <w:p w:rsidR="00D62DB5" w:rsidRPr="00853C4C" w:rsidRDefault="00D62DB5" w:rsidP="00D62DB5">
      <w:pPr>
        <w:spacing w:line="240" w:lineRule="auto"/>
        <w:jc w:val="both"/>
        <w:rPr>
          <w:rFonts w:ascii="Times New Roman" w:hAnsi="Times New Roman" w:cs="Times New Roman"/>
          <w:color w:val="FF0000"/>
          <w:sz w:val="24"/>
          <w:szCs w:val="24"/>
        </w:rPr>
      </w:pPr>
      <w:r w:rsidRPr="00853C4C">
        <w:rPr>
          <w:rFonts w:ascii="Times New Roman" w:hAnsi="Times New Roman" w:cs="Times New Roman"/>
          <w:color w:val="FF0000"/>
          <w:sz w:val="24"/>
          <w:szCs w:val="24"/>
        </w:rPr>
        <w:t>La contracción a marzo no evitará el alza prevista de 50 puntos mañana</w:t>
      </w:r>
    </w:p>
    <w:p w:rsidR="00D62DB5" w:rsidRPr="00372701" w:rsidRDefault="00D62DB5" w:rsidP="00D62DB5">
      <w:pPr>
        <w:spacing w:line="240" w:lineRule="auto"/>
        <w:jc w:val="both"/>
        <w:rPr>
          <w:rFonts w:ascii="Times New Roman" w:hAnsi="Times New Roman" w:cs="Times New Roman"/>
          <w:sz w:val="24"/>
          <w:szCs w:val="24"/>
        </w:rPr>
      </w:pPr>
      <w:r>
        <w:rPr>
          <w:noProof/>
          <w:lang w:eastAsia="es-ES"/>
        </w:rPr>
        <w:drawing>
          <wp:inline distT="0" distB="0" distL="0" distR="0" wp14:anchorId="257DB1F9" wp14:editId="62215DE5">
            <wp:extent cx="5734050" cy="2406650"/>
            <wp:effectExtent l="0" t="0" r="0" b="0"/>
            <wp:docPr id="14" name="Imagen 14" descr="Inflacción EE U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nflacción EE UU"/>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34050" cy="2406650"/>
                    </a:xfrm>
                    <a:prstGeom prst="rect">
                      <a:avLst/>
                    </a:prstGeom>
                    <a:noFill/>
                    <a:ln>
                      <a:noFill/>
                    </a:ln>
                  </pic:spPr>
                </pic:pic>
              </a:graphicData>
            </a:graphic>
          </wp:inline>
        </w:drawing>
      </w:r>
    </w:p>
    <w:p w:rsidR="00D62DB5" w:rsidRDefault="00D62DB5" w:rsidP="00D62DB5">
      <w:pPr>
        <w:spacing w:line="240" w:lineRule="auto"/>
        <w:jc w:val="both"/>
        <w:rPr>
          <w:rFonts w:ascii="Times New Roman" w:hAnsi="Times New Roman" w:cs="Times New Roman"/>
          <w:sz w:val="24"/>
          <w:szCs w:val="24"/>
        </w:rPr>
      </w:pPr>
      <w:r w:rsidRPr="00372701">
        <w:rPr>
          <w:rFonts w:ascii="Times New Roman" w:hAnsi="Times New Roman" w:cs="Times New Roman"/>
          <w:sz w:val="24"/>
          <w:szCs w:val="24"/>
        </w:rPr>
        <w:t xml:space="preserve">La Reserva Federal acapara todas las miradas. Una semana después de </w:t>
      </w:r>
      <w:r>
        <w:rPr>
          <w:rFonts w:ascii="Times New Roman" w:hAnsi="Times New Roman" w:cs="Times New Roman"/>
          <w:sz w:val="24"/>
          <w:szCs w:val="24"/>
        </w:rPr>
        <w:t>conocerse que la economía de EE</w:t>
      </w:r>
      <w:r w:rsidRPr="00372701">
        <w:rPr>
          <w:rFonts w:ascii="Times New Roman" w:hAnsi="Times New Roman" w:cs="Times New Roman"/>
          <w:sz w:val="24"/>
          <w:szCs w:val="24"/>
        </w:rPr>
        <w:t xml:space="preserve">UU experimentó en el primer trimestre la primera contracción desde el inicio de la pandemia, el consenso del mercado espera que Jerome Powell comunique mañana un alza de los tipos de 50 puntos básicos, la segunda después del punto de inflexión que supuso la de 25 puntos básicos de marzo y tras la que se esperan subidas sucesivas este año y el próximo. “Con un ritmo de endurecimiento tan agresivo como el que prevé el mercado, el listón para una sorpresa hawkish en la cita de esta semana está ahora muy alto. Una subida de 50 puntos básicos se considera lo mínimo”, </w:t>
      </w:r>
      <w:r>
        <w:rPr>
          <w:rFonts w:ascii="Times New Roman" w:hAnsi="Times New Roman" w:cs="Times New Roman"/>
          <w:sz w:val="24"/>
          <w:szCs w:val="24"/>
        </w:rPr>
        <w:t>sostienen los expertos de Ebury…</w:t>
      </w:r>
    </w:p>
    <w:p w:rsidR="00D62DB5" w:rsidRDefault="00D62DB5" w:rsidP="00D62DB5">
      <w:pPr>
        <w:spacing w:line="240" w:lineRule="auto"/>
        <w:jc w:val="both"/>
        <w:rPr>
          <w:rFonts w:ascii="Times New Roman" w:hAnsi="Times New Roman" w:cs="Times New Roman"/>
          <w:sz w:val="24"/>
          <w:szCs w:val="24"/>
        </w:rPr>
      </w:pPr>
      <w:r w:rsidRPr="00372701">
        <w:rPr>
          <w:rFonts w:ascii="Times New Roman" w:hAnsi="Times New Roman" w:cs="Times New Roman"/>
          <w:sz w:val="24"/>
          <w:szCs w:val="24"/>
        </w:rPr>
        <w:t xml:space="preserve">Banco de Inglaterra. Junto a la Reserva Federal, los grandes bancos centrales de las economías desarrolladas, con la excepción de Japón, están endureciendo su política monetaria en un intento de contener así la inflación. Dos semanas después de que Christine Lagarde reconociera por primera vez la posibilidad de que en 2022 la zona euro dijera adiós a los tipos cero, en las próximas jornadas la institución que preside Jerome Powell y el Banco de Inglaterra seguirán profundizando esta semana en su estrategia de elevar las tasas para contener el alza de los precios. El mercado espera que la institución que preside Andrew Bailey eleve este jueves los tipos por cuarta vez consecutiva, hasta situarlos en el 1%. El ajuste de las tasas esperado será de 25 puntos básicos, tal y como ha venido haciendo desde finales de 2021. A diferencia del BCE y la Reserva Federal, el Banco de Inglaterra ya ha </w:t>
      </w:r>
      <w:r w:rsidRPr="00372701">
        <w:rPr>
          <w:rFonts w:ascii="Times New Roman" w:hAnsi="Times New Roman" w:cs="Times New Roman"/>
          <w:sz w:val="24"/>
          <w:szCs w:val="24"/>
        </w:rPr>
        <w:lastRenderedPageBreak/>
        <w:t>emprendido la reducción del balance, e incluso la ha acelerado. Para lograrlo ha echado mano de dos estrategias. Por un lado, ha dejado de reinvertir los bonos de gobierno que vencen y ha procedido a la venta del stock de deuda corporativa.</w:t>
      </w:r>
    </w:p>
    <w:p w:rsidR="00853C4C" w:rsidRPr="00001A6E" w:rsidRDefault="00853C4C" w:rsidP="00853C4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001A6E">
        <w:rPr>
          <w:rFonts w:ascii="Times New Roman" w:hAnsi="Times New Roman" w:cs="Times New Roman"/>
          <w:sz w:val="24"/>
          <w:szCs w:val="24"/>
          <w:u w:val="single"/>
        </w:rPr>
        <w:t>La Fed se mantiene fiel a su estrategia de combatir la inflación y sube los tipos en 50 puntos básicos</w:t>
      </w:r>
      <w:r>
        <w:rPr>
          <w:rFonts w:ascii="Times New Roman" w:hAnsi="Times New Roman" w:cs="Times New Roman"/>
          <w:sz w:val="24"/>
          <w:szCs w:val="24"/>
        </w:rPr>
        <w:t xml:space="preserve"> (Cinco Días - </w:t>
      </w:r>
      <w:r w:rsidRPr="00001A6E">
        <w:rPr>
          <w:rFonts w:ascii="Times New Roman" w:hAnsi="Times New Roman" w:cs="Times New Roman"/>
          <w:b/>
          <w:sz w:val="24"/>
          <w:szCs w:val="24"/>
        </w:rPr>
        <w:t>4/5/22</w:t>
      </w:r>
      <w:r>
        <w:rPr>
          <w:rFonts w:ascii="Times New Roman" w:hAnsi="Times New Roman" w:cs="Times New Roman"/>
          <w:sz w:val="24"/>
          <w:szCs w:val="24"/>
        </w:rPr>
        <w:t>)</w:t>
      </w:r>
    </w:p>
    <w:p w:rsidR="00853C4C" w:rsidRPr="00853C4C" w:rsidRDefault="00853C4C" w:rsidP="00853C4C">
      <w:pPr>
        <w:spacing w:line="240" w:lineRule="auto"/>
        <w:jc w:val="both"/>
        <w:rPr>
          <w:rFonts w:ascii="Times New Roman" w:hAnsi="Times New Roman" w:cs="Times New Roman"/>
          <w:color w:val="FF0000"/>
          <w:sz w:val="24"/>
          <w:szCs w:val="24"/>
        </w:rPr>
      </w:pPr>
      <w:r w:rsidRPr="00853C4C">
        <w:rPr>
          <w:rFonts w:ascii="Times New Roman" w:hAnsi="Times New Roman" w:cs="Times New Roman"/>
          <w:color w:val="FF0000"/>
          <w:sz w:val="24"/>
          <w:szCs w:val="24"/>
        </w:rPr>
        <w:t>Se sitúan en la horquilla del 0,75%-1,25%</w:t>
      </w:r>
    </w:p>
    <w:p w:rsidR="00853C4C" w:rsidRDefault="00853C4C" w:rsidP="00853C4C">
      <w:pPr>
        <w:spacing w:line="240" w:lineRule="auto"/>
        <w:jc w:val="both"/>
        <w:rPr>
          <w:rFonts w:ascii="Times New Roman" w:hAnsi="Times New Roman" w:cs="Times New Roman"/>
          <w:sz w:val="24"/>
          <w:szCs w:val="24"/>
        </w:rPr>
      </w:pPr>
      <w:r w:rsidRPr="00001A6E">
        <w:rPr>
          <w:rFonts w:ascii="Times New Roman" w:hAnsi="Times New Roman" w:cs="Times New Roman"/>
          <w:sz w:val="24"/>
          <w:szCs w:val="24"/>
        </w:rPr>
        <w:t>La debilidad mostrada por la economía estadounidense en los tres primeros meses del año no ha sido suficiente para cambiar la estrategia de la Reserva Federal para hacer frente a la inflación. El Comité de Mercado Abierto de la institución (FOMC) acordó ayer por unanimidad elevar los tipos en 50 puntos básicos, tal y como venía especulando el mercado desde que hace unas semanas su presidente, Jerome Powell, confirmara que un alza de los tipos más agresiva estaba sobre la mesa. La última</w:t>
      </w:r>
      <w:r w:rsidR="005D24AE">
        <w:rPr>
          <w:rFonts w:ascii="Times New Roman" w:hAnsi="Times New Roman" w:cs="Times New Roman"/>
          <w:sz w:val="24"/>
          <w:szCs w:val="24"/>
        </w:rPr>
        <w:t xml:space="preserve"> vez que el banco central de EE</w:t>
      </w:r>
      <w:r w:rsidRPr="00001A6E">
        <w:rPr>
          <w:rFonts w:ascii="Times New Roman" w:hAnsi="Times New Roman" w:cs="Times New Roman"/>
          <w:sz w:val="24"/>
          <w:szCs w:val="24"/>
        </w:rPr>
        <w:t xml:space="preserve">UU elevó las tasas a este ritmo fue hace 22 años. Con los dos incrementos realizados en lo que va de ejercicio, la horquilla de tipos en la primera economía del mundo ha pasado del 0-0,25% que registraba desde el estallido de </w:t>
      </w:r>
      <w:r>
        <w:rPr>
          <w:rFonts w:ascii="Times New Roman" w:hAnsi="Times New Roman" w:cs="Times New Roman"/>
          <w:sz w:val="24"/>
          <w:szCs w:val="24"/>
        </w:rPr>
        <w:t>la pandemia al 0,75%-1% actual.</w:t>
      </w:r>
    </w:p>
    <w:p w:rsidR="00853C4C" w:rsidRPr="00001A6E" w:rsidRDefault="00853C4C" w:rsidP="00853C4C">
      <w:pPr>
        <w:spacing w:line="240" w:lineRule="auto"/>
        <w:jc w:val="both"/>
        <w:rPr>
          <w:rFonts w:ascii="Times New Roman" w:hAnsi="Times New Roman" w:cs="Times New Roman"/>
          <w:sz w:val="24"/>
          <w:szCs w:val="24"/>
        </w:rPr>
      </w:pPr>
      <w:r>
        <w:rPr>
          <w:noProof/>
          <w:lang w:eastAsia="es-ES"/>
        </w:rPr>
        <w:drawing>
          <wp:inline distT="0" distB="0" distL="0" distR="0" wp14:anchorId="2D104919" wp14:editId="64D104BE">
            <wp:extent cx="5731510" cy="3087997"/>
            <wp:effectExtent l="0" t="0" r="2540" b="0"/>
            <wp:docPr id="15" name="Imagen 15" descr="F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ed"/>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731510" cy="3087997"/>
                    </a:xfrm>
                    <a:prstGeom prst="rect">
                      <a:avLst/>
                    </a:prstGeom>
                    <a:noFill/>
                    <a:ln>
                      <a:noFill/>
                    </a:ln>
                  </pic:spPr>
                </pic:pic>
              </a:graphicData>
            </a:graphic>
          </wp:inline>
        </w:drawing>
      </w:r>
    </w:p>
    <w:p w:rsidR="00853C4C" w:rsidRDefault="00853C4C" w:rsidP="00853C4C">
      <w:pPr>
        <w:spacing w:line="240" w:lineRule="auto"/>
        <w:jc w:val="both"/>
        <w:rPr>
          <w:rFonts w:ascii="Times New Roman" w:hAnsi="Times New Roman" w:cs="Times New Roman"/>
          <w:sz w:val="24"/>
          <w:szCs w:val="24"/>
        </w:rPr>
      </w:pPr>
      <w:r w:rsidRPr="00001A6E">
        <w:rPr>
          <w:rFonts w:ascii="Times New Roman" w:hAnsi="Times New Roman" w:cs="Times New Roman"/>
          <w:sz w:val="24"/>
          <w:szCs w:val="24"/>
        </w:rPr>
        <w:t>La fortaleza mostrada por el mercado laboral y la solidez del PIB han permitido a la institución mantenerse fiel a la lucha contra los altos precios. Aunque en el primer trimestre el PIB se contrajo por primera vez desde la pandemia, la Fed teme aún más que los precios pasen factura a los hogares y esto derive en una caída del consumo, una de las grandes fortalezas de la economía estadounidense. “Aunque la actividad económica disminuyó en el primer trimestre, el gasto de los hogares y la inversión de las empresas se mantuvieron fuertes. La mejora del empleo ha sido sólida y la tasa de paro ha disminuido considerablemente”, reconoce la i</w:t>
      </w:r>
      <w:r>
        <w:rPr>
          <w:rFonts w:ascii="Times New Roman" w:hAnsi="Times New Roman" w:cs="Times New Roman"/>
          <w:sz w:val="24"/>
          <w:szCs w:val="24"/>
        </w:rPr>
        <w:t>nstitución…</w:t>
      </w:r>
    </w:p>
    <w:p w:rsidR="00853C4C" w:rsidRPr="009F75BB" w:rsidRDefault="00853C4C" w:rsidP="00853C4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9F75BB">
        <w:rPr>
          <w:rFonts w:ascii="Times New Roman" w:hAnsi="Times New Roman" w:cs="Times New Roman"/>
          <w:sz w:val="24"/>
          <w:szCs w:val="24"/>
          <w:u w:val="single"/>
        </w:rPr>
        <w:t>La debacle del euro contra el dólar redobla la presión para que el BCE suba los tipos de forma inminente</w:t>
      </w:r>
      <w:r>
        <w:rPr>
          <w:rFonts w:ascii="Times New Roman" w:hAnsi="Times New Roman" w:cs="Times New Roman"/>
          <w:sz w:val="24"/>
          <w:szCs w:val="24"/>
        </w:rPr>
        <w:t xml:space="preserve"> (El Economista - </w:t>
      </w:r>
      <w:r w:rsidRPr="009F75BB">
        <w:rPr>
          <w:rFonts w:ascii="Times New Roman" w:hAnsi="Times New Roman" w:cs="Times New Roman"/>
          <w:b/>
          <w:sz w:val="24"/>
          <w:szCs w:val="24"/>
        </w:rPr>
        <w:t>6/5/22</w:t>
      </w:r>
      <w:r>
        <w:rPr>
          <w:rFonts w:ascii="Times New Roman" w:hAnsi="Times New Roman" w:cs="Times New Roman"/>
          <w:sz w:val="24"/>
          <w:szCs w:val="24"/>
        </w:rPr>
        <w:t>)</w:t>
      </w:r>
    </w:p>
    <w:p w:rsidR="00853C4C" w:rsidRPr="00853C4C" w:rsidRDefault="00853C4C" w:rsidP="00853C4C">
      <w:pPr>
        <w:spacing w:line="240" w:lineRule="auto"/>
        <w:jc w:val="both"/>
        <w:rPr>
          <w:rFonts w:ascii="Times New Roman" w:hAnsi="Times New Roman" w:cs="Times New Roman"/>
          <w:color w:val="FF0000"/>
          <w:sz w:val="24"/>
          <w:szCs w:val="24"/>
        </w:rPr>
      </w:pPr>
      <w:r w:rsidRPr="00853C4C">
        <w:rPr>
          <w:rFonts w:ascii="Times New Roman" w:hAnsi="Times New Roman" w:cs="Times New Roman"/>
          <w:color w:val="FF0000"/>
          <w:sz w:val="24"/>
          <w:szCs w:val="24"/>
        </w:rPr>
        <w:t>Commerzbank: “Una crisis energética derribaría al euro por debajo de la paridad”</w:t>
      </w:r>
    </w:p>
    <w:p w:rsidR="00853C4C" w:rsidRPr="00853C4C" w:rsidRDefault="00853C4C" w:rsidP="00853C4C">
      <w:pPr>
        <w:spacing w:line="240" w:lineRule="auto"/>
        <w:jc w:val="both"/>
        <w:rPr>
          <w:rFonts w:ascii="Times New Roman" w:hAnsi="Times New Roman" w:cs="Times New Roman"/>
          <w:color w:val="FF0000"/>
          <w:sz w:val="24"/>
          <w:szCs w:val="24"/>
        </w:rPr>
      </w:pPr>
      <w:r w:rsidRPr="00853C4C">
        <w:rPr>
          <w:rFonts w:ascii="Times New Roman" w:hAnsi="Times New Roman" w:cs="Times New Roman"/>
          <w:color w:val="FF0000"/>
          <w:sz w:val="24"/>
          <w:szCs w:val="24"/>
        </w:rPr>
        <w:t>BNP Paribas: “A primera vista, la caída del euro debería sacar de dudas al BCE”</w:t>
      </w:r>
    </w:p>
    <w:p w:rsidR="00853C4C" w:rsidRPr="00853C4C" w:rsidRDefault="00853C4C" w:rsidP="00853C4C">
      <w:pPr>
        <w:spacing w:line="240" w:lineRule="auto"/>
        <w:jc w:val="both"/>
        <w:rPr>
          <w:rFonts w:ascii="Times New Roman" w:hAnsi="Times New Roman" w:cs="Times New Roman"/>
          <w:color w:val="FF0000"/>
          <w:sz w:val="24"/>
          <w:szCs w:val="24"/>
        </w:rPr>
      </w:pPr>
      <w:r w:rsidRPr="00853C4C">
        <w:rPr>
          <w:rFonts w:ascii="Times New Roman" w:hAnsi="Times New Roman" w:cs="Times New Roman"/>
          <w:color w:val="FF0000"/>
          <w:sz w:val="24"/>
          <w:szCs w:val="24"/>
        </w:rPr>
        <w:lastRenderedPageBreak/>
        <w:t>Desde ING y Commerzbank ven ya la primera subida de tipos en julio</w:t>
      </w:r>
    </w:p>
    <w:p w:rsidR="00853C4C" w:rsidRDefault="00853C4C" w:rsidP="00853C4C">
      <w:pPr>
        <w:spacing w:line="240" w:lineRule="auto"/>
        <w:jc w:val="both"/>
        <w:rPr>
          <w:rFonts w:ascii="Times New Roman" w:hAnsi="Times New Roman" w:cs="Times New Roman"/>
          <w:sz w:val="24"/>
          <w:szCs w:val="24"/>
        </w:rPr>
      </w:pPr>
      <w:r w:rsidRPr="009F75BB">
        <w:rPr>
          <w:rFonts w:ascii="Times New Roman" w:hAnsi="Times New Roman" w:cs="Times New Roman"/>
          <w:sz w:val="24"/>
          <w:szCs w:val="24"/>
        </w:rPr>
        <w:t>La presión sobre el Banco Central Europeo para que comience a subir los tipos de interés es cada vez mayor y llega por diferentes frentes. Por un lado, el IPC sigue en máximos de la corta historia del bloque. Por otro, mirando algo más al futuro, los precios de producción industrial (tardan unos seis meses en trasladarse por completo al IPC) siguen marcando nuevos máximos. Por si esto fuera poco, ahora se le une la debilidad del euro, que amenaza con disparar los precios de importación (muchos de ellos denominados en dólares) y sumarse a la presión inflacionaria. El BCE no apunta directamente al tipo de cambio, pero sí lo tiene en cuenta por su posible impacto en la inflación, como ya reconoció años atrás, aunque por motivos opuestos a los actuales. Esta v</w:t>
      </w:r>
      <w:r>
        <w:rPr>
          <w:rFonts w:ascii="Times New Roman" w:hAnsi="Times New Roman" w:cs="Times New Roman"/>
          <w:sz w:val="24"/>
          <w:szCs w:val="24"/>
        </w:rPr>
        <w:t>ez sí, el BCE tiene que actuar…</w:t>
      </w:r>
    </w:p>
    <w:p w:rsidR="00853C4C" w:rsidRDefault="00853C4C" w:rsidP="00853C4C">
      <w:pPr>
        <w:spacing w:line="240" w:lineRule="auto"/>
        <w:jc w:val="both"/>
        <w:rPr>
          <w:rFonts w:ascii="Times New Roman" w:hAnsi="Times New Roman" w:cs="Times New Roman"/>
          <w:sz w:val="24"/>
          <w:szCs w:val="24"/>
        </w:rPr>
      </w:pPr>
      <w:r w:rsidRPr="00F6778D">
        <w:rPr>
          <w:rFonts w:ascii="Times New Roman" w:hAnsi="Times New Roman" w:cs="Times New Roman"/>
          <w:noProof/>
          <w:sz w:val="24"/>
          <w:szCs w:val="24"/>
          <w:lang w:eastAsia="es-ES"/>
        </w:rPr>
        <w:drawing>
          <wp:inline distT="0" distB="0" distL="0" distR="0" wp14:anchorId="206579FC" wp14:editId="700573BD">
            <wp:extent cx="5732145" cy="3048000"/>
            <wp:effectExtent l="0" t="0" r="1905"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731510" cy="3047662"/>
                    </a:xfrm>
                    <a:prstGeom prst="rect">
                      <a:avLst/>
                    </a:prstGeom>
                  </pic:spPr>
                </pic:pic>
              </a:graphicData>
            </a:graphic>
          </wp:inline>
        </w:drawing>
      </w:r>
    </w:p>
    <w:p w:rsidR="00853C4C" w:rsidRDefault="00853C4C" w:rsidP="00853C4C">
      <w:pPr>
        <w:spacing w:line="240" w:lineRule="auto"/>
        <w:jc w:val="both"/>
        <w:rPr>
          <w:rFonts w:ascii="Times New Roman" w:hAnsi="Times New Roman" w:cs="Times New Roman"/>
          <w:sz w:val="24"/>
          <w:szCs w:val="24"/>
        </w:rPr>
      </w:pPr>
      <w:r w:rsidRPr="00F6778D">
        <w:rPr>
          <w:rFonts w:ascii="Times New Roman" w:hAnsi="Times New Roman" w:cs="Times New Roman"/>
          <w:noProof/>
          <w:sz w:val="24"/>
          <w:szCs w:val="24"/>
          <w:lang w:eastAsia="es-ES"/>
        </w:rPr>
        <w:drawing>
          <wp:inline distT="0" distB="0" distL="0" distR="0" wp14:anchorId="67562C79" wp14:editId="6FF4FA7E">
            <wp:extent cx="5732146" cy="3594100"/>
            <wp:effectExtent l="0" t="0" r="1905" b="635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732146" cy="3594100"/>
                    </a:xfrm>
                    <a:prstGeom prst="rect">
                      <a:avLst/>
                    </a:prstGeom>
                  </pic:spPr>
                </pic:pic>
              </a:graphicData>
            </a:graphic>
          </wp:inline>
        </w:drawing>
      </w:r>
    </w:p>
    <w:p w:rsidR="00853C4C" w:rsidRPr="00F6778D" w:rsidRDefault="00853C4C" w:rsidP="00853C4C">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F6778D">
        <w:rPr>
          <w:rFonts w:ascii="Times New Roman" w:hAnsi="Times New Roman" w:cs="Times New Roman"/>
          <w:sz w:val="24"/>
          <w:szCs w:val="24"/>
          <w:u w:val="single"/>
        </w:rPr>
        <w:t>La extinción de las palomas de Frankfurt: el BCE apunta hacia una subida de tipos en julio</w:t>
      </w:r>
      <w:r>
        <w:rPr>
          <w:rFonts w:ascii="Times New Roman" w:hAnsi="Times New Roman" w:cs="Times New Roman"/>
          <w:sz w:val="24"/>
          <w:szCs w:val="24"/>
        </w:rPr>
        <w:t xml:space="preserve"> (El Confidencial - </w:t>
      </w:r>
      <w:r w:rsidRPr="00F6778D">
        <w:rPr>
          <w:rFonts w:ascii="Times New Roman" w:hAnsi="Times New Roman" w:cs="Times New Roman"/>
          <w:b/>
          <w:sz w:val="24"/>
          <w:szCs w:val="24"/>
        </w:rPr>
        <w:t>7/5/22</w:t>
      </w:r>
      <w:r>
        <w:rPr>
          <w:rFonts w:ascii="Times New Roman" w:hAnsi="Times New Roman" w:cs="Times New Roman"/>
          <w:sz w:val="24"/>
          <w:szCs w:val="24"/>
        </w:rPr>
        <w:t>)</w:t>
      </w:r>
    </w:p>
    <w:p w:rsidR="00853C4C" w:rsidRPr="00853C4C" w:rsidRDefault="00853C4C" w:rsidP="00853C4C">
      <w:pPr>
        <w:spacing w:line="240" w:lineRule="auto"/>
        <w:jc w:val="both"/>
        <w:rPr>
          <w:rFonts w:ascii="Times New Roman" w:hAnsi="Times New Roman" w:cs="Times New Roman"/>
          <w:color w:val="FF0000"/>
          <w:sz w:val="24"/>
          <w:szCs w:val="24"/>
        </w:rPr>
      </w:pPr>
      <w:r w:rsidRPr="00853C4C">
        <w:rPr>
          <w:rFonts w:ascii="Times New Roman" w:hAnsi="Times New Roman" w:cs="Times New Roman"/>
          <w:color w:val="FF0000"/>
          <w:sz w:val="24"/>
          <w:szCs w:val="24"/>
        </w:rPr>
        <w:t>A lo largo de la última semana muchas voces han señalado la necesidad de una subida de tipos de interés en la reunión del consejo de gobierno del BCE en el mes de julio</w:t>
      </w:r>
    </w:p>
    <w:p w:rsidR="00853C4C" w:rsidRDefault="00853C4C" w:rsidP="00853C4C">
      <w:pPr>
        <w:spacing w:line="240" w:lineRule="auto"/>
        <w:jc w:val="both"/>
        <w:rPr>
          <w:rFonts w:ascii="Times New Roman" w:hAnsi="Times New Roman" w:cs="Times New Roman"/>
          <w:sz w:val="24"/>
          <w:szCs w:val="24"/>
        </w:rPr>
      </w:pPr>
      <w:r w:rsidRPr="00F6778D">
        <w:rPr>
          <w:rFonts w:ascii="Times New Roman" w:hAnsi="Times New Roman" w:cs="Times New Roman"/>
          <w:sz w:val="24"/>
          <w:szCs w:val="24"/>
        </w:rPr>
        <w:t xml:space="preserve">Hace meses los analistas y observadores que siguen el día a día del Banco Central Europeo (BCE) lanzaban distintas hipótesis sobre cuándo podría llegar una eventual subida de los tipos de intereses. ¿Finales de 2022? Algunos creían que hasta principios de 2023 no llegaría el momento. Pero el escenario ha cambiado por completo. Las palomas, en política monetaria los miembros que apuestan por posturas más flexibles, están en peligro de extinción en Frankfurt: casi todo el mundo habla de una subida de tipos en julio. El vicepresidente Luis de Guindos ya lo había deslizado desde hace algunas semanas que era una posibilidad, aunque sin abogar por ello. Pero en los últimos días ha llegado una auténtica cascada de declaraciones de distintos miembros del Consejo de Gobierno del BCE que están pidiendo acción de manera mucho más clara y directa. El martes fue el turno de Isabel Schnabel, miembro del Comité Ejecutivo, una de las voces más respetadas en Frankfurt y considerada un puente entre las distintas posturas dentro del eurobanco, aunque más escorada hacia el lado de los halcones, los que apuestan </w:t>
      </w:r>
      <w:r>
        <w:rPr>
          <w:rFonts w:ascii="Times New Roman" w:hAnsi="Times New Roman" w:cs="Times New Roman"/>
          <w:sz w:val="24"/>
          <w:szCs w:val="24"/>
        </w:rPr>
        <w:t>por posturas más restrictivas. “</w:t>
      </w:r>
      <w:r w:rsidRPr="00F6778D">
        <w:rPr>
          <w:rFonts w:ascii="Times New Roman" w:hAnsi="Times New Roman" w:cs="Times New Roman"/>
          <w:sz w:val="24"/>
          <w:szCs w:val="24"/>
        </w:rPr>
        <w:t>Desde la perspectiva actual, creo que es posib</w:t>
      </w:r>
      <w:r>
        <w:rPr>
          <w:rFonts w:ascii="Times New Roman" w:hAnsi="Times New Roman" w:cs="Times New Roman"/>
          <w:sz w:val="24"/>
          <w:szCs w:val="24"/>
        </w:rPr>
        <w:t>le una subida de tipos en julio”, señaló, añadiendo que “</w:t>
      </w:r>
      <w:r w:rsidRPr="00F6778D">
        <w:rPr>
          <w:rFonts w:ascii="Times New Roman" w:hAnsi="Times New Roman" w:cs="Times New Roman"/>
          <w:sz w:val="24"/>
          <w:szCs w:val="24"/>
        </w:rPr>
        <w:t>ahora no es suficiente co</w:t>
      </w:r>
      <w:r>
        <w:rPr>
          <w:rFonts w:ascii="Times New Roman" w:hAnsi="Times New Roman" w:cs="Times New Roman"/>
          <w:sz w:val="24"/>
          <w:szCs w:val="24"/>
        </w:rPr>
        <w:t>n hablar, hay que actuar”..</w:t>
      </w:r>
      <w:r w:rsidRPr="00F6778D">
        <w:rPr>
          <w:rFonts w:ascii="Times New Roman" w:hAnsi="Times New Roman" w:cs="Times New Roman"/>
          <w:sz w:val="24"/>
          <w:szCs w:val="24"/>
        </w:rPr>
        <w:t>.</w:t>
      </w:r>
    </w:p>
    <w:p w:rsidR="00853C4C" w:rsidRPr="009F75BB" w:rsidRDefault="00853C4C" w:rsidP="00853C4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9F75BB">
        <w:rPr>
          <w:rFonts w:ascii="Times New Roman" w:hAnsi="Times New Roman" w:cs="Times New Roman"/>
          <w:sz w:val="24"/>
          <w:szCs w:val="24"/>
        </w:rPr>
        <w:t>¿</w:t>
      </w:r>
      <w:r w:rsidRPr="009F75BB">
        <w:rPr>
          <w:rFonts w:ascii="Times New Roman" w:hAnsi="Times New Roman" w:cs="Times New Roman"/>
          <w:sz w:val="24"/>
          <w:szCs w:val="24"/>
          <w:u w:val="single"/>
        </w:rPr>
        <w:t>Controlar la inflación a costa del crecimiento? La bomba de relojería en manos de la Fed</w:t>
      </w:r>
      <w:r>
        <w:rPr>
          <w:rFonts w:ascii="Times New Roman" w:hAnsi="Times New Roman" w:cs="Times New Roman"/>
          <w:sz w:val="24"/>
          <w:szCs w:val="24"/>
        </w:rPr>
        <w:t xml:space="preserve"> (Cinco Días - </w:t>
      </w:r>
      <w:r w:rsidRPr="009F75BB">
        <w:rPr>
          <w:rFonts w:ascii="Times New Roman" w:hAnsi="Times New Roman" w:cs="Times New Roman"/>
          <w:b/>
          <w:sz w:val="24"/>
          <w:szCs w:val="24"/>
        </w:rPr>
        <w:t>8/5/22</w:t>
      </w:r>
      <w:r>
        <w:rPr>
          <w:rFonts w:ascii="Times New Roman" w:hAnsi="Times New Roman" w:cs="Times New Roman"/>
          <w:sz w:val="24"/>
          <w:szCs w:val="24"/>
        </w:rPr>
        <w:t>)</w:t>
      </w:r>
    </w:p>
    <w:p w:rsidR="00853C4C" w:rsidRPr="00853C4C" w:rsidRDefault="00853C4C" w:rsidP="00853C4C">
      <w:pPr>
        <w:spacing w:line="240" w:lineRule="auto"/>
        <w:jc w:val="both"/>
        <w:rPr>
          <w:rFonts w:ascii="Times New Roman" w:hAnsi="Times New Roman" w:cs="Times New Roman"/>
          <w:color w:val="FF0000"/>
          <w:sz w:val="24"/>
          <w:szCs w:val="24"/>
        </w:rPr>
      </w:pPr>
      <w:r w:rsidRPr="00853C4C">
        <w:rPr>
          <w:rFonts w:ascii="Times New Roman" w:hAnsi="Times New Roman" w:cs="Times New Roman"/>
          <w:color w:val="FF0000"/>
          <w:sz w:val="24"/>
          <w:szCs w:val="24"/>
        </w:rPr>
        <w:t>Los expertos aconsejan cautela y diversificar cartera y creen prematuro anticipar una recesión pese al tono negativo del mercado</w:t>
      </w:r>
    </w:p>
    <w:p w:rsidR="00853C4C" w:rsidRDefault="00853C4C" w:rsidP="00853C4C">
      <w:pPr>
        <w:spacing w:line="240" w:lineRule="auto"/>
        <w:jc w:val="both"/>
        <w:rPr>
          <w:rFonts w:ascii="Times New Roman" w:hAnsi="Times New Roman" w:cs="Times New Roman"/>
          <w:sz w:val="24"/>
          <w:szCs w:val="24"/>
        </w:rPr>
      </w:pPr>
      <w:r w:rsidRPr="009F75BB">
        <w:rPr>
          <w:rFonts w:ascii="Times New Roman" w:hAnsi="Times New Roman" w:cs="Times New Roman"/>
          <w:sz w:val="24"/>
          <w:szCs w:val="24"/>
        </w:rPr>
        <w:t>La inflación se ha impuesto con claridad sobre el crecimiento en la polít</w:t>
      </w:r>
      <w:r>
        <w:rPr>
          <w:rFonts w:ascii="Times New Roman" w:hAnsi="Times New Roman" w:cs="Times New Roman"/>
          <w:sz w:val="24"/>
          <w:szCs w:val="24"/>
        </w:rPr>
        <w:t>ica de la Reserva Federal de EE</w:t>
      </w:r>
      <w:r w:rsidRPr="009F75BB">
        <w:rPr>
          <w:rFonts w:ascii="Times New Roman" w:hAnsi="Times New Roman" w:cs="Times New Roman"/>
          <w:sz w:val="24"/>
          <w:szCs w:val="24"/>
        </w:rPr>
        <w:t>UU, el banco central más influyente del mundo. No habrá duda en seguir subiendo los tipos de interés con tal de intentar frenar una escalada de precios sin igual en las últimas cuatro décadas. Pero a cambio, y pese a las fortalezas de la economía estadounidense y su baja tasa de desempleo, las sombras de una recesión económica a medida que se encarecen el precio del dinero y el coste de financiación vuelven a aparecer en el horizonte. Al menos</w:t>
      </w:r>
      <w:r>
        <w:rPr>
          <w:rFonts w:ascii="Times New Roman" w:hAnsi="Times New Roman" w:cs="Times New Roman"/>
          <w:sz w:val="24"/>
          <w:szCs w:val="24"/>
        </w:rPr>
        <w:t xml:space="preserve"> en el ánimo de los inversores…</w:t>
      </w:r>
    </w:p>
    <w:p w:rsidR="00853C4C" w:rsidRPr="00BA3676" w:rsidRDefault="00853C4C" w:rsidP="00853C4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936723">
        <w:rPr>
          <w:rFonts w:ascii="Times New Roman" w:hAnsi="Times New Roman" w:cs="Times New Roman"/>
          <w:sz w:val="24"/>
          <w:szCs w:val="24"/>
          <w:u w:val="single"/>
        </w:rPr>
        <w:t>La tasa de paro española habría triplicado la media de la UE sin el uso de los ERTE</w:t>
      </w:r>
      <w:r>
        <w:rPr>
          <w:rFonts w:ascii="Times New Roman" w:hAnsi="Times New Roman" w:cs="Times New Roman"/>
          <w:sz w:val="24"/>
          <w:szCs w:val="24"/>
        </w:rPr>
        <w:t xml:space="preserve"> (Cinco Días - </w:t>
      </w:r>
      <w:r w:rsidRPr="00936723">
        <w:rPr>
          <w:rFonts w:ascii="Times New Roman" w:hAnsi="Times New Roman" w:cs="Times New Roman"/>
          <w:b/>
          <w:sz w:val="24"/>
          <w:szCs w:val="24"/>
        </w:rPr>
        <w:t>10/5/22</w:t>
      </w:r>
      <w:r>
        <w:rPr>
          <w:rFonts w:ascii="Times New Roman" w:hAnsi="Times New Roman" w:cs="Times New Roman"/>
          <w:sz w:val="24"/>
          <w:szCs w:val="24"/>
        </w:rPr>
        <w:t>)</w:t>
      </w:r>
    </w:p>
    <w:p w:rsidR="00853C4C" w:rsidRPr="00853C4C" w:rsidRDefault="00853C4C" w:rsidP="00853C4C">
      <w:pPr>
        <w:spacing w:line="240" w:lineRule="auto"/>
        <w:jc w:val="both"/>
        <w:rPr>
          <w:rFonts w:ascii="Times New Roman" w:hAnsi="Times New Roman" w:cs="Times New Roman"/>
          <w:color w:val="FF0000"/>
          <w:sz w:val="24"/>
          <w:szCs w:val="24"/>
        </w:rPr>
      </w:pPr>
      <w:r w:rsidRPr="00853C4C">
        <w:rPr>
          <w:rFonts w:ascii="Times New Roman" w:hAnsi="Times New Roman" w:cs="Times New Roman"/>
          <w:color w:val="FF0000"/>
          <w:sz w:val="24"/>
          <w:szCs w:val="24"/>
        </w:rPr>
        <w:t>La ausencia de este mecanismo habría disparado el desempleo español hasta casi el 30% frente a un aumento en la Unión Europea hasta el 11,5%, según Eurofound</w:t>
      </w:r>
    </w:p>
    <w:p w:rsidR="00853C4C" w:rsidRPr="00BA3676" w:rsidRDefault="00853C4C" w:rsidP="00853C4C">
      <w:pPr>
        <w:spacing w:line="240" w:lineRule="auto"/>
        <w:jc w:val="both"/>
        <w:rPr>
          <w:rFonts w:ascii="Times New Roman" w:hAnsi="Times New Roman" w:cs="Times New Roman"/>
          <w:sz w:val="24"/>
          <w:szCs w:val="24"/>
        </w:rPr>
      </w:pPr>
      <w:r w:rsidRPr="00BA3676">
        <w:rPr>
          <w:rFonts w:ascii="Times New Roman" w:hAnsi="Times New Roman" w:cs="Times New Roman"/>
          <w:sz w:val="24"/>
          <w:szCs w:val="24"/>
        </w:rPr>
        <w:t>Entre marzo y septiembre de 2020 más de 40 millones de trabajadores en la Unión Europea (3,4 millones en España) se beneficiaron en algún momento de ayudas públicas para el mantenimiento del empleo, en riesgo por la pandemia mundial de Covid-19. En otras palabras, dos de cada diez empleados vieron su empleo temporalmente suspendido y recibieron parte de sus salarios del Estado. En el otro lado, más de cuatro millones de empresas (medio millón en España) recibiero</w:t>
      </w:r>
      <w:r>
        <w:rPr>
          <w:rFonts w:ascii="Times New Roman" w:hAnsi="Times New Roman" w:cs="Times New Roman"/>
          <w:sz w:val="24"/>
          <w:szCs w:val="24"/>
        </w:rPr>
        <w:t>n estas mismas ayudas públicas.</w:t>
      </w:r>
    </w:p>
    <w:p w:rsidR="00853C4C" w:rsidRPr="00BA3676" w:rsidRDefault="00853C4C" w:rsidP="00853C4C">
      <w:pPr>
        <w:spacing w:line="240" w:lineRule="auto"/>
        <w:jc w:val="both"/>
        <w:rPr>
          <w:rFonts w:ascii="Times New Roman" w:hAnsi="Times New Roman" w:cs="Times New Roman"/>
          <w:sz w:val="24"/>
          <w:szCs w:val="24"/>
        </w:rPr>
      </w:pPr>
    </w:p>
    <w:p w:rsidR="00853C4C" w:rsidRPr="00BA3676" w:rsidRDefault="00853C4C" w:rsidP="00853C4C">
      <w:pPr>
        <w:spacing w:line="240" w:lineRule="auto"/>
        <w:jc w:val="both"/>
        <w:rPr>
          <w:rFonts w:ascii="Times New Roman" w:hAnsi="Times New Roman" w:cs="Times New Roman"/>
          <w:sz w:val="24"/>
          <w:szCs w:val="24"/>
        </w:rPr>
      </w:pPr>
      <w:r>
        <w:rPr>
          <w:noProof/>
          <w:lang w:eastAsia="es-ES"/>
        </w:rPr>
        <w:lastRenderedPageBreak/>
        <w:drawing>
          <wp:inline distT="0" distB="0" distL="0" distR="0" wp14:anchorId="3C9B61A9" wp14:editId="2FFE68E3">
            <wp:extent cx="5734050" cy="2508250"/>
            <wp:effectExtent l="0" t="0" r="0" b="6350"/>
            <wp:docPr id="17" name="Imagen 17" descr="La tasa de paro española habría triplicado la media de la UE sin el uso de los ER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a tasa de paro española habría triplicado la media de la UE sin el uso de los ERTE"/>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31510" cy="2507139"/>
                    </a:xfrm>
                    <a:prstGeom prst="rect">
                      <a:avLst/>
                    </a:prstGeom>
                    <a:noFill/>
                    <a:ln>
                      <a:noFill/>
                    </a:ln>
                  </pic:spPr>
                </pic:pic>
              </a:graphicData>
            </a:graphic>
          </wp:inline>
        </w:drawing>
      </w:r>
    </w:p>
    <w:p w:rsidR="00853C4C" w:rsidRDefault="00853C4C" w:rsidP="00853C4C">
      <w:pPr>
        <w:spacing w:line="240" w:lineRule="auto"/>
        <w:jc w:val="both"/>
        <w:rPr>
          <w:rFonts w:ascii="Times New Roman" w:hAnsi="Times New Roman" w:cs="Times New Roman"/>
          <w:sz w:val="24"/>
          <w:szCs w:val="24"/>
        </w:rPr>
      </w:pPr>
      <w:r w:rsidRPr="00BA3676">
        <w:rPr>
          <w:rFonts w:ascii="Times New Roman" w:hAnsi="Times New Roman" w:cs="Times New Roman"/>
          <w:sz w:val="24"/>
          <w:szCs w:val="24"/>
        </w:rPr>
        <w:t>El coste para los Estados y para la Comisión Europea de este sostenimiento del empleo se elevó a más de 100.000 millones de euros, según las cifras oficiales sobre el impacto de la pandemia en los mercados laborales comunitarios recopilado en el anuario Vivir y trabajar en Europa 2021 de Eurofound, el organismo comunitario que reúne a empresarios, sindicatos y la Comisión Europea para monitorizar y analizar la marcha de las políticas sociolaborales en la UE. Según estas cifras, “la financiación de estas ayudas fue ocho veces mayor que los 12.300 millones de euros que la Comisión Europea calculó que se gastaron en estas medidas en el momento álgido de la crisis financiera en 2009”, cuando apenas había 1,8 millones de trabajadores pro</w:t>
      </w:r>
      <w:r>
        <w:rPr>
          <w:rFonts w:ascii="Times New Roman" w:hAnsi="Times New Roman" w:cs="Times New Roman"/>
          <w:sz w:val="24"/>
          <w:szCs w:val="24"/>
        </w:rPr>
        <w:t>tegidos, indica este organismo…</w:t>
      </w:r>
    </w:p>
    <w:p w:rsidR="00D43269" w:rsidRPr="00936723" w:rsidRDefault="00D43269" w:rsidP="00D4326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936723">
        <w:rPr>
          <w:rFonts w:ascii="Times New Roman" w:hAnsi="Times New Roman" w:cs="Times New Roman"/>
          <w:sz w:val="24"/>
          <w:szCs w:val="24"/>
          <w:u w:val="single"/>
        </w:rPr>
        <w:t>El mercado de criptomonedas dobla ya el valor de las hipotecas 'subprime'</w:t>
      </w:r>
      <w:r>
        <w:rPr>
          <w:rFonts w:ascii="Times New Roman" w:hAnsi="Times New Roman" w:cs="Times New Roman"/>
          <w:sz w:val="24"/>
          <w:szCs w:val="24"/>
        </w:rPr>
        <w:t xml:space="preserve"> (El Economista - </w:t>
      </w:r>
      <w:r w:rsidRPr="00936723">
        <w:rPr>
          <w:rFonts w:ascii="Times New Roman" w:hAnsi="Times New Roman" w:cs="Times New Roman"/>
          <w:b/>
          <w:sz w:val="24"/>
          <w:szCs w:val="24"/>
        </w:rPr>
        <w:t>11/5/22</w:t>
      </w:r>
      <w:r>
        <w:rPr>
          <w:rFonts w:ascii="Times New Roman" w:hAnsi="Times New Roman" w:cs="Times New Roman"/>
          <w:sz w:val="24"/>
          <w:szCs w:val="24"/>
        </w:rPr>
        <w:t>)</w:t>
      </w:r>
    </w:p>
    <w:p w:rsidR="00D43269" w:rsidRPr="00D43269" w:rsidRDefault="00D43269" w:rsidP="00D43269">
      <w:pPr>
        <w:spacing w:line="240" w:lineRule="auto"/>
        <w:jc w:val="both"/>
        <w:rPr>
          <w:rFonts w:ascii="Times New Roman" w:hAnsi="Times New Roman" w:cs="Times New Roman"/>
          <w:color w:val="FF0000"/>
          <w:sz w:val="24"/>
          <w:szCs w:val="24"/>
        </w:rPr>
      </w:pPr>
      <w:r w:rsidRPr="00D43269">
        <w:rPr>
          <w:rFonts w:ascii="Times New Roman" w:hAnsi="Times New Roman" w:cs="Times New Roman"/>
          <w:color w:val="FF0000"/>
          <w:sz w:val="24"/>
          <w:szCs w:val="24"/>
        </w:rPr>
        <w:t>El BCE alerta de que la inversión en estos activos se basa en un esquema Ponzi</w:t>
      </w:r>
    </w:p>
    <w:p w:rsidR="00D43269" w:rsidRDefault="00D43269" w:rsidP="00D4326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936723">
        <w:rPr>
          <w:rFonts w:ascii="Times New Roman" w:hAnsi="Times New Roman" w:cs="Times New Roman"/>
          <w:noProof/>
          <w:sz w:val="24"/>
          <w:szCs w:val="24"/>
          <w:lang w:eastAsia="es-ES"/>
        </w:rPr>
        <w:drawing>
          <wp:inline distT="0" distB="0" distL="0" distR="0" wp14:anchorId="5547AB2E" wp14:editId="397EDFB9">
            <wp:extent cx="5346611" cy="3657600"/>
            <wp:effectExtent l="0" t="0" r="6985"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344271" cy="3655999"/>
                    </a:xfrm>
                    <a:prstGeom prst="rect">
                      <a:avLst/>
                    </a:prstGeom>
                  </pic:spPr>
                </pic:pic>
              </a:graphicData>
            </a:graphic>
          </wp:inline>
        </w:drawing>
      </w:r>
    </w:p>
    <w:p w:rsidR="00D43269" w:rsidRPr="00936723" w:rsidRDefault="00D43269" w:rsidP="00D43269">
      <w:pPr>
        <w:spacing w:line="240" w:lineRule="auto"/>
        <w:jc w:val="both"/>
        <w:rPr>
          <w:rFonts w:ascii="Times New Roman" w:hAnsi="Times New Roman" w:cs="Times New Roman"/>
          <w:sz w:val="24"/>
          <w:szCs w:val="24"/>
        </w:rPr>
      </w:pPr>
      <w:r w:rsidRPr="00936723">
        <w:rPr>
          <w:rFonts w:ascii="Times New Roman" w:hAnsi="Times New Roman" w:cs="Times New Roman"/>
          <w:sz w:val="24"/>
          <w:szCs w:val="24"/>
        </w:rPr>
        <w:lastRenderedPageBreak/>
        <w:t>El mercado de las criptomonedas, sin ningún tipo de regulación, ya es un dolor de cabeza para los supervisores por el elevado volumen de dinero que mueve y el riesgo que entraña para la economía y la estabilidad financiera. El Banco Central Europeo (BCE) alerta de que la valoración del mercado de las criptomonedas, 2,4 billones de dólares (2,2 billones de euros), ya dobla al de las hipotecas subprime o también conocidas como basura, que con 1,3 billones de dólares (1,2 billones de euros) desencadenaron la crisis financiera mundial de 2008.</w:t>
      </w:r>
    </w:p>
    <w:p w:rsidR="00D43269" w:rsidRDefault="00D43269" w:rsidP="00D43269">
      <w:pPr>
        <w:spacing w:line="240" w:lineRule="auto"/>
        <w:jc w:val="both"/>
        <w:rPr>
          <w:rFonts w:ascii="Times New Roman" w:hAnsi="Times New Roman" w:cs="Times New Roman"/>
          <w:sz w:val="24"/>
          <w:szCs w:val="24"/>
        </w:rPr>
      </w:pPr>
      <w:r w:rsidRPr="00936723">
        <w:rPr>
          <w:rFonts w:ascii="Times New Roman" w:hAnsi="Times New Roman" w:cs="Times New Roman"/>
          <w:sz w:val="24"/>
          <w:szCs w:val="24"/>
        </w:rPr>
        <w:t>El supervisor asegura que no es tan difícil que estalle la burbuja de estos criptoactivos. Según Fabio Panetta, miembro del Comité Ejecutivo del BCE, en la actualidad las divisas digitales son meros instrumentos especulativos ya que su volatilidad impide que cumplan las tres funciones que tiene el dinero: medio de cambio, depósito de valor y unidad de cuenta. Y añade que este mercado está funcionando como en un esquema Ponzi, es decir, los usuarios continuarán invirtiendo mientras crean que los precios seguirán al alza, hasta que el entusiasmo se desvanece y la burbuja estalla</w:t>
      </w:r>
      <w:r>
        <w:rPr>
          <w:rFonts w:ascii="Times New Roman" w:hAnsi="Times New Roman" w:cs="Times New Roman"/>
          <w:sz w:val="24"/>
          <w:szCs w:val="24"/>
        </w:rPr>
        <w:t>…</w:t>
      </w:r>
    </w:p>
    <w:p w:rsidR="00D43269" w:rsidRPr="005104C3" w:rsidRDefault="00D43269" w:rsidP="00D4326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662E6D">
        <w:rPr>
          <w:rFonts w:ascii="Times New Roman" w:hAnsi="Times New Roman" w:cs="Times New Roman"/>
          <w:sz w:val="24"/>
          <w:szCs w:val="24"/>
          <w:u w:val="single"/>
        </w:rPr>
        <w:t>La inflación se muestra irreductible en EEUU y vuelve a rebasar las previsiones tras situarse en el 8,3%</w:t>
      </w:r>
      <w:r>
        <w:rPr>
          <w:rFonts w:ascii="Times New Roman" w:hAnsi="Times New Roman" w:cs="Times New Roman"/>
          <w:sz w:val="24"/>
          <w:szCs w:val="24"/>
        </w:rPr>
        <w:t xml:space="preserve"> (El Economista - </w:t>
      </w:r>
      <w:r w:rsidRPr="00662E6D">
        <w:rPr>
          <w:rFonts w:ascii="Times New Roman" w:hAnsi="Times New Roman" w:cs="Times New Roman"/>
          <w:b/>
          <w:sz w:val="24"/>
          <w:szCs w:val="24"/>
        </w:rPr>
        <w:t>11/5/22</w:t>
      </w:r>
      <w:r>
        <w:rPr>
          <w:rFonts w:ascii="Times New Roman" w:hAnsi="Times New Roman" w:cs="Times New Roman"/>
          <w:sz w:val="24"/>
          <w:szCs w:val="24"/>
        </w:rPr>
        <w:t>)</w:t>
      </w:r>
    </w:p>
    <w:p w:rsidR="00D43269" w:rsidRPr="00D43269" w:rsidRDefault="00D43269" w:rsidP="00D43269">
      <w:pPr>
        <w:spacing w:line="240" w:lineRule="auto"/>
        <w:jc w:val="both"/>
        <w:rPr>
          <w:rFonts w:ascii="Times New Roman" w:hAnsi="Times New Roman" w:cs="Times New Roman"/>
          <w:color w:val="FF0000"/>
          <w:sz w:val="24"/>
          <w:szCs w:val="24"/>
        </w:rPr>
      </w:pPr>
      <w:r w:rsidRPr="00D43269">
        <w:rPr>
          <w:rFonts w:ascii="Times New Roman" w:hAnsi="Times New Roman" w:cs="Times New Roman"/>
          <w:color w:val="FF0000"/>
          <w:sz w:val="24"/>
          <w:szCs w:val="24"/>
        </w:rPr>
        <w:t>El dato de IPC pone más presión para que la Fed siga subiendo los tipos</w:t>
      </w:r>
    </w:p>
    <w:p w:rsidR="00D43269" w:rsidRPr="00D43269" w:rsidRDefault="00D43269" w:rsidP="00D43269">
      <w:pPr>
        <w:spacing w:line="240" w:lineRule="auto"/>
        <w:jc w:val="both"/>
        <w:rPr>
          <w:rFonts w:ascii="Times New Roman" w:hAnsi="Times New Roman" w:cs="Times New Roman"/>
          <w:color w:val="FF0000"/>
          <w:sz w:val="24"/>
          <w:szCs w:val="24"/>
        </w:rPr>
      </w:pPr>
      <w:r w:rsidRPr="00D43269">
        <w:rPr>
          <w:rFonts w:ascii="Times New Roman" w:hAnsi="Times New Roman" w:cs="Times New Roman"/>
          <w:color w:val="FF0000"/>
          <w:sz w:val="24"/>
          <w:szCs w:val="24"/>
        </w:rPr>
        <w:t>La inflación subyacente anual se sitúa en el 6,2% frente al 6% que esperaban los expertos</w:t>
      </w:r>
    </w:p>
    <w:p w:rsidR="00D43269" w:rsidRPr="00D43269" w:rsidRDefault="00D43269" w:rsidP="00D43269">
      <w:pPr>
        <w:spacing w:line="240" w:lineRule="auto"/>
        <w:jc w:val="both"/>
        <w:rPr>
          <w:rFonts w:ascii="Times New Roman" w:hAnsi="Times New Roman" w:cs="Times New Roman"/>
          <w:color w:val="FF0000"/>
          <w:sz w:val="24"/>
          <w:szCs w:val="24"/>
        </w:rPr>
      </w:pPr>
      <w:r w:rsidRPr="00D43269">
        <w:rPr>
          <w:rFonts w:ascii="Times New Roman" w:hAnsi="Times New Roman" w:cs="Times New Roman"/>
          <w:color w:val="FF0000"/>
          <w:sz w:val="24"/>
          <w:szCs w:val="24"/>
        </w:rPr>
        <w:t>Mientras que el IPC subyacente mensual coge carrerilla y sube un 0,6%</w:t>
      </w:r>
    </w:p>
    <w:p w:rsidR="00D43269" w:rsidRDefault="00D43269" w:rsidP="00D43269">
      <w:pPr>
        <w:spacing w:line="240" w:lineRule="auto"/>
        <w:jc w:val="both"/>
        <w:rPr>
          <w:rFonts w:ascii="Times New Roman" w:hAnsi="Times New Roman" w:cs="Times New Roman"/>
          <w:sz w:val="24"/>
          <w:szCs w:val="24"/>
        </w:rPr>
      </w:pPr>
      <w:r w:rsidRPr="005104C3">
        <w:rPr>
          <w:rFonts w:ascii="Times New Roman" w:hAnsi="Times New Roman" w:cs="Times New Roman"/>
          <w:sz w:val="24"/>
          <w:szCs w:val="24"/>
        </w:rPr>
        <w:t>La inflación en EEUU podría haber dejado atrás su techo (8,5% de marzo), pero sigue mostrando una fuerza inusitada. El IPC se ha situado en el 8,3% en abril, un dato que sigue siendo históricamente elevado, aunque presenta una leve caída de dos décimas respecto al IPC de marzo. Los expertos habían previsto un IPC entre el 7,9 y 8,1%. Este nuevo dato no supone ningún alivio para la Reserva Federal de EEUU, que ya ha subido los tipos en dos ocasiones en lo que va de año.</w:t>
      </w:r>
    </w:p>
    <w:p w:rsidR="00D43269" w:rsidRPr="005104C3" w:rsidRDefault="00D43269" w:rsidP="00D43269">
      <w:pPr>
        <w:spacing w:line="240" w:lineRule="auto"/>
        <w:jc w:val="both"/>
        <w:rPr>
          <w:rFonts w:ascii="Times New Roman" w:hAnsi="Times New Roman" w:cs="Times New Roman"/>
          <w:sz w:val="24"/>
          <w:szCs w:val="24"/>
        </w:rPr>
      </w:pPr>
      <w:r w:rsidRPr="00662E6D">
        <w:rPr>
          <w:rFonts w:ascii="Times New Roman" w:hAnsi="Times New Roman" w:cs="Times New Roman"/>
          <w:noProof/>
          <w:sz w:val="24"/>
          <w:szCs w:val="24"/>
          <w:lang w:eastAsia="es-ES"/>
        </w:rPr>
        <w:drawing>
          <wp:inline distT="0" distB="0" distL="0" distR="0" wp14:anchorId="687B558C" wp14:editId="5E8DCA4D">
            <wp:extent cx="5727700" cy="3568700"/>
            <wp:effectExtent l="0" t="0" r="6350"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5731510" cy="3571074"/>
                    </a:xfrm>
                    <a:prstGeom prst="rect">
                      <a:avLst/>
                    </a:prstGeom>
                  </pic:spPr>
                </pic:pic>
              </a:graphicData>
            </a:graphic>
          </wp:inline>
        </w:drawing>
      </w:r>
    </w:p>
    <w:p w:rsidR="00D43269" w:rsidRPr="005104C3" w:rsidRDefault="00D43269" w:rsidP="00D43269">
      <w:pPr>
        <w:spacing w:line="240" w:lineRule="auto"/>
        <w:jc w:val="both"/>
        <w:rPr>
          <w:rFonts w:ascii="Times New Roman" w:hAnsi="Times New Roman" w:cs="Times New Roman"/>
          <w:sz w:val="24"/>
          <w:szCs w:val="24"/>
        </w:rPr>
      </w:pPr>
      <w:r w:rsidRPr="005104C3">
        <w:rPr>
          <w:rFonts w:ascii="Times New Roman" w:hAnsi="Times New Roman" w:cs="Times New Roman"/>
          <w:sz w:val="24"/>
          <w:szCs w:val="24"/>
        </w:rPr>
        <w:lastRenderedPageBreak/>
        <w:t>La clave de este menor crecimiento de los precios está solo en el efecto base. En abril de 2021, el IPC se situó por encima del 4% en EEUU, un dato que sorprendió al alza. Ahora, al comparar el índice de precios de este abril con el de 2021, la tasa de variación resulta menos escandalosa, lo que no quiere decir que los precios hayan dejado de subir, simplemente parece que lo están haciendo a un ritmo menor, pero la inflación sigue muy v</w:t>
      </w:r>
      <w:r>
        <w:rPr>
          <w:rFonts w:ascii="Times New Roman" w:hAnsi="Times New Roman" w:cs="Times New Roman"/>
          <w:sz w:val="24"/>
          <w:szCs w:val="24"/>
        </w:rPr>
        <w:t>iva.</w:t>
      </w:r>
    </w:p>
    <w:p w:rsidR="00D43269" w:rsidRDefault="00D43269" w:rsidP="00D43269">
      <w:pPr>
        <w:spacing w:line="240" w:lineRule="auto"/>
        <w:jc w:val="both"/>
        <w:rPr>
          <w:rFonts w:ascii="Times New Roman" w:hAnsi="Times New Roman" w:cs="Times New Roman"/>
          <w:sz w:val="24"/>
          <w:szCs w:val="24"/>
        </w:rPr>
      </w:pPr>
      <w:r w:rsidRPr="005104C3">
        <w:rPr>
          <w:rFonts w:ascii="Times New Roman" w:hAnsi="Times New Roman" w:cs="Times New Roman"/>
          <w:sz w:val="24"/>
          <w:szCs w:val="24"/>
        </w:rPr>
        <w:t>Keith Wade, economista jefe y estratega de Schroders, asegura en un comentario rápido que est</w:t>
      </w:r>
      <w:r>
        <w:rPr>
          <w:rFonts w:ascii="Times New Roman" w:hAnsi="Times New Roman" w:cs="Times New Roman"/>
          <w:sz w:val="24"/>
          <w:szCs w:val="24"/>
        </w:rPr>
        <w:t>e dato pone en jaque a la Fed. “</w:t>
      </w:r>
      <w:r w:rsidRPr="005104C3">
        <w:rPr>
          <w:rFonts w:ascii="Times New Roman" w:hAnsi="Times New Roman" w:cs="Times New Roman"/>
          <w:sz w:val="24"/>
          <w:szCs w:val="24"/>
        </w:rPr>
        <w:t>Dado que la inflación se mantiene en sus niveles más altos desde hace más de 30 años, los inversores se preguntan qué hará fa</w:t>
      </w:r>
      <w:r>
        <w:rPr>
          <w:rFonts w:ascii="Times New Roman" w:hAnsi="Times New Roman" w:cs="Times New Roman"/>
          <w:sz w:val="24"/>
          <w:szCs w:val="24"/>
        </w:rPr>
        <w:t>lta para reducirla”...</w:t>
      </w:r>
    </w:p>
    <w:p w:rsidR="00D43269" w:rsidRPr="00C600FE" w:rsidRDefault="00D43269" w:rsidP="00D4326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C600FE">
        <w:rPr>
          <w:rFonts w:ascii="Times New Roman" w:hAnsi="Times New Roman" w:cs="Times New Roman"/>
          <w:sz w:val="24"/>
          <w:szCs w:val="24"/>
          <w:u w:val="single"/>
        </w:rPr>
        <w:t>Economía de la confianza: en qué se parecen el dinero y el agua</w:t>
      </w:r>
      <w:r>
        <w:rPr>
          <w:rFonts w:ascii="Times New Roman" w:hAnsi="Times New Roman" w:cs="Times New Roman"/>
          <w:sz w:val="24"/>
          <w:szCs w:val="24"/>
        </w:rPr>
        <w:t xml:space="preserve"> (Cinco Días - </w:t>
      </w:r>
      <w:r w:rsidRPr="00C600FE">
        <w:rPr>
          <w:rFonts w:ascii="Times New Roman" w:hAnsi="Times New Roman" w:cs="Times New Roman"/>
          <w:b/>
          <w:sz w:val="24"/>
          <w:szCs w:val="24"/>
        </w:rPr>
        <w:t>14/5/22</w:t>
      </w:r>
      <w:r>
        <w:rPr>
          <w:rFonts w:ascii="Times New Roman" w:hAnsi="Times New Roman" w:cs="Times New Roman"/>
          <w:sz w:val="24"/>
          <w:szCs w:val="24"/>
        </w:rPr>
        <w:t>)</w:t>
      </w:r>
    </w:p>
    <w:p w:rsidR="00D43269" w:rsidRPr="00D43269" w:rsidRDefault="00D43269" w:rsidP="00D43269">
      <w:pPr>
        <w:spacing w:line="240" w:lineRule="auto"/>
        <w:jc w:val="both"/>
        <w:rPr>
          <w:rFonts w:ascii="Times New Roman" w:hAnsi="Times New Roman" w:cs="Times New Roman"/>
          <w:color w:val="FF0000"/>
          <w:sz w:val="24"/>
          <w:szCs w:val="24"/>
        </w:rPr>
      </w:pPr>
      <w:r w:rsidRPr="00D43269">
        <w:rPr>
          <w:rFonts w:ascii="Times New Roman" w:hAnsi="Times New Roman" w:cs="Times New Roman"/>
          <w:color w:val="FF0000"/>
          <w:sz w:val="24"/>
          <w:szCs w:val="24"/>
        </w:rPr>
        <w:t>Incluso con el patrón oro activo, el dinero siempre se ha basado en la confianza</w:t>
      </w:r>
    </w:p>
    <w:p w:rsidR="00D43269" w:rsidRPr="00D43269" w:rsidRDefault="00D43269" w:rsidP="00D43269">
      <w:pPr>
        <w:spacing w:line="240" w:lineRule="auto"/>
        <w:jc w:val="both"/>
        <w:rPr>
          <w:rFonts w:ascii="Times New Roman" w:hAnsi="Times New Roman" w:cs="Times New Roman"/>
          <w:color w:val="FF0000"/>
          <w:sz w:val="24"/>
          <w:szCs w:val="24"/>
        </w:rPr>
      </w:pPr>
      <w:r w:rsidRPr="00D43269">
        <w:rPr>
          <w:rFonts w:ascii="Times New Roman" w:hAnsi="Times New Roman" w:cs="Times New Roman"/>
          <w:color w:val="FF0000"/>
          <w:sz w:val="24"/>
          <w:szCs w:val="24"/>
        </w:rPr>
        <w:t>Desde hace siglos se viene jugando con devaluar su valor a favor del Gobierno de turno</w:t>
      </w:r>
    </w:p>
    <w:p w:rsidR="00D43269" w:rsidRPr="00C600FE" w:rsidRDefault="00D43269" w:rsidP="00D43269">
      <w:pPr>
        <w:spacing w:line="240" w:lineRule="auto"/>
        <w:jc w:val="both"/>
        <w:rPr>
          <w:rFonts w:ascii="Times New Roman" w:hAnsi="Times New Roman" w:cs="Times New Roman"/>
          <w:sz w:val="24"/>
          <w:szCs w:val="24"/>
        </w:rPr>
      </w:pPr>
      <w:r>
        <w:rPr>
          <w:noProof/>
          <w:lang w:eastAsia="es-ES"/>
        </w:rPr>
        <w:drawing>
          <wp:inline distT="0" distB="0" distL="0" distR="0" wp14:anchorId="75BA0789" wp14:editId="7CC009E7">
            <wp:extent cx="5731510" cy="2257513"/>
            <wp:effectExtent l="0" t="0" r="2540" b="9525"/>
            <wp:docPr id="21" name="Imagen 21" descr="Bancos centra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Bancos centrales"/>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731510" cy="2257513"/>
                    </a:xfrm>
                    <a:prstGeom prst="rect">
                      <a:avLst/>
                    </a:prstGeom>
                    <a:noFill/>
                    <a:ln>
                      <a:noFill/>
                    </a:ln>
                  </pic:spPr>
                </pic:pic>
              </a:graphicData>
            </a:graphic>
          </wp:inline>
        </w:drawing>
      </w:r>
    </w:p>
    <w:p w:rsidR="00D43269" w:rsidRPr="00C600FE" w:rsidRDefault="00D43269" w:rsidP="00D43269">
      <w:pPr>
        <w:spacing w:line="240" w:lineRule="auto"/>
        <w:jc w:val="both"/>
        <w:rPr>
          <w:rFonts w:ascii="Times New Roman" w:hAnsi="Times New Roman" w:cs="Times New Roman"/>
          <w:sz w:val="24"/>
          <w:szCs w:val="24"/>
        </w:rPr>
      </w:pPr>
      <w:r w:rsidRPr="00C600FE">
        <w:rPr>
          <w:rFonts w:ascii="Times New Roman" w:hAnsi="Times New Roman" w:cs="Times New Roman"/>
          <w:sz w:val="24"/>
          <w:szCs w:val="24"/>
        </w:rPr>
        <w:t>Hace siglos, un famoso poeta español advirtió de lo poderoso que era el dinero. Muchas cosas han cambiado desde que se escribieron aquellos célebres versos, pero el importante papel del dinero en la sociedad y en la vida humana no ha sido una de ellas. Entre las incontables cosas que sí han cambiado desde los tiempos de Quevedo se encuentra... el propio dinero. En aquel entonces, el valor de las monedas estaba relacionado con el metal con el que se acuñaban, mientras que hoy en día, a 50 años ya de la muerte del patrón oro, la confianza es lo único que justifica el valor del dinero.</w:t>
      </w:r>
    </w:p>
    <w:p w:rsidR="00D43269" w:rsidRDefault="00D43269" w:rsidP="00D43269">
      <w:pPr>
        <w:spacing w:line="240" w:lineRule="auto"/>
        <w:jc w:val="both"/>
        <w:rPr>
          <w:rFonts w:ascii="Times New Roman" w:hAnsi="Times New Roman" w:cs="Times New Roman"/>
          <w:sz w:val="24"/>
          <w:szCs w:val="24"/>
        </w:rPr>
      </w:pPr>
      <w:r w:rsidRPr="00C600FE">
        <w:rPr>
          <w:rFonts w:ascii="Times New Roman" w:hAnsi="Times New Roman" w:cs="Times New Roman"/>
          <w:sz w:val="24"/>
          <w:szCs w:val="24"/>
        </w:rPr>
        <w:t>Pablo Duarte, analista sénior del Instituto Flossbach von Storch, reflexiona sobre qué acabó exactamente con el dinero tal y como se conocía hasta el año 1971. Hasta ese año, el Gobierno estadounidense garantizaba que, si se reunían 35 dólares, se podían cambiar por una onza de oro, fijando con ello el valor de la moneda estadounidense. El pasado jueves, una onza de oro valía 1.816 dólares, evidenciando con ello una innegable realidad: el dinero vale menos, mucho</w:t>
      </w:r>
      <w:r>
        <w:rPr>
          <w:rFonts w:ascii="Times New Roman" w:hAnsi="Times New Roman" w:cs="Times New Roman"/>
          <w:sz w:val="24"/>
          <w:szCs w:val="24"/>
        </w:rPr>
        <w:t xml:space="preserve"> menos, que antes del año 1971.</w:t>
      </w:r>
    </w:p>
    <w:p w:rsidR="00D43269" w:rsidRDefault="00D43269" w:rsidP="00D43269">
      <w:pPr>
        <w:spacing w:line="240" w:lineRule="auto"/>
        <w:jc w:val="both"/>
        <w:rPr>
          <w:rFonts w:ascii="Times New Roman" w:hAnsi="Times New Roman" w:cs="Times New Roman"/>
          <w:sz w:val="24"/>
          <w:szCs w:val="24"/>
        </w:rPr>
      </w:pPr>
      <w:r w:rsidRPr="00C600FE">
        <w:rPr>
          <w:rFonts w:ascii="Times New Roman" w:hAnsi="Times New Roman" w:cs="Times New Roman"/>
          <w:sz w:val="24"/>
          <w:szCs w:val="24"/>
        </w:rPr>
        <w:t>Para Duarte, el patrón oro murió cuando empezó a ser incómodo para el Gobierno estadounidense. Falto de financiación e inmerso en la guerra de Vietnam, se encontró con que aumentar la deuda o los impuestos era impopular. La solución pasaba por incrementar el dinero en circulación y que el banco central financiara al Gobierno, pero el patrón oro hacía de corsé al necesitar más metal para imprimir más dinero. La solución f</w:t>
      </w:r>
      <w:r>
        <w:rPr>
          <w:rFonts w:ascii="Times New Roman" w:hAnsi="Times New Roman" w:cs="Times New Roman"/>
          <w:sz w:val="24"/>
          <w:szCs w:val="24"/>
        </w:rPr>
        <w:t>ue quitar ese particular corsé…</w:t>
      </w:r>
    </w:p>
    <w:p w:rsidR="00D43269" w:rsidRDefault="00D43269" w:rsidP="00D43269">
      <w:pPr>
        <w:spacing w:line="240" w:lineRule="auto"/>
        <w:jc w:val="both"/>
        <w:rPr>
          <w:rFonts w:ascii="Times New Roman" w:hAnsi="Times New Roman" w:cs="Times New Roman"/>
          <w:sz w:val="24"/>
          <w:szCs w:val="24"/>
        </w:rPr>
      </w:pPr>
      <w:r w:rsidRPr="00C600FE">
        <w:rPr>
          <w:rFonts w:ascii="Times New Roman" w:hAnsi="Times New Roman" w:cs="Times New Roman"/>
          <w:sz w:val="24"/>
          <w:szCs w:val="24"/>
        </w:rPr>
        <w:lastRenderedPageBreak/>
        <w:t xml:space="preserve">“Estamos hablando de un sistema monetario basado en la confianza. Porque de poco sirven los billetes en sí. Funcionan basados en la confianza de que serán aceptados por otras personas a cambio de bienes o servicios. Con el oro tiene un valor, pero también el oro puede ser manipulado. Incluso el sistema del patrón oro está en cierto modo basado en la confianza. En la confianza de que quien decide cuánto oro ofrece a cambio de la moneda no le va a dar por cambiar esa cifra de un </w:t>
      </w:r>
      <w:r>
        <w:rPr>
          <w:rFonts w:ascii="Times New Roman" w:hAnsi="Times New Roman" w:cs="Times New Roman"/>
          <w:sz w:val="24"/>
          <w:szCs w:val="24"/>
        </w:rPr>
        <w:t>día para otro”, asevera Duarte…</w:t>
      </w:r>
    </w:p>
    <w:p w:rsidR="00B81907" w:rsidRPr="003601C7" w:rsidRDefault="00B81907" w:rsidP="00B8190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3601C7">
        <w:rPr>
          <w:rFonts w:ascii="Times New Roman" w:hAnsi="Times New Roman" w:cs="Times New Roman"/>
          <w:sz w:val="24"/>
          <w:szCs w:val="24"/>
          <w:u w:val="single"/>
        </w:rPr>
        <w:t>El alza de tipos en EEUU y Europa: ¿aterrizaje suave o final de una era</w:t>
      </w:r>
      <w:r w:rsidRPr="003601C7">
        <w:rPr>
          <w:rFonts w:ascii="Times New Roman" w:hAnsi="Times New Roman" w:cs="Times New Roman"/>
          <w:sz w:val="24"/>
          <w:szCs w:val="24"/>
        </w:rPr>
        <w:t>?</w:t>
      </w:r>
      <w:r>
        <w:rPr>
          <w:rFonts w:ascii="Times New Roman" w:hAnsi="Times New Roman" w:cs="Times New Roman"/>
          <w:sz w:val="24"/>
          <w:szCs w:val="24"/>
        </w:rPr>
        <w:t xml:space="preserve"> (Cinco Días - </w:t>
      </w:r>
      <w:r w:rsidRPr="003601C7">
        <w:rPr>
          <w:rFonts w:ascii="Times New Roman" w:hAnsi="Times New Roman" w:cs="Times New Roman"/>
          <w:b/>
          <w:sz w:val="24"/>
          <w:szCs w:val="24"/>
        </w:rPr>
        <w:t>17/5/22</w:t>
      </w:r>
      <w:r>
        <w:rPr>
          <w:rFonts w:ascii="Times New Roman" w:hAnsi="Times New Roman" w:cs="Times New Roman"/>
          <w:sz w:val="24"/>
          <w:szCs w:val="24"/>
        </w:rPr>
        <w:t>)</w:t>
      </w:r>
    </w:p>
    <w:p w:rsidR="00B81907" w:rsidRPr="00B81907" w:rsidRDefault="00B81907" w:rsidP="00B81907">
      <w:pPr>
        <w:spacing w:line="240" w:lineRule="auto"/>
        <w:jc w:val="both"/>
        <w:rPr>
          <w:rFonts w:ascii="Times New Roman" w:hAnsi="Times New Roman" w:cs="Times New Roman"/>
          <w:color w:val="FF0000"/>
          <w:sz w:val="24"/>
          <w:szCs w:val="24"/>
        </w:rPr>
      </w:pPr>
      <w:r w:rsidRPr="00B81907">
        <w:rPr>
          <w:rFonts w:ascii="Times New Roman" w:hAnsi="Times New Roman" w:cs="Times New Roman"/>
          <w:color w:val="FF0000"/>
          <w:sz w:val="24"/>
          <w:szCs w:val="24"/>
        </w:rPr>
        <w:t>Sin más ambición diplomática, energética y militar, la guerra económica entre Occidente y Rusia provocará una recesión en EEUU y Europa.</w:t>
      </w:r>
    </w:p>
    <w:p w:rsidR="00B81907" w:rsidRPr="003601C7" w:rsidRDefault="00B81907" w:rsidP="00B8190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3601C7">
        <w:rPr>
          <w:rFonts w:ascii="Times New Roman" w:hAnsi="Times New Roman" w:cs="Times New Roman"/>
          <w:sz w:val="24"/>
          <w:szCs w:val="24"/>
        </w:rPr>
        <w:t>Alexandre Muns</w:t>
      </w:r>
      <w:r>
        <w:rPr>
          <w:rFonts w:ascii="Times New Roman" w:hAnsi="Times New Roman" w:cs="Times New Roman"/>
          <w:sz w:val="24"/>
          <w:szCs w:val="24"/>
        </w:rPr>
        <w:t>)</w:t>
      </w:r>
    </w:p>
    <w:p w:rsidR="00B81907" w:rsidRPr="003601C7" w:rsidRDefault="00B81907" w:rsidP="00B81907">
      <w:pPr>
        <w:spacing w:line="240" w:lineRule="auto"/>
        <w:jc w:val="both"/>
        <w:rPr>
          <w:rFonts w:ascii="Times New Roman" w:hAnsi="Times New Roman" w:cs="Times New Roman"/>
          <w:sz w:val="24"/>
          <w:szCs w:val="24"/>
        </w:rPr>
      </w:pPr>
      <w:r w:rsidRPr="003601C7">
        <w:rPr>
          <w:rFonts w:ascii="Times New Roman" w:hAnsi="Times New Roman" w:cs="Times New Roman"/>
          <w:sz w:val="24"/>
          <w:szCs w:val="24"/>
        </w:rPr>
        <w:t>Los bancos centrales no supieron contener a tiempo la inflación de los setenta. El resultado fue la temida estanflación: altas tasas de inflación, interés y desempleo. Se dispararon los precios de los hidrocarburos después de los dos choques petroleros de los setenta. En 1979, Paul Volcker se convirtió en presidente de la Reserva Federal. La inflación había alcanzado el 9%. La Fed elevó los tipos hasta el 20%. En 1983 la inflación se situó por debajo del 3%. Pero el precio de atajarla fue un desempleo del 20% y las recesiones que padecieron EEUU en 1981-82 y la mayoría de las potencias del G7 entre 1980 y 1983. Las tasas de paro de los países desarrollados s</w:t>
      </w:r>
      <w:r>
        <w:rPr>
          <w:rFonts w:ascii="Times New Roman" w:hAnsi="Times New Roman" w:cs="Times New Roman"/>
          <w:sz w:val="24"/>
          <w:szCs w:val="24"/>
        </w:rPr>
        <w:t>e mantuvieron altas hasta 1985.</w:t>
      </w:r>
    </w:p>
    <w:p w:rsidR="00B81907" w:rsidRPr="003601C7" w:rsidRDefault="00B81907" w:rsidP="00B81907">
      <w:pPr>
        <w:spacing w:line="240" w:lineRule="auto"/>
        <w:jc w:val="both"/>
        <w:rPr>
          <w:rFonts w:ascii="Times New Roman" w:hAnsi="Times New Roman" w:cs="Times New Roman"/>
          <w:sz w:val="24"/>
          <w:szCs w:val="24"/>
        </w:rPr>
      </w:pPr>
      <w:r w:rsidRPr="003601C7">
        <w:rPr>
          <w:rFonts w:ascii="Times New Roman" w:hAnsi="Times New Roman" w:cs="Times New Roman"/>
          <w:sz w:val="24"/>
          <w:szCs w:val="24"/>
        </w:rPr>
        <w:t>Durante las subsiguientes crisis económicas internacionales (financiera y de la eurozona 2009-2013, y la causada por el Covid-19) la Fed y los otros bancos centrales han situado los tipos cerca del 0%. Después los elevaron gradualmente a cotas bajas a medida que se recuperó el crecimiento y empleo. Los confinamientos y el atasco de las cadenas de producción y suministro han impedido satisfacer la demanda de bienes que repuntó con fuerza al levantarse las restricciones. En muchos países desarrollados, profesionales de algunos sectores (aerolíneas) aprovecharon el Covid-19 para jubilarse. No hay suficientes conductores de camión ni personal cualificado en los puertos. China se empeña en una política de erradicación completa de casos de Covid criticada por la OMS. Shanghái es una metrópolis de 25 millones de personas, el mayor puerto mundial desde 2011 y el origen del 27% de las exportaciones chinas en 2021. Su confinamiento total es contraproducente.</w:t>
      </w:r>
    </w:p>
    <w:p w:rsidR="00B81907" w:rsidRPr="00B81907" w:rsidRDefault="00B81907" w:rsidP="00B81907">
      <w:pPr>
        <w:spacing w:line="240" w:lineRule="auto"/>
        <w:jc w:val="both"/>
        <w:rPr>
          <w:rFonts w:ascii="Times New Roman" w:hAnsi="Times New Roman" w:cs="Times New Roman"/>
          <w:color w:val="FF0000"/>
          <w:sz w:val="24"/>
          <w:szCs w:val="24"/>
          <w:u w:val="single"/>
        </w:rPr>
      </w:pPr>
      <w:r w:rsidRPr="00B81907">
        <w:rPr>
          <w:rFonts w:ascii="Times New Roman" w:hAnsi="Times New Roman" w:cs="Times New Roman"/>
          <w:color w:val="FF0000"/>
          <w:sz w:val="24"/>
          <w:szCs w:val="24"/>
          <w:u w:val="single"/>
        </w:rPr>
        <w:t>Entre marzo de 2020 y noviembre de 2021, el Congreso de EEUU aprobó cuatro paquetes de estímulo por un valor conjunto de 5,1 billones de dólares. Son el Cares Act de marzo de 2020 (2,1 billones), el paquete de diciembre de 2020 (900.000 millones), el American Rescue Plan de marzo de 2021 (1,1 billones) y el programa de modernización de infraestructuras de 1 billón. Protegieron a la parte de la población y empresas más vulnerables ante la pandemia. Pero ningún país inyectó tanta liquidez. Se hinchó una burbuja bursátil alimentada por tipos bajos desde 2009. Muchos colectivos se han acostumbrado al teletrabajo o a vivir de las subvenciones otorgadas en dichos paquetes.</w:t>
      </w:r>
    </w:p>
    <w:p w:rsidR="00B81907" w:rsidRPr="003601C7" w:rsidRDefault="00B81907" w:rsidP="00B81907">
      <w:pPr>
        <w:spacing w:line="240" w:lineRule="auto"/>
        <w:jc w:val="both"/>
        <w:rPr>
          <w:rFonts w:ascii="Times New Roman" w:hAnsi="Times New Roman" w:cs="Times New Roman"/>
          <w:sz w:val="24"/>
          <w:szCs w:val="24"/>
        </w:rPr>
      </w:pPr>
      <w:r w:rsidRPr="003601C7">
        <w:rPr>
          <w:rFonts w:ascii="Times New Roman" w:hAnsi="Times New Roman" w:cs="Times New Roman"/>
          <w:sz w:val="24"/>
          <w:szCs w:val="24"/>
        </w:rPr>
        <w:t xml:space="preserve">La invasión de Ucrania por parte de Vladimir Putin en febrero acrecentó más la inflación. Se desbocó el precio del petróleo, gas natural, la vivienda y los alimentos. En 2021, la Fed y la Casa Blanca insistieron en que la inflación elevada era un fenómeno transitorio. El banco central de EEUU corrigió su error con un ascenso en marzo de su Federal Funds Rate de 25 puntos, el primero desde diciembre de 2018. La tasa de inflación interanual se situó en el 8,5% en marzo, la mayor subida desde 1981. La Fed se apresuró a incrementar el Federal Funds Rate en 50 puntos básicos el 4 de mayo. Fue la primera alza de 50 puntos básicos </w:t>
      </w:r>
      <w:r w:rsidRPr="003601C7">
        <w:rPr>
          <w:rFonts w:ascii="Times New Roman" w:hAnsi="Times New Roman" w:cs="Times New Roman"/>
          <w:sz w:val="24"/>
          <w:szCs w:val="24"/>
        </w:rPr>
        <w:lastRenderedPageBreak/>
        <w:t>desde el año 2000. Los analistas prevén que la Fed incremente los tipos desde la horquilla de 0,75%-1% actual hasta 2,75%-3% a principios de 2023. El comunicado del Comité Federal de Política Monetaria asimismo anunció que la Fed empezaría a vender part</w:t>
      </w:r>
      <w:r>
        <w:rPr>
          <w:rFonts w:ascii="Times New Roman" w:hAnsi="Times New Roman" w:cs="Times New Roman"/>
          <w:sz w:val="24"/>
          <w:szCs w:val="24"/>
        </w:rPr>
        <w:t>e de sus 9 billones en activos.</w:t>
      </w:r>
    </w:p>
    <w:p w:rsidR="00B81907" w:rsidRPr="003601C7" w:rsidRDefault="00B81907" w:rsidP="00B81907">
      <w:pPr>
        <w:spacing w:line="240" w:lineRule="auto"/>
        <w:jc w:val="both"/>
        <w:rPr>
          <w:rFonts w:ascii="Times New Roman" w:hAnsi="Times New Roman" w:cs="Times New Roman"/>
          <w:sz w:val="24"/>
          <w:szCs w:val="24"/>
        </w:rPr>
      </w:pPr>
      <w:r w:rsidRPr="003601C7">
        <w:rPr>
          <w:rFonts w:ascii="Times New Roman" w:hAnsi="Times New Roman" w:cs="Times New Roman"/>
          <w:sz w:val="24"/>
          <w:szCs w:val="24"/>
        </w:rPr>
        <w:t>La subida de los intereses de las nuevas hipotecas o de las existentes con tipos variables ya ha ralentizado el sector inmobiliario en EEUU. El consumo aporta el 66% del PIB en EEUU. En los próximos meses los estadounidenses con hipotecas, deuda universitaria o de sus tarjetas de crédito tendrán que recortar su consumo. El PIB en el primer trimestre de 2022 se contrajo en un 1,4% respecto al último trimestre de 2021. Por otra parte, el mercado laboral no flaquea. En abril se generaron 428.000 empleos y el paro registró un 3,6%. El banco central de EEUU seguirá subiendo tipos en los próximos meses y analizando los confinamientos y el funcionamiento de las cadenas de producción y suministro. El tipo de referencia del Banco Central Europeo se ha mantenido en el 0,25%. En abril la inflación de la eurozona fue del 7,5%, la mayor desde la fundación de la moneda única en 1999. Se proyectan tres aum</w:t>
      </w:r>
      <w:r>
        <w:rPr>
          <w:rFonts w:ascii="Times New Roman" w:hAnsi="Times New Roman" w:cs="Times New Roman"/>
          <w:sz w:val="24"/>
          <w:szCs w:val="24"/>
        </w:rPr>
        <w:t>entos de tipos del BCE en 2022.</w:t>
      </w:r>
    </w:p>
    <w:p w:rsidR="00B81907" w:rsidRPr="003601C7" w:rsidRDefault="00B81907" w:rsidP="00B81907">
      <w:pPr>
        <w:spacing w:line="240" w:lineRule="auto"/>
        <w:jc w:val="both"/>
        <w:rPr>
          <w:rFonts w:ascii="Times New Roman" w:hAnsi="Times New Roman" w:cs="Times New Roman"/>
          <w:sz w:val="24"/>
          <w:szCs w:val="24"/>
        </w:rPr>
      </w:pPr>
      <w:r w:rsidRPr="003601C7">
        <w:rPr>
          <w:rFonts w:ascii="Times New Roman" w:hAnsi="Times New Roman" w:cs="Times New Roman"/>
          <w:sz w:val="24"/>
          <w:szCs w:val="24"/>
        </w:rPr>
        <w:t>El factor más difícil de pronosticar es la duración de la guerra en Ucrania. Las sanciones decretadas por el bloque occidental están haciendo mella. Un total de 433 empresas han suspendido la mayoría de sus actividades en Rusia y otras 331 se han retirado completamente del país. Pero entre dichas 764 empresas no hay casi ninguna de las potencias emergentes. China, India, Brasil, México, Indonesia y Turquía mantienen sus inversiones y comercio con Moscú. El PIB conjunto de los países aliados (EEUU, UE, Japón, Reino Unido, Corea, Australia, Taiwán, Singapur) supera los 55 billones. Pero es muy difícil aislar al país más grande del mundo si las mencionadas seis potencias emergentes (con una población de 3,3 billones y un PIB de 27 billones) mantienen sus inversiones y comercio con Rusia. Occidente puede tomar muchas medidas: suspender la unión aduanera de la UE con Turquía; sus aranceles preferenciales con Mercosur, India, México e Indonesia; revocar el acuerdo de suministro de tecnología nuclear civil de EEUU a la India; cortar el aprovisionamiento de GNL de EEUU a Turquía. Catar debe dejar d</w:t>
      </w:r>
      <w:r>
        <w:rPr>
          <w:rFonts w:ascii="Times New Roman" w:hAnsi="Times New Roman" w:cs="Times New Roman"/>
          <w:sz w:val="24"/>
          <w:szCs w:val="24"/>
        </w:rPr>
        <w:t>e exportar GNL a China e India.</w:t>
      </w:r>
    </w:p>
    <w:p w:rsidR="00B81907" w:rsidRPr="003601C7" w:rsidRDefault="00B81907" w:rsidP="00B81907">
      <w:pPr>
        <w:spacing w:line="240" w:lineRule="auto"/>
        <w:jc w:val="both"/>
        <w:rPr>
          <w:rFonts w:ascii="Times New Roman" w:hAnsi="Times New Roman" w:cs="Times New Roman"/>
          <w:sz w:val="24"/>
          <w:szCs w:val="24"/>
        </w:rPr>
      </w:pPr>
      <w:r w:rsidRPr="003601C7">
        <w:rPr>
          <w:rFonts w:ascii="Times New Roman" w:hAnsi="Times New Roman" w:cs="Times New Roman"/>
          <w:sz w:val="24"/>
          <w:szCs w:val="24"/>
        </w:rPr>
        <w:t>Necesitamos un partenariado-público privado acelerado de construcción de plantas de licuefacción en EEUU y regasificación de GNL en Europa. En cinco meses ya hará frío en Europa. Sin más ambición diplomática, energética y militar, la guerra económica entre Occidente y Rusia provocará una recesión en EEUU y Europa. Jerome Powell admira a Volcker. Esperemos que ni él ni Christine Lagarde tengan que elevar los tipos tan drásticamente como lo hizo Volcker.</w:t>
      </w:r>
    </w:p>
    <w:p w:rsidR="00B81907" w:rsidRDefault="00B81907" w:rsidP="00B81907">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3601C7">
        <w:rPr>
          <w:rFonts w:ascii="Times New Roman" w:hAnsi="Times New Roman" w:cs="Times New Roman"/>
          <w:sz w:val="24"/>
          <w:szCs w:val="24"/>
        </w:rPr>
        <w:t>Alexandre Muns es profesor de EAE Business School</w:t>
      </w:r>
      <w:r>
        <w:rPr>
          <w:rFonts w:ascii="Times New Roman" w:hAnsi="Times New Roman" w:cs="Times New Roman"/>
          <w:sz w:val="24"/>
          <w:szCs w:val="24"/>
        </w:rPr>
        <w:t>)</w:t>
      </w:r>
    </w:p>
    <w:p w:rsidR="00B81907" w:rsidRPr="005E4890" w:rsidRDefault="00B81907" w:rsidP="00B8190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5E4890">
        <w:rPr>
          <w:rFonts w:ascii="Times New Roman" w:hAnsi="Times New Roman" w:cs="Times New Roman"/>
          <w:sz w:val="24"/>
          <w:szCs w:val="24"/>
          <w:u w:val="single"/>
        </w:rPr>
        <w:t>El BCE decide avanzar hacia la subida de tipos pese al riesgo de fragmentación financiera</w:t>
      </w:r>
      <w:r>
        <w:rPr>
          <w:rFonts w:ascii="Times New Roman" w:hAnsi="Times New Roman" w:cs="Times New Roman"/>
          <w:sz w:val="24"/>
          <w:szCs w:val="24"/>
        </w:rPr>
        <w:t xml:space="preserve"> (Cinco Días - </w:t>
      </w:r>
      <w:r w:rsidRPr="005E4890">
        <w:rPr>
          <w:rFonts w:ascii="Times New Roman" w:hAnsi="Times New Roman" w:cs="Times New Roman"/>
          <w:b/>
          <w:sz w:val="24"/>
          <w:szCs w:val="24"/>
        </w:rPr>
        <w:t>19/5/22</w:t>
      </w:r>
      <w:r>
        <w:rPr>
          <w:rFonts w:ascii="Times New Roman" w:hAnsi="Times New Roman" w:cs="Times New Roman"/>
          <w:sz w:val="24"/>
          <w:szCs w:val="24"/>
        </w:rPr>
        <w:t>)</w:t>
      </w:r>
    </w:p>
    <w:p w:rsidR="00B81907" w:rsidRPr="00B81907" w:rsidRDefault="00B81907" w:rsidP="00B81907">
      <w:pPr>
        <w:spacing w:line="240" w:lineRule="auto"/>
        <w:jc w:val="both"/>
        <w:rPr>
          <w:rFonts w:ascii="Times New Roman" w:hAnsi="Times New Roman" w:cs="Times New Roman"/>
          <w:color w:val="FF0000"/>
          <w:sz w:val="24"/>
          <w:szCs w:val="24"/>
        </w:rPr>
      </w:pPr>
      <w:r w:rsidRPr="00B81907">
        <w:rPr>
          <w:rFonts w:ascii="Times New Roman" w:hAnsi="Times New Roman" w:cs="Times New Roman"/>
          <w:color w:val="FF0000"/>
          <w:sz w:val="24"/>
          <w:szCs w:val="24"/>
        </w:rPr>
        <w:t>Las actas de la reunión de abril confirman la inquietud de la institución ante el alza de la inflación subyacente y las peticiones de actuar con rapidez para contener los precios</w:t>
      </w:r>
    </w:p>
    <w:p w:rsidR="00B81907" w:rsidRPr="005E4890" w:rsidRDefault="00B81907" w:rsidP="00B81907">
      <w:pPr>
        <w:spacing w:line="240" w:lineRule="auto"/>
        <w:jc w:val="both"/>
        <w:rPr>
          <w:rFonts w:ascii="Times New Roman" w:hAnsi="Times New Roman" w:cs="Times New Roman"/>
          <w:sz w:val="24"/>
          <w:szCs w:val="24"/>
        </w:rPr>
      </w:pPr>
      <w:r w:rsidRPr="005E4890">
        <w:rPr>
          <w:rFonts w:ascii="Times New Roman" w:hAnsi="Times New Roman" w:cs="Times New Roman"/>
          <w:sz w:val="24"/>
          <w:szCs w:val="24"/>
        </w:rPr>
        <w:t>Las actas de la reunión del Consejo de Gobierno del BCE del 14 de abril muestran la disposición de la institución a avanzar hacia la subida de tipos, aunque con un tiento que la realidad posterior ha dejado en papel mojado. En aquella cita, el BCE anunció el final de las compras netas de deuda en el tercer trimestre, tras lo que llegaría una su</w:t>
      </w:r>
      <w:r>
        <w:rPr>
          <w:rFonts w:ascii="Times New Roman" w:hAnsi="Times New Roman" w:cs="Times New Roman"/>
          <w:sz w:val="24"/>
          <w:szCs w:val="24"/>
        </w:rPr>
        <w:t>bida de tipos que podría darse “semanas o meses después”</w:t>
      </w:r>
      <w:r w:rsidRPr="005E4890">
        <w:rPr>
          <w:rFonts w:ascii="Times New Roman" w:hAnsi="Times New Roman" w:cs="Times New Roman"/>
          <w:sz w:val="24"/>
          <w:szCs w:val="24"/>
        </w:rPr>
        <w:t>, según apu</w:t>
      </w:r>
      <w:r>
        <w:rPr>
          <w:rFonts w:ascii="Times New Roman" w:hAnsi="Times New Roman" w:cs="Times New Roman"/>
          <w:sz w:val="24"/>
          <w:szCs w:val="24"/>
        </w:rPr>
        <w:t>ntó entonces Christine Lagarde.</w:t>
      </w:r>
    </w:p>
    <w:p w:rsidR="00B81907" w:rsidRPr="005E4890" w:rsidRDefault="00B81907" w:rsidP="00B81907">
      <w:pPr>
        <w:spacing w:line="240" w:lineRule="auto"/>
        <w:jc w:val="both"/>
        <w:rPr>
          <w:rFonts w:ascii="Times New Roman" w:hAnsi="Times New Roman" w:cs="Times New Roman"/>
          <w:sz w:val="24"/>
          <w:szCs w:val="24"/>
        </w:rPr>
      </w:pPr>
      <w:r w:rsidRPr="005E4890">
        <w:rPr>
          <w:rFonts w:ascii="Times New Roman" w:hAnsi="Times New Roman" w:cs="Times New Roman"/>
          <w:sz w:val="24"/>
          <w:szCs w:val="24"/>
        </w:rPr>
        <w:lastRenderedPageBreak/>
        <w:t>Pero desde entonces, la presidenta del BCE ha ido moldeando su discurso hasta apuntar ya abiertamente a una subida de tipos de interés en la zona euro ya en el mes de julio, que descuenta por completo el mercado. Las actas del encuentro de abril muestran el debate interno sobre el ritmo y la secuencia que debe llevar el proceso de normalización monetaria, aunque se han quedado algo desfasadas ante la contundencia de las posteriores declaraciones de los miembros del consejo y también de to</w:t>
      </w:r>
      <w:r>
        <w:rPr>
          <w:rFonts w:ascii="Times New Roman" w:hAnsi="Times New Roman" w:cs="Times New Roman"/>
          <w:sz w:val="24"/>
          <w:szCs w:val="24"/>
        </w:rPr>
        <w:t>do el comité ejecutivo del BCE.</w:t>
      </w:r>
    </w:p>
    <w:p w:rsidR="00B81907" w:rsidRDefault="00B81907" w:rsidP="00B81907">
      <w:pPr>
        <w:spacing w:line="240" w:lineRule="auto"/>
        <w:jc w:val="both"/>
        <w:rPr>
          <w:rFonts w:ascii="Times New Roman" w:hAnsi="Times New Roman" w:cs="Times New Roman"/>
          <w:sz w:val="24"/>
          <w:szCs w:val="24"/>
        </w:rPr>
      </w:pPr>
      <w:r w:rsidRPr="005E4890">
        <w:rPr>
          <w:rFonts w:ascii="Times New Roman" w:hAnsi="Times New Roman" w:cs="Times New Roman"/>
          <w:sz w:val="24"/>
          <w:szCs w:val="24"/>
        </w:rPr>
        <w:t>La expectativa generalizada de alzas de tipos en la zona euro, junto al aceleró</w:t>
      </w:r>
      <w:r>
        <w:rPr>
          <w:rFonts w:ascii="Times New Roman" w:hAnsi="Times New Roman" w:cs="Times New Roman"/>
          <w:sz w:val="24"/>
          <w:szCs w:val="24"/>
        </w:rPr>
        <w:t>n de las subidas en EE</w:t>
      </w:r>
      <w:r w:rsidRPr="005E4890">
        <w:rPr>
          <w:rFonts w:ascii="Times New Roman" w:hAnsi="Times New Roman" w:cs="Times New Roman"/>
          <w:sz w:val="24"/>
          <w:szCs w:val="24"/>
        </w:rPr>
        <w:t>UU, han elevado las primas de riesgo y reactivado el temor a la fragmentación financiera, por la que se ensanchan las diferencias entre el coste de financiación de los países más endeudados frente a los menos. Pero, según muestran las actas, ese riesgo de fragmentación no va a ser obstáculo pa</w:t>
      </w:r>
      <w:r>
        <w:rPr>
          <w:rFonts w:ascii="Times New Roman" w:hAnsi="Times New Roman" w:cs="Times New Roman"/>
          <w:sz w:val="24"/>
          <w:szCs w:val="24"/>
        </w:rPr>
        <w:t>ra mantener la subida de tipos.</w:t>
      </w:r>
    </w:p>
    <w:p w:rsidR="00B81907" w:rsidRDefault="00B81907" w:rsidP="00B81907">
      <w:pPr>
        <w:spacing w:line="240" w:lineRule="auto"/>
        <w:jc w:val="both"/>
        <w:rPr>
          <w:rFonts w:ascii="Times New Roman" w:hAnsi="Times New Roman" w:cs="Times New Roman"/>
          <w:sz w:val="24"/>
          <w:szCs w:val="24"/>
        </w:rPr>
      </w:pPr>
      <w:r>
        <w:rPr>
          <w:rFonts w:ascii="Times New Roman" w:hAnsi="Times New Roman" w:cs="Times New Roman"/>
          <w:sz w:val="24"/>
          <w:szCs w:val="24"/>
        </w:rPr>
        <w:t>El texto reconoce que “</w:t>
      </w:r>
      <w:r w:rsidRPr="005E4890">
        <w:rPr>
          <w:rFonts w:ascii="Times New Roman" w:hAnsi="Times New Roman" w:cs="Times New Roman"/>
          <w:sz w:val="24"/>
          <w:szCs w:val="24"/>
        </w:rPr>
        <w:t>es importante abordar un posible resurgir de la fragmentación en las condiciones financieras de l</w:t>
      </w:r>
      <w:r>
        <w:rPr>
          <w:rFonts w:ascii="Times New Roman" w:hAnsi="Times New Roman" w:cs="Times New Roman"/>
          <w:sz w:val="24"/>
          <w:szCs w:val="24"/>
        </w:rPr>
        <w:t>a zona euro, si fuera necesario”</w:t>
      </w:r>
      <w:r w:rsidRPr="005E4890">
        <w:rPr>
          <w:rFonts w:ascii="Times New Roman" w:hAnsi="Times New Roman" w:cs="Times New Roman"/>
          <w:sz w:val="24"/>
          <w:szCs w:val="24"/>
        </w:rPr>
        <w:t xml:space="preserve">. Y apunta </w:t>
      </w:r>
      <w:r>
        <w:rPr>
          <w:rFonts w:ascii="Times New Roman" w:hAnsi="Times New Roman" w:cs="Times New Roman"/>
          <w:sz w:val="24"/>
          <w:szCs w:val="24"/>
        </w:rPr>
        <w:t>al principio de “separación” por el que “</w:t>
      </w:r>
      <w:r w:rsidRPr="005E4890">
        <w:rPr>
          <w:rFonts w:ascii="Times New Roman" w:hAnsi="Times New Roman" w:cs="Times New Roman"/>
          <w:sz w:val="24"/>
          <w:szCs w:val="24"/>
        </w:rPr>
        <w:t>una postura de política monetaria adecuada podría establecerse de forma independiente del uso de instrumentos de diseñados para evitar disrupciones repenti</w:t>
      </w:r>
      <w:r>
        <w:rPr>
          <w:rFonts w:ascii="Times New Roman" w:hAnsi="Times New Roman" w:cs="Times New Roman"/>
          <w:sz w:val="24"/>
          <w:szCs w:val="24"/>
        </w:rPr>
        <w:t>nas de los mercados financieros”</w:t>
      </w:r>
      <w:r w:rsidRPr="005E4890">
        <w:rPr>
          <w:rFonts w:ascii="Times New Roman" w:hAnsi="Times New Roman" w:cs="Times New Roman"/>
          <w:sz w:val="24"/>
          <w:szCs w:val="24"/>
        </w:rPr>
        <w:t>. Así, el BCE defiende que l</w:t>
      </w:r>
      <w:r>
        <w:rPr>
          <w:rFonts w:ascii="Times New Roman" w:hAnsi="Times New Roman" w:cs="Times New Roman"/>
          <w:sz w:val="24"/>
          <w:szCs w:val="24"/>
        </w:rPr>
        <w:t>a “</w:t>
      </w:r>
      <w:r w:rsidRPr="005E4890">
        <w:rPr>
          <w:rFonts w:ascii="Times New Roman" w:hAnsi="Times New Roman" w:cs="Times New Roman"/>
          <w:sz w:val="24"/>
          <w:szCs w:val="24"/>
        </w:rPr>
        <w:t>flexibilidad debería ser un rasgo</w:t>
      </w:r>
      <w:r>
        <w:rPr>
          <w:rFonts w:ascii="Times New Roman" w:hAnsi="Times New Roman" w:cs="Times New Roman"/>
          <w:sz w:val="24"/>
          <w:szCs w:val="24"/>
        </w:rPr>
        <w:t xml:space="preserve"> permanente de las herramientas”</w:t>
      </w:r>
      <w:r w:rsidRPr="005E4890">
        <w:rPr>
          <w:rFonts w:ascii="Times New Roman" w:hAnsi="Times New Roman" w:cs="Times New Roman"/>
          <w:sz w:val="24"/>
          <w:szCs w:val="24"/>
        </w:rPr>
        <w:t xml:space="preserve"> de política monetaria. Y recuerda que, de ser necesario, la reinversión de los vencimientos de la deuda del programa PEPP, que se mantendrá al menos hasta finales de 2024, podría usarse para abordar posibles episo</w:t>
      </w:r>
      <w:r>
        <w:rPr>
          <w:rFonts w:ascii="Times New Roman" w:hAnsi="Times New Roman" w:cs="Times New Roman"/>
          <w:sz w:val="24"/>
          <w:szCs w:val="24"/>
        </w:rPr>
        <w:t>dios de tensión en el mercado…</w:t>
      </w:r>
    </w:p>
    <w:p w:rsidR="00B81907" w:rsidRPr="005E4890" w:rsidRDefault="00B81907" w:rsidP="00B8190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5E4890">
        <w:rPr>
          <w:rFonts w:ascii="Times New Roman" w:hAnsi="Times New Roman" w:cs="Times New Roman"/>
          <w:sz w:val="24"/>
          <w:szCs w:val="24"/>
          <w:u w:val="single"/>
        </w:rPr>
        <w:t>Bruselas suspende las reglas de déficit y deuda también en 2023 por la guerra en Ucrania</w:t>
      </w:r>
      <w:r>
        <w:rPr>
          <w:rFonts w:ascii="Times New Roman" w:hAnsi="Times New Roman" w:cs="Times New Roman"/>
          <w:sz w:val="24"/>
          <w:szCs w:val="24"/>
        </w:rPr>
        <w:t xml:space="preserve"> (El Español - </w:t>
      </w:r>
      <w:r w:rsidRPr="005E4890">
        <w:rPr>
          <w:rFonts w:ascii="Times New Roman" w:hAnsi="Times New Roman" w:cs="Times New Roman"/>
          <w:b/>
          <w:sz w:val="24"/>
          <w:szCs w:val="24"/>
        </w:rPr>
        <w:t>19/5/22</w:t>
      </w:r>
      <w:r>
        <w:rPr>
          <w:rFonts w:ascii="Times New Roman" w:hAnsi="Times New Roman" w:cs="Times New Roman"/>
          <w:sz w:val="24"/>
          <w:szCs w:val="24"/>
        </w:rPr>
        <w:t>)</w:t>
      </w:r>
    </w:p>
    <w:p w:rsidR="00B81907" w:rsidRPr="005E4890" w:rsidRDefault="00B81907" w:rsidP="00B81907">
      <w:pPr>
        <w:spacing w:line="240" w:lineRule="auto"/>
        <w:jc w:val="both"/>
        <w:rPr>
          <w:rFonts w:ascii="Times New Roman" w:hAnsi="Times New Roman" w:cs="Times New Roman"/>
          <w:sz w:val="24"/>
          <w:szCs w:val="24"/>
        </w:rPr>
      </w:pPr>
      <w:r w:rsidRPr="005E4890">
        <w:rPr>
          <w:rFonts w:ascii="Times New Roman" w:hAnsi="Times New Roman" w:cs="Times New Roman"/>
          <w:sz w:val="24"/>
          <w:szCs w:val="24"/>
        </w:rPr>
        <w:t>El Pacto de Estabilidad, que obliga a los países de la eurozona a rebajar el déficit y la deuda pública, seguirá suspendido también en 2023 por cuarto año consecutivo. La Co</w:t>
      </w:r>
      <w:r>
        <w:rPr>
          <w:rFonts w:ascii="Times New Roman" w:hAnsi="Times New Roman" w:cs="Times New Roman"/>
          <w:sz w:val="24"/>
          <w:szCs w:val="24"/>
        </w:rPr>
        <w:t>misión Europea ha decidido por “consenso”</w:t>
      </w:r>
      <w:r w:rsidRPr="005E4890">
        <w:rPr>
          <w:rFonts w:ascii="Times New Roman" w:hAnsi="Times New Roman" w:cs="Times New Roman"/>
          <w:sz w:val="24"/>
          <w:szCs w:val="24"/>
        </w:rPr>
        <w:t xml:space="preserve"> m</w:t>
      </w:r>
      <w:r>
        <w:rPr>
          <w:rFonts w:ascii="Times New Roman" w:hAnsi="Times New Roman" w:cs="Times New Roman"/>
          <w:sz w:val="24"/>
          <w:szCs w:val="24"/>
        </w:rPr>
        <w:t>antener activada la denominada “</w:t>
      </w:r>
      <w:r w:rsidRPr="005E4890">
        <w:rPr>
          <w:rFonts w:ascii="Times New Roman" w:hAnsi="Times New Roman" w:cs="Times New Roman"/>
          <w:sz w:val="24"/>
          <w:szCs w:val="24"/>
        </w:rPr>
        <w:t>cl</w:t>
      </w:r>
      <w:r w:rsidR="004B799F">
        <w:rPr>
          <w:rFonts w:ascii="Times New Roman" w:hAnsi="Times New Roman" w:cs="Times New Roman"/>
          <w:sz w:val="24"/>
          <w:szCs w:val="24"/>
        </w:rPr>
        <w:t>áusula de escape”</w:t>
      </w:r>
      <w:r w:rsidRPr="005E4890">
        <w:rPr>
          <w:rFonts w:ascii="Times New Roman" w:hAnsi="Times New Roman" w:cs="Times New Roman"/>
          <w:sz w:val="24"/>
          <w:szCs w:val="24"/>
        </w:rPr>
        <w:t xml:space="preserve"> debido al impacto económico de la guerra en Ucrania, según confirman a este periódico fuentes comunitarias.</w:t>
      </w:r>
    </w:p>
    <w:p w:rsidR="00B81907" w:rsidRPr="005E4890" w:rsidRDefault="00B81907" w:rsidP="00B81907">
      <w:pPr>
        <w:spacing w:line="240" w:lineRule="auto"/>
        <w:jc w:val="both"/>
        <w:rPr>
          <w:rFonts w:ascii="Times New Roman" w:hAnsi="Times New Roman" w:cs="Times New Roman"/>
          <w:sz w:val="24"/>
          <w:szCs w:val="24"/>
        </w:rPr>
      </w:pPr>
      <w:r w:rsidRPr="005E4890">
        <w:rPr>
          <w:rFonts w:ascii="Times New Roman" w:hAnsi="Times New Roman" w:cs="Times New Roman"/>
          <w:sz w:val="24"/>
          <w:szCs w:val="24"/>
        </w:rPr>
        <w:t>El objetivo es dejar margen de maniobra a los Gobiernos nacionales para que puedan recurrir al gasto público con el fin de salir al rescate de los hogares y las empresas más golpeadas por e</w:t>
      </w:r>
      <w:r w:rsidR="004B799F">
        <w:rPr>
          <w:rFonts w:ascii="Times New Roman" w:hAnsi="Times New Roman" w:cs="Times New Roman"/>
          <w:sz w:val="24"/>
          <w:szCs w:val="24"/>
        </w:rPr>
        <w:t>l conflicto. La prórroga de la “cláusula de escape”</w:t>
      </w:r>
      <w:r w:rsidRPr="005E4890">
        <w:rPr>
          <w:rFonts w:ascii="Times New Roman" w:hAnsi="Times New Roman" w:cs="Times New Roman"/>
          <w:sz w:val="24"/>
          <w:szCs w:val="24"/>
        </w:rPr>
        <w:t xml:space="preserve"> -que se activó por primera vez en la historia en marzo de 2020 en respuesta a la pandemia- había sido reclamada por el Gobierno de Pedro Sánchez. Pero también cuenta con el apoyo </w:t>
      </w:r>
      <w:r w:rsidR="004B799F">
        <w:rPr>
          <w:rFonts w:ascii="Times New Roman" w:hAnsi="Times New Roman" w:cs="Times New Roman"/>
          <w:sz w:val="24"/>
          <w:szCs w:val="24"/>
        </w:rPr>
        <w:t>de los “frugales”</w:t>
      </w:r>
      <w:r>
        <w:rPr>
          <w:rFonts w:ascii="Times New Roman" w:hAnsi="Times New Roman" w:cs="Times New Roman"/>
          <w:sz w:val="24"/>
          <w:szCs w:val="24"/>
        </w:rPr>
        <w:t xml:space="preserve"> como Holanda.</w:t>
      </w:r>
    </w:p>
    <w:p w:rsidR="00B81907" w:rsidRDefault="00B81907" w:rsidP="00B81907">
      <w:pPr>
        <w:spacing w:line="240" w:lineRule="auto"/>
        <w:jc w:val="both"/>
        <w:rPr>
          <w:rFonts w:ascii="Times New Roman" w:hAnsi="Times New Roman" w:cs="Times New Roman"/>
          <w:sz w:val="24"/>
          <w:szCs w:val="24"/>
        </w:rPr>
      </w:pPr>
      <w:r w:rsidRPr="005E4890">
        <w:rPr>
          <w:rFonts w:ascii="Times New Roman" w:hAnsi="Times New Roman" w:cs="Times New Roman"/>
          <w:sz w:val="24"/>
          <w:szCs w:val="24"/>
        </w:rPr>
        <w:t>La decisión de mantener en suspenso las reglas de déficit y deuda se adoptó en la reunión del colegio de comisarios de este miércoles y se formalizará el próximo lunes 23 de mayo. Ese día, Bruselas tiene previsto presentar además sus recomendaciones de política económica para España y el resto de Estados miembros en 2022-2023.</w:t>
      </w:r>
    </w:p>
    <w:p w:rsidR="004B799F" w:rsidRPr="005E4890" w:rsidRDefault="004B799F" w:rsidP="004B799F">
      <w:pPr>
        <w:spacing w:line="240" w:lineRule="auto"/>
        <w:jc w:val="both"/>
        <w:rPr>
          <w:rFonts w:ascii="Times New Roman" w:hAnsi="Times New Roman" w:cs="Times New Roman"/>
          <w:sz w:val="24"/>
          <w:szCs w:val="24"/>
        </w:rPr>
      </w:pPr>
      <w:r>
        <w:rPr>
          <w:rFonts w:ascii="Times New Roman" w:hAnsi="Times New Roman" w:cs="Times New Roman"/>
          <w:sz w:val="24"/>
          <w:szCs w:val="24"/>
        </w:rPr>
        <w:t>Aunque se mantenga la “cláusula de escape”</w:t>
      </w:r>
      <w:r w:rsidRPr="005E4890">
        <w:rPr>
          <w:rFonts w:ascii="Times New Roman" w:hAnsi="Times New Roman" w:cs="Times New Roman"/>
          <w:sz w:val="24"/>
          <w:szCs w:val="24"/>
        </w:rPr>
        <w:t xml:space="preserve">, el Ejecutivo comunitario reclamará a los países con alta deuda (como España, Italia o Grecia), que el aumento del gasto corriente sea inferior a su tasa de crecimiento potencial, según ha adelantado el periódico </w:t>
      </w:r>
      <w:r>
        <w:rPr>
          <w:rFonts w:ascii="Times New Roman" w:hAnsi="Times New Roman" w:cs="Times New Roman"/>
          <w:sz w:val="24"/>
          <w:szCs w:val="24"/>
        </w:rPr>
        <w:t>Financial Times.</w:t>
      </w:r>
    </w:p>
    <w:p w:rsidR="004B799F" w:rsidRDefault="004B799F" w:rsidP="004B799F">
      <w:pPr>
        <w:spacing w:line="240" w:lineRule="auto"/>
        <w:jc w:val="both"/>
        <w:rPr>
          <w:rFonts w:ascii="Times New Roman" w:hAnsi="Times New Roman" w:cs="Times New Roman"/>
          <w:sz w:val="24"/>
          <w:szCs w:val="24"/>
        </w:rPr>
      </w:pPr>
      <w:r w:rsidRPr="005E4890">
        <w:rPr>
          <w:rFonts w:ascii="Times New Roman" w:hAnsi="Times New Roman" w:cs="Times New Roman"/>
          <w:sz w:val="24"/>
          <w:szCs w:val="24"/>
        </w:rPr>
        <w:t xml:space="preserve">A principios de año, Bruselas todavía daba por hecho que el Pacto de Estabilidad volvería a reactivarse en 2023 tras la situación de emergencia económica por la Covid-19. El crecimiento recuperaba velocidad de crucero y la eurozona ya había alcanzado el nivel de PIB previo a la pandemia. Pero la guerra </w:t>
      </w:r>
      <w:r>
        <w:rPr>
          <w:rFonts w:ascii="Times New Roman" w:hAnsi="Times New Roman" w:cs="Times New Roman"/>
          <w:sz w:val="24"/>
          <w:szCs w:val="24"/>
        </w:rPr>
        <w:t>en Ucrania lo ha cambiado todo…</w:t>
      </w:r>
    </w:p>
    <w:p w:rsidR="004B799F" w:rsidRDefault="004B799F" w:rsidP="004B799F">
      <w:pPr>
        <w:spacing w:line="240" w:lineRule="auto"/>
        <w:jc w:val="both"/>
        <w:rPr>
          <w:rFonts w:ascii="Times New Roman" w:hAnsi="Times New Roman" w:cs="Times New Roman"/>
          <w:sz w:val="24"/>
          <w:szCs w:val="24"/>
        </w:rPr>
      </w:pPr>
      <w:r>
        <w:rPr>
          <w:noProof/>
          <w:lang w:eastAsia="es-ES"/>
        </w:rPr>
        <w:lastRenderedPageBreak/>
        <w:drawing>
          <wp:inline distT="0" distB="0" distL="0" distR="0" wp14:anchorId="66836964" wp14:editId="5A6F13D1">
            <wp:extent cx="5731510" cy="3232150"/>
            <wp:effectExtent l="0" t="0" r="2540" b="6350"/>
            <wp:docPr id="22" name="Imagen 22" descr="Previsión de déficit público en los países de la UE en 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Previsión de déficit público en los países de la UE en 202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31510" cy="3232150"/>
                    </a:xfrm>
                    <a:prstGeom prst="rect">
                      <a:avLst/>
                    </a:prstGeom>
                    <a:noFill/>
                    <a:ln>
                      <a:noFill/>
                    </a:ln>
                  </pic:spPr>
                </pic:pic>
              </a:graphicData>
            </a:graphic>
          </wp:inline>
        </w:drawing>
      </w:r>
    </w:p>
    <w:p w:rsidR="004B799F" w:rsidRPr="005E4890" w:rsidRDefault="004B799F" w:rsidP="004B799F">
      <w:pPr>
        <w:spacing w:line="240" w:lineRule="auto"/>
        <w:jc w:val="both"/>
        <w:rPr>
          <w:rFonts w:ascii="Times New Roman" w:hAnsi="Times New Roman" w:cs="Times New Roman"/>
          <w:sz w:val="24"/>
          <w:szCs w:val="24"/>
        </w:rPr>
      </w:pPr>
      <w:r>
        <w:rPr>
          <w:noProof/>
          <w:lang w:eastAsia="es-ES"/>
        </w:rPr>
        <w:drawing>
          <wp:inline distT="0" distB="0" distL="0" distR="0" wp14:anchorId="1415CE4E" wp14:editId="239831F2">
            <wp:extent cx="5734050" cy="3695700"/>
            <wp:effectExtent l="0" t="0" r="0" b="0"/>
            <wp:docPr id="23" name="Imagen 23" descr="Previsión de deuda pública en los países de la UE en 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Previsión de deuda pública en los países de la UE en 202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731510" cy="3694063"/>
                    </a:xfrm>
                    <a:prstGeom prst="rect">
                      <a:avLst/>
                    </a:prstGeom>
                    <a:noFill/>
                    <a:ln>
                      <a:noFill/>
                    </a:ln>
                  </pic:spPr>
                </pic:pic>
              </a:graphicData>
            </a:graphic>
          </wp:inline>
        </w:drawing>
      </w:r>
    </w:p>
    <w:p w:rsidR="004B799F" w:rsidRPr="00B62111" w:rsidRDefault="004B799F" w:rsidP="004B799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Deutsche Bank: la inflación es “</w:t>
      </w:r>
      <w:r w:rsidRPr="00B62111">
        <w:rPr>
          <w:rFonts w:ascii="Times New Roman" w:hAnsi="Times New Roman" w:cs="Times New Roman"/>
          <w:sz w:val="24"/>
          <w:szCs w:val="24"/>
          <w:u w:val="single"/>
        </w:rPr>
        <w:t>un rinoceronte en la sala que se ha desatado y es difícil de contener</w:t>
      </w:r>
      <w:r>
        <w:rPr>
          <w:rFonts w:ascii="Times New Roman" w:hAnsi="Times New Roman" w:cs="Times New Roman"/>
          <w:sz w:val="24"/>
          <w:szCs w:val="24"/>
        </w:rPr>
        <w:t xml:space="preserve">” (El Economista - </w:t>
      </w:r>
      <w:r w:rsidRPr="00B62111">
        <w:rPr>
          <w:rFonts w:ascii="Times New Roman" w:hAnsi="Times New Roman" w:cs="Times New Roman"/>
          <w:b/>
          <w:sz w:val="24"/>
          <w:szCs w:val="24"/>
        </w:rPr>
        <w:t>20/5/22</w:t>
      </w:r>
      <w:r>
        <w:rPr>
          <w:rFonts w:ascii="Times New Roman" w:hAnsi="Times New Roman" w:cs="Times New Roman"/>
          <w:sz w:val="24"/>
          <w:szCs w:val="24"/>
        </w:rPr>
        <w:t>)</w:t>
      </w:r>
    </w:p>
    <w:p w:rsidR="004B799F" w:rsidRPr="004B799F" w:rsidRDefault="004B799F" w:rsidP="004B799F">
      <w:pPr>
        <w:spacing w:line="240" w:lineRule="auto"/>
        <w:jc w:val="both"/>
        <w:rPr>
          <w:rFonts w:ascii="Times New Roman" w:hAnsi="Times New Roman" w:cs="Times New Roman"/>
          <w:color w:val="FF0000"/>
          <w:sz w:val="24"/>
          <w:szCs w:val="24"/>
        </w:rPr>
      </w:pPr>
      <w:r w:rsidRPr="004B799F">
        <w:rPr>
          <w:rFonts w:ascii="Times New Roman" w:hAnsi="Times New Roman" w:cs="Times New Roman"/>
          <w:color w:val="FF0000"/>
          <w:sz w:val="24"/>
          <w:szCs w:val="24"/>
        </w:rPr>
        <w:t>Una inflación estancada en el 2% o por debajo puede ser cosa del pasado</w:t>
      </w:r>
    </w:p>
    <w:p w:rsidR="004B799F" w:rsidRPr="004B799F" w:rsidRDefault="004B799F" w:rsidP="004B799F">
      <w:pPr>
        <w:spacing w:line="240" w:lineRule="auto"/>
        <w:jc w:val="both"/>
        <w:rPr>
          <w:rFonts w:ascii="Times New Roman" w:hAnsi="Times New Roman" w:cs="Times New Roman"/>
          <w:color w:val="FF0000"/>
          <w:sz w:val="24"/>
          <w:szCs w:val="24"/>
        </w:rPr>
      </w:pPr>
      <w:r w:rsidRPr="004B799F">
        <w:rPr>
          <w:rFonts w:ascii="Times New Roman" w:hAnsi="Times New Roman" w:cs="Times New Roman"/>
          <w:color w:val="FF0000"/>
          <w:sz w:val="24"/>
          <w:szCs w:val="24"/>
        </w:rPr>
        <w:t>Hay tendencias estructurales que van a presionar al alza los precios</w:t>
      </w:r>
    </w:p>
    <w:p w:rsidR="004B799F" w:rsidRPr="00B62111" w:rsidRDefault="004B799F" w:rsidP="004B799F">
      <w:pPr>
        <w:spacing w:line="240" w:lineRule="auto"/>
        <w:jc w:val="both"/>
        <w:rPr>
          <w:rFonts w:ascii="Times New Roman" w:hAnsi="Times New Roman" w:cs="Times New Roman"/>
          <w:sz w:val="24"/>
          <w:szCs w:val="24"/>
        </w:rPr>
      </w:pPr>
      <w:r w:rsidRPr="00B62111">
        <w:rPr>
          <w:rFonts w:ascii="Times New Roman" w:hAnsi="Times New Roman" w:cs="Times New Roman"/>
          <w:sz w:val="24"/>
          <w:szCs w:val="24"/>
        </w:rPr>
        <w:t xml:space="preserve">Christian Nolting, director de inversiones del área privada de Deutsche Bank, comentó hace unas semanas en un informe temático que la inflación era como un rinoceronte desatado dentro de una sala. Este economista cree ahora que la inflación seguirá siendo bastante </w:t>
      </w:r>
      <w:r w:rsidR="001D02F7" w:rsidRPr="00B62111">
        <w:rPr>
          <w:rFonts w:ascii="Times New Roman" w:hAnsi="Times New Roman" w:cs="Times New Roman"/>
          <w:sz w:val="24"/>
          <w:szCs w:val="24"/>
        </w:rPr>
        <w:lastRenderedPageBreak/>
        <w:t>elevada</w:t>
      </w:r>
      <w:r w:rsidRPr="00B62111">
        <w:rPr>
          <w:rFonts w:ascii="Times New Roman" w:hAnsi="Times New Roman" w:cs="Times New Roman"/>
          <w:sz w:val="24"/>
          <w:szCs w:val="24"/>
        </w:rPr>
        <w:t xml:space="preserve"> en la zona euro y en EEUU, donde ve hasta 10 subidas de tipos en un año para</w:t>
      </w:r>
      <w:r>
        <w:rPr>
          <w:rFonts w:ascii="Times New Roman" w:hAnsi="Times New Roman" w:cs="Times New Roman"/>
          <w:sz w:val="24"/>
          <w:szCs w:val="24"/>
        </w:rPr>
        <w:t xml:space="preserve"> contener a este “rinoceronte”.</w:t>
      </w:r>
    </w:p>
    <w:p w:rsidR="004B799F" w:rsidRPr="00B62111" w:rsidRDefault="004B799F" w:rsidP="004B799F">
      <w:pPr>
        <w:spacing w:line="240" w:lineRule="auto"/>
        <w:jc w:val="both"/>
        <w:rPr>
          <w:rFonts w:ascii="Times New Roman" w:hAnsi="Times New Roman" w:cs="Times New Roman"/>
          <w:sz w:val="24"/>
          <w:szCs w:val="24"/>
        </w:rPr>
      </w:pPr>
      <w:r w:rsidRPr="00B62111">
        <w:rPr>
          <w:rFonts w:ascii="Times New Roman" w:hAnsi="Times New Roman" w:cs="Times New Roman"/>
          <w:sz w:val="24"/>
          <w:szCs w:val="24"/>
        </w:rPr>
        <w:t>Nolting, según publica Europa Press, prevé que la inflación se modere algo, puesto que las tasas de variación que ha mostrado en los últimos meses no son sostenibles salvo que la energía volviese a dar otro arreón o que se produjese una espiral precios/salarios. Pese a todo, las expectativas aún son elevadas: anticipa que el IPC de Estados Unidos se sitúe en el 4,7% a finales de 2022 y en el 8% en la Eurozona. Esta inflación tan poderosa está poniendo contra las cuerdas al consumo. Lo que está ocurriendo en España puede ser una premonición para el resto de Europa.</w:t>
      </w:r>
    </w:p>
    <w:p w:rsidR="004B799F" w:rsidRPr="00B62111" w:rsidRDefault="004B799F" w:rsidP="004B799F">
      <w:pPr>
        <w:spacing w:line="240" w:lineRule="auto"/>
        <w:jc w:val="both"/>
        <w:rPr>
          <w:rFonts w:ascii="Times New Roman" w:hAnsi="Times New Roman" w:cs="Times New Roman"/>
          <w:sz w:val="24"/>
          <w:szCs w:val="24"/>
        </w:rPr>
      </w:pPr>
      <w:r w:rsidRPr="00B62111">
        <w:rPr>
          <w:rFonts w:ascii="Times New Roman" w:hAnsi="Times New Roman" w:cs="Times New Roman"/>
          <w:sz w:val="24"/>
          <w:szCs w:val="24"/>
        </w:rPr>
        <w:t>Deutsche Bank anticipa 10 subidas de tipos (hay apuestas aún más elevadas) por parte de la Reserva Federal estadounidense (Fed) de cara al cierre del segundo trimestre de 2023 y que el Banco Central Europeo (BCE) ponga fin a sus compras netas de activos antes de subir el tipo de facilidad de depósito tres veces y el tipo de facilidad</w:t>
      </w:r>
      <w:r>
        <w:rPr>
          <w:rFonts w:ascii="Times New Roman" w:hAnsi="Times New Roman" w:cs="Times New Roman"/>
          <w:sz w:val="24"/>
          <w:szCs w:val="24"/>
        </w:rPr>
        <w:t xml:space="preserve"> de préstamo dos veces en 2022…</w:t>
      </w:r>
    </w:p>
    <w:p w:rsidR="004B799F" w:rsidRDefault="004B799F" w:rsidP="004B799F">
      <w:pPr>
        <w:spacing w:line="240" w:lineRule="auto"/>
        <w:jc w:val="both"/>
        <w:rPr>
          <w:rFonts w:ascii="Times New Roman" w:hAnsi="Times New Roman" w:cs="Times New Roman"/>
          <w:sz w:val="24"/>
          <w:szCs w:val="24"/>
        </w:rPr>
      </w:pPr>
      <w:r w:rsidRPr="00B62111">
        <w:rPr>
          <w:rFonts w:ascii="Times New Roman" w:hAnsi="Times New Roman" w:cs="Times New Roman"/>
          <w:sz w:val="24"/>
          <w:szCs w:val="24"/>
        </w:rPr>
        <w:t xml:space="preserve">En estas previsiones se puede ver cómo la inflación multiplicará casi por tres la </w:t>
      </w:r>
      <w:r>
        <w:rPr>
          <w:rFonts w:ascii="Times New Roman" w:hAnsi="Times New Roman" w:cs="Times New Roman"/>
          <w:sz w:val="24"/>
          <w:szCs w:val="24"/>
        </w:rPr>
        <w:t>tasa de crecimiento económico. “</w:t>
      </w:r>
      <w:r w:rsidRPr="00B62111">
        <w:rPr>
          <w:rFonts w:ascii="Times New Roman" w:hAnsi="Times New Roman" w:cs="Times New Roman"/>
          <w:sz w:val="24"/>
          <w:szCs w:val="24"/>
        </w:rPr>
        <w:t>Los bancos centrales se enfrentan hoy a un dilema, dado que es improbable que las presiones inflacionistas se reduzcan en breve y las economías necesitan abundante liquidez debido al deterioro de las condiciones financieras y a los mayo</w:t>
      </w:r>
      <w:r>
        <w:rPr>
          <w:rFonts w:ascii="Times New Roman" w:hAnsi="Times New Roman" w:cs="Times New Roman"/>
          <w:sz w:val="24"/>
          <w:szCs w:val="24"/>
        </w:rPr>
        <w:t>res riesgos para el crecimiento”</w:t>
      </w:r>
      <w:r w:rsidRPr="00B62111">
        <w:rPr>
          <w:rFonts w:ascii="Times New Roman" w:hAnsi="Times New Roman" w:cs="Times New Roman"/>
          <w:sz w:val="24"/>
          <w:szCs w:val="24"/>
        </w:rPr>
        <w:t xml:space="preserve">, explicaba este </w:t>
      </w:r>
      <w:r>
        <w:rPr>
          <w:rFonts w:ascii="Times New Roman" w:hAnsi="Times New Roman" w:cs="Times New Roman"/>
          <w:sz w:val="24"/>
          <w:szCs w:val="24"/>
        </w:rPr>
        <w:t>experto en su informe temático.</w:t>
      </w:r>
    </w:p>
    <w:p w:rsidR="004B799F" w:rsidRPr="00B62111" w:rsidRDefault="004B799F" w:rsidP="004B799F">
      <w:pPr>
        <w:spacing w:line="240" w:lineRule="auto"/>
        <w:jc w:val="both"/>
        <w:rPr>
          <w:rFonts w:ascii="Times New Roman" w:hAnsi="Times New Roman" w:cs="Times New Roman"/>
          <w:sz w:val="24"/>
          <w:szCs w:val="24"/>
        </w:rPr>
      </w:pPr>
      <w:r w:rsidRPr="00B62111">
        <w:rPr>
          <w:rFonts w:ascii="Times New Roman" w:hAnsi="Times New Roman" w:cs="Times New Roman"/>
          <w:sz w:val="24"/>
          <w:szCs w:val="24"/>
        </w:rPr>
        <w:t xml:space="preserve">El experto </w:t>
      </w:r>
      <w:r>
        <w:rPr>
          <w:rFonts w:ascii="Times New Roman" w:hAnsi="Times New Roman" w:cs="Times New Roman"/>
          <w:sz w:val="24"/>
          <w:szCs w:val="24"/>
        </w:rPr>
        <w:t>del banco alemán explicaba que “</w:t>
      </w:r>
      <w:r w:rsidRPr="00B62111">
        <w:rPr>
          <w:rFonts w:ascii="Times New Roman" w:hAnsi="Times New Roman" w:cs="Times New Roman"/>
          <w:sz w:val="24"/>
          <w:szCs w:val="24"/>
        </w:rPr>
        <w:t xml:space="preserve">la recuperación económica ha hecho aumentar la demanda de bienes y servicios. Al mismo tiempo, el mundo post pandemia ha generado algunas restricciones de la oferta, algo que los bancos centrales difícilmente pueden controlar. Las sanciones y el cese por parte de las empresas de sus actividades en Rusia están agravando los problemas de las cadenas de suministro. Asimismo, la escasez de platino, paladio o incluso neón está afectando la fabricación de productos </w:t>
      </w:r>
      <w:r>
        <w:rPr>
          <w:rFonts w:ascii="Times New Roman" w:hAnsi="Times New Roman" w:cs="Times New Roman"/>
          <w:sz w:val="24"/>
          <w:szCs w:val="24"/>
        </w:rPr>
        <w:t>intermedios”, señalaba Nolting.</w:t>
      </w:r>
    </w:p>
    <w:p w:rsidR="004B799F" w:rsidRPr="00B62111" w:rsidRDefault="004B799F" w:rsidP="004B799F">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B62111">
        <w:rPr>
          <w:rFonts w:ascii="Times New Roman" w:hAnsi="Times New Roman" w:cs="Times New Roman"/>
          <w:sz w:val="24"/>
          <w:szCs w:val="24"/>
        </w:rPr>
        <w:t>La inflación está asimismo repuntando en el sector de servicios, donde se observa un fuerte efecto de la crisis del covid: la escasez de mano de obra. La tasa de participación de la fuerza de trabajo en EEUU no se ha recuperado hasta los niveles de antes de la crisis; en Europa, el desempleo ha caído por debajo del nivel anterior a la pandemia y un 25% de las empresas indican que la escasez de mano de ob</w:t>
      </w:r>
      <w:r>
        <w:rPr>
          <w:rFonts w:ascii="Times New Roman" w:hAnsi="Times New Roman" w:cs="Times New Roman"/>
          <w:sz w:val="24"/>
          <w:szCs w:val="24"/>
        </w:rPr>
        <w:t>ra está limitando su producción”</w:t>
      </w:r>
      <w:r w:rsidRPr="00B62111">
        <w:rPr>
          <w:rFonts w:ascii="Times New Roman" w:hAnsi="Times New Roman" w:cs="Times New Roman"/>
          <w:sz w:val="24"/>
          <w:szCs w:val="24"/>
        </w:rPr>
        <w:t>, sostie</w:t>
      </w:r>
      <w:r>
        <w:rPr>
          <w:rFonts w:ascii="Times New Roman" w:hAnsi="Times New Roman" w:cs="Times New Roman"/>
          <w:sz w:val="24"/>
          <w:szCs w:val="24"/>
        </w:rPr>
        <w:t>ne el informe del banco alemán…</w:t>
      </w:r>
    </w:p>
    <w:p w:rsidR="004B799F" w:rsidRPr="00590630" w:rsidRDefault="004B799F" w:rsidP="004B799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F74891">
        <w:rPr>
          <w:rFonts w:ascii="Times New Roman" w:hAnsi="Times New Roman" w:cs="Times New Roman"/>
          <w:sz w:val="24"/>
          <w:szCs w:val="24"/>
          <w:u w:val="single"/>
        </w:rPr>
        <w:t>Lagarde pone freno a un BCE agresivo pero promete el fin de tipos negativos para septiembre</w:t>
      </w:r>
      <w:r>
        <w:rPr>
          <w:rFonts w:ascii="Times New Roman" w:hAnsi="Times New Roman" w:cs="Times New Roman"/>
          <w:sz w:val="24"/>
          <w:szCs w:val="24"/>
        </w:rPr>
        <w:t xml:space="preserve"> (El Economista - </w:t>
      </w:r>
      <w:r w:rsidRPr="00F74891">
        <w:rPr>
          <w:rFonts w:ascii="Times New Roman" w:hAnsi="Times New Roman" w:cs="Times New Roman"/>
          <w:b/>
          <w:sz w:val="24"/>
          <w:szCs w:val="24"/>
        </w:rPr>
        <w:t>23/5/22</w:t>
      </w:r>
      <w:r>
        <w:rPr>
          <w:rFonts w:ascii="Times New Roman" w:hAnsi="Times New Roman" w:cs="Times New Roman"/>
          <w:sz w:val="24"/>
          <w:szCs w:val="24"/>
        </w:rPr>
        <w:t>)</w:t>
      </w:r>
    </w:p>
    <w:p w:rsidR="004B799F" w:rsidRPr="004B799F" w:rsidRDefault="004B799F" w:rsidP="004B799F">
      <w:pPr>
        <w:spacing w:line="240" w:lineRule="auto"/>
        <w:jc w:val="both"/>
        <w:rPr>
          <w:rFonts w:ascii="Times New Roman" w:hAnsi="Times New Roman" w:cs="Times New Roman"/>
          <w:color w:val="FF0000"/>
          <w:sz w:val="24"/>
          <w:szCs w:val="24"/>
        </w:rPr>
      </w:pPr>
      <w:r w:rsidRPr="004B799F">
        <w:rPr>
          <w:rFonts w:ascii="Times New Roman" w:hAnsi="Times New Roman" w:cs="Times New Roman"/>
          <w:color w:val="FF0000"/>
          <w:sz w:val="24"/>
          <w:szCs w:val="24"/>
        </w:rPr>
        <w:t>Los halcones y el mercado abrieron la puerta a subir las tasas 50 puntos básicos</w:t>
      </w:r>
    </w:p>
    <w:p w:rsidR="004B799F" w:rsidRPr="004B799F" w:rsidRDefault="004B799F" w:rsidP="004B799F">
      <w:pPr>
        <w:spacing w:line="240" w:lineRule="auto"/>
        <w:jc w:val="both"/>
        <w:rPr>
          <w:rFonts w:ascii="Times New Roman" w:hAnsi="Times New Roman" w:cs="Times New Roman"/>
          <w:color w:val="FF0000"/>
          <w:sz w:val="24"/>
          <w:szCs w:val="24"/>
        </w:rPr>
      </w:pPr>
      <w:r w:rsidRPr="004B799F">
        <w:rPr>
          <w:rFonts w:ascii="Times New Roman" w:hAnsi="Times New Roman" w:cs="Times New Roman"/>
          <w:color w:val="FF0000"/>
          <w:sz w:val="24"/>
          <w:szCs w:val="24"/>
        </w:rPr>
        <w:t>La presidenta intenta aplacar la exigencia de un perfil más duro</w:t>
      </w:r>
    </w:p>
    <w:p w:rsidR="004B799F" w:rsidRPr="004B799F" w:rsidRDefault="004B799F" w:rsidP="004B799F">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“Es sensato avanzar paso a paso”</w:t>
      </w:r>
      <w:r w:rsidRPr="004B799F">
        <w:rPr>
          <w:rFonts w:ascii="Times New Roman" w:hAnsi="Times New Roman" w:cs="Times New Roman"/>
          <w:color w:val="FF0000"/>
          <w:sz w:val="24"/>
          <w:szCs w:val="24"/>
        </w:rPr>
        <w:t>, sin situarse por encima de tipos neutrales</w:t>
      </w:r>
    </w:p>
    <w:p w:rsidR="004B799F" w:rsidRPr="00590630" w:rsidRDefault="004B799F" w:rsidP="004B799F">
      <w:pPr>
        <w:spacing w:line="240" w:lineRule="auto"/>
        <w:jc w:val="both"/>
        <w:rPr>
          <w:rFonts w:ascii="Times New Roman" w:hAnsi="Times New Roman" w:cs="Times New Roman"/>
          <w:sz w:val="24"/>
          <w:szCs w:val="24"/>
        </w:rPr>
      </w:pPr>
      <w:r w:rsidRPr="00590630">
        <w:rPr>
          <w:rFonts w:ascii="Times New Roman" w:hAnsi="Times New Roman" w:cs="Times New Roman"/>
          <w:sz w:val="24"/>
          <w:szCs w:val="24"/>
        </w:rPr>
        <w:t xml:space="preserve">La presidenta del BCE, Christine Lagarde, ha anticipado nuevas subidas por parte de la institución más allá de la segura de julio. La banquera </w:t>
      </w:r>
      <w:r>
        <w:rPr>
          <w:rFonts w:ascii="Times New Roman" w:hAnsi="Times New Roman" w:cs="Times New Roman"/>
          <w:sz w:val="24"/>
          <w:szCs w:val="24"/>
        </w:rPr>
        <w:t>ha explicado, en un post,  que “</w:t>
      </w:r>
      <w:r w:rsidRPr="00590630">
        <w:rPr>
          <w:rFonts w:ascii="Times New Roman" w:hAnsi="Times New Roman" w:cs="Times New Roman"/>
          <w:sz w:val="24"/>
          <w:szCs w:val="24"/>
        </w:rPr>
        <w:t xml:space="preserve">es probable que estemos en condiciones de salir de las tasas de interés negativas </w:t>
      </w:r>
      <w:r>
        <w:rPr>
          <w:rFonts w:ascii="Times New Roman" w:hAnsi="Times New Roman" w:cs="Times New Roman"/>
          <w:sz w:val="24"/>
          <w:szCs w:val="24"/>
        </w:rPr>
        <w:t>para fines del tercer trimestre”</w:t>
      </w:r>
      <w:r w:rsidRPr="00590630">
        <w:rPr>
          <w:rFonts w:ascii="Times New Roman" w:hAnsi="Times New Roman" w:cs="Times New Roman"/>
          <w:sz w:val="24"/>
          <w:szCs w:val="24"/>
        </w:rPr>
        <w:t>. Actualmente, los tipos se encuentran en el 0,5%. Esta postura implicaría asumir más de 50 puntos básicos entre las próximas reuniones de julio (21 de julio) y septiembre (8 de septiembre), dejando prácticamente al margen una so</w:t>
      </w:r>
      <w:r>
        <w:rPr>
          <w:rFonts w:ascii="Times New Roman" w:hAnsi="Times New Roman" w:cs="Times New Roman"/>
          <w:sz w:val="24"/>
          <w:szCs w:val="24"/>
        </w:rPr>
        <w:t>brerreacción para el mes julio…</w:t>
      </w:r>
    </w:p>
    <w:p w:rsidR="004B799F" w:rsidRPr="00590630" w:rsidRDefault="004B799F" w:rsidP="004B799F">
      <w:pPr>
        <w:spacing w:line="240" w:lineRule="auto"/>
        <w:jc w:val="both"/>
        <w:rPr>
          <w:rFonts w:ascii="Times New Roman" w:hAnsi="Times New Roman" w:cs="Times New Roman"/>
          <w:sz w:val="24"/>
          <w:szCs w:val="24"/>
        </w:rPr>
      </w:pPr>
      <w:r w:rsidRPr="00590630">
        <w:rPr>
          <w:rFonts w:ascii="Times New Roman" w:hAnsi="Times New Roman" w:cs="Times New Roman"/>
          <w:sz w:val="24"/>
          <w:szCs w:val="24"/>
        </w:rPr>
        <w:lastRenderedPageBreak/>
        <w:t>Actualmente, los tipos oficiales del BCE se encuentran situados al 0%, pero a efectos prácticos están al -0,5%, asumiendo la tasa de depósitos que está establ</w:t>
      </w:r>
      <w:r>
        <w:rPr>
          <w:rFonts w:ascii="Times New Roman" w:hAnsi="Times New Roman" w:cs="Times New Roman"/>
          <w:sz w:val="24"/>
          <w:szCs w:val="24"/>
        </w:rPr>
        <w:t>ecida desde septiembre de 2019.</w:t>
      </w:r>
    </w:p>
    <w:p w:rsidR="004B799F" w:rsidRPr="00590630" w:rsidRDefault="004B799F" w:rsidP="004B799F">
      <w:pPr>
        <w:spacing w:line="240" w:lineRule="auto"/>
        <w:jc w:val="both"/>
        <w:rPr>
          <w:rFonts w:ascii="Times New Roman" w:hAnsi="Times New Roman" w:cs="Times New Roman"/>
          <w:sz w:val="24"/>
          <w:szCs w:val="24"/>
        </w:rPr>
      </w:pPr>
      <w:r w:rsidRPr="00590630">
        <w:rPr>
          <w:rFonts w:ascii="Times New Roman" w:hAnsi="Times New Roman" w:cs="Times New Roman"/>
          <w:sz w:val="24"/>
          <w:szCs w:val="24"/>
        </w:rPr>
        <w:t>Hoy, Lagarde ha sido más explícita que nunca en un post en el blog de política monetaria del BCE y ha ido más allá explican</w:t>
      </w:r>
      <w:r>
        <w:rPr>
          <w:rFonts w:ascii="Times New Roman" w:hAnsi="Times New Roman" w:cs="Times New Roman"/>
          <w:sz w:val="24"/>
          <w:szCs w:val="24"/>
        </w:rPr>
        <w:t>do los siguientes movimientos. “</w:t>
      </w:r>
      <w:r w:rsidRPr="00590630">
        <w:rPr>
          <w:rFonts w:ascii="Times New Roman" w:hAnsi="Times New Roman" w:cs="Times New Roman"/>
          <w:sz w:val="24"/>
          <w:szCs w:val="24"/>
        </w:rPr>
        <w:t>Es probable que estemos en condiciones de salir de las tasas de interés negativas para fines del t</w:t>
      </w:r>
      <w:r>
        <w:rPr>
          <w:rFonts w:ascii="Times New Roman" w:hAnsi="Times New Roman" w:cs="Times New Roman"/>
          <w:sz w:val="24"/>
          <w:szCs w:val="24"/>
        </w:rPr>
        <w:t>ercer trimestre”, ha subrayado.</w:t>
      </w:r>
    </w:p>
    <w:p w:rsidR="004B799F" w:rsidRDefault="004B799F" w:rsidP="004B799F">
      <w:pPr>
        <w:spacing w:line="240" w:lineRule="auto"/>
        <w:jc w:val="both"/>
        <w:rPr>
          <w:rFonts w:ascii="Times New Roman" w:hAnsi="Times New Roman" w:cs="Times New Roman"/>
          <w:sz w:val="24"/>
          <w:szCs w:val="24"/>
        </w:rPr>
      </w:pPr>
      <w:r w:rsidRPr="00590630">
        <w:rPr>
          <w:rFonts w:ascii="Times New Roman" w:hAnsi="Times New Roman" w:cs="Times New Roman"/>
          <w:sz w:val="24"/>
          <w:szCs w:val="24"/>
        </w:rPr>
        <w:t>Los movimientos anticipados por Lagarde son los que descuentan el mercado. Una primera subida para julio y otro que ponga fin a los tipos negativos en septiembre. Los inversores no se quedan ahí. A través de los swaps que sirven de cobertura ante la subida o bajada en los tipos, prevén un nuevo incremento de 25 puntos básicos en octubre y otro para cerrar el año en diciembre.</w:t>
      </w:r>
    </w:p>
    <w:p w:rsidR="004B799F" w:rsidRDefault="004B799F" w:rsidP="004B799F">
      <w:pPr>
        <w:spacing w:line="240" w:lineRule="auto"/>
        <w:jc w:val="both"/>
        <w:rPr>
          <w:rFonts w:ascii="Times New Roman" w:hAnsi="Times New Roman" w:cs="Times New Roman"/>
          <w:sz w:val="24"/>
          <w:szCs w:val="24"/>
        </w:rPr>
      </w:pPr>
      <w:r w:rsidRPr="00590630">
        <w:rPr>
          <w:rFonts w:ascii="Times New Roman" w:hAnsi="Times New Roman" w:cs="Times New Roman"/>
          <w:sz w:val="24"/>
          <w:szCs w:val="24"/>
        </w:rPr>
        <w:t xml:space="preserve">Este fin de </w:t>
      </w:r>
      <w:r>
        <w:rPr>
          <w:rFonts w:ascii="Times New Roman" w:hAnsi="Times New Roman" w:cs="Times New Roman"/>
          <w:sz w:val="24"/>
          <w:szCs w:val="24"/>
        </w:rPr>
        <w:t>semana, ya había comentado que “</w:t>
      </w:r>
      <w:r w:rsidRPr="00590630">
        <w:rPr>
          <w:rFonts w:ascii="Times New Roman" w:hAnsi="Times New Roman" w:cs="Times New Roman"/>
          <w:sz w:val="24"/>
          <w:szCs w:val="24"/>
        </w:rPr>
        <w:t>tenemos que pisar el acelerador con seguridad para reducir la inflación, pero no podemos rom</w:t>
      </w:r>
      <w:r>
        <w:rPr>
          <w:rFonts w:ascii="Times New Roman" w:hAnsi="Times New Roman" w:cs="Times New Roman"/>
          <w:sz w:val="24"/>
          <w:szCs w:val="24"/>
        </w:rPr>
        <w:t>per las marchas del crecimiento”</w:t>
      </w:r>
      <w:r w:rsidRPr="00590630">
        <w:rPr>
          <w:rFonts w:ascii="Times New Roman" w:hAnsi="Times New Roman" w:cs="Times New Roman"/>
          <w:sz w:val="24"/>
          <w:szCs w:val="24"/>
        </w:rPr>
        <w:t>, explicó en una entrevista en la televisión holandesa, precisamente donde se celebrará la próxima reunión, en la que s</w:t>
      </w:r>
      <w:r>
        <w:rPr>
          <w:rFonts w:ascii="Times New Roman" w:hAnsi="Times New Roman" w:cs="Times New Roman"/>
          <w:sz w:val="24"/>
          <w:szCs w:val="24"/>
        </w:rPr>
        <w:t>e tiene que poner fin al PEPP. “</w:t>
      </w:r>
      <w:r w:rsidRPr="00590630">
        <w:rPr>
          <w:rFonts w:ascii="Times New Roman" w:hAnsi="Times New Roman" w:cs="Times New Roman"/>
          <w:sz w:val="24"/>
          <w:szCs w:val="24"/>
        </w:rPr>
        <w:t>Necesitamos asegurarnos</w:t>
      </w:r>
      <w:r>
        <w:rPr>
          <w:rFonts w:ascii="Times New Roman" w:hAnsi="Times New Roman" w:cs="Times New Roman"/>
          <w:sz w:val="24"/>
          <w:szCs w:val="24"/>
        </w:rPr>
        <w:t xml:space="preserve"> de que la subida sea gradual”…</w:t>
      </w:r>
    </w:p>
    <w:p w:rsidR="004B799F" w:rsidRPr="00590630" w:rsidRDefault="004B799F" w:rsidP="004B799F">
      <w:pPr>
        <w:spacing w:line="240" w:lineRule="auto"/>
        <w:jc w:val="both"/>
        <w:rPr>
          <w:rFonts w:ascii="Times New Roman" w:hAnsi="Times New Roman" w:cs="Times New Roman"/>
          <w:sz w:val="24"/>
          <w:szCs w:val="24"/>
        </w:rPr>
      </w:pPr>
      <w:r w:rsidRPr="00F74891">
        <w:rPr>
          <w:rFonts w:ascii="Times New Roman" w:hAnsi="Times New Roman" w:cs="Times New Roman"/>
          <w:noProof/>
          <w:sz w:val="24"/>
          <w:szCs w:val="24"/>
          <w:lang w:eastAsia="es-ES"/>
        </w:rPr>
        <w:drawing>
          <wp:inline distT="0" distB="0" distL="0" distR="0" wp14:anchorId="5404032C" wp14:editId="38FA8A79">
            <wp:extent cx="5733648" cy="3130550"/>
            <wp:effectExtent l="0" t="0" r="635"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731510" cy="3129383"/>
                    </a:xfrm>
                    <a:prstGeom prst="rect">
                      <a:avLst/>
                    </a:prstGeom>
                  </pic:spPr>
                </pic:pic>
              </a:graphicData>
            </a:graphic>
          </wp:inline>
        </w:drawing>
      </w:r>
    </w:p>
    <w:p w:rsidR="004B799F" w:rsidRPr="00590630" w:rsidRDefault="004B799F" w:rsidP="004B799F">
      <w:pPr>
        <w:spacing w:line="240" w:lineRule="auto"/>
        <w:jc w:val="both"/>
        <w:rPr>
          <w:rFonts w:ascii="Times New Roman" w:hAnsi="Times New Roman" w:cs="Times New Roman"/>
          <w:sz w:val="24"/>
          <w:szCs w:val="24"/>
        </w:rPr>
      </w:pPr>
      <w:r w:rsidRPr="00590630">
        <w:rPr>
          <w:rFonts w:ascii="Times New Roman" w:hAnsi="Times New Roman" w:cs="Times New Roman"/>
          <w:sz w:val="24"/>
          <w:szCs w:val="24"/>
        </w:rPr>
        <w:t>En el pronunciamiento de Lagarde también ha descartado que la inflación sea un reflejo d</w:t>
      </w:r>
      <w:r>
        <w:rPr>
          <w:rFonts w:ascii="Times New Roman" w:hAnsi="Times New Roman" w:cs="Times New Roman"/>
          <w:sz w:val="24"/>
          <w:szCs w:val="24"/>
        </w:rPr>
        <w:t>e una economía sobrecalentada, “</w:t>
      </w:r>
      <w:r w:rsidRPr="00590630">
        <w:rPr>
          <w:rFonts w:ascii="Times New Roman" w:hAnsi="Times New Roman" w:cs="Times New Roman"/>
          <w:sz w:val="24"/>
          <w:szCs w:val="24"/>
        </w:rPr>
        <w:t xml:space="preserve">como resultado </w:t>
      </w:r>
      <w:r w:rsidR="009C155A">
        <w:rPr>
          <w:rFonts w:ascii="Times New Roman" w:hAnsi="Times New Roman" w:cs="Times New Roman"/>
          <w:sz w:val="24"/>
          <w:szCs w:val="24"/>
        </w:rPr>
        <w:t>de un shock de demanda positivo”</w:t>
      </w:r>
      <w:r w:rsidRPr="00590630">
        <w:rPr>
          <w:rFonts w:ascii="Times New Roman" w:hAnsi="Times New Roman" w:cs="Times New Roman"/>
          <w:sz w:val="24"/>
          <w:szCs w:val="24"/>
        </w:rPr>
        <w:t>. Por e</w:t>
      </w:r>
      <w:r w:rsidR="009C155A">
        <w:rPr>
          <w:rFonts w:ascii="Times New Roman" w:hAnsi="Times New Roman" w:cs="Times New Roman"/>
          <w:sz w:val="24"/>
          <w:szCs w:val="24"/>
        </w:rPr>
        <w:t>llo el BCE deberá estar guiado “</w:t>
      </w:r>
      <w:r w:rsidRPr="00590630">
        <w:rPr>
          <w:rFonts w:ascii="Times New Roman" w:hAnsi="Times New Roman" w:cs="Times New Roman"/>
          <w:sz w:val="24"/>
          <w:szCs w:val="24"/>
        </w:rPr>
        <w:t>por la evolución de las perspect</w:t>
      </w:r>
      <w:r w:rsidR="009C155A">
        <w:rPr>
          <w:rFonts w:ascii="Times New Roman" w:hAnsi="Times New Roman" w:cs="Times New Roman"/>
          <w:sz w:val="24"/>
          <w:szCs w:val="24"/>
        </w:rPr>
        <w:t>ivas de inflación a medio plazo”</w:t>
      </w:r>
      <w:r w:rsidRPr="00590630">
        <w:rPr>
          <w:rFonts w:ascii="Times New Roman" w:hAnsi="Times New Roman" w:cs="Times New Roman"/>
          <w:sz w:val="24"/>
          <w:szCs w:val="24"/>
        </w:rPr>
        <w:t>. Lagarde ha descartado una posición del BCE por encima del tipo neutral, el punto de equilibrio de una economía para funcionar con pleno empleo y c</w:t>
      </w:r>
      <w:r w:rsidR="009C155A">
        <w:rPr>
          <w:rFonts w:ascii="Times New Roman" w:hAnsi="Times New Roman" w:cs="Times New Roman"/>
          <w:sz w:val="24"/>
          <w:szCs w:val="24"/>
        </w:rPr>
        <w:t>on estabilidad en los precios. “</w:t>
      </w:r>
      <w:r w:rsidRPr="00590630">
        <w:rPr>
          <w:rFonts w:ascii="Times New Roman" w:hAnsi="Times New Roman" w:cs="Times New Roman"/>
          <w:sz w:val="24"/>
          <w:szCs w:val="24"/>
        </w:rPr>
        <w:t>Si vemos que la inflación se estabiliza en un 2% a medio plazo, será apropiada una mayor normalización progresiva de las tasas de interés hacia la tasa neutral, pero el ritmo y la escala general del ajuste no pueden dete</w:t>
      </w:r>
      <w:r w:rsidR="009C155A">
        <w:rPr>
          <w:rFonts w:ascii="Times New Roman" w:hAnsi="Times New Roman" w:cs="Times New Roman"/>
          <w:sz w:val="24"/>
          <w:szCs w:val="24"/>
        </w:rPr>
        <w:t>rminarse ex ante”</w:t>
      </w:r>
      <w:r>
        <w:rPr>
          <w:rFonts w:ascii="Times New Roman" w:hAnsi="Times New Roman" w:cs="Times New Roman"/>
          <w:sz w:val="24"/>
          <w:szCs w:val="24"/>
        </w:rPr>
        <w:t>, ha aclarado.</w:t>
      </w:r>
    </w:p>
    <w:p w:rsidR="004B799F" w:rsidRDefault="009C155A" w:rsidP="004B799F">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4B799F" w:rsidRPr="00590630">
        <w:rPr>
          <w:rFonts w:ascii="Times New Roman" w:hAnsi="Times New Roman" w:cs="Times New Roman"/>
          <w:sz w:val="24"/>
          <w:szCs w:val="24"/>
        </w:rPr>
        <w:t xml:space="preserve">Esto significa que es sensato avanzar paso a paso, observando los efectos sobre la economía y las perspectivas de inflación </w:t>
      </w:r>
      <w:r>
        <w:rPr>
          <w:rFonts w:ascii="Times New Roman" w:hAnsi="Times New Roman" w:cs="Times New Roman"/>
          <w:sz w:val="24"/>
          <w:szCs w:val="24"/>
        </w:rPr>
        <w:t>a medida que aumentan las tasas”</w:t>
      </w:r>
      <w:r w:rsidR="004B799F" w:rsidRPr="00590630">
        <w:rPr>
          <w:rFonts w:ascii="Times New Roman" w:hAnsi="Times New Roman" w:cs="Times New Roman"/>
          <w:sz w:val="24"/>
          <w:szCs w:val="24"/>
        </w:rPr>
        <w:t>, ha añadido.</w:t>
      </w:r>
    </w:p>
    <w:p w:rsidR="009C155A" w:rsidRPr="00B406D1" w:rsidRDefault="009C155A" w:rsidP="009C155A">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B406D1">
        <w:rPr>
          <w:rFonts w:ascii="Times New Roman" w:hAnsi="Times New Roman" w:cs="Times New Roman"/>
          <w:sz w:val="24"/>
          <w:szCs w:val="24"/>
          <w:u w:val="single"/>
        </w:rPr>
        <w:t>La burbuja que los bajos tipos provocan</w:t>
      </w:r>
      <w:r>
        <w:rPr>
          <w:rFonts w:ascii="Times New Roman" w:hAnsi="Times New Roman" w:cs="Times New Roman"/>
          <w:sz w:val="24"/>
          <w:szCs w:val="24"/>
        </w:rPr>
        <w:t xml:space="preserve"> (El Economista - </w:t>
      </w:r>
      <w:r w:rsidRPr="00B406D1">
        <w:rPr>
          <w:rFonts w:ascii="Times New Roman" w:hAnsi="Times New Roman" w:cs="Times New Roman"/>
          <w:b/>
          <w:sz w:val="24"/>
          <w:szCs w:val="24"/>
        </w:rPr>
        <w:t>24/5/22</w:t>
      </w:r>
      <w:r>
        <w:rPr>
          <w:rFonts w:ascii="Times New Roman" w:hAnsi="Times New Roman" w:cs="Times New Roman"/>
          <w:sz w:val="24"/>
          <w:szCs w:val="24"/>
        </w:rPr>
        <w:t>)</w:t>
      </w:r>
    </w:p>
    <w:p w:rsidR="009C155A" w:rsidRPr="009C155A" w:rsidRDefault="009C155A" w:rsidP="009C155A">
      <w:pPr>
        <w:spacing w:line="240" w:lineRule="auto"/>
        <w:jc w:val="both"/>
        <w:rPr>
          <w:rFonts w:ascii="Times New Roman" w:hAnsi="Times New Roman" w:cs="Times New Roman"/>
          <w:color w:val="FF0000"/>
          <w:sz w:val="24"/>
          <w:szCs w:val="24"/>
          <w:u w:val="single"/>
        </w:rPr>
      </w:pPr>
      <w:r w:rsidRPr="009C155A">
        <w:rPr>
          <w:rFonts w:ascii="Times New Roman" w:hAnsi="Times New Roman" w:cs="Times New Roman"/>
          <w:color w:val="FF0000"/>
          <w:sz w:val="24"/>
          <w:szCs w:val="24"/>
          <w:u w:val="single"/>
        </w:rPr>
        <w:t>Los tipos de interés están en su nivel más alto desde hace una década. Las cuotas hipotecarias se disparan. El dinero es cada vez más caro, y eso sólo va a empeorar la crisis del coste de la vida. Siguiendo la cobertura de la decisión del Banco de Inglaterra de subir los tipos de interés, se podría perdonar que se pensara que había tomado una decisión de castigo. Excepto que, agárrense: lo que realmente cuenta es el tipo de interés real. Y nunca ha sido más bajo, lo que significa que deberíamos esperar ver las locas burbujas que siempre crea la política monetaria ultra-relajada.</w:t>
      </w:r>
    </w:p>
    <w:p w:rsidR="009C155A" w:rsidRPr="00B406D1" w:rsidRDefault="009C155A" w:rsidP="009C155A">
      <w:pPr>
        <w:spacing w:line="240" w:lineRule="auto"/>
        <w:jc w:val="both"/>
        <w:rPr>
          <w:rFonts w:ascii="Times New Roman" w:hAnsi="Times New Roman" w:cs="Times New Roman"/>
          <w:sz w:val="24"/>
          <w:szCs w:val="24"/>
        </w:rPr>
      </w:pPr>
      <w:r w:rsidRPr="00B406D1">
        <w:rPr>
          <w:rFonts w:ascii="Times New Roman" w:hAnsi="Times New Roman" w:cs="Times New Roman"/>
          <w:sz w:val="24"/>
          <w:szCs w:val="24"/>
        </w:rPr>
        <w:t>Dice algo sobre cómo nos hemos acostumbrado a tipos de interés en mínimos de 300 años que la medida del Banco de subir los tipos hasta un punto porcentual se trató como una especie de shock. Y, por supuesto, en un nivel es cierto. Es el tipo más alto que hemos visto desde los dramáticos recortes que siguieron al crack financiero de 2008/2009. Y supondrá un aumento significativo de los costes para cualquiera que tenga una hipoteca a tipo variable, o bien que solicite un nuevo préstamo. En el espacio de unos pocos meses el precio del dinero se ha multiplicado por diez, y eso es un aumento dramático al menos en términos porcentuales. En los m</w:t>
      </w:r>
      <w:r>
        <w:rPr>
          <w:rFonts w:ascii="Times New Roman" w:hAnsi="Times New Roman" w:cs="Times New Roman"/>
          <w:sz w:val="24"/>
          <w:szCs w:val="24"/>
        </w:rPr>
        <w:t>árgenes, marcará la diferencia.</w:t>
      </w:r>
    </w:p>
    <w:p w:rsidR="009C155A" w:rsidRPr="009C155A" w:rsidRDefault="009C155A" w:rsidP="009C155A">
      <w:pPr>
        <w:spacing w:line="240" w:lineRule="auto"/>
        <w:jc w:val="both"/>
        <w:rPr>
          <w:rFonts w:ascii="Times New Roman" w:hAnsi="Times New Roman" w:cs="Times New Roman"/>
          <w:color w:val="FF0000"/>
          <w:sz w:val="24"/>
          <w:szCs w:val="24"/>
          <w:u w:val="single"/>
        </w:rPr>
      </w:pPr>
      <w:r w:rsidRPr="009C155A">
        <w:rPr>
          <w:rFonts w:ascii="Times New Roman" w:hAnsi="Times New Roman" w:cs="Times New Roman"/>
          <w:color w:val="FF0000"/>
          <w:sz w:val="24"/>
          <w:szCs w:val="24"/>
          <w:u w:val="single"/>
        </w:rPr>
        <w:t>Sin embargo, la cifra realmente importante no es el tipo de interés real, sino el coste del dinero después de tener en cuenta la inflación. Y eso nos dice una historia muy diferente. La inflación ya está por encima del 7%, y al mismo tiempo que subía los tipos en un cuarto de punto, el Banco también revisaba sus previsiones. Ahora espera que la inflación aumente hasta el 10% a finales de este año o principios del próximo, frente a una previsión anterior del 9%. En este momento, el tipo de interés real es de menos 6%, y muy pronto llegará a menos 9%, una cifra históricamente extraordinariamente baja.</w:t>
      </w:r>
    </w:p>
    <w:p w:rsidR="009C155A" w:rsidRPr="00B406D1" w:rsidRDefault="009C155A" w:rsidP="009C155A">
      <w:pPr>
        <w:spacing w:line="240" w:lineRule="auto"/>
        <w:jc w:val="both"/>
        <w:rPr>
          <w:rFonts w:ascii="Times New Roman" w:hAnsi="Times New Roman" w:cs="Times New Roman"/>
          <w:sz w:val="24"/>
          <w:szCs w:val="24"/>
        </w:rPr>
      </w:pPr>
      <w:r w:rsidRPr="00B406D1">
        <w:rPr>
          <w:rFonts w:ascii="Times New Roman" w:hAnsi="Times New Roman" w:cs="Times New Roman"/>
          <w:sz w:val="24"/>
          <w:szCs w:val="24"/>
        </w:rPr>
        <w:t>En realidad, se trata de un territorio inexplorado. Ninguna de las principales economías desarrolladas ha visto nunca unos tipos reales tan profundos en territorio negativo como este. Cuando la inflación se disparó al 8% en 1992, la última vez que vimos un aumento de la inflación al ritmo que estamos viendo hoy, los tipos de interés estaban en el 12%, una tasa real de más 4%. Incluso cuando los tipos se redujeron casi a cero a raíz de la crisis financiera de 2008 y 2009, la inflación también era casi nula, por lo que el tipo real rondaba el menos 1% o el 2%. En la espiral inflacionista de los años 70, la inflación tocó muy brevemente el 20% en el Reino Unido, pero los tipos de interés también llegaron al 16%, por lo que el tipo real se mantuvo relativamente estable. Un tipo real de menos 9% es algo muy nuevo. Por supuesto, no se trata sólo del Banco de Inglaterra. Todos los grandes bancos centrales están inmersos en un experimento similar. En Estados Unidos, los tipos de interés reales son ahora de menos de 8% y probablemente se adentrarán en territorio negativo. En la eurozona, las cifras son aún más dramáticas. Con una inflación del 16%, Lituania tiene ahora unos tipos negativos del 15,9%, dado que el Banco Central Europeo aún no ha movido ficha para subir el coste del dinero. La mayoría de los países de la eurozona ya están en menos 6% o 7%. Sin embargo, este es el problema. Debemos esperar todas las distorsiones que afectan a una economía cuando el dinero es masivamente barato. ¿Por ejemplo? Aquí</w:t>
      </w:r>
      <w:r>
        <w:rPr>
          <w:rFonts w:ascii="Times New Roman" w:hAnsi="Times New Roman" w:cs="Times New Roman"/>
          <w:sz w:val="24"/>
          <w:szCs w:val="24"/>
        </w:rPr>
        <w:t xml:space="preserve"> hay tres lugares para empezar.</w:t>
      </w:r>
    </w:p>
    <w:p w:rsidR="009C155A" w:rsidRPr="00B406D1" w:rsidRDefault="009C155A" w:rsidP="009C155A">
      <w:pPr>
        <w:spacing w:line="240" w:lineRule="auto"/>
        <w:jc w:val="both"/>
        <w:rPr>
          <w:rFonts w:ascii="Times New Roman" w:hAnsi="Times New Roman" w:cs="Times New Roman"/>
          <w:sz w:val="24"/>
          <w:szCs w:val="24"/>
        </w:rPr>
      </w:pPr>
      <w:r w:rsidRPr="00B406D1">
        <w:rPr>
          <w:rFonts w:ascii="Times New Roman" w:hAnsi="Times New Roman" w:cs="Times New Roman"/>
          <w:sz w:val="24"/>
          <w:szCs w:val="24"/>
        </w:rPr>
        <w:t xml:space="preserve">En primer lugar, un auge del crédito al consumo. Los particulares pedirán cada vez más préstamos para invertir en propiedades, o en cualquier otro tipo de activo real (aunque seamos sinceros, dado que se trata del Reino Unido, es casi seguro que serán propiedades). Después de todo, ¿por qué no? Cuando el valor de su deuda está cayendo un 9% al año en términos reales, se borrará muy rápidamente, suponiendo que los precios de la vivienda sigan </w:t>
      </w:r>
      <w:r w:rsidRPr="00B406D1">
        <w:rPr>
          <w:rFonts w:ascii="Times New Roman" w:hAnsi="Times New Roman" w:cs="Times New Roman"/>
          <w:sz w:val="24"/>
          <w:szCs w:val="24"/>
        </w:rPr>
        <w:lastRenderedPageBreak/>
        <w:t>el ritmo de la inflación. Al mismo tiempo, los ahorros quedarán prácticamente anulados. No tiene ningún sentido mantener el dinero en efectivo en el banco cuando está perdiendo casi una décima parte de su valor por el simple hecho de estar allí. Veremos una enorme expansión del crédito, mientras que el ahorro para financiarlo se derrumba - no es la rece</w:t>
      </w:r>
      <w:r>
        <w:rPr>
          <w:rFonts w:ascii="Times New Roman" w:hAnsi="Times New Roman" w:cs="Times New Roman"/>
          <w:sz w:val="24"/>
          <w:szCs w:val="24"/>
        </w:rPr>
        <w:t>ta para una economía saludable.</w:t>
      </w:r>
    </w:p>
    <w:p w:rsidR="009C155A" w:rsidRPr="00B406D1" w:rsidRDefault="009C155A" w:rsidP="009C155A">
      <w:pPr>
        <w:spacing w:line="240" w:lineRule="auto"/>
        <w:jc w:val="both"/>
        <w:rPr>
          <w:rFonts w:ascii="Times New Roman" w:hAnsi="Times New Roman" w:cs="Times New Roman"/>
          <w:sz w:val="24"/>
          <w:szCs w:val="24"/>
        </w:rPr>
      </w:pPr>
      <w:r w:rsidRPr="00B406D1">
        <w:rPr>
          <w:rFonts w:ascii="Times New Roman" w:hAnsi="Times New Roman" w:cs="Times New Roman"/>
          <w:sz w:val="24"/>
          <w:szCs w:val="24"/>
        </w:rPr>
        <w:t>A continuación, al igual que los consumidores, las empresas también se lanzarán a pedir préstamos, apalancándose al máximo. Puedes pedir un montón de dinero prestado, hacerte con una empresa con un flujo de caja estable y, luego, suponiendo que pueda subir sus precios en línea con la inflación, puedes devolver fácilmente el precio que pagaste con sus propios ingresos. Teniendo en cuenta que muchas grandes empresas británicas empezaron con demasiada deuda en su balance para empezar, eso tampo</w:t>
      </w:r>
      <w:r>
        <w:rPr>
          <w:rFonts w:ascii="Times New Roman" w:hAnsi="Times New Roman" w:cs="Times New Roman"/>
          <w:sz w:val="24"/>
          <w:szCs w:val="24"/>
        </w:rPr>
        <w:t>co puede ser un hecho positivo.</w:t>
      </w:r>
    </w:p>
    <w:p w:rsidR="009C155A" w:rsidRPr="00B406D1" w:rsidRDefault="009C155A" w:rsidP="009C155A">
      <w:pPr>
        <w:spacing w:line="240" w:lineRule="auto"/>
        <w:jc w:val="both"/>
        <w:rPr>
          <w:rFonts w:ascii="Times New Roman" w:hAnsi="Times New Roman" w:cs="Times New Roman"/>
          <w:sz w:val="24"/>
          <w:szCs w:val="24"/>
        </w:rPr>
      </w:pPr>
      <w:r w:rsidRPr="00B406D1">
        <w:rPr>
          <w:rFonts w:ascii="Times New Roman" w:hAnsi="Times New Roman" w:cs="Times New Roman"/>
          <w:sz w:val="24"/>
          <w:szCs w:val="24"/>
        </w:rPr>
        <w:t>Por último, las empresas zombis se mantendrán a flote. Ya hemos tenido ese problema desde que los tipos bajaron casi a cero. Las empresas que no tenían ningún futuro real podían seguir tambaleándose porque podían pedir prestado el dinero para seguir adelante aunque apenas fueran rentables. Pero unos tipos reales de -9% harán que la situación sea mucho, mucho peor. Es difícil ver que alguna empresa se hunda, y aunque eso puede ser mejor para las personas que trabajan para ellas a corto plazo, a largo plazo es peor para la eco</w:t>
      </w:r>
      <w:r>
        <w:rPr>
          <w:rFonts w:ascii="Times New Roman" w:hAnsi="Times New Roman" w:cs="Times New Roman"/>
          <w:sz w:val="24"/>
          <w:szCs w:val="24"/>
        </w:rPr>
        <w:t>nomía en general.</w:t>
      </w:r>
    </w:p>
    <w:p w:rsidR="009C155A" w:rsidRPr="00B406D1" w:rsidRDefault="009C155A" w:rsidP="009C155A">
      <w:pPr>
        <w:spacing w:line="240" w:lineRule="auto"/>
        <w:jc w:val="both"/>
        <w:rPr>
          <w:rFonts w:ascii="Times New Roman" w:hAnsi="Times New Roman" w:cs="Times New Roman"/>
          <w:sz w:val="24"/>
          <w:szCs w:val="24"/>
        </w:rPr>
      </w:pPr>
      <w:r w:rsidRPr="00B406D1">
        <w:rPr>
          <w:rFonts w:ascii="Times New Roman" w:hAnsi="Times New Roman" w:cs="Times New Roman"/>
          <w:sz w:val="24"/>
          <w:szCs w:val="24"/>
        </w:rPr>
        <w:t>Es fácil dejarse engañar por las subidas de un cuarto de punto de que los tipos se están endureciendo. Eso es lo que el Banco dice que está haciendo, y eso es lo que dicen los titulares. Sin embargo, eso es malinterpretar lo que realmente está sucediendo. En realidad, como la inflación sigue acelerando a un ritmo mucho más rápido que el coste del dinero, en términos reales los tipos se están reduciendo, y de forma drástica. Tenemos unas cuantas décadas de historia para decirnos que esto sólo va a avivar otra burbuja salvaje en los préstamos y los precios de los activos, y con esta ni siquiera sabemos cuándo terminará.</w:t>
      </w:r>
    </w:p>
    <w:p w:rsidR="009C155A" w:rsidRDefault="009C155A" w:rsidP="009C155A">
      <w:pPr>
        <w:spacing w:line="240" w:lineRule="auto"/>
        <w:jc w:val="both"/>
        <w:rPr>
          <w:rFonts w:ascii="Times New Roman" w:hAnsi="Times New Roman" w:cs="Times New Roman"/>
          <w:sz w:val="24"/>
          <w:szCs w:val="24"/>
        </w:rPr>
      </w:pPr>
      <w:r w:rsidRPr="00B406D1">
        <w:rPr>
          <w:rFonts w:ascii="Times New Roman" w:hAnsi="Times New Roman" w:cs="Times New Roman"/>
          <w:sz w:val="24"/>
          <w:szCs w:val="24"/>
        </w:rPr>
        <w:t>(Matthew Lynn - Director ejecutivo de Strategy Economics</w:t>
      </w:r>
      <w:r>
        <w:rPr>
          <w:rFonts w:ascii="Times New Roman" w:hAnsi="Times New Roman" w:cs="Times New Roman"/>
          <w:sz w:val="24"/>
          <w:szCs w:val="24"/>
        </w:rPr>
        <w:t>)</w:t>
      </w:r>
    </w:p>
    <w:p w:rsidR="009C155A" w:rsidRPr="006C00CB" w:rsidRDefault="009C155A" w:rsidP="009C155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6C00CB">
        <w:rPr>
          <w:rFonts w:ascii="Times New Roman" w:hAnsi="Times New Roman" w:cs="Times New Roman"/>
          <w:sz w:val="24"/>
          <w:szCs w:val="24"/>
          <w:u w:val="single"/>
        </w:rPr>
        <w:t>El BCE alerta del riesgo de los criptoactivos para la estabilidad financiera</w:t>
      </w:r>
      <w:r>
        <w:rPr>
          <w:rFonts w:ascii="Times New Roman" w:hAnsi="Times New Roman" w:cs="Times New Roman"/>
          <w:sz w:val="24"/>
          <w:szCs w:val="24"/>
        </w:rPr>
        <w:t xml:space="preserve"> (Cinco Días - </w:t>
      </w:r>
      <w:r w:rsidRPr="006C00CB">
        <w:rPr>
          <w:rFonts w:ascii="Times New Roman" w:hAnsi="Times New Roman" w:cs="Times New Roman"/>
          <w:b/>
          <w:sz w:val="24"/>
          <w:szCs w:val="24"/>
        </w:rPr>
        <w:t>25/5/22</w:t>
      </w:r>
      <w:r>
        <w:rPr>
          <w:rFonts w:ascii="Times New Roman" w:hAnsi="Times New Roman" w:cs="Times New Roman"/>
          <w:sz w:val="24"/>
          <w:szCs w:val="24"/>
        </w:rPr>
        <w:t>)</w:t>
      </w:r>
    </w:p>
    <w:p w:rsidR="009C155A" w:rsidRPr="009C155A" w:rsidRDefault="009C155A" w:rsidP="009C155A">
      <w:pPr>
        <w:spacing w:line="240" w:lineRule="auto"/>
        <w:jc w:val="both"/>
        <w:rPr>
          <w:rFonts w:ascii="Times New Roman" w:hAnsi="Times New Roman" w:cs="Times New Roman"/>
          <w:color w:val="FF0000"/>
          <w:sz w:val="24"/>
          <w:szCs w:val="24"/>
        </w:rPr>
      </w:pPr>
      <w:r w:rsidRPr="009C155A">
        <w:rPr>
          <w:rFonts w:ascii="Times New Roman" w:hAnsi="Times New Roman" w:cs="Times New Roman"/>
          <w:color w:val="FF0000"/>
          <w:sz w:val="24"/>
          <w:szCs w:val="24"/>
        </w:rPr>
        <w:t>Los brókeres de criptoactivos permiten apalancarse hasta 125 veces</w:t>
      </w:r>
    </w:p>
    <w:p w:rsidR="009C155A" w:rsidRDefault="009C155A" w:rsidP="009C155A">
      <w:pPr>
        <w:spacing w:line="240" w:lineRule="auto"/>
        <w:jc w:val="both"/>
        <w:rPr>
          <w:rFonts w:ascii="Times New Roman" w:hAnsi="Times New Roman" w:cs="Times New Roman"/>
          <w:color w:val="FF0000"/>
          <w:sz w:val="24"/>
          <w:szCs w:val="24"/>
        </w:rPr>
      </w:pPr>
      <w:r w:rsidRPr="009C155A">
        <w:rPr>
          <w:rFonts w:ascii="Times New Roman" w:hAnsi="Times New Roman" w:cs="Times New Roman"/>
          <w:color w:val="FF0000"/>
          <w:sz w:val="24"/>
          <w:szCs w:val="24"/>
        </w:rPr>
        <w:t>España es el segundo país del euro con más porcentaje de hogares con criptodivisas</w:t>
      </w:r>
    </w:p>
    <w:p w:rsidR="009C155A" w:rsidRPr="009C155A" w:rsidRDefault="009C155A" w:rsidP="009C155A">
      <w:pPr>
        <w:spacing w:line="240" w:lineRule="auto"/>
        <w:jc w:val="both"/>
        <w:rPr>
          <w:rFonts w:ascii="Times New Roman" w:hAnsi="Times New Roman" w:cs="Times New Roman"/>
          <w:color w:val="FF0000"/>
          <w:sz w:val="24"/>
          <w:szCs w:val="24"/>
        </w:rPr>
      </w:pPr>
      <w:r>
        <w:rPr>
          <w:noProof/>
          <w:lang w:eastAsia="es-ES"/>
        </w:rPr>
        <w:drawing>
          <wp:inline distT="0" distB="0" distL="0" distR="0" wp14:anchorId="3E2D4533" wp14:editId="69C494D5">
            <wp:extent cx="5731510" cy="2456180"/>
            <wp:effectExtent l="0" t="0" r="2540" b="1270"/>
            <wp:docPr id="27" name="Imagen 27" descr="Apalancamien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palancamiento"/>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731510" cy="2456180"/>
                    </a:xfrm>
                    <a:prstGeom prst="rect">
                      <a:avLst/>
                    </a:prstGeom>
                    <a:noFill/>
                    <a:ln>
                      <a:noFill/>
                    </a:ln>
                  </pic:spPr>
                </pic:pic>
              </a:graphicData>
            </a:graphic>
          </wp:inline>
        </w:drawing>
      </w:r>
    </w:p>
    <w:p w:rsidR="009C155A" w:rsidRDefault="009C155A" w:rsidP="009C155A">
      <w:pPr>
        <w:spacing w:line="240" w:lineRule="auto"/>
        <w:jc w:val="both"/>
        <w:rPr>
          <w:rFonts w:ascii="Times New Roman" w:hAnsi="Times New Roman" w:cs="Times New Roman"/>
          <w:sz w:val="24"/>
          <w:szCs w:val="24"/>
        </w:rPr>
      </w:pPr>
      <w:r w:rsidRPr="006C00CB">
        <w:rPr>
          <w:rFonts w:ascii="Times New Roman" w:hAnsi="Times New Roman" w:cs="Times New Roman"/>
          <w:sz w:val="24"/>
          <w:szCs w:val="24"/>
        </w:rPr>
        <w:lastRenderedPageBreak/>
        <w:t>Al riesgo de invertir en un tipo de activo que no se sustenta en nad</w:t>
      </w:r>
      <w:r>
        <w:rPr>
          <w:rFonts w:ascii="Times New Roman" w:hAnsi="Times New Roman" w:cs="Times New Roman"/>
          <w:sz w:val="24"/>
          <w:szCs w:val="24"/>
        </w:rPr>
        <w:t>a tangible de la economía real -</w:t>
      </w:r>
      <w:r w:rsidRPr="006C00CB">
        <w:rPr>
          <w:rFonts w:ascii="Times New Roman" w:hAnsi="Times New Roman" w:cs="Times New Roman"/>
          <w:sz w:val="24"/>
          <w:szCs w:val="24"/>
        </w:rPr>
        <w:t xml:space="preserve">y en el que la expectativa de subida </w:t>
      </w:r>
      <w:r>
        <w:rPr>
          <w:rFonts w:ascii="Times New Roman" w:hAnsi="Times New Roman" w:cs="Times New Roman"/>
          <w:sz w:val="24"/>
          <w:szCs w:val="24"/>
        </w:rPr>
        <w:t>responde casi a un acto de fe-</w:t>
      </w:r>
      <w:r w:rsidRPr="006C00CB">
        <w:rPr>
          <w:rFonts w:ascii="Times New Roman" w:hAnsi="Times New Roman" w:cs="Times New Roman"/>
          <w:sz w:val="24"/>
          <w:szCs w:val="24"/>
        </w:rPr>
        <w:t xml:space="preserve"> se añade el riesgo de hacerlo a menudo apalancado y a préstamo. Un cóctel que garantiza la volatilidad y que puede amplificar las ganancias, y también las pérdidas. Los criptoactivos cumplen todos estos requisitos y su auge y el elevado apalancamiento con el que llegan a negociarse son factores capaces de amplificar la amenaza para la estabilidad financiera, según un anál</w:t>
      </w:r>
      <w:r>
        <w:rPr>
          <w:rFonts w:ascii="Times New Roman" w:hAnsi="Times New Roman" w:cs="Times New Roman"/>
          <w:sz w:val="24"/>
          <w:szCs w:val="24"/>
        </w:rPr>
        <w:t>isis publicado ayer por el BCE.</w:t>
      </w:r>
    </w:p>
    <w:p w:rsidR="009C155A" w:rsidRDefault="009C155A" w:rsidP="009C155A">
      <w:pPr>
        <w:spacing w:line="240" w:lineRule="auto"/>
        <w:jc w:val="both"/>
        <w:rPr>
          <w:rFonts w:ascii="Times New Roman" w:hAnsi="Times New Roman" w:cs="Times New Roman"/>
          <w:sz w:val="24"/>
          <w:szCs w:val="24"/>
        </w:rPr>
      </w:pPr>
      <w:r w:rsidRPr="006C00CB">
        <w:rPr>
          <w:rFonts w:ascii="Times New Roman" w:hAnsi="Times New Roman" w:cs="Times New Roman"/>
          <w:sz w:val="24"/>
          <w:szCs w:val="24"/>
        </w:rPr>
        <w:t>Tal peligro de momento es solo una posibilidad, aunque avanza a medida que crece el tamaño de los criptoactivos y sin que se haya alcanzado aún un acuerdo sobre su regulación. “El riesgo para la estabilidad financiera podría amplificarse con las crecientes opciones que ofrecen a los inversores las plataformas de criptoactivos para que eleven su exposición a través del apalancamiento”, advierte el BCE. Y aporta un ejemplo revelador. La plataforma Binance, el gigante de la intermediación de criptoativos, llega a ofrecer un apalancamiento máximo de 125 veces la inversión inicial. BitMEX y Bybit permit</w:t>
      </w:r>
      <w:r>
        <w:rPr>
          <w:rFonts w:ascii="Times New Roman" w:hAnsi="Times New Roman" w:cs="Times New Roman"/>
          <w:sz w:val="24"/>
          <w:szCs w:val="24"/>
        </w:rPr>
        <w:t>en apalancarse hasta 100 veces.</w:t>
      </w:r>
    </w:p>
    <w:p w:rsidR="009C155A" w:rsidRDefault="009C155A" w:rsidP="009C155A">
      <w:pPr>
        <w:spacing w:line="240" w:lineRule="auto"/>
        <w:jc w:val="both"/>
        <w:rPr>
          <w:rFonts w:ascii="Times New Roman" w:hAnsi="Times New Roman" w:cs="Times New Roman"/>
          <w:sz w:val="24"/>
          <w:szCs w:val="24"/>
        </w:rPr>
      </w:pPr>
      <w:r w:rsidRPr="006C00CB">
        <w:rPr>
          <w:rFonts w:ascii="Times New Roman" w:hAnsi="Times New Roman" w:cs="Times New Roman"/>
          <w:sz w:val="24"/>
          <w:szCs w:val="24"/>
        </w:rPr>
        <w:t xml:space="preserve">Además, algunos operadores invierten a crédito. Así, el uso extendido de posiciones cortas y largas en criptoactivos contribuye a acelerar los flujos de compras y ventas y, por tanto, las subidas y los desplomes en los precios. Todo ello confirma, según el BCE, que “el apalancamiento está contribuyendo a la volatilidad observada en </w:t>
      </w:r>
      <w:r>
        <w:rPr>
          <w:rFonts w:ascii="Times New Roman" w:hAnsi="Times New Roman" w:cs="Times New Roman"/>
          <w:sz w:val="24"/>
          <w:szCs w:val="24"/>
        </w:rPr>
        <w:t>los mercados de criptoactivos”…</w:t>
      </w:r>
    </w:p>
    <w:p w:rsidR="009C155A" w:rsidRPr="009C155A" w:rsidRDefault="009C155A" w:rsidP="009C155A">
      <w:pPr>
        <w:spacing w:line="240" w:lineRule="auto"/>
        <w:jc w:val="both"/>
        <w:rPr>
          <w:rFonts w:ascii="Times New Roman" w:hAnsi="Times New Roman" w:cs="Times New Roman"/>
          <w:color w:val="FF0000"/>
          <w:sz w:val="24"/>
          <w:szCs w:val="24"/>
          <w:u w:val="single"/>
        </w:rPr>
      </w:pPr>
      <w:r w:rsidRPr="009C155A">
        <w:rPr>
          <w:rFonts w:ascii="Times New Roman" w:hAnsi="Times New Roman" w:cs="Times New Roman"/>
          <w:color w:val="FF0000"/>
          <w:sz w:val="24"/>
          <w:szCs w:val="24"/>
          <w:u w:val="single"/>
        </w:rPr>
        <w:t>El tamaño de los mercados de criptoactivos representa menos del 1% del sistema financiero global. Y pese a la reciente corrección, su peso es hoy similar al que tenían las hipotecas subprime de EE UU que desencadenaron la crisis financiera global en 2007 y 2008, según señala el informe del BCE.</w:t>
      </w:r>
    </w:p>
    <w:p w:rsidR="009C155A" w:rsidRDefault="009C155A" w:rsidP="009C155A">
      <w:pPr>
        <w:spacing w:line="240" w:lineRule="auto"/>
        <w:jc w:val="both"/>
        <w:rPr>
          <w:rFonts w:ascii="Times New Roman" w:hAnsi="Times New Roman" w:cs="Times New Roman"/>
          <w:color w:val="FF0000"/>
          <w:sz w:val="24"/>
          <w:szCs w:val="24"/>
        </w:rPr>
      </w:pPr>
      <w:r w:rsidRPr="009C155A">
        <w:rPr>
          <w:rFonts w:ascii="Times New Roman" w:hAnsi="Times New Roman" w:cs="Times New Roman"/>
          <w:color w:val="FF0000"/>
          <w:sz w:val="24"/>
          <w:szCs w:val="24"/>
          <w:u w:val="single"/>
        </w:rPr>
        <w:t>Su análisis añade que la capitalización de mercado de los criptoactivos es hoy siete veces mayor que en el inicio de 2020, antes de la pandemia, y que cada día se crean una media de 10 nuevos activos digitales. Este universo engloba a más de 16.000 activos distintos, aunque solo unos 25 criptoactivos alcanzan un valor de mercado comparable al de una empresa de gran capitalización</w:t>
      </w:r>
      <w:r>
        <w:rPr>
          <w:rFonts w:ascii="Times New Roman" w:hAnsi="Times New Roman" w:cs="Times New Roman"/>
          <w:color w:val="FF0000"/>
          <w:sz w:val="24"/>
          <w:szCs w:val="24"/>
        </w:rPr>
        <w:t>.</w:t>
      </w:r>
    </w:p>
    <w:p w:rsidR="009C155A" w:rsidRDefault="009C155A" w:rsidP="009C155A">
      <w:pPr>
        <w:spacing w:line="240" w:lineRule="auto"/>
        <w:jc w:val="both"/>
        <w:rPr>
          <w:rFonts w:ascii="Times New Roman" w:hAnsi="Times New Roman" w:cs="Times New Roman"/>
          <w:color w:val="FF0000"/>
          <w:sz w:val="24"/>
          <w:szCs w:val="24"/>
          <w:u w:val="single"/>
        </w:rPr>
      </w:pPr>
      <w:r w:rsidRPr="009C155A">
        <w:rPr>
          <w:rFonts w:ascii="Times New Roman" w:hAnsi="Times New Roman" w:cs="Times New Roman"/>
          <w:color w:val="FF0000"/>
          <w:sz w:val="24"/>
          <w:szCs w:val="24"/>
          <w:u w:val="single"/>
        </w:rPr>
        <w:t>“Si la trayectoria actual de crecimiento en tamaño y complejidad del ecosistema de los criptoactivos continúa y si las instituciones financieras se ven de forma creciente implicadas en ellos, entonces los criptoactivos supondrán un riesgo para la estabilidad financiera”, concluye el BCE.</w:t>
      </w:r>
    </w:p>
    <w:p w:rsidR="009C155A" w:rsidRDefault="009C155A" w:rsidP="009C155A">
      <w:pPr>
        <w:spacing w:line="240" w:lineRule="auto"/>
        <w:jc w:val="both"/>
        <w:rPr>
          <w:rFonts w:ascii="Times New Roman" w:hAnsi="Times New Roman" w:cs="Times New Roman"/>
          <w:sz w:val="24"/>
          <w:szCs w:val="24"/>
        </w:rPr>
      </w:pPr>
      <w:r w:rsidRPr="006C00CB">
        <w:rPr>
          <w:rFonts w:ascii="Times New Roman" w:hAnsi="Times New Roman" w:cs="Times New Roman"/>
          <w:sz w:val="24"/>
          <w:szCs w:val="24"/>
        </w:rPr>
        <w:t>“Si la trayectoria actual de crecimiento en tamaño y complejidad del ecosistema de los criptoactivos continúa y si las instituciones financieras se ven de forma creciente implicadas en ellos, entonces los criptoactivos supondrán un riesgo para la estabilidad financiera”, concluye el BCE.</w:t>
      </w:r>
    </w:p>
    <w:p w:rsidR="009C155A" w:rsidRPr="00AB5212" w:rsidRDefault="009C155A" w:rsidP="009C155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AB5212">
        <w:rPr>
          <w:rFonts w:ascii="Times New Roman" w:hAnsi="Times New Roman" w:cs="Times New Roman"/>
          <w:sz w:val="24"/>
          <w:szCs w:val="24"/>
          <w:u w:val="single"/>
        </w:rPr>
        <w:t>La reducción del balance de la Fed añade presión a Wall Street ante un mercado bajista</w:t>
      </w:r>
      <w:r>
        <w:rPr>
          <w:rFonts w:ascii="Times New Roman" w:hAnsi="Times New Roman" w:cs="Times New Roman"/>
          <w:sz w:val="24"/>
          <w:szCs w:val="24"/>
        </w:rPr>
        <w:t xml:space="preserve"> (Cinco Días - </w:t>
      </w:r>
      <w:r w:rsidRPr="00AB5212">
        <w:rPr>
          <w:rFonts w:ascii="Times New Roman" w:hAnsi="Times New Roman" w:cs="Times New Roman"/>
          <w:b/>
          <w:sz w:val="24"/>
          <w:szCs w:val="24"/>
        </w:rPr>
        <w:t>26/5/22</w:t>
      </w:r>
      <w:r>
        <w:rPr>
          <w:rFonts w:ascii="Times New Roman" w:hAnsi="Times New Roman" w:cs="Times New Roman"/>
          <w:sz w:val="24"/>
          <w:szCs w:val="24"/>
        </w:rPr>
        <w:t>)</w:t>
      </w:r>
    </w:p>
    <w:p w:rsidR="009C155A" w:rsidRDefault="009C155A" w:rsidP="009C155A">
      <w:pPr>
        <w:spacing w:line="240" w:lineRule="auto"/>
        <w:jc w:val="both"/>
        <w:rPr>
          <w:rFonts w:ascii="Times New Roman" w:hAnsi="Times New Roman" w:cs="Times New Roman"/>
          <w:color w:val="FF0000"/>
          <w:sz w:val="24"/>
          <w:szCs w:val="24"/>
        </w:rPr>
      </w:pPr>
      <w:r w:rsidRPr="009C155A">
        <w:rPr>
          <w:rFonts w:ascii="Times New Roman" w:hAnsi="Times New Roman" w:cs="Times New Roman"/>
          <w:color w:val="FF0000"/>
          <w:sz w:val="24"/>
          <w:szCs w:val="24"/>
        </w:rPr>
        <w:t>CaixaBank estima un alza adicional de 50 puntos básicos en los tipos oficiales en 2023</w:t>
      </w:r>
    </w:p>
    <w:p w:rsidR="009C155A" w:rsidRPr="00111AEF" w:rsidRDefault="009C155A" w:rsidP="009C155A">
      <w:pPr>
        <w:spacing w:line="240" w:lineRule="auto"/>
        <w:jc w:val="both"/>
        <w:rPr>
          <w:rFonts w:ascii="Times New Roman" w:hAnsi="Times New Roman" w:cs="Times New Roman"/>
          <w:sz w:val="24"/>
          <w:szCs w:val="24"/>
          <w:u w:val="single"/>
        </w:rPr>
      </w:pPr>
      <w:r w:rsidRPr="00111AEF">
        <w:rPr>
          <w:rFonts w:ascii="Times New Roman" w:hAnsi="Times New Roman" w:cs="Times New Roman"/>
          <w:sz w:val="24"/>
          <w:szCs w:val="24"/>
          <w:u w:val="single"/>
        </w:rPr>
        <w:t xml:space="preserve">La Reserva Federal de Estados Unidos no quiere sustos en la retirada de estímulos económicos. En las actas de su última reunión, la mayoría de los funcionarios del Comité del Mercado Abierto (FOMC) reconocieron que sería apropiada alzas de medio punto en las próximas reuniones, en línea con lo señalado por su presidente Jerome Powell. En la pasada  </w:t>
      </w:r>
      <w:r w:rsidRPr="00111AEF">
        <w:rPr>
          <w:rFonts w:ascii="Times New Roman" w:hAnsi="Times New Roman" w:cs="Times New Roman"/>
          <w:sz w:val="24"/>
          <w:szCs w:val="24"/>
          <w:u w:val="single"/>
        </w:rPr>
        <w:lastRenderedPageBreak/>
        <w:t>cita la institución optó por elevar los tipos de interés en 50 puntos básicos, hasta situar la horquilla entre el 0,75% y el 1,25% para atajar una inflación que se sitúa en el 8,3% aunque con ello ralentice la economía.</w:t>
      </w:r>
    </w:p>
    <w:p w:rsidR="009C155A" w:rsidRPr="009C155A" w:rsidRDefault="009C155A" w:rsidP="009C155A">
      <w:pPr>
        <w:spacing w:line="240" w:lineRule="auto"/>
        <w:jc w:val="both"/>
        <w:rPr>
          <w:rFonts w:ascii="Times New Roman" w:hAnsi="Times New Roman" w:cs="Times New Roman"/>
          <w:color w:val="FF0000"/>
          <w:sz w:val="24"/>
          <w:szCs w:val="24"/>
        </w:rPr>
      </w:pPr>
    </w:p>
    <w:p w:rsidR="009C155A" w:rsidRDefault="009C155A" w:rsidP="009C155A">
      <w:pPr>
        <w:spacing w:line="240" w:lineRule="auto"/>
        <w:jc w:val="both"/>
        <w:rPr>
          <w:rFonts w:ascii="Times New Roman" w:hAnsi="Times New Roman" w:cs="Times New Roman"/>
          <w:sz w:val="24"/>
          <w:szCs w:val="24"/>
        </w:rPr>
      </w:pPr>
      <w:r>
        <w:rPr>
          <w:noProof/>
          <w:lang w:eastAsia="es-ES"/>
        </w:rPr>
        <w:drawing>
          <wp:inline distT="0" distB="0" distL="0" distR="0" wp14:anchorId="1C7BFA1D" wp14:editId="5B36F3BD">
            <wp:extent cx="5733105" cy="2457450"/>
            <wp:effectExtent l="0" t="0" r="1270" b="0"/>
            <wp:docPr id="28" name="Imagen 28" descr="Bancos centra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ancos centrales"/>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731510" cy="2456766"/>
                    </a:xfrm>
                    <a:prstGeom prst="rect">
                      <a:avLst/>
                    </a:prstGeom>
                    <a:noFill/>
                    <a:ln>
                      <a:noFill/>
                    </a:ln>
                  </pic:spPr>
                </pic:pic>
              </a:graphicData>
            </a:graphic>
          </wp:inline>
        </w:drawing>
      </w:r>
    </w:p>
    <w:p w:rsidR="009C155A" w:rsidRPr="00111AEF" w:rsidRDefault="009C155A" w:rsidP="009C155A">
      <w:pPr>
        <w:spacing w:line="240" w:lineRule="auto"/>
        <w:jc w:val="both"/>
        <w:rPr>
          <w:rFonts w:ascii="Times New Roman" w:hAnsi="Times New Roman" w:cs="Times New Roman"/>
          <w:sz w:val="24"/>
          <w:szCs w:val="24"/>
          <w:u w:val="single"/>
        </w:rPr>
      </w:pPr>
      <w:r w:rsidRPr="00AB5212">
        <w:rPr>
          <w:rFonts w:ascii="Times New Roman" w:hAnsi="Times New Roman" w:cs="Times New Roman"/>
          <w:sz w:val="24"/>
          <w:szCs w:val="24"/>
        </w:rPr>
        <w:t xml:space="preserve">La publicación de las actas de la última reunión de la Fed coincide casi en el tiempo con la activación de la reducción del tamaño del balance de la institución (quantitative tightening, en la jerga financiera). </w:t>
      </w:r>
      <w:r w:rsidRPr="00111AEF">
        <w:rPr>
          <w:rFonts w:ascii="Times New Roman" w:hAnsi="Times New Roman" w:cs="Times New Roman"/>
          <w:sz w:val="24"/>
          <w:szCs w:val="24"/>
          <w:u w:val="single"/>
        </w:rPr>
        <w:t>Balance que en abril alcanzaba los 8,9 billones de dólares, lo que representa el 37% del PIB estadounidense, y que se ha duplicado en dos años por las inyecciones realizadas para impulsar la economía tras el estallido de la pandemia.</w:t>
      </w:r>
    </w:p>
    <w:p w:rsidR="009C155A" w:rsidRPr="00AB5212" w:rsidRDefault="009C155A" w:rsidP="009C155A">
      <w:pPr>
        <w:spacing w:line="240" w:lineRule="auto"/>
        <w:jc w:val="both"/>
        <w:rPr>
          <w:rFonts w:ascii="Times New Roman" w:hAnsi="Times New Roman" w:cs="Times New Roman"/>
          <w:sz w:val="24"/>
          <w:szCs w:val="24"/>
        </w:rPr>
      </w:pPr>
      <w:r w:rsidRPr="00AB5212">
        <w:rPr>
          <w:rFonts w:ascii="Times New Roman" w:hAnsi="Times New Roman" w:cs="Times New Roman"/>
          <w:sz w:val="24"/>
          <w:szCs w:val="24"/>
        </w:rPr>
        <w:t>El plan, que arrancará el 1 de junio contempla una reducción a razón de 47.500 millones de dólares al mes, a través de vencimientos de 30.000 millones de dólares en bonos del Tesoro y el resto en vencimientos de activos respaldados por hipotecas (MBS, por sus siglas en inglés). Una cuantía que se elevará previsiblemente en septiembre, hasta unos 95.000 millones de dólares mensuales. No obstante como revelan las actas los miembros más apoyan la venta eventual de valores respaldos por hipotecas, una medida que de producirse se anunciaría con mucha</w:t>
      </w:r>
      <w:r>
        <w:rPr>
          <w:rFonts w:ascii="Times New Roman" w:hAnsi="Times New Roman" w:cs="Times New Roman"/>
          <w:sz w:val="24"/>
          <w:szCs w:val="24"/>
        </w:rPr>
        <w:t xml:space="preserve"> antelación para evitar sustos</w:t>
      </w:r>
      <w:r w:rsidR="00343C25">
        <w:rPr>
          <w:rFonts w:ascii="Times New Roman" w:hAnsi="Times New Roman" w:cs="Times New Roman"/>
          <w:sz w:val="24"/>
          <w:szCs w:val="24"/>
        </w:rPr>
        <w:t>…</w:t>
      </w:r>
    </w:p>
    <w:p w:rsidR="009C155A" w:rsidRPr="00AB5212" w:rsidRDefault="009C155A" w:rsidP="009C155A">
      <w:pPr>
        <w:spacing w:line="240" w:lineRule="auto"/>
        <w:jc w:val="both"/>
        <w:rPr>
          <w:rFonts w:ascii="Times New Roman" w:hAnsi="Times New Roman" w:cs="Times New Roman"/>
          <w:sz w:val="24"/>
          <w:szCs w:val="24"/>
        </w:rPr>
      </w:pPr>
      <w:r w:rsidRPr="00AB5212">
        <w:rPr>
          <w:rFonts w:ascii="Times New Roman" w:hAnsi="Times New Roman" w:cs="Times New Roman"/>
          <w:sz w:val="24"/>
          <w:szCs w:val="24"/>
        </w:rPr>
        <w:t>Los expertos</w:t>
      </w:r>
      <w:r w:rsidR="00343C25">
        <w:rPr>
          <w:rFonts w:ascii="Times New Roman" w:hAnsi="Times New Roman" w:cs="Times New Roman"/>
          <w:sz w:val="24"/>
          <w:szCs w:val="24"/>
        </w:rPr>
        <w:t xml:space="preserve"> de la entidad sostienen </w:t>
      </w:r>
      <w:r w:rsidRPr="00AB5212">
        <w:rPr>
          <w:rFonts w:ascii="Times New Roman" w:hAnsi="Times New Roman" w:cs="Times New Roman"/>
          <w:sz w:val="24"/>
          <w:szCs w:val="24"/>
        </w:rPr>
        <w:t xml:space="preserve">que el llamado QT ejercerá una presión al alza en la rentabilidad de los bonos públicos y privados afectados por la decisión de la institución, dado que “verían caer su precio ante la mayor oferta neta”. Un impacto que desde CaixaBank Research creen que se dejará sentir en mayor medida en el tramo medio y largo de la curva, donde el banco central </w:t>
      </w:r>
      <w:r>
        <w:rPr>
          <w:rFonts w:ascii="Times New Roman" w:hAnsi="Times New Roman" w:cs="Times New Roman"/>
          <w:sz w:val="24"/>
          <w:szCs w:val="24"/>
        </w:rPr>
        <w:t>concentra las compras de bonos.</w:t>
      </w:r>
    </w:p>
    <w:p w:rsidR="009C155A" w:rsidRPr="00AB5212" w:rsidRDefault="009C155A" w:rsidP="009C155A">
      <w:pPr>
        <w:spacing w:line="240" w:lineRule="auto"/>
        <w:jc w:val="both"/>
        <w:rPr>
          <w:rFonts w:ascii="Times New Roman" w:hAnsi="Times New Roman" w:cs="Times New Roman"/>
          <w:sz w:val="24"/>
          <w:szCs w:val="24"/>
        </w:rPr>
      </w:pPr>
      <w:r w:rsidRPr="00AB5212">
        <w:rPr>
          <w:rFonts w:ascii="Times New Roman" w:hAnsi="Times New Roman" w:cs="Times New Roman"/>
          <w:sz w:val="24"/>
          <w:szCs w:val="24"/>
        </w:rPr>
        <w:t>Paralelamente, la subida de las rentabilidades de la deuda estadounidense tensionarán a Wall Street, en un momento en el que la Bolsa estadounidense roza el mercado bajista, es decir, está cerca de caer un</w:t>
      </w:r>
      <w:r>
        <w:rPr>
          <w:rFonts w:ascii="Times New Roman" w:hAnsi="Times New Roman" w:cs="Times New Roman"/>
          <w:sz w:val="24"/>
          <w:szCs w:val="24"/>
        </w:rPr>
        <w:t xml:space="preserve"> 20% desde sus últimos máximos.</w:t>
      </w:r>
    </w:p>
    <w:p w:rsidR="009C155A" w:rsidRDefault="009C155A" w:rsidP="009C155A">
      <w:pPr>
        <w:spacing w:line="240" w:lineRule="auto"/>
        <w:jc w:val="both"/>
        <w:rPr>
          <w:rFonts w:ascii="Times New Roman" w:hAnsi="Times New Roman" w:cs="Times New Roman"/>
          <w:sz w:val="24"/>
          <w:szCs w:val="24"/>
        </w:rPr>
      </w:pPr>
      <w:r w:rsidRPr="00AB5212">
        <w:rPr>
          <w:rFonts w:ascii="Times New Roman" w:hAnsi="Times New Roman" w:cs="Times New Roman"/>
          <w:sz w:val="24"/>
          <w:szCs w:val="24"/>
        </w:rPr>
        <w:t>Así, el Dow Jones acumula una caída superior al 13% desde el pasado 4 de enero, mientras que el S&amp;P 500 cede un 1,5% desde sus últimos máximos y registra siete semanas consecutivas de caídas. Desde la firma de análisis creen que parte del ajuste que puede provocar la retirada de los estímulos en la Bolsa ya se habría producido, dado que se anunció en enero por parte de Jerome Powell, pero no descartan nuevos episodios de volatilidad</w:t>
      </w:r>
      <w:r>
        <w:rPr>
          <w:rFonts w:ascii="Times New Roman" w:hAnsi="Times New Roman" w:cs="Times New Roman"/>
          <w:sz w:val="24"/>
          <w:szCs w:val="24"/>
        </w:rPr>
        <w:t xml:space="preserve"> a partir de la próxima semana.</w:t>
      </w:r>
    </w:p>
    <w:p w:rsidR="009C155A" w:rsidRDefault="009C155A" w:rsidP="004B799F">
      <w:pPr>
        <w:spacing w:line="240" w:lineRule="auto"/>
        <w:jc w:val="both"/>
        <w:rPr>
          <w:rFonts w:ascii="Times New Roman" w:hAnsi="Times New Roman" w:cs="Times New Roman"/>
          <w:sz w:val="24"/>
          <w:szCs w:val="24"/>
        </w:rPr>
      </w:pPr>
      <w:r>
        <w:rPr>
          <w:noProof/>
          <w:lang w:eastAsia="es-ES"/>
        </w:rPr>
        <w:lastRenderedPageBreak/>
        <w:drawing>
          <wp:inline distT="0" distB="0" distL="0" distR="0" wp14:anchorId="4FD280F7" wp14:editId="59AA704D">
            <wp:extent cx="5731510" cy="5836285"/>
            <wp:effectExtent l="0" t="0" r="2540" b="0"/>
            <wp:docPr id="24" name="Imagen 24" descr="Impuestos OC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puestos OCDE"/>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731510" cy="5836285"/>
                    </a:xfrm>
                    <a:prstGeom prst="rect">
                      <a:avLst/>
                    </a:prstGeom>
                    <a:noFill/>
                    <a:ln>
                      <a:noFill/>
                    </a:ln>
                  </pic:spPr>
                </pic:pic>
              </a:graphicData>
            </a:graphic>
          </wp:inline>
        </w:drawing>
      </w:r>
    </w:p>
    <w:p w:rsidR="009C155A" w:rsidRDefault="009C155A" w:rsidP="009C155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(Cinco Días - </w:t>
      </w:r>
      <w:r w:rsidRPr="000A7B9E">
        <w:rPr>
          <w:rFonts w:ascii="Times New Roman" w:hAnsi="Times New Roman" w:cs="Times New Roman"/>
          <w:b/>
          <w:sz w:val="24"/>
          <w:szCs w:val="24"/>
        </w:rPr>
        <w:t>25/5/22</w:t>
      </w:r>
      <w:r>
        <w:rPr>
          <w:rFonts w:ascii="Times New Roman" w:hAnsi="Times New Roman" w:cs="Times New Roman"/>
          <w:sz w:val="24"/>
          <w:szCs w:val="24"/>
        </w:rPr>
        <w:t>)</w:t>
      </w:r>
    </w:p>
    <w:p w:rsidR="00343C25" w:rsidRPr="00BC2392" w:rsidRDefault="00343C25" w:rsidP="00343C2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BC2392">
        <w:rPr>
          <w:rFonts w:ascii="Times New Roman" w:hAnsi="Times New Roman" w:cs="Times New Roman"/>
          <w:sz w:val="24"/>
          <w:szCs w:val="24"/>
          <w:u w:val="single"/>
        </w:rPr>
        <w:t>El BCE prepara un cortafuegos para subir los tipos de interés sin desatar un incendio en la deuda de España e Italia</w:t>
      </w:r>
      <w:r>
        <w:rPr>
          <w:rFonts w:ascii="Times New Roman" w:hAnsi="Times New Roman" w:cs="Times New Roman"/>
          <w:sz w:val="24"/>
          <w:szCs w:val="24"/>
        </w:rPr>
        <w:t xml:space="preserve"> (El Economista - </w:t>
      </w:r>
      <w:r w:rsidRPr="00BC2392">
        <w:rPr>
          <w:rFonts w:ascii="Times New Roman" w:hAnsi="Times New Roman" w:cs="Times New Roman"/>
          <w:b/>
          <w:sz w:val="24"/>
          <w:szCs w:val="24"/>
        </w:rPr>
        <w:t>27/5/22</w:t>
      </w:r>
      <w:r>
        <w:rPr>
          <w:rFonts w:ascii="Times New Roman" w:hAnsi="Times New Roman" w:cs="Times New Roman"/>
          <w:sz w:val="24"/>
          <w:szCs w:val="24"/>
        </w:rPr>
        <w:t>)</w:t>
      </w:r>
    </w:p>
    <w:p w:rsidR="00343C25" w:rsidRPr="00343C25" w:rsidRDefault="00343C25" w:rsidP="00343C25">
      <w:pPr>
        <w:spacing w:line="240" w:lineRule="auto"/>
        <w:jc w:val="both"/>
        <w:rPr>
          <w:rFonts w:ascii="Times New Roman" w:hAnsi="Times New Roman" w:cs="Times New Roman"/>
          <w:color w:val="FF0000"/>
          <w:sz w:val="24"/>
          <w:szCs w:val="24"/>
        </w:rPr>
      </w:pPr>
      <w:r w:rsidRPr="00343C25">
        <w:rPr>
          <w:rFonts w:ascii="Times New Roman" w:hAnsi="Times New Roman" w:cs="Times New Roman"/>
          <w:color w:val="FF0000"/>
          <w:sz w:val="24"/>
          <w:szCs w:val="24"/>
        </w:rPr>
        <w:t>JP Morgan: la flexibilidad de las reinversiones del PEPP podría no ser suficiente</w:t>
      </w:r>
    </w:p>
    <w:p w:rsidR="00343C25" w:rsidRPr="00343C25" w:rsidRDefault="00343C25" w:rsidP="00343C25">
      <w:pPr>
        <w:spacing w:line="240" w:lineRule="auto"/>
        <w:jc w:val="both"/>
        <w:rPr>
          <w:rFonts w:ascii="Times New Roman" w:hAnsi="Times New Roman" w:cs="Times New Roman"/>
          <w:color w:val="FF0000"/>
          <w:sz w:val="24"/>
          <w:szCs w:val="24"/>
        </w:rPr>
      </w:pPr>
      <w:r w:rsidRPr="00343C25">
        <w:rPr>
          <w:rFonts w:ascii="Times New Roman" w:hAnsi="Times New Roman" w:cs="Times New Roman"/>
          <w:color w:val="FF0000"/>
          <w:sz w:val="24"/>
          <w:szCs w:val="24"/>
        </w:rPr>
        <w:t>El BCE tendrá que lanzar una herramienta nueva para contener los spreads</w:t>
      </w:r>
    </w:p>
    <w:p w:rsidR="00343C25" w:rsidRPr="00343C25" w:rsidRDefault="00343C25" w:rsidP="00343C25">
      <w:pPr>
        <w:spacing w:line="240" w:lineRule="auto"/>
        <w:jc w:val="both"/>
        <w:rPr>
          <w:rFonts w:ascii="Times New Roman" w:hAnsi="Times New Roman" w:cs="Times New Roman"/>
          <w:color w:val="FF0000"/>
          <w:sz w:val="24"/>
          <w:szCs w:val="24"/>
        </w:rPr>
      </w:pPr>
      <w:r w:rsidRPr="00343C25">
        <w:rPr>
          <w:rFonts w:ascii="Times New Roman" w:hAnsi="Times New Roman" w:cs="Times New Roman"/>
          <w:color w:val="FF0000"/>
          <w:sz w:val="24"/>
          <w:szCs w:val="24"/>
        </w:rPr>
        <w:t>El gran riesgo es la falta de acuerdo entre los países del norte y del sur</w:t>
      </w:r>
    </w:p>
    <w:p w:rsidR="00343C25" w:rsidRPr="00BC2392" w:rsidRDefault="00343C25" w:rsidP="00343C25">
      <w:pPr>
        <w:spacing w:line="240" w:lineRule="auto"/>
        <w:jc w:val="both"/>
        <w:rPr>
          <w:rFonts w:ascii="Times New Roman" w:hAnsi="Times New Roman" w:cs="Times New Roman"/>
          <w:sz w:val="24"/>
          <w:szCs w:val="24"/>
        </w:rPr>
      </w:pPr>
      <w:r w:rsidRPr="003D1E73">
        <w:rPr>
          <w:rFonts w:ascii="Times New Roman" w:hAnsi="Times New Roman" w:cs="Times New Roman"/>
          <w:sz w:val="24"/>
          <w:szCs w:val="24"/>
          <w:u w:val="single"/>
        </w:rPr>
        <w:t>El Banco Central Europeo ejecutará en julio la primera subida de tipos de interés en diez años. La persistencia de la inflación ha forz</w:t>
      </w:r>
      <w:r>
        <w:rPr>
          <w:rFonts w:ascii="Times New Roman" w:hAnsi="Times New Roman" w:cs="Times New Roman"/>
          <w:sz w:val="24"/>
          <w:szCs w:val="24"/>
          <w:u w:val="single"/>
        </w:rPr>
        <w:t>ado a la institución a iniciar “la vuelta a la normalidad”</w:t>
      </w:r>
      <w:r w:rsidRPr="003D1E73">
        <w:rPr>
          <w:rFonts w:ascii="Times New Roman" w:hAnsi="Times New Roman" w:cs="Times New Roman"/>
          <w:sz w:val="24"/>
          <w:szCs w:val="24"/>
          <w:u w:val="single"/>
        </w:rPr>
        <w:t>, pese a que muchos indicadores económicos en algunos países del euro son de todo menos normales. El endurecimiento se va a producir en un contexto de bajo crecimiento, alta incertidumbre y, sobre todo, elevadísimo endeudamiento. Un cóctel explosivo que puede desatar un incendio en la deuda de los países más vulnerables de la Eurozona</w:t>
      </w:r>
      <w:r w:rsidRPr="00BC2392">
        <w:rPr>
          <w:rFonts w:ascii="Times New Roman" w:hAnsi="Times New Roman" w:cs="Times New Roman"/>
          <w:sz w:val="24"/>
          <w:szCs w:val="24"/>
        </w:rPr>
        <w:t xml:space="preserve">. Para reducir </w:t>
      </w:r>
      <w:r w:rsidRPr="00BC2392">
        <w:rPr>
          <w:rFonts w:ascii="Times New Roman" w:hAnsi="Times New Roman" w:cs="Times New Roman"/>
          <w:sz w:val="24"/>
          <w:szCs w:val="24"/>
        </w:rPr>
        <w:lastRenderedPageBreak/>
        <w:t>este riesgo, el BC</w:t>
      </w:r>
      <w:r>
        <w:rPr>
          <w:rFonts w:ascii="Times New Roman" w:hAnsi="Times New Roman" w:cs="Times New Roman"/>
          <w:sz w:val="24"/>
          <w:szCs w:val="24"/>
        </w:rPr>
        <w:t>E podría estaría preparando un “cortafuegos”</w:t>
      </w:r>
      <w:r w:rsidRPr="00BC2392">
        <w:rPr>
          <w:rFonts w:ascii="Times New Roman" w:hAnsi="Times New Roman" w:cs="Times New Roman"/>
          <w:sz w:val="24"/>
          <w:szCs w:val="24"/>
        </w:rPr>
        <w:t xml:space="preserve"> que impida, al menos parcialmente, que el incendio termine abrasando a la zona euro como estuvo a p</w:t>
      </w:r>
      <w:r>
        <w:rPr>
          <w:rFonts w:ascii="Times New Roman" w:hAnsi="Times New Roman" w:cs="Times New Roman"/>
          <w:sz w:val="24"/>
          <w:szCs w:val="24"/>
        </w:rPr>
        <w:t>unto de ocurrir en 2011 y 2012.</w:t>
      </w:r>
    </w:p>
    <w:p w:rsidR="00343C25" w:rsidRPr="00BC2392" w:rsidRDefault="00343C25" w:rsidP="00343C25">
      <w:pPr>
        <w:spacing w:line="240" w:lineRule="auto"/>
        <w:jc w:val="both"/>
        <w:rPr>
          <w:rFonts w:ascii="Times New Roman" w:hAnsi="Times New Roman" w:cs="Times New Roman"/>
          <w:sz w:val="24"/>
          <w:szCs w:val="24"/>
        </w:rPr>
      </w:pPr>
      <w:r w:rsidRPr="003D1E73">
        <w:rPr>
          <w:rFonts w:ascii="Times New Roman" w:hAnsi="Times New Roman" w:cs="Times New Roman"/>
          <w:sz w:val="24"/>
          <w:szCs w:val="24"/>
          <w:u w:val="single"/>
        </w:rPr>
        <w:t>El riesgo es real y puede materializarse de forma inesperada. Cualquier shock que reduzca la confianza de los inversores es una amenaza para las economías más vulnerables</w:t>
      </w:r>
      <w:r w:rsidRPr="00BC2392">
        <w:rPr>
          <w:rFonts w:ascii="Times New Roman" w:hAnsi="Times New Roman" w:cs="Times New Roman"/>
          <w:sz w:val="24"/>
          <w:szCs w:val="24"/>
        </w:rPr>
        <w:t>. Por ello, el BCE ya está trabajando para tener listo un plan que pueda aliviar o evitar un endurecimiento desigual de las condiciones financieras dent</w:t>
      </w:r>
      <w:r>
        <w:rPr>
          <w:rFonts w:ascii="Times New Roman" w:hAnsi="Times New Roman" w:cs="Times New Roman"/>
          <w:sz w:val="24"/>
          <w:szCs w:val="24"/>
        </w:rPr>
        <w:t>ro de una misma área monetaria.</w:t>
      </w:r>
    </w:p>
    <w:p w:rsidR="00343C25" w:rsidRPr="003D1E73" w:rsidRDefault="00343C25" w:rsidP="00343C25">
      <w:pPr>
        <w:spacing w:line="240" w:lineRule="auto"/>
        <w:jc w:val="both"/>
        <w:rPr>
          <w:rFonts w:ascii="Times New Roman" w:hAnsi="Times New Roman" w:cs="Times New Roman"/>
          <w:sz w:val="24"/>
          <w:szCs w:val="24"/>
          <w:u w:val="single"/>
        </w:rPr>
      </w:pPr>
      <w:r w:rsidRPr="003D1E73">
        <w:rPr>
          <w:rFonts w:ascii="Times New Roman" w:hAnsi="Times New Roman" w:cs="Times New Roman"/>
          <w:sz w:val="24"/>
          <w:szCs w:val="24"/>
          <w:u w:val="single"/>
        </w:rPr>
        <w:t>Países como Italia o España, que cuentan con un déficit estructural que supera el 4% del PIB y con una deuda pública que rebasa holgadamente el 110% del PIB, podrían ser la 'diana' favorita de los mercados en medio de la subida de tipos. Sin ir más lejos, la simple expectativa de subida de tipos del BCE ya ha llevado a la prima de riesgo italiana a los 200 puntos, casi 100 puntos más que hace un año.</w:t>
      </w:r>
    </w:p>
    <w:p w:rsidR="00343C25" w:rsidRPr="00BC2392" w:rsidRDefault="00343C25" w:rsidP="00343C25">
      <w:pPr>
        <w:spacing w:line="240" w:lineRule="auto"/>
        <w:jc w:val="both"/>
        <w:rPr>
          <w:rFonts w:ascii="Times New Roman" w:hAnsi="Times New Roman" w:cs="Times New Roman"/>
          <w:sz w:val="24"/>
          <w:szCs w:val="24"/>
        </w:rPr>
      </w:pPr>
      <w:r w:rsidRPr="00BC2392">
        <w:rPr>
          <w:rFonts w:ascii="Times New Roman" w:hAnsi="Times New Roman" w:cs="Times New Roman"/>
          <w:noProof/>
          <w:sz w:val="24"/>
          <w:szCs w:val="24"/>
          <w:lang w:eastAsia="es-ES"/>
        </w:rPr>
        <w:drawing>
          <wp:inline distT="0" distB="0" distL="0" distR="0" wp14:anchorId="70F599F4" wp14:editId="1920161C">
            <wp:extent cx="5727700" cy="4705350"/>
            <wp:effectExtent l="0" t="0" r="6350"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731510" cy="4708480"/>
                    </a:xfrm>
                    <a:prstGeom prst="rect">
                      <a:avLst/>
                    </a:prstGeom>
                  </pic:spPr>
                </pic:pic>
              </a:graphicData>
            </a:graphic>
          </wp:inline>
        </w:drawing>
      </w:r>
    </w:p>
    <w:p w:rsidR="00343C25" w:rsidRDefault="00343C25" w:rsidP="00343C25">
      <w:pPr>
        <w:spacing w:line="240" w:lineRule="auto"/>
        <w:jc w:val="both"/>
        <w:rPr>
          <w:rFonts w:ascii="Times New Roman" w:hAnsi="Times New Roman" w:cs="Times New Roman"/>
          <w:color w:val="FF0000"/>
          <w:sz w:val="24"/>
          <w:szCs w:val="24"/>
        </w:rPr>
      </w:pPr>
      <w:r w:rsidRPr="003D1E73">
        <w:rPr>
          <w:rFonts w:ascii="Times New Roman" w:hAnsi="Times New Roman" w:cs="Times New Roman"/>
          <w:color w:val="FF0000"/>
          <w:sz w:val="24"/>
          <w:szCs w:val="24"/>
          <w:u w:val="single"/>
        </w:rPr>
        <w:t>El propio BCE reconocía esta semana en su informe de e</w:t>
      </w:r>
      <w:r>
        <w:rPr>
          <w:rFonts w:ascii="Times New Roman" w:hAnsi="Times New Roman" w:cs="Times New Roman"/>
          <w:color w:val="FF0000"/>
          <w:sz w:val="24"/>
          <w:szCs w:val="24"/>
          <w:u w:val="single"/>
        </w:rPr>
        <w:t>stabilidad financiera que “</w:t>
      </w:r>
      <w:r w:rsidRPr="003D1E73">
        <w:rPr>
          <w:rFonts w:ascii="Times New Roman" w:hAnsi="Times New Roman" w:cs="Times New Roman"/>
          <w:color w:val="FF0000"/>
          <w:sz w:val="24"/>
          <w:szCs w:val="24"/>
          <w:u w:val="single"/>
        </w:rPr>
        <w:t>las preocupaciones sobre la sostenibilidad de la deuda podrían contribuir a una reevaluación del riesgo soberano por parte de los participantes del mercado y estimular las presiones de fragmentación en los mercados de bonos soberanos... En la medida en que las mayores vulnerabilidades soberanas coincidan con fragilidades en los sectores corporativo y bancario, los riesgos que se materialicen en cualquiera de estos sectores (en forma aislada o combinada) pueden generar ciclos de retroalimentación adversos entre el sobe</w:t>
      </w:r>
      <w:r>
        <w:rPr>
          <w:rFonts w:ascii="Times New Roman" w:hAnsi="Times New Roman" w:cs="Times New Roman"/>
          <w:color w:val="FF0000"/>
          <w:sz w:val="24"/>
          <w:szCs w:val="24"/>
          <w:u w:val="single"/>
        </w:rPr>
        <w:t>rano, los bancos y las empresas”</w:t>
      </w:r>
      <w:r>
        <w:rPr>
          <w:rFonts w:ascii="Times New Roman" w:hAnsi="Times New Roman" w:cs="Times New Roman"/>
          <w:color w:val="FF0000"/>
          <w:sz w:val="24"/>
          <w:szCs w:val="24"/>
        </w:rPr>
        <w:t>.</w:t>
      </w:r>
    </w:p>
    <w:p w:rsidR="00343C25" w:rsidRDefault="00343C25" w:rsidP="00343C25">
      <w:pPr>
        <w:spacing w:line="240" w:lineRule="auto"/>
        <w:jc w:val="both"/>
        <w:rPr>
          <w:rFonts w:ascii="Times New Roman" w:hAnsi="Times New Roman" w:cs="Times New Roman"/>
          <w:sz w:val="24"/>
          <w:szCs w:val="24"/>
          <w:u w:val="single"/>
        </w:rPr>
      </w:pPr>
      <w:r w:rsidRPr="003D1E73">
        <w:rPr>
          <w:rFonts w:ascii="Times New Roman" w:hAnsi="Times New Roman" w:cs="Times New Roman"/>
          <w:sz w:val="24"/>
          <w:szCs w:val="24"/>
          <w:u w:val="single"/>
        </w:rPr>
        <w:lastRenderedPageBreak/>
        <w:t>Algunos miembros del Consejo de Gobierno del BCE han comenzado a dar nombre ya este nuevo programa o apéndice de los existentes. Fabio Panetta ha hab</w:t>
      </w:r>
      <w:r>
        <w:rPr>
          <w:rFonts w:ascii="Times New Roman" w:hAnsi="Times New Roman" w:cs="Times New Roman"/>
          <w:sz w:val="24"/>
          <w:szCs w:val="24"/>
          <w:u w:val="single"/>
        </w:rPr>
        <w:t>lado de una “herramienta anti-fragmentación”</w:t>
      </w:r>
      <w:r w:rsidRPr="003D1E73">
        <w:rPr>
          <w:rFonts w:ascii="Times New Roman" w:hAnsi="Times New Roman" w:cs="Times New Roman"/>
          <w:sz w:val="24"/>
          <w:szCs w:val="24"/>
          <w:u w:val="single"/>
        </w:rPr>
        <w:t xml:space="preserve"> que impida que la normalización monetaria genere una Eurozona con dispares condiciones financieras, mientras que Christine </w:t>
      </w:r>
      <w:r>
        <w:rPr>
          <w:rFonts w:ascii="Times New Roman" w:hAnsi="Times New Roman" w:cs="Times New Roman"/>
          <w:sz w:val="24"/>
          <w:szCs w:val="24"/>
          <w:u w:val="single"/>
        </w:rPr>
        <w:t>Lagarde señaló esta semana que “</w:t>
      </w:r>
      <w:r w:rsidRPr="003D1E73">
        <w:rPr>
          <w:rFonts w:ascii="Times New Roman" w:hAnsi="Times New Roman" w:cs="Times New Roman"/>
          <w:sz w:val="24"/>
          <w:szCs w:val="24"/>
          <w:u w:val="single"/>
        </w:rPr>
        <w:t>cualquier decisión futura sobre el balance tendrá que ser coherente... con nuestro compromiso de garantizar la transmisión de la política, especialmente porque la reinversión flexible de la cartera del PEPP es una herramienta que hemos puesto a disposición para mitig</w:t>
      </w:r>
      <w:r>
        <w:rPr>
          <w:rFonts w:ascii="Times New Roman" w:hAnsi="Times New Roman" w:cs="Times New Roman"/>
          <w:sz w:val="24"/>
          <w:szCs w:val="24"/>
          <w:u w:val="single"/>
        </w:rPr>
        <w:t>ar los riesgos de fragmentación”</w:t>
      </w:r>
      <w:r w:rsidRPr="003D1E73">
        <w:rPr>
          <w:rFonts w:ascii="Times New Roman" w:hAnsi="Times New Roman" w:cs="Times New Roman"/>
          <w:sz w:val="24"/>
          <w:szCs w:val="24"/>
          <w:u w:val="single"/>
        </w:rPr>
        <w:t>.</w:t>
      </w:r>
    </w:p>
    <w:p w:rsidR="00343C25" w:rsidRPr="007331D4" w:rsidRDefault="00343C25" w:rsidP="00343C2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El-Erian: “</w:t>
      </w:r>
      <w:r w:rsidRPr="007331D4">
        <w:rPr>
          <w:rFonts w:ascii="Times New Roman" w:hAnsi="Times New Roman" w:cs="Times New Roman"/>
          <w:sz w:val="24"/>
          <w:szCs w:val="24"/>
          <w:u w:val="single"/>
        </w:rPr>
        <w:t>La Fed tendrá que elegir entre dos errores de política monetaria</w:t>
      </w:r>
      <w:r>
        <w:rPr>
          <w:rFonts w:ascii="Times New Roman" w:hAnsi="Times New Roman" w:cs="Times New Roman"/>
          <w:sz w:val="24"/>
          <w:szCs w:val="24"/>
        </w:rPr>
        <w:t xml:space="preserve">” (El Economista - </w:t>
      </w:r>
      <w:r w:rsidRPr="007331D4">
        <w:rPr>
          <w:rFonts w:ascii="Times New Roman" w:hAnsi="Times New Roman" w:cs="Times New Roman"/>
          <w:b/>
          <w:sz w:val="24"/>
          <w:szCs w:val="24"/>
        </w:rPr>
        <w:t>29/5/22</w:t>
      </w:r>
      <w:r>
        <w:rPr>
          <w:rFonts w:ascii="Times New Roman" w:hAnsi="Times New Roman" w:cs="Times New Roman"/>
          <w:sz w:val="24"/>
          <w:szCs w:val="24"/>
        </w:rPr>
        <w:t>)</w:t>
      </w:r>
    </w:p>
    <w:p w:rsidR="00343C25" w:rsidRPr="00AA6A3B" w:rsidRDefault="00343C25" w:rsidP="00343C25">
      <w:pPr>
        <w:spacing w:line="240" w:lineRule="auto"/>
        <w:jc w:val="both"/>
        <w:rPr>
          <w:rFonts w:ascii="Times New Roman" w:hAnsi="Times New Roman" w:cs="Times New Roman"/>
          <w:sz w:val="24"/>
          <w:szCs w:val="24"/>
          <w:u w:val="single"/>
        </w:rPr>
      </w:pPr>
      <w:r w:rsidRPr="00AA6A3B">
        <w:rPr>
          <w:rFonts w:ascii="Times New Roman" w:hAnsi="Times New Roman" w:cs="Times New Roman"/>
          <w:sz w:val="24"/>
          <w:szCs w:val="24"/>
          <w:u w:val="single"/>
        </w:rPr>
        <w:t xml:space="preserve">No hay una opción buena. Eso es lo que piensa Mohammed El-Erian, asesor de Allianz y profesor en Wharton, sobre la posición de la Reserva Federal de EEUU ante </w:t>
      </w:r>
      <w:r>
        <w:rPr>
          <w:rFonts w:ascii="Times New Roman" w:hAnsi="Times New Roman" w:cs="Times New Roman"/>
          <w:sz w:val="24"/>
          <w:szCs w:val="24"/>
          <w:u w:val="single"/>
        </w:rPr>
        <w:t>la actual coyuntura económica. “</w:t>
      </w:r>
      <w:r w:rsidRPr="00AA6A3B">
        <w:rPr>
          <w:rFonts w:ascii="Times New Roman" w:hAnsi="Times New Roman" w:cs="Times New Roman"/>
          <w:sz w:val="24"/>
          <w:szCs w:val="24"/>
          <w:u w:val="single"/>
        </w:rPr>
        <w:t>Tendr</w:t>
      </w:r>
      <w:r>
        <w:rPr>
          <w:rFonts w:ascii="Times New Roman" w:hAnsi="Times New Roman" w:cs="Times New Roman"/>
          <w:sz w:val="24"/>
          <w:szCs w:val="24"/>
          <w:u w:val="single"/>
        </w:rPr>
        <w:t>á que decidir entre dos errores”</w:t>
      </w:r>
      <w:r w:rsidRPr="00AA6A3B">
        <w:rPr>
          <w:rFonts w:ascii="Times New Roman" w:hAnsi="Times New Roman" w:cs="Times New Roman"/>
          <w:sz w:val="24"/>
          <w:szCs w:val="24"/>
          <w:u w:val="single"/>
        </w:rPr>
        <w:t>, advierte.</w:t>
      </w:r>
    </w:p>
    <w:p w:rsidR="00343C25" w:rsidRPr="00AA6A3B" w:rsidRDefault="00343C25" w:rsidP="00343C25">
      <w:pPr>
        <w:spacing w:line="240" w:lineRule="auto"/>
        <w:jc w:val="both"/>
        <w:rPr>
          <w:rFonts w:ascii="Times New Roman" w:hAnsi="Times New Roman" w:cs="Times New Roman"/>
          <w:color w:val="FF0000"/>
          <w:sz w:val="24"/>
          <w:szCs w:val="24"/>
          <w:u w:val="single"/>
        </w:rPr>
      </w:pPr>
      <w:r w:rsidRPr="00AA6A3B">
        <w:rPr>
          <w:rFonts w:ascii="Times New Roman" w:hAnsi="Times New Roman" w:cs="Times New Roman"/>
          <w:color w:val="FF0000"/>
          <w:sz w:val="24"/>
          <w:szCs w:val="24"/>
          <w:u w:val="single"/>
        </w:rPr>
        <w:t>En declaraciones a Bloomberg, el famoso economista apunta que el banco central estadounidense tendrá que elegir en</w:t>
      </w:r>
      <w:r>
        <w:rPr>
          <w:rFonts w:ascii="Times New Roman" w:hAnsi="Times New Roman" w:cs="Times New Roman"/>
          <w:color w:val="FF0000"/>
          <w:sz w:val="24"/>
          <w:szCs w:val="24"/>
          <w:u w:val="single"/>
        </w:rPr>
        <w:t>tre “</w:t>
      </w:r>
      <w:r w:rsidRPr="00AA6A3B">
        <w:rPr>
          <w:rFonts w:ascii="Times New Roman" w:hAnsi="Times New Roman" w:cs="Times New Roman"/>
          <w:color w:val="FF0000"/>
          <w:sz w:val="24"/>
          <w:szCs w:val="24"/>
          <w:u w:val="single"/>
        </w:rPr>
        <w:t>tocar los frenos demasiado fuerte y arriesgarse a una recesión o tocar los frenos de forma intermitente y arriesgarse a tener in</w:t>
      </w:r>
      <w:r>
        <w:rPr>
          <w:rFonts w:ascii="Times New Roman" w:hAnsi="Times New Roman" w:cs="Times New Roman"/>
          <w:color w:val="FF0000"/>
          <w:sz w:val="24"/>
          <w:szCs w:val="24"/>
          <w:u w:val="single"/>
        </w:rPr>
        <w:t>flación hasta bien entrado 2023”</w:t>
      </w:r>
      <w:r w:rsidRPr="00AA6A3B">
        <w:rPr>
          <w:rFonts w:ascii="Times New Roman" w:hAnsi="Times New Roman" w:cs="Times New Roman"/>
          <w:color w:val="FF0000"/>
          <w:sz w:val="24"/>
          <w:szCs w:val="24"/>
          <w:u w:val="single"/>
        </w:rPr>
        <w:t>.</w:t>
      </w:r>
    </w:p>
    <w:p w:rsidR="00343C25" w:rsidRPr="00AA6A3B" w:rsidRDefault="00343C25" w:rsidP="00343C25">
      <w:pPr>
        <w:spacing w:line="240" w:lineRule="auto"/>
        <w:jc w:val="both"/>
        <w:rPr>
          <w:rFonts w:ascii="Times New Roman" w:hAnsi="Times New Roman" w:cs="Times New Roman"/>
          <w:sz w:val="24"/>
          <w:szCs w:val="24"/>
          <w:u w:val="single"/>
        </w:rPr>
      </w:pPr>
      <w:r w:rsidRPr="00AA6A3B">
        <w:rPr>
          <w:rFonts w:ascii="Times New Roman" w:hAnsi="Times New Roman" w:cs="Times New Roman"/>
          <w:sz w:val="24"/>
          <w:szCs w:val="24"/>
          <w:u w:val="single"/>
        </w:rPr>
        <w:t xml:space="preserve">En este aspecto, El-Erian reiteró que el verdadero problema de la política monetaria del organismo dirigido por Jerome Powell yace en no haber comenzado el endurecimiento de la política monetaria muchos meses atrás - nueve meses, según su opinión - para lograr </w:t>
      </w:r>
      <w:r w:rsidR="00613B05">
        <w:rPr>
          <w:rFonts w:ascii="Times New Roman" w:hAnsi="Times New Roman" w:cs="Times New Roman"/>
          <w:sz w:val="24"/>
          <w:szCs w:val="24"/>
          <w:u w:val="single"/>
        </w:rPr>
        <w:t>lo que se ha dado en llamar un “aterrizaje suave”</w:t>
      </w:r>
      <w:r w:rsidRPr="00AA6A3B">
        <w:rPr>
          <w:rFonts w:ascii="Times New Roman" w:hAnsi="Times New Roman" w:cs="Times New Roman"/>
          <w:sz w:val="24"/>
          <w:szCs w:val="24"/>
          <w:u w:val="single"/>
        </w:rPr>
        <w:t xml:space="preserve"> de la economía, es decir, un enfriamiento de la inflación y del crecimiento pero sin arriesgarse a una recesión.</w:t>
      </w:r>
    </w:p>
    <w:p w:rsidR="00343C25" w:rsidRPr="007331D4" w:rsidRDefault="00343C25" w:rsidP="00343C25">
      <w:pPr>
        <w:spacing w:line="240" w:lineRule="auto"/>
        <w:jc w:val="both"/>
        <w:rPr>
          <w:rFonts w:ascii="Times New Roman" w:hAnsi="Times New Roman" w:cs="Times New Roman"/>
          <w:sz w:val="24"/>
          <w:szCs w:val="24"/>
        </w:rPr>
      </w:pPr>
      <w:r w:rsidRPr="007331D4">
        <w:rPr>
          <w:rFonts w:ascii="Times New Roman" w:hAnsi="Times New Roman" w:cs="Times New Roman"/>
          <w:sz w:val="24"/>
          <w:szCs w:val="24"/>
        </w:rPr>
        <w:t xml:space="preserve">En este sentido, El-Erian ve poco probable que la Fed logre ese aterrizaje suave en la situación actual, con una inflación interanual del 8,3% según los datos de abril, y con una contracción del PIB del 1,5% </w:t>
      </w:r>
      <w:r>
        <w:rPr>
          <w:rFonts w:ascii="Times New Roman" w:hAnsi="Times New Roman" w:cs="Times New Roman"/>
          <w:sz w:val="24"/>
          <w:szCs w:val="24"/>
        </w:rPr>
        <w:t>en el primer trimestre del año.</w:t>
      </w:r>
    </w:p>
    <w:p w:rsidR="00343C25" w:rsidRPr="007331D4" w:rsidRDefault="00343C25" w:rsidP="00343C25">
      <w:pPr>
        <w:spacing w:line="240" w:lineRule="auto"/>
        <w:jc w:val="both"/>
        <w:rPr>
          <w:rFonts w:ascii="Times New Roman" w:hAnsi="Times New Roman" w:cs="Times New Roman"/>
          <w:sz w:val="24"/>
          <w:szCs w:val="24"/>
        </w:rPr>
      </w:pPr>
      <w:r w:rsidRPr="007331D4">
        <w:rPr>
          <w:rFonts w:ascii="Times New Roman" w:hAnsi="Times New Roman" w:cs="Times New Roman"/>
          <w:sz w:val="24"/>
          <w:szCs w:val="24"/>
        </w:rPr>
        <w:t>En las actas de la última reunión de marzo de la Fed, la entidad apuntaba que un incremento sólido de los tipos de interés en los meses siguientes - como están llevando a cabo por el momento - permitiría al organismo evaluar los efectos del en</w:t>
      </w:r>
      <w:r>
        <w:rPr>
          <w:rFonts w:ascii="Times New Roman" w:hAnsi="Times New Roman" w:cs="Times New Roman"/>
          <w:sz w:val="24"/>
          <w:szCs w:val="24"/>
        </w:rPr>
        <w:t>friamiento de cara al año 2023.</w:t>
      </w:r>
    </w:p>
    <w:p w:rsidR="00343C25" w:rsidRPr="007331D4" w:rsidRDefault="00343C25" w:rsidP="00343C25">
      <w:pPr>
        <w:spacing w:line="240" w:lineRule="auto"/>
        <w:jc w:val="both"/>
        <w:rPr>
          <w:rFonts w:ascii="Times New Roman" w:hAnsi="Times New Roman" w:cs="Times New Roman"/>
          <w:sz w:val="24"/>
          <w:szCs w:val="24"/>
        </w:rPr>
      </w:pPr>
      <w:r w:rsidRPr="007331D4">
        <w:rPr>
          <w:rFonts w:ascii="Times New Roman" w:hAnsi="Times New Roman" w:cs="Times New Roman"/>
          <w:sz w:val="24"/>
          <w:szCs w:val="24"/>
        </w:rPr>
        <w:t>En lo que va de año, la Fed subió los tipos un cuarto de punto en marzo y medio punto a inicios de este mes, y en las actas de la reunión de este mes prevén seguir incrementándolos a razón de 50 puntos básicos en las dos próximas reuniones, de mediados de junio y finales de julio. De cumplirse, la Reserva Federal habrá aumentado el precio del dinero en 175 puntos</w:t>
      </w:r>
      <w:r>
        <w:rPr>
          <w:rFonts w:ascii="Times New Roman" w:hAnsi="Times New Roman" w:cs="Times New Roman"/>
          <w:sz w:val="24"/>
          <w:szCs w:val="24"/>
        </w:rPr>
        <w:t xml:space="preserve"> básicos en menos de medio año.</w:t>
      </w:r>
    </w:p>
    <w:p w:rsidR="00343C25" w:rsidRPr="007331D4" w:rsidRDefault="00343C25" w:rsidP="00343C25">
      <w:pPr>
        <w:spacing w:line="240" w:lineRule="auto"/>
        <w:jc w:val="both"/>
        <w:rPr>
          <w:rFonts w:ascii="Times New Roman" w:hAnsi="Times New Roman" w:cs="Times New Roman"/>
          <w:sz w:val="24"/>
          <w:szCs w:val="24"/>
        </w:rPr>
      </w:pPr>
      <w:r w:rsidRPr="007331D4">
        <w:rPr>
          <w:rFonts w:ascii="Times New Roman" w:hAnsi="Times New Roman" w:cs="Times New Roman"/>
          <w:sz w:val="24"/>
          <w:szCs w:val="24"/>
        </w:rPr>
        <w:t>Desconfiar de una pausa de la Fed</w:t>
      </w:r>
    </w:p>
    <w:p w:rsidR="00343C25" w:rsidRPr="00AA6A3B" w:rsidRDefault="00343C25" w:rsidP="00343C25">
      <w:pPr>
        <w:spacing w:line="240" w:lineRule="auto"/>
        <w:jc w:val="both"/>
        <w:rPr>
          <w:rFonts w:ascii="Times New Roman" w:hAnsi="Times New Roman" w:cs="Times New Roman"/>
          <w:sz w:val="24"/>
          <w:szCs w:val="24"/>
          <w:u w:val="single"/>
        </w:rPr>
      </w:pPr>
      <w:r w:rsidRPr="00AA6A3B">
        <w:rPr>
          <w:rFonts w:ascii="Times New Roman" w:hAnsi="Times New Roman" w:cs="Times New Roman"/>
          <w:sz w:val="24"/>
          <w:szCs w:val="24"/>
          <w:u w:val="single"/>
        </w:rPr>
        <w:t>El miedo al endurecimiento continuado de la política monetaria es uno de los factores que vienen lastrando la bolsa estadounidense desde el inicio de año, por lo que hay voces en el mercado que abogan por una pausa de la Fed en lo que a las subidas de tipos se refiere, para dar una 'tregua' a las bolsas.</w:t>
      </w:r>
    </w:p>
    <w:p w:rsidR="00343C25" w:rsidRPr="007331D4" w:rsidRDefault="00343C25" w:rsidP="00343C25">
      <w:pPr>
        <w:spacing w:line="240" w:lineRule="auto"/>
        <w:jc w:val="both"/>
        <w:rPr>
          <w:rFonts w:ascii="Times New Roman" w:hAnsi="Times New Roman" w:cs="Times New Roman"/>
          <w:sz w:val="24"/>
          <w:szCs w:val="24"/>
        </w:rPr>
      </w:pPr>
      <w:r w:rsidRPr="007331D4">
        <w:rPr>
          <w:rFonts w:ascii="Times New Roman" w:hAnsi="Times New Roman" w:cs="Times New Roman"/>
          <w:sz w:val="24"/>
          <w:szCs w:val="24"/>
        </w:rPr>
        <w:t>Sin embargo, El-Erian recomienda desconfiar de estos argumentos. El profesor considera que la Fed sólo detendrá el ritmo de alzas del precio del</w:t>
      </w:r>
      <w:r w:rsidR="00613B05">
        <w:rPr>
          <w:rFonts w:ascii="Times New Roman" w:hAnsi="Times New Roman" w:cs="Times New Roman"/>
          <w:sz w:val="24"/>
          <w:szCs w:val="24"/>
        </w:rPr>
        <w:t xml:space="preserve"> dinero si la demanda colapsa. “</w:t>
      </w:r>
      <w:r w:rsidRPr="007331D4">
        <w:rPr>
          <w:rFonts w:ascii="Times New Roman" w:hAnsi="Times New Roman" w:cs="Times New Roman"/>
          <w:sz w:val="24"/>
          <w:szCs w:val="24"/>
        </w:rPr>
        <w:t>Y si la demanda colapsa, las ac</w:t>
      </w:r>
      <w:r w:rsidR="00613B05">
        <w:rPr>
          <w:rFonts w:ascii="Times New Roman" w:hAnsi="Times New Roman" w:cs="Times New Roman"/>
          <w:sz w:val="24"/>
          <w:szCs w:val="24"/>
        </w:rPr>
        <w:t>ciones no lo van a hacer bien”</w:t>
      </w:r>
      <w:r>
        <w:rPr>
          <w:rFonts w:ascii="Times New Roman" w:hAnsi="Times New Roman" w:cs="Times New Roman"/>
          <w:sz w:val="24"/>
          <w:szCs w:val="24"/>
        </w:rPr>
        <w:t>.</w:t>
      </w:r>
    </w:p>
    <w:p w:rsidR="00343C25" w:rsidRDefault="00343C25" w:rsidP="00343C25">
      <w:pPr>
        <w:spacing w:line="240" w:lineRule="auto"/>
        <w:jc w:val="both"/>
        <w:rPr>
          <w:rFonts w:ascii="Times New Roman" w:hAnsi="Times New Roman" w:cs="Times New Roman"/>
          <w:sz w:val="24"/>
          <w:szCs w:val="24"/>
        </w:rPr>
      </w:pPr>
      <w:r w:rsidRPr="007331D4">
        <w:rPr>
          <w:rFonts w:ascii="Times New Roman" w:hAnsi="Times New Roman" w:cs="Times New Roman"/>
          <w:sz w:val="24"/>
          <w:szCs w:val="24"/>
        </w:rPr>
        <w:lastRenderedPageBreak/>
        <w:t>En este sentido, el asesor de Allianz subrayó el caso de Target, cuyas acciones se desplomaron hace unos días al presentar unos decepcionantes resultados trimestrales por el lado de los in</w:t>
      </w:r>
      <w:r w:rsidR="00613B05">
        <w:rPr>
          <w:rFonts w:ascii="Times New Roman" w:hAnsi="Times New Roman" w:cs="Times New Roman"/>
          <w:sz w:val="24"/>
          <w:szCs w:val="24"/>
        </w:rPr>
        <w:t>gresos ante la alta inflación. “</w:t>
      </w:r>
      <w:r w:rsidRPr="007331D4">
        <w:rPr>
          <w:rFonts w:ascii="Times New Roman" w:hAnsi="Times New Roman" w:cs="Times New Roman"/>
          <w:sz w:val="24"/>
          <w:szCs w:val="24"/>
        </w:rPr>
        <w:t>Lo último que necesita ahora la bolsa son más preo</w:t>
      </w:r>
      <w:r w:rsidR="00613B05">
        <w:rPr>
          <w:rFonts w:ascii="Times New Roman" w:hAnsi="Times New Roman" w:cs="Times New Roman"/>
          <w:sz w:val="24"/>
          <w:szCs w:val="24"/>
        </w:rPr>
        <w:t>cupaciones sobre los beneficios”</w:t>
      </w:r>
      <w:r w:rsidRPr="007331D4">
        <w:rPr>
          <w:rFonts w:ascii="Times New Roman" w:hAnsi="Times New Roman" w:cs="Times New Roman"/>
          <w:sz w:val="24"/>
          <w:szCs w:val="24"/>
        </w:rPr>
        <w:t>, señaló.</w:t>
      </w:r>
    </w:p>
    <w:p w:rsidR="00613B05" w:rsidRDefault="00613B05" w:rsidP="00613B05">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C13C23">
        <w:rPr>
          <w:rFonts w:ascii="Times New Roman" w:eastAsia="Times New Roman" w:hAnsi="Times New Roman" w:cs="Times New Roman"/>
          <w:sz w:val="24"/>
          <w:szCs w:val="24"/>
          <w:u w:val="single"/>
          <w:lang w:eastAsia="es-ES"/>
        </w:rPr>
        <w:t>La Fed alerta de que la inflación ya se deja notar y la desaceleración ya está aquí</w:t>
      </w:r>
      <w:r>
        <w:rPr>
          <w:rFonts w:ascii="Times New Roman" w:eastAsia="Times New Roman" w:hAnsi="Times New Roman" w:cs="Times New Roman"/>
          <w:sz w:val="24"/>
          <w:szCs w:val="24"/>
          <w:lang w:eastAsia="es-ES"/>
        </w:rPr>
        <w:t xml:space="preserve"> (Flash del mercado - El Economista - </w:t>
      </w:r>
      <w:r>
        <w:rPr>
          <w:rFonts w:ascii="Times New Roman" w:eastAsia="Times New Roman" w:hAnsi="Times New Roman" w:cs="Times New Roman"/>
          <w:b/>
          <w:sz w:val="24"/>
          <w:szCs w:val="24"/>
          <w:lang w:eastAsia="es-ES"/>
        </w:rPr>
        <w:t>1</w:t>
      </w:r>
      <w:r w:rsidRPr="00C13C23">
        <w:rPr>
          <w:rFonts w:ascii="Times New Roman" w:eastAsia="Times New Roman" w:hAnsi="Times New Roman" w:cs="Times New Roman"/>
          <w:b/>
          <w:sz w:val="24"/>
          <w:szCs w:val="24"/>
          <w:lang w:eastAsia="es-ES"/>
        </w:rPr>
        <w:t>/6/22</w:t>
      </w:r>
      <w:r>
        <w:rPr>
          <w:rFonts w:ascii="Times New Roman" w:eastAsia="Times New Roman" w:hAnsi="Times New Roman" w:cs="Times New Roman"/>
          <w:sz w:val="24"/>
          <w:szCs w:val="24"/>
          <w:lang w:eastAsia="es-ES"/>
        </w:rPr>
        <w:t>)</w:t>
      </w:r>
    </w:p>
    <w:p w:rsidR="00613B05" w:rsidRPr="00C13C23" w:rsidRDefault="00613B05" w:rsidP="00613B05">
      <w:pPr>
        <w:shd w:val="clear" w:color="auto" w:fill="FDFDFD"/>
        <w:spacing w:after="0" w:line="240" w:lineRule="auto"/>
        <w:jc w:val="both"/>
        <w:rPr>
          <w:rFonts w:ascii="Times New Roman" w:eastAsia="Times New Roman" w:hAnsi="Times New Roman" w:cs="Times New Roman"/>
          <w:sz w:val="24"/>
          <w:szCs w:val="24"/>
          <w:lang w:eastAsia="es-ES"/>
        </w:rPr>
      </w:pPr>
    </w:p>
    <w:p w:rsidR="00613B05" w:rsidRPr="00AA7A00" w:rsidRDefault="00613B05" w:rsidP="00613B05">
      <w:pPr>
        <w:shd w:val="clear" w:color="auto" w:fill="FDFDFD"/>
        <w:spacing w:after="0" w:line="240" w:lineRule="auto"/>
        <w:jc w:val="both"/>
        <w:rPr>
          <w:rFonts w:ascii="Times New Roman" w:eastAsia="Times New Roman" w:hAnsi="Times New Roman" w:cs="Times New Roman"/>
          <w:color w:val="FF0000"/>
          <w:sz w:val="24"/>
          <w:szCs w:val="24"/>
          <w:u w:val="single"/>
          <w:lang w:eastAsia="es-ES"/>
        </w:rPr>
      </w:pPr>
      <w:r>
        <w:rPr>
          <w:rFonts w:ascii="Times New Roman" w:eastAsia="Times New Roman" w:hAnsi="Times New Roman" w:cs="Times New Roman"/>
          <w:color w:val="FF0000"/>
          <w:sz w:val="24"/>
          <w:szCs w:val="24"/>
          <w:u w:val="single"/>
          <w:lang w:eastAsia="es-ES"/>
        </w:rPr>
        <w:t>La Fed ha publicado su “</w:t>
      </w:r>
      <w:r w:rsidRPr="00AA7A00">
        <w:rPr>
          <w:rFonts w:ascii="Times New Roman" w:eastAsia="Times New Roman" w:hAnsi="Times New Roman" w:cs="Times New Roman"/>
          <w:color w:val="FF0000"/>
          <w:sz w:val="24"/>
          <w:szCs w:val="24"/>
          <w:u w:val="single"/>
          <w:lang w:eastAsia="es-ES"/>
        </w:rPr>
        <w:t>libro Beig</w:t>
      </w:r>
      <w:r>
        <w:rPr>
          <w:rFonts w:ascii="Times New Roman" w:eastAsia="Times New Roman" w:hAnsi="Times New Roman" w:cs="Times New Roman"/>
          <w:color w:val="FF0000"/>
          <w:sz w:val="24"/>
          <w:szCs w:val="24"/>
          <w:u w:val="single"/>
          <w:lang w:eastAsia="es-ES"/>
        </w:rPr>
        <w:t>e”</w:t>
      </w:r>
      <w:r w:rsidRPr="00AA7A00">
        <w:rPr>
          <w:rFonts w:ascii="Times New Roman" w:eastAsia="Times New Roman" w:hAnsi="Times New Roman" w:cs="Times New Roman"/>
          <w:color w:val="FF0000"/>
          <w:sz w:val="24"/>
          <w:szCs w:val="24"/>
          <w:u w:val="single"/>
          <w:lang w:eastAsia="es-ES"/>
        </w:rPr>
        <w:t xml:space="preserve"> en el que ha dado su análisis sobre la evolución de la economía estadounidense. La principal preocupación que queda reflejada en el informe es la inflación creciente ya está</w:t>
      </w:r>
      <w:r>
        <w:rPr>
          <w:rFonts w:ascii="Times New Roman" w:eastAsia="Times New Roman" w:hAnsi="Times New Roman" w:cs="Times New Roman"/>
          <w:color w:val="FF0000"/>
          <w:sz w:val="24"/>
          <w:szCs w:val="24"/>
          <w:u w:val="single"/>
          <w:lang w:eastAsia="es-ES"/>
        </w:rPr>
        <w:t xml:space="preserve"> amenazando a la recuperación. “</w:t>
      </w:r>
      <w:r w:rsidRPr="00AA7A00">
        <w:rPr>
          <w:rFonts w:ascii="Times New Roman" w:eastAsia="Times New Roman" w:hAnsi="Times New Roman" w:cs="Times New Roman"/>
          <w:color w:val="FF0000"/>
          <w:sz w:val="24"/>
          <w:szCs w:val="24"/>
          <w:u w:val="single"/>
          <w:lang w:eastAsia="es-ES"/>
        </w:rPr>
        <w:t xml:space="preserve">La mayoría de los distritos notaron que sus contactos habían informado aumentos de precios fuertes o robustos, especialmente </w:t>
      </w:r>
      <w:r>
        <w:rPr>
          <w:rFonts w:ascii="Times New Roman" w:eastAsia="Times New Roman" w:hAnsi="Times New Roman" w:cs="Times New Roman"/>
          <w:color w:val="FF0000"/>
          <w:sz w:val="24"/>
          <w:szCs w:val="24"/>
          <w:u w:val="single"/>
          <w:lang w:eastAsia="es-ES"/>
        </w:rPr>
        <w:t>para los precios de los insumos”</w:t>
      </w:r>
      <w:r w:rsidRPr="00AA7A00">
        <w:rPr>
          <w:rFonts w:ascii="Times New Roman" w:eastAsia="Times New Roman" w:hAnsi="Times New Roman" w:cs="Times New Roman"/>
          <w:color w:val="FF0000"/>
          <w:sz w:val="24"/>
          <w:szCs w:val="24"/>
          <w:u w:val="single"/>
          <w:lang w:eastAsia="es-ES"/>
        </w:rPr>
        <w:t xml:space="preserve"> defienden en su info</w:t>
      </w:r>
      <w:r>
        <w:rPr>
          <w:rFonts w:ascii="Times New Roman" w:eastAsia="Times New Roman" w:hAnsi="Times New Roman" w:cs="Times New Roman"/>
          <w:color w:val="FF0000"/>
          <w:sz w:val="24"/>
          <w:szCs w:val="24"/>
          <w:u w:val="single"/>
          <w:lang w:eastAsia="es-ES"/>
        </w:rPr>
        <w:t>rme, en el que dejan claro que “</w:t>
      </w:r>
      <w:r w:rsidRPr="00AA7A00">
        <w:rPr>
          <w:rFonts w:ascii="Times New Roman" w:eastAsia="Times New Roman" w:hAnsi="Times New Roman" w:cs="Times New Roman"/>
          <w:color w:val="FF0000"/>
          <w:sz w:val="24"/>
          <w:szCs w:val="24"/>
          <w:u w:val="single"/>
          <w:lang w:eastAsia="es-ES"/>
        </w:rPr>
        <w:t>hay una mayor debilidad en la actividad económica a medida que los consumidores enfrentan prec</w:t>
      </w:r>
      <w:r>
        <w:rPr>
          <w:rFonts w:ascii="Times New Roman" w:eastAsia="Times New Roman" w:hAnsi="Times New Roman" w:cs="Times New Roman"/>
          <w:color w:val="FF0000"/>
          <w:sz w:val="24"/>
          <w:szCs w:val="24"/>
          <w:u w:val="single"/>
          <w:lang w:eastAsia="es-ES"/>
        </w:rPr>
        <w:t>ios más altos”</w:t>
      </w:r>
      <w:r w:rsidRPr="00AA7A00">
        <w:rPr>
          <w:rFonts w:ascii="Times New Roman" w:eastAsia="Times New Roman" w:hAnsi="Times New Roman" w:cs="Times New Roman"/>
          <w:color w:val="FF0000"/>
          <w:sz w:val="24"/>
          <w:szCs w:val="24"/>
          <w:u w:val="single"/>
          <w:lang w:eastAsia="es-ES"/>
        </w:rPr>
        <w:t>.  Esto ha provocado que, a pesar de que haya aú</w:t>
      </w:r>
      <w:r>
        <w:rPr>
          <w:rFonts w:ascii="Times New Roman" w:eastAsia="Times New Roman" w:hAnsi="Times New Roman" w:cs="Times New Roman"/>
          <w:color w:val="FF0000"/>
          <w:sz w:val="24"/>
          <w:szCs w:val="24"/>
          <w:u w:val="single"/>
          <w:lang w:eastAsia="es-ES"/>
        </w:rPr>
        <w:t>n crecimiento este se mantenga “de una forma leve o modesta”</w:t>
      </w:r>
      <w:r w:rsidRPr="00AA7A00">
        <w:rPr>
          <w:rFonts w:ascii="Times New Roman" w:eastAsia="Times New Roman" w:hAnsi="Times New Roman" w:cs="Times New Roman"/>
          <w:color w:val="FF0000"/>
          <w:sz w:val="24"/>
          <w:szCs w:val="24"/>
          <w:u w:val="single"/>
          <w:lang w:eastAsia="es-ES"/>
        </w:rPr>
        <w:t>.</w:t>
      </w:r>
    </w:p>
    <w:p w:rsidR="00613B05" w:rsidRPr="00C13C23" w:rsidRDefault="00613B05" w:rsidP="00613B05">
      <w:pPr>
        <w:shd w:val="clear" w:color="auto" w:fill="FDFDFD"/>
        <w:spacing w:after="0" w:line="240" w:lineRule="auto"/>
        <w:jc w:val="both"/>
        <w:rPr>
          <w:rFonts w:ascii="Times New Roman" w:eastAsia="Times New Roman" w:hAnsi="Times New Roman" w:cs="Times New Roman"/>
          <w:sz w:val="24"/>
          <w:szCs w:val="24"/>
          <w:lang w:eastAsia="es-ES"/>
        </w:rPr>
      </w:pPr>
    </w:p>
    <w:p w:rsidR="00613B05" w:rsidRPr="00C13C23" w:rsidRDefault="00613B05" w:rsidP="00613B05">
      <w:pPr>
        <w:shd w:val="clear" w:color="auto" w:fill="FDFDFD"/>
        <w:spacing w:after="0" w:line="240" w:lineRule="auto"/>
        <w:jc w:val="both"/>
        <w:rPr>
          <w:rFonts w:ascii="Times New Roman" w:eastAsia="Times New Roman" w:hAnsi="Times New Roman" w:cs="Times New Roman"/>
          <w:sz w:val="24"/>
          <w:szCs w:val="24"/>
          <w:lang w:eastAsia="es-ES"/>
        </w:rPr>
      </w:pPr>
      <w:r w:rsidRPr="00C13C23">
        <w:rPr>
          <w:rFonts w:ascii="Times New Roman" w:eastAsia="Times New Roman" w:hAnsi="Times New Roman" w:cs="Times New Roman"/>
          <w:sz w:val="24"/>
          <w:szCs w:val="24"/>
          <w:lang w:eastAsia="es-ES"/>
        </w:rPr>
        <w:t>Pese a todo, la Fed mantiene que el mercado laboral aún es muy fuerte y</w:t>
      </w:r>
      <w:r>
        <w:rPr>
          <w:rFonts w:ascii="Times New Roman" w:eastAsia="Times New Roman" w:hAnsi="Times New Roman" w:cs="Times New Roman"/>
          <w:sz w:val="24"/>
          <w:szCs w:val="24"/>
          <w:lang w:eastAsia="es-ES"/>
        </w:rPr>
        <w:t xml:space="preserve"> que continúa mejorando porque “</w:t>
      </w:r>
      <w:r w:rsidRPr="00C13C23">
        <w:rPr>
          <w:rFonts w:ascii="Times New Roman" w:eastAsia="Times New Roman" w:hAnsi="Times New Roman" w:cs="Times New Roman"/>
          <w:sz w:val="24"/>
          <w:szCs w:val="24"/>
          <w:lang w:eastAsia="es-ES"/>
        </w:rPr>
        <w:t>muchas empresas lucharon por contratar y retener a trabajadores fren</w:t>
      </w:r>
      <w:r>
        <w:rPr>
          <w:rFonts w:ascii="Times New Roman" w:eastAsia="Times New Roman" w:hAnsi="Times New Roman" w:cs="Times New Roman"/>
          <w:sz w:val="24"/>
          <w:szCs w:val="24"/>
          <w:lang w:eastAsia="es-ES"/>
        </w:rPr>
        <w:t>te a la escasez de mano de obra”</w:t>
      </w:r>
      <w:r w:rsidRPr="00C13C23">
        <w:rPr>
          <w:rFonts w:ascii="Times New Roman" w:eastAsia="Times New Roman" w:hAnsi="Times New Roman" w:cs="Times New Roman"/>
          <w:sz w:val="24"/>
          <w:szCs w:val="24"/>
          <w:lang w:eastAsia="es-ES"/>
        </w:rPr>
        <w:t xml:space="preserve">, </w:t>
      </w:r>
      <w:r>
        <w:rPr>
          <w:rFonts w:ascii="Times New Roman" w:eastAsia="Times New Roman" w:hAnsi="Times New Roman" w:cs="Times New Roman"/>
          <w:sz w:val="24"/>
          <w:szCs w:val="24"/>
          <w:lang w:eastAsia="es-ES"/>
        </w:rPr>
        <w:t>situación que ha contribuido a “</w:t>
      </w:r>
      <w:r w:rsidRPr="00C13C23">
        <w:rPr>
          <w:rFonts w:ascii="Times New Roman" w:eastAsia="Times New Roman" w:hAnsi="Times New Roman" w:cs="Times New Roman"/>
          <w:sz w:val="24"/>
          <w:szCs w:val="24"/>
          <w:lang w:eastAsia="es-ES"/>
        </w:rPr>
        <w:t>un crecimiento salarial</w:t>
      </w:r>
      <w:r>
        <w:rPr>
          <w:rFonts w:ascii="Times New Roman" w:eastAsia="Times New Roman" w:hAnsi="Times New Roman" w:cs="Times New Roman"/>
          <w:sz w:val="24"/>
          <w:szCs w:val="24"/>
          <w:lang w:eastAsia="es-ES"/>
        </w:rPr>
        <w:t xml:space="preserve"> en la mayoría de los distritos”</w:t>
      </w:r>
      <w:r w:rsidRPr="00C13C23">
        <w:rPr>
          <w:rFonts w:ascii="Times New Roman" w:eastAsia="Times New Roman" w:hAnsi="Times New Roman" w:cs="Times New Roman"/>
          <w:sz w:val="24"/>
          <w:szCs w:val="24"/>
          <w:lang w:eastAsia="es-ES"/>
        </w:rPr>
        <w:t>.</w:t>
      </w:r>
    </w:p>
    <w:p w:rsidR="00613B05" w:rsidRPr="00C13C23" w:rsidRDefault="00613B05" w:rsidP="00613B05">
      <w:pPr>
        <w:shd w:val="clear" w:color="auto" w:fill="FDFDFD"/>
        <w:spacing w:after="0" w:line="240" w:lineRule="auto"/>
        <w:jc w:val="both"/>
        <w:rPr>
          <w:rFonts w:ascii="Times New Roman" w:eastAsia="Times New Roman" w:hAnsi="Times New Roman" w:cs="Times New Roman"/>
          <w:sz w:val="24"/>
          <w:szCs w:val="24"/>
          <w:lang w:eastAsia="es-ES"/>
        </w:rPr>
      </w:pPr>
    </w:p>
    <w:p w:rsidR="00613B05" w:rsidRPr="00AA7A00" w:rsidRDefault="00613B05" w:rsidP="00613B05">
      <w:pPr>
        <w:shd w:val="clear" w:color="auto" w:fill="FDFDFD"/>
        <w:spacing w:after="0" w:line="240" w:lineRule="auto"/>
        <w:jc w:val="both"/>
        <w:rPr>
          <w:rFonts w:ascii="Times New Roman" w:eastAsia="Times New Roman" w:hAnsi="Times New Roman" w:cs="Times New Roman"/>
          <w:color w:val="FF0000"/>
          <w:sz w:val="24"/>
          <w:szCs w:val="24"/>
          <w:u w:val="single"/>
          <w:lang w:eastAsia="es-ES"/>
        </w:rPr>
      </w:pPr>
      <w:r w:rsidRPr="00AA7A00">
        <w:rPr>
          <w:rFonts w:ascii="Times New Roman" w:eastAsia="Times New Roman" w:hAnsi="Times New Roman" w:cs="Times New Roman"/>
          <w:color w:val="FF0000"/>
          <w:sz w:val="24"/>
          <w:szCs w:val="24"/>
          <w:u w:val="single"/>
          <w:lang w:eastAsia="es-ES"/>
        </w:rPr>
        <w:t>Desde l</w:t>
      </w:r>
      <w:r>
        <w:rPr>
          <w:rFonts w:ascii="Times New Roman" w:eastAsia="Times New Roman" w:hAnsi="Times New Roman" w:cs="Times New Roman"/>
          <w:color w:val="FF0000"/>
          <w:sz w:val="24"/>
          <w:szCs w:val="24"/>
          <w:u w:val="single"/>
          <w:lang w:eastAsia="es-ES"/>
        </w:rPr>
        <w:t>a Reserva Federal remarcan que “</w:t>
      </w:r>
      <w:r w:rsidRPr="00AA7A00">
        <w:rPr>
          <w:rFonts w:ascii="Times New Roman" w:eastAsia="Times New Roman" w:hAnsi="Times New Roman" w:cs="Times New Roman"/>
          <w:color w:val="FF0000"/>
          <w:sz w:val="24"/>
          <w:szCs w:val="24"/>
          <w:u w:val="single"/>
          <w:lang w:eastAsia="es-ES"/>
        </w:rPr>
        <w:t>el aumento de las tasas de interés, la inflación general, la invasión rusa de Ucrania y las interrupciones por los casos de covid completan las preocupaciones clave que afectan los planes</w:t>
      </w:r>
      <w:r>
        <w:rPr>
          <w:rFonts w:ascii="Times New Roman" w:eastAsia="Times New Roman" w:hAnsi="Times New Roman" w:cs="Times New Roman"/>
          <w:color w:val="FF0000"/>
          <w:sz w:val="24"/>
          <w:szCs w:val="24"/>
          <w:u w:val="single"/>
          <w:lang w:eastAsia="es-ES"/>
        </w:rPr>
        <w:t xml:space="preserve"> de las familias y las empresas</w:t>
      </w:r>
      <w:r w:rsidRPr="005D24AE">
        <w:rPr>
          <w:rFonts w:ascii="Times New Roman" w:eastAsia="Times New Roman" w:hAnsi="Times New Roman" w:cs="Times New Roman"/>
          <w:color w:val="FF0000"/>
          <w:sz w:val="24"/>
          <w:szCs w:val="24"/>
          <w:lang w:eastAsia="es-ES"/>
        </w:rPr>
        <w:t>”.</w:t>
      </w:r>
    </w:p>
    <w:p w:rsidR="00613B05" w:rsidRDefault="00613B05" w:rsidP="00613B05">
      <w:pPr>
        <w:shd w:val="clear" w:color="auto" w:fill="FDFDFD"/>
        <w:spacing w:after="0" w:line="240" w:lineRule="auto"/>
        <w:jc w:val="both"/>
        <w:rPr>
          <w:rFonts w:ascii="Times New Roman" w:eastAsia="Times New Roman" w:hAnsi="Times New Roman" w:cs="Times New Roman"/>
          <w:color w:val="FF0000"/>
          <w:sz w:val="24"/>
          <w:szCs w:val="24"/>
          <w:u w:val="single"/>
          <w:lang w:eastAsia="es-ES"/>
        </w:rPr>
      </w:pPr>
    </w:p>
    <w:p w:rsidR="00613B05" w:rsidRPr="00C13C23" w:rsidRDefault="00613B05" w:rsidP="00613B05">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C13C23">
        <w:rPr>
          <w:rFonts w:ascii="Times New Roman" w:eastAsia="Times New Roman" w:hAnsi="Times New Roman" w:cs="Times New Roman"/>
          <w:sz w:val="24"/>
          <w:szCs w:val="24"/>
          <w:u w:val="single"/>
          <w:lang w:eastAsia="es-ES"/>
        </w:rPr>
        <w:t>Los grandes países del euro, abocados a la estanflación en este trimestre</w:t>
      </w:r>
      <w:r>
        <w:rPr>
          <w:rFonts w:ascii="Times New Roman" w:eastAsia="Times New Roman" w:hAnsi="Times New Roman" w:cs="Times New Roman"/>
          <w:sz w:val="24"/>
          <w:szCs w:val="24"/>
          <w:lang w:eastAsia="es-ES"/>
        </w:rPr>
        <w:t xml:space="preserve"> (El Economista - </w:t>
      </w:r>
      <w:r w:rsidRPr="00C13C23">
        <w:rPr>
          <w:rFonts w:ascii="Times New Roman" w:eastAsia="Times New Roman" w:hAnsi="Times New Roman" w:cs="Times New Roman"/>
          <w:b/>
          <w:sz w:val="24"/>
          <w:szCs w:val="24"/>
          <w:lang w:eastAsia="es-ES"/>
        </w:rPr>
        <w:t>2/6/22</w:t>
      </w:r>
      <w:r>
        <w:rPr>
          <w:rFonts w:ascii="Times New Roman" w:eastAsia="Times New Roman" w:hAnsi="Times New Roman" w:cs="Times New Roman"/>
          <w:sz w:val="24"/>
          <w:szCs w:val="24"/>
          <w:lang w:eastAsia="es-ES"/>
        </w:rPr>
        <w:t>)</w:t>
      </w:r>
    </w:p>
    <w:p w:rsidR="00613B05" w:rsidRDefault="00613B05" w:rsidP="00613B05">
      <w:pPr>
        <w:shd w:val="clear" w:color="auto" w:fill="FDFDFD"/>
        <w:spacing w:after="0" w:line="240" w:lineRule="auto"/>
        <w:jc w:val="both"/>
        <w:rPr>
          <w:rFonts w:ascii="Times New Roman" w:eastAsia="Times New Roman" w:hAnsi="Times New Roman" w:cs="Times New Roman"/>
          <w:sz w:val="24"/>
          <w:szCs w:val="24"/>
          <w:lang w:eastAsia="es-ES"/>
        </w:rPr>
      </w:pPr>
    </w:p>
    <w:p w:rsidR="00613B05" w:rsidRPr="00AA7A00" w:rsidRDefault="00613B05" w:rsidP="00613B05">
      <w:pPr>
        <w:shd w:val="clear" w:color="auto" w:fill="FDFDFD"/>
        <w:spacing w:after="0" w:line="240" w:lineRule="auto"/>
        <w:jc w:val="both"/>
        <w:rPr>
          <w:rFonts w:ascii="Times New Roman" w:eastAsia="Times New Roman" w:hAnsi="Times New Roman" w:cs="Times New Roman"/>
          <w:color w:val="FF0000"/>
          <w:sz w:val="24"/>
          <w:szCs w:val="24"/>
          <w:lang w:eastAsia="es-ES"/>
        </w:rPr>
      </w:pPr>
      <w:r w:rsidRPr="00AA7A00">
        <w:rPr>
          <w:rFonts w:ascii="Times New Roman" w:eastAsia="Times New Roman" w:hAnsi="Times New Roman" w:cs="Times New Roman"/>
          <w:color w:val="FF0000"/>
          <w:sz w:val="24"/>
          <w:szCs w:val="24"/>
          <w:lang w:eastAsia="es-ES"/>
        </w:rPr>
        <w:t xml:space="preserve">La evolución de Alemania, Francia, España e Italia de enero a marzo ya anticipa ese fenómeno </w:t>
      </w:r>
    </w:p>
    <w:p w:rsidR="00613B05" w:rsidRPr="00AA7A00" w:rsidRDefault="00613B05" w:rsidP="00613B05">
      <w:pPr>
        <w:shd w:val="clear" w:color="auto" w:fill="FDFDFD"/>
        <w:spacing w:after="0" w:line="240" w:lineRule="auto"/>
        <w:jc w:val="both"/>
        <w:rPr>
          <w:rFonts w:ascii="Times New Roman" w:eastAsia="Times New Roman" w:hAnsi="Times New Roman" w:cs="Times New Roman"/>
          <w:color w:val="FF0000"/>
          <w:sz w:val="24"/>
          <w:szCs w:val="24"/>
          <w:lang w:eastAsia="es-ES"/>
        </w:rPr>
      </w:pPr>
    </w:p>
    <w:p w:rsidR="00613B05" w:rsidRDefault="00613B05" w:rsidP="00613B05">
      <w:pPr>
        <w:shd w:val="clear" w:color="auto" w:fill="FDFDFD"/>
        <w:spacing w:after="0" w:line="240" w:lineRule="auto"/>
        <w:jc w:val="both"/>
        <w:rPr>
          <w:rFonts w:ascii="Times New Roman" w:eastAsia="Times New Roman" w:hAnsi="Times New Roman" w:cs="Times New Roman"/>
          <w:color w:val="FF0000"/>
          <w:sz w:val="24"/>
          <w:szCs w:val="24"/>
          <w:lang w:eastAsia="es-ES"/>
        </w:rPr>
      </w:pPr>
      <w:r w:rsidRPr="00AA7A00">
        <w:rPr>
          <w:rFonts w:ascii="Times New Roman" w:eastAsia="Times New Roman" w:hAnsi="Times New Roman" w:cs="Times New Roman"/>
          <w:color w:val="FF0000"/>
          <w:sz w:val="24"/>
          <w:szCs w:val="24"/>
          <w:lang w:eastAsia="es-ES"/>
        </w:rPr>
        <w:t>El PIB alemán, en riesgo de imitar a la economía gala y sufrir una contracción entre abril y junio</w:t>
      </w:r>
    </w:p>
    <w:p w:rsidR="00613B05" w:rsidRDefault="00613B05" w:rsidP="00613B05">
      <w:pPr>
        <w:shd w:val="clear" w:color="auto" w:fill="FDFDFD"/>
        <w:spacing w:after="0" w:line="240" w:lineRule="auto"/>
        <w:jc w:val="both"/>
        <w:rPr>
          <w:rFonts w:ascii="Times New Roman" w:eastAsia="Times New Roman" w:hAnsi="Times New Roman" w:cs="Times New Roman"/>
          <w:color w:val="FF0000"/>
          <w:sz w:val="24"/>
          <w:szCs w:val="24"/>
          <w:lang w:eastAsia="es-ES"/>
        </w:rPr>
      </w:pPr>
    </w:p>
    <w:p w:rsidR="00613B05" w:rsidRDefault="00613B05" w:rsidP="00613B05">
      <w:pPr>
        <w:shd w:val="clear" w:color="auto" w:fill="FDFDFD"/>
        <w:spacing w:after="0" w:line="240" w:lineRule="auto"/>
        <w:jc w:val="both"/>
        <w:rPr>
          <w:rFonts w:ascii="Times New Roman" w:eastAsia="Times New Roman" w:hAnsi="Times New Roman" w:cs="Times New Roman"/>
          <w:sz w:val="24"/>
          <w:szCs w:val="24"/>
          <w:lang w:eastAsia="es-ES"/>
        </w:rPr>
      </w:pPr>
      <w:r w:rsidRPr="00AA7A00">
        <w:rPr>
          <w:rFonts w:ascii="Times New Roman" w:eastAsia="Times New Roman" w:hAnsi="Times New Roman" w:cs="Times New Roman"/>
          <w:color w:val="FF0000"/>
          <w:sz w:val="24"/>
          <w:szCs w:val="24"/>
          <w:u w:val="single"/>
          <w:lang w:eastAsia="es-ES"/>
        </w:rPr>
        <w:t>La preocupación ante la amenaza de que Europa se vea sumida en la estanflación atenaza a los analistas desde el año pasado. Pero lo cierto es que el riesgo nunca ha sido tan cierto como ahora, especialmente para los cuatro grandes de la Unión Monetaria (Alemania, Italia, Francia y también España)</w:t>
      </w:r>
      <w:r w:rsidRPr="00C13C23">
        <w:rPr>
          <w:rFonts w:ascii="Times New Roman" w:eastAsia="Times New Roman" w:hAnsi="Times New Roman" w:cs="Times New Roman"/>
          <w:sz w:val="24"/>
          <w:szCs w:val="24"/>
          <w:lang w:eastAsia="es-ES"/>
        </w:rPr>
        <w:t>. Hasta el punto de que los expertos consultados por elEconomista avisan de que la mayor anomalía económica que un país puede afrontar (avances ínfimos del PIB, o incluso decrecimientos, acompañados por tasas de IPC de récord), tras comenzar a manifestarse entre enero y marzo pasados en la mayoría de esos países, presenta visos de que será en este trimestre cuando se afiance, espoleada por la guerra en Ucrania y las semanas de restricciones que atravesó China.</w:t>
      </w:r>
    </w:p>
    <w:p w:rsidR="00613B05" w:rsidRDefault="00613B05" w:rsidP="00613B05">
      <w:pPr>
        <w:shd w:val="clear" w:color="auto" w:fill="FDFDFD"/>
        <w:spacing w:after="0" w:line="240" w:lineRule="auto"/>
        <w:jc w:val="both"/>
        <w:rPr>
          <w:rFonts w:ascii="Times New Roman" w:eastAsia="Times New Roman" w:hAnsi="Times New Roman" w:cs="Times New Roman"/>
          <w:sz w:val="24"/>
          <w:szCs w:val="24"/>
          <w:lang w:eastAsia="es-ES"/>
        </w:rPr>
      </w:pPr>
    </w:p>
    <w:p w:rsidR="00613B05" w:rsidRPr="00C13C23" w:rsidRDefault="00613B05" w:rsidP="00613B05">
      <w:pPr>
        <w:shd w:val="clear" w:color="auto" w:fill="FDFDFD"/>
        <w:spacing w:after="0" w:line="240" w:lineRule="auto"/>
        <w:jc w:val="both"/>
        <w:rPr>
          <w:rFonts w:ascii="Times New Roman" w:eastAsia="Times New Roman" w:hAnsi="Times New Roman" w:cs="Times New Roman"/>
          <w:sz w:val="24"/>
          <w:szCs w:val="24"/>
          <w:lang w:eastAsia="es-ES"/>
        </w:rPr>
      </w:pPr>
      <w:r w:rsidRPr="00C13C23">
        <w:rPr>
          <w:rFonts w:ascii="Times New Roman" w:eastAsia="Times New Roman" w:hAnsi="Times New Roman" w:cs="Times New Roman"/>
          <w:sz w:val="24"/>
          <w:szCs w:val="24"/>
          <w:lang w:eastAsia="es-ES"/>
        </w:rPr>
        <w:t>Con todos los últimos datos de coyuntura europea sobre la mesa, la subdirectora del Instituto Bruegel de Bruselas, Maria Demertzis, asegura a tr</w:t>
      </w:r>
      <w:r>
        <w:rPr>
          <w:rFonts w:ascii="Times New Roman" w:eastAsia="Times New Roman" w:hAnsi="Times New Roman" w:cs="Times New Roman"/>
          <w:sz w:val="24"/>
          <w:szCs w:val="24"/>
          <w:lang w:eastAsia="es-ES"/>
        </w:rPr>
        <w:t>avés de correo electrónico que “</w:t>
      </w:r>
      <w:r w:rsidRPr="00C13C23">
        <w:rPr>
          <w:rFonts w:ascii="Times New Roman" w:eastAsia="Times New Roman" w:hAnsi="Times New Roman" w:cs="Times New Roman"/>
          <w:sz w:val="24"/>
          <w:szCs w:val="24"/>
          <w:lang w:eastAsia="es-ES"/>
        </w:rPr>
        <w:t>ya se puede decir que tienen parte de razón quienes hablan de estanflación en la eurozona o en el conjunto</w:t>
      </w:r>
      <w:r>
        <w:rPr>
          <w:rFonts w:ascii="Times New Roman" w:eastAsia="Times New Roman" w:hAnsi="Times New Roman" w:cs="Times New Roman"/>
          <w:sz w:val="24"/>
          <w:szCs w:val="24"/>
          <w:lang w:eastAsia="es-ES"/>
        </w:rPr>
        <w:t xml:space="preserve"> de la UE”</w:t>
      </w:r>
      <w:r w:rsidRPr="00C13C23">
        <w:rPr>
          <w:rFonts w:ascii="Times New Roman" w:eastAsia="Times New Roman" w:hAnsi="Times New Roman" w:cs="Times New Roman"/>
          <w:sz w:val="24"/>
          <w:szCs w:val="24"/>
          <w:lang w:eastAsia="es-ES"/>
        </w:rPr>
        <w:t xml:space="preserve"> en el corto plazo. No en vano la Unión se enfrenta a tasas débiles de crecimiento </w:t>
      </w:r>
      <w:r>
        <w:rPr>
          <w:rFonts w:ascii="Times New Roman" w:eastAsia="Times New Roman" w:hAnsi="Times New Roman" w:cs="Times New Roman"/>
          <w:sz w:val="24"/>
          <w:szCs w:val="24"/>
          <w:lang w:eastAsia="es-ES"/>
        </w:rPr>
        <w:t>y a precios altos persistentes “durante cierto tiempo”</w:t>
      </w:r>
      <w:r w:rsidRPr="00C13C23">
        <w:rPr>
          <w:rFonts w:ascii="Times New Roman" w:eastAsia="Times New Roman" w:hAnsi="Times New Roman" w:cs="Times New Roman"/>
          <w:sz w:val="24"/>
          <w:szCs w:val="24"/>
          <w:lang w:eastAsia="es-ES"/>
        </w:rPr>
        <w:t>.</w:t>
      </w:r>
    </w:p>
    <w:p w:rsidR="00613B05" w:rsidRPr="00613B05" w:rsidRDefault="00613B05" w:rsidP="00613B05">
      <w:pPr>
        <w:shd w:val="clear" w:color="auto" w:fill="FDFDFD"/>
        <w:spacing w:after="0" w:line="240" w:lineRule="auto"/>
        <w:jc w:val="both"/>
        <w:rPr>
          <w:rFonts w:ascii="Times New Roman" w:eastAsia="Times New Roman" w:hAnsi="Times New Roman" w:cs="Times New Roman"/>
          <w:sz w:val="24"/>
          <w:szCs w:val="24"/>
          <w:lang w:eastAsia="es-ES"/>
        </w:rPr>
      </w:pPr>
      <w:r w:rsidRPr="00C13C23">
        <w:rPr>
          <w:rFonts w:ascii="Times New Roman" w:eastAsia="Times New Roman" w:hAnsi="Times New Roman" w:cs="Times New Roman"/>
          <w:sz w:val="24"/>
          <w:szCs w:val="24"/>
          <w:lang w:eastAsia="es-ES"/>
        </w:rPr>
        <w:lastRenderedPageBreak/>
        <w:t>Al menos, Demertzis confía en que el fenómeno no se manifieste de</w:t>
      </w:r>
      <w:r>
        <w:rPr>
          <w:rFonts w:ascii="Times New Roman" w:eastAsia="Times New Roman" w:hAnsi="Times New Roman" w:cs="Times New Roman"/>
          <w:sz w:val="24"/>
          <w:szCs w:val="24"/>
          <w:lang w:eastAsia="es-ES"/>
        </w:rPr>
        <w:t xml:space="preserve"> modo tan radical como ocurrió “</w:t>
      </w:r>
      <w:r w:rsidRPr="00C13C23">
        <w:rPr>
          <w:rFonts w:ascii="Times New Roman" w:eastAsia="Times New Roman" w:hAnsi="Times New Roman" w:cs="Times New Roman"/>
          <w:sz w:val="24"/>
          <w:szCs w:val="24"/>
          <w:lang w:eastAsia="es-ES"/>
        </w:rPr>
        <w:t>a principios de los 80, cuando países como España o Italia vieron cotas de IPC de hasta el 20% en momento</w:t>
      </w:r>
      <w:r>
        <w:rPr>
          <w:rFonts w:ascii="Times New Roman" w:eastAsia="Times New Roman" w:hAnsi="Times New Roman" w:cs="Times New Roman"/>
          <w:sz w:val="24"/>
          <w:szCs w:val="24"/>
          <w:lang w:eastAsia="es-ES"/>
        </w:rPr>
        <w:t>s de contracción de la economía”…</w:t>
      </w:r>
    </w:p>
    <w:p w:rsidR="00613B05" w:rsidRDefault="00613B05" w:rsidP="00613B05">
      <w:pPr>
        <w:shd w:val="clear" w:color="auto" w:fill="FDFDFD"/>
        <w:spacing w:after="0" w:line="240" w:lineRule="auto"/>
        <w:jc w:val="both"/>
        <w:rPr>
          <w:rFonts w:ascii="Times New Roman" w:eastAsia="Times New Roman" w:hAnsi="Times New Roman" w:cs="Times New Roman"/>
          <w:sz w:val="24"/>
          <w:szCs w:val="24"/>
          <w:lang w:eastAsia="es-ES"/>
        </w:rPr>
      </w:pPr>
    </w:p>
    <w:p w:rsidR="00613B05" w:rsidRPr="00C13C23" w:rsidRDefault="00613B05" w:rsidP="00613B05">
      <w:pPr>
        <w:shd w:val="clear" w:color="auto" w:fill="FDFDFD"/>
        <w:spacing w:after="0" w:line="240" w:lineRule="auto"/>
        <w:jc w:val="both"/>
        <w:rPr>
          <w:rFonts w:ascii="Times New Roman" w:eastAsia="Times New Roman" w:hAnsi="Times New Roman" w:cs="Times New Roman"/>
          <w:sz w:val="24"/>
          <w:szCs w:val="24"/>
          <w:lang w:eastAsia="es-ES"/>
        </w:rPr>
      </w:pPr>
      <w:r w:rsidRPr="00C13C23">
        <w:rPr>
          <w:rFonts w:ascii="Times New Roman" w:eastAsia="Times New Roman" w:hAnsi="Times New Roman" w:cs="Times New Roman"/>
          <w:noProof/>
          <w:sz w:val="24"/>
          <w:szCs w:val="24"/>
          <w:lang w:eastAsia="es-ES"/>
        </w:rPr>
        <w:drawing>
          <wp:inline distT="0" distB="0" distL="0" distR="0" wp14:anchorId="0DF5CD01" wp14:editId="29C661D4">
            <wp:extent cx="5619750" cy="5213350"/>
            <wp:effectExtent l="0" t="0" r="0" b="6350"/>
            <wp:docPr id="146" name="Imagen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5620535" cy="5214079"/>
                    </a:xfrm>
                    <a:prstGeom prst="rect">
                      <a:avLst/>
                    </a:prstGeom>
                  </pic:spPr>
                </pic:pic>
              </a:graphicData>
            </a:graphic>
          </wp:inline>
        </w:drawing>
      </w:r>
    </w:p>
    <w:p w:rsidR="00613B05" w:rsidRDefault="00613B05" w:rsidP="00613B05">
      <w:pPr>
        <w:shd w:val="clear" w:color="auto" w:fill="FDFDFD"/>
        <w:spacing w:after="0" w:line="240" w:lineRule="auto"/>
        <w:jc w:val="both"/>
        <w:rPr>
          <w:rFonts w:ascii="Times New Roman" w:eastAsia="Times New Roman" w:hAnsi="Times New Roman" w:cs="Times New Roman"/>
          <w:sz w:val="24"/>
          <w:szCs w:val="24"/>
          <w:lang w:eastAsia="es-ES"/>
        </w:rPr>
      </w:pPr>
    </w:p>
    <w:p w:rsidR="00613B05" w:rsidRPr="0001624F" w:rsidRDefault="00613B05" w:rsidP="00613B0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01624F">
        <w:rPr>
          <w:rFonts w:ascii="Times New Roman" w:hAnsi="Times New Roman" w:cs="Times New Roman"/>
          <w:sz w:val="24"/>
          <w:szCs w:val="24"/>
          <w:u w:val="single"/>
        </w:rPr>
        <w:t>Malos tiempos para la ortodoxia económica</w:t>
      </w:r>
      <w:r>
        <w:rPr>
          <w:rFonts w:ascii="Times New Roman" w:hAnsi="Times New Roman" w:cs="Times New Roman"/>
          <w:sz w:val="24"/>
          <w:szCs w:val="24"/>
        </w:rPr>
        <w:t xml:space="preserve"> (Vozpópuli - </w:t>
      </w:r>
      <w:r w:rsidRPr="0001624F">
        <w:rPr>
          <w:rFonts w:ascii="Times New Roman" w:hAnsi="Times New Roman" w:cs="Times New Roman"/>
          <w:b/>
          <w:sz w:val="24"/>
          <w:szCs w:val="24"/>
        </w:rPr>
        <w:t>2/6/22</w:t>
      </w:r>
      <w:r>
        <w:rPr>
          <w:rFonts w:ascii="Times New Roman" w:hAnsi="Times New Roman" w:cs="Times New Roman"/>
          <w:sz w:val="24"/>
          <w:szCs w:val="24"/>
        </w:rPr>
        <w:t>)</w:t>
      </w:r>
    </w:p>
    <w:p w:rsidR="00613B05" w:rsidRPr="00AA7A00" w:rsidRDefault="00613B05" w:rsidP="00613B05">
      <w:pPr>
        <w:spacing w:line="240" w:lineRule="auto"/>
        <w:jc w:val="both"/>
        <w:rPr>
          <w:rFonts w:ascii="Times New Roman" w:hAnsi="Times New Roman" w:cs="Times New Roman"/>
          <w:color w:val="FF0000"/>
          <w:sz w:val="24"/>
          <w:szCs w:val="24"/>
        </w:rPr>
      </w:pPr>
      <w:r w:rsidRPr="00AA7A00">
        <w:rPr>
          <w:rFonts w:ascii="Times New Roman" w:hAnsi="Times New Roman" w:cs="Times New Roman"/>
          <w:color w:val="FF0000"/>
          <w:sz w:val="24"/>
          <w:szCs w:val="24"/>
        </w:rPr>
        <w:t>El problema es que estas teorías, idealizadas por los macroeconomistas, han sido aplicadas por banqueros, industriales, tecnócratas y políticos</w:t>
      </w:r>
    </w:p>
    <w:p w:rsidR="00613B05" w:rsidRPr="0001624F" w:rsidRDefault="00613B05" w:rsidP="00613B05">
      <w:pPr>
        <w:spacing w:line="240" w:lineRule="auto"/>
        <w:jc w:val="both"/>
        <w:rPr>
          <w:rFonts w:ascii="Times New Roman" w:hAnsi="Times New Roman" w:cs="Times New Roman"/>
          <w:sz w:val="24"/>
          <w:szCs w:val="24"/>
        </w:rPr>
      </w:pPr>
      <w:r>
        <w:rPr>
          <w:rFonts w:ascii="Times New Roman" w:hAnsi="Times New Roman" w:cs="Times New Roman"/>
          <w:sz w:val="24"/>
          <w:szCs w:val="24"/>
        </w:rPr>
        <w:t>(Por Juan Laborda)</w:t>
      </w:r>
    </w:p>
    <w:p w:rsidR="00613B05" w:rsidRPr="00384B4E" w:rsidRDefault="00613B05" w:rsidP="00613B05">
      <w:pPr>
        <w:spacing w:line="240" w:lineRule="auto"/>
        <w:jc w:val="both"/>
        <w:rPr>
          <w:rFonts w:ascii="Times New Roman" w:hAnsi="Times New Roman" w:cs="Times New Roman"/>
          <w:sz w:val="24"/>
          <w:szCs w:val="24"/>
          <w:u w:val="single"/>
        </w:rPr>
      </w:pPr>
      <w:r w:rsidRPr="00AA7A00">
        <w:rPr>
          <w:rFonts w:ascii="Times New Roman" w:hAnsi="Times New Roman" w:cs="Times New Roman"/>
          <w:sz w:val="24"/>
          <w:szCs w:val="24"/>
          <w:u w:val="single"/>
        </w:rPr>
        <w:t>La evidencia empírica contra la ortodoxia dominante se acumula. Ya es abrumadora</w:t>
      </w:r>
      <w:r w:rsidRPr="0001624F">
        <w:rPr>
          <w:rFonts w:ascii="Times New Roman" w:hAnsi="Times New Roman" w:cs="Times New Roman"/>
          <w:sz w:val="24"/>
          <w:szCs w:val="24"/>
        </w:rPr>
        <w:t xml:space="preserve">. Nuevas investigaciones echan por tierra los manuales macroeconómicos utilizados en la inmensa mayoría de las universidades, dominados por una ortodoxia monetarista y neokeynesiana que ya se debería reciclar. </w:t>
      </w:r>
      <w:r w:rsidRPr="00384B4E">
        <w:rPr>
          <w:rFonts w:ascii="Times New Roman" w:hAnsi="Times New Roman" w:cs="Times New Roman"/>
          <w:sz w:val="24"/>
          <w:szCs w:val="24"/>
          <w:u w:val="single"/>
        </w:rPr>
        <w:t xml:space="preserve">Quien se atreve de nuevo a desmentir años y décadas de otro relato económico, a modo de cuento infantil devenido en novela de terror, ha sido la Reserva Federal de los Estados Unidos. El documento de trabajo “Who Killed the Phillips Curve? A Murder Mystery”, publicado este 20 de mayo, y perteneciente a la Serie de Discusión de Finanzas y Economía, echa por tierra la ficción monetaria de que las presiones inflacionistas </w:t>
      </w:r>
      <w:r w:rsidRPr="00384B4E">
        <w:rPr>
          <w:rFonts w:ascii="Times New Roman" w:hAnsi="Times New Roman" w:cs="Times New Roman"/>
          <w:sz w:val="24"/>
          <w:szCs w:val="24"/>
          <w:u w:val="single"/>
        </w:rPr>
        <w:lastRenderedPageBreak/>
        <w:t xml:space="preserve">eran, en última instancia, el producto de una política gubernamental irresponsable diseñada para reducir </w:t>
      </w:r>
      <w:r>
        <w:rPr>
          <w:rFonts w:ascii="Times New Roman" w:hAnsi="Times New Roman" w:cs="Times New Roman"/>
          <w:sz w:val="24"/>
          <w:szCs w:val="24"/>
          <w:u w:val="single"/>
        </w:rPr>
        <w:t>el desempleo por debajo de una “tasa natural”</w:t>
      </w:r>
      <w:r w:rsidRPr="00384B4E">
        <w:rPr>
          <w:rFonts w:ascii="Times New Roman" w:hAnsi="Times New Roman" w:cs="Times New Roman"/>
          <w:sz w:val="24"/>
          <w:szCs w:val="24"/>
          <w:u w:val="single"/>
        </w:rPr>
        <w:t>. ¡A buenas horas mangas verdes!</w:t>
      </w:r>
    </w:p>
    <w:p w:rsidR="00613B05" w:rsidRPr="0001624F" w:rsidRDefault="00613B05" w:rsidP="00613B05">
      <w:pPr>
        <w:spacing w:line="240" w:lineRule="auto"/>
        <w:jc w:val="both"/>
        <w:rPr>
          <w:rFonts w:ascii="Times New Roman" w:hAnsi="Times New Roman" w:cs="Times New Roman"/>
          <w:sz w:val="24"/>
          <w:szCs w:val="24"/>
        </w:rPr>
      </w:pPr>
      <w:r w:rsidRPr="00384B4E">
        <w:rPr>
          <w:rFonts w:ascii="Times New Roman" w:hAnsi="Times New Roman" w:cs="Times New Roman"/>
          <w:color w:val="FF0000"/>
          <w:sz w:val="24"/>
          <w:szCs w:val="24"/>
          <w:u w:val="single"/>
        </w:rPr>
        <w:t>Lo más relevante de dicho documento de trabajo es que sus autores afirman de manera solemne: “En la actualidad, no tenemos una teoría de la dinámica de la inflación que funcione lo suficientemente bien como para ser útil para el negocio de la formulación de la política monetaria en tiempo real”. En otras palabras, confiar en los enfoques dominantes ha</w:t>
      </w:r>
      <w:r>
        <w:rPr>
          <w:rFonts w:ascii="Times New Roman" w:hAnsi="Times New Roman" w:cs="Times New Roman"/>
          <w:color w:val="FF0000"/>
          <w:sz w:val="24"/>
          <w:szCs w:val="24"/>
          <w:u w:val="single"/>
        </w:rPr>
        <w:t xml:space="preserve"> dado lugar a que los llamados “expertos”</w:t>
      </w:r>
      <w:r w:rsidRPr="00384B4E">
        <w:rPr>
          <w:rFonts w:ascii="Times New Roman" w:hAnsi="Times New Roman" w:cs="Times New Roman"/>
          <w:color w:val="FF0000"/>
          <w:sz w:val="24"/>
          <w:szCs w:val="24"/>
          <w:u w:val="single"/>
        </w:rPr>
        <w:t xml:space="preserve"> no tengan ni idea de los fenómenos sobre los que se explayan y, lo que es más importante, sobre los que elaboran políticas que repercuten negativamente en millones de trabajadores y sus familias</w:t>
      </w:r>
      <w:r w:rsidRPr="0001624F">
        <w:rPr>
          <w:rFonts w:ascii="Times New Roman" w:hAnsi="Times New Roman" w:cs="Times New Roman"/>
          <w:sz w:val="24"/>
          <w:szCs w:val="24"/>
        </w:rPr>
        <w:t>. Decir que no tienen una teoría de la dinámica de la inflación es una declaración de su ignorancia, pero no de que no exista una teoría de la dinámica de la inflación que capte más o menos la evolución de los datos. Esta existe, desde la tradición postkeynesiana, cuyos economistas ya desarrollaron una teoría de la inflación viable y que la vienen utilizando durante décadas. Solo los prejuicios y el pensamiento gregario de la corriente dominante es lo que les han impedido verlo. Hasta ahora.</w:t>
      </w:r>
    </w:p>
    <w:p w:rsidR="00613B05" w:rsidRPr="0001624F" w:rsidRDefault="00613B05" w:rsidP="00613B05">
      <w:pPr>
        <w:spacing w:line="240" w:lineRule="auto"/>
        <w:jc w:val="both"/>
        <w:rPr>
          <w:rFonts w:ascii="Times New Roman" w:hAnsi="Times New Roman" w:cs="Times New Roman"/>
          <w:sz w:val="24"/>
          <w:szCs w:val="24"/>
        </w:rPr>
      </w:pPr>
      <w:r w:rsidRPr="0001624F">
        <w:rPr>
          <w:rFonts w:ascii="Times New Roman" w:hAnsi="Times New Roman" w:cs="Times New Roman"/>
          <w:sz w:val="24"/>
          <w:szCs w:val="24"/>
        </w:rPr>
        <w:t>No hay dos sin tres</w:t>
      </w:r>
    </w:p>
    <w:p w:rsidR="00613B05" w:rsidRPr="00384B4E" w:rsidRDefault="00613B05" w:rsidP="00613B05">
      <w:pPr>
        <w:spacing w:line="240" w:lineRule="auto"/>
        <w:jc w:val="both"/>
        <w:rPr>
          <w:rFonts w:ascii="Times New Roman" w:hAnsi="Times New Roman" w:cs="Times New Roman"/>
          <w:color w:val="FF0000"/>
          <w:sz w:val="24"/>
          <w:szCs w:val="24"/>
          <w:u w:val="single"/>
        </w:rPr>
      </w:pPr>
      <w:r w:rsidRPr="00384B4E">
        <w:rPr>
          <w:rFonts w:ascii="Times New Roman" w:hAnsi="Times New Roman" w:cs="Times New Roman"/>
          <w:color w:val="FF0000"/>
          <w:sz w:val="24"/>
          <w:szCs w:val="24"/>
          <w:u w:val="single"/>
        </w:rPr>
        <w:t>Pero a perro flaco todo son pulgas, y no hay dos sin tres. Otro documento de trabajo reciente, también de este mes de mayo, esta vez del Servicio de Estudios de la Reserva Federal de New York, “Modigliani Meets Minsky: Inequality, Debt, and Financial Fragility in America, 1950-2016”, echa por tierra la teoría del consumo neoclásica y el papel de la deuda privada.</w:t>
      </w:r>
      <w:r w:rsidRPr="00384B4E">
        <w:rPr>
          <w:rFonts w:ascii="Times New Roman" w:hAnsi="Times New Roman" w:cs="Times New Roman"/>
          <w:color w:val="FF0000"/>
          <w:sz w:val="24"/>
          <w:szCs w:val="24"/>
        </w:rPr>
        <w:t xml:space="preserve"> </w:t>
      </w:r>
      <w:r w:rsidRPr="00384B4E">
        <w:rPr>
          <w:rFonts w:ascii="Times New Roman" w:hAnsi="Times New Roman" w:cs="Times New Roman"/>
          <w:color w:val="FF0000"/>
          <w:sz w:val="24"/>
          <w:szCs w:val="24"/>
          <w:u w:val="single"/>
        </w:rPr>
        <w:t>Como ya dijimos, la deuda privada no es neutra, importa y mucho. Los autores estudian el aumento secular de la deuda de los hogares estadounidenses y su relación con la creciente desigualdad de ingresos y la fragilidad financiera. Demuestran que el aumento de los préstamos por parte de las familias de clase media con un bajo crecimiento de los ingresos desempeñó un papel fundamental en el aumento del endeudamiento. La relación entre la deuda y los ingresos ha aumentado de forma espectacular para los hogares situados entre los percentiles 50 y 90 de la distribución de ingresos. Mientras que el crecimiento de sus ingresos era bajo, las familias de clase media se endeudaron contra las considerables ganancias de riqueza de la vivienda por el aumento de los precios de la misma. Los préstamos sobre el patrimonio de la vivienda representan aproximadamente la mitad del aumento de la deuda inmobiliaria en Estados Unidos entre los años 80 y 2007. El consiguiente aumento de la deuda hizo que los balances fueran más sensibles a las fluctuaciones de los ingresos y del precio de la vivienda y convirtió a la clase media estadounidense en el epicentro de la creciente fragilidad financiera. ¡Si Minsky levantara la cabeza!</w:t>
      </w:r>
    </w:p>
    <w:p w:rsidR="00613B05" w:rsidRPr="00384B4E" w:rsidRDefault="00613B05" w:rsidP="00613B05">
      <w:pPr>
        <w:spacing w:line="240" w:lineRule="auto"/>
        <w:jc w:val="both"/>
        <w:rPr>
          <w:rFonts w:ascii="Times New Roman" w:hAnsi="Times New Roman" w:cs="Times New Roman"/>
          <w:color w:val="FF0000"/>
          <w:sz w:val="24"/>
          <w:szCs w:val="24"/>
          <w:u w:val="single"/>
        </w:rPr>
      </w:pPr>
      <w:r w:rsidRPr="00384B4E">
        <w:rPr>
          <w:rFonts w:ascii="Times New Roman" w:hAnsi="Times New Roman" w:cs="Times New Roman"/>
          <w:color w:val="FF0000"/>
          <w:sz w:val="24"/>
          <w:szCs w:val="24"/>
          <w:u w:val="single"/>
        </w:rPr>
        <w:t>En definitiva, los últimos años están siendo sin duda un quebradero de cabeza para la escuela dominante, aquella que falseo a Keynes, para volver a las andadas de la economía clásica. Me refiero al enfoque neokeynesiano dominante. Desde la teoría del dinero, la teoría del consumidor, pasando por el papel de la deuda pública y de la deuda privada, o la teoría de la inflación, todo eran cuentos infantiles que acabaron deviniendo en cuentos de terror.</w:t>
      </w:r>
    </w:p>
    <w:p w:rsidR="00613B05" w:rsidRPr="00384B4E" w:rsidRDefault="00613B05" w:rsidP="00613B05">
      <w:pPr>
        <w:spacing w:line="240" w:lineRule="auto"/>
        <w:jc w:val="both"/>
        <w:rPr>
          <w:rFonts w:ascii="Times New Roman" w:hAnsi="Times New Roman" w:cs="Times New Roman"/>
          <w:sz w:val="24"/>
          <w:szCs w:val="24"/>
          <w:u w:val="single"/>
        </w:rPr>
      </w:pPr>
      <w:r w:rsidRPr="0001624F">
        <w:rPr>
          <w:rFonts w:ascii="Times New Roman" w:hAnsi="Times New Roman" w:cs="Times New Roman"/>
          <w:sz w:val="24"/>
          <w:szCs w:val="24"/>
        </w:rPr>
        <w:t xml:space="preserve">Hace muchos años, allá por 1995, el economista e historiador del pensamiento económico Robert Heilbroner y su pupilo William Milberg publicaron un libro premonitorio con un título muy sugerente, “The Crisis of Visoon of Modern Economic Thought”. Heilbroner y Milberg afirmaban ya en 1995 que una demoledora crisis, más amplia y profunda que nunca, estaba afectando a la teoría económica moderna. La crisis en cuestión era consecuencia de la ausencia de una visión, de un conjunto de aquellos conceptos políticos y sociales compartidos, de los que depende, en última instancia, la economía. </w:t>
      </w:r>
      <w:r w:rsidRPr="00384B4E">
        <w:rPr>
          <w:rFonts w:ascii="Times New Roman" w:hAnsi="Times New Roman" w:cs="Times New Roman"/>
          <w:sz w:val="24"/>
          <w:szCs w:val="24"/>
          <w:u w:val="single"/>
        </w:rPr>
        <w:t xml:space="preserve">A la decadencia de la </w:t>
      </w:r>
      <w:r w:rsidRPr="00384B4E">
        <w:rPr>
          <w:rFonts w:ascii="Times New Roman" w:hAnsi="Times New Roman" w:cs="Times New Roman"/>
          <w:sz w:val="24"/>
          <w:szCs w:val="24"/>
          <w:u w:val="single"/>
        </w:rPr>
        <w:lastRenderedPageBreak/>
        <w:t>perspectiva económica le siguieron diversas tendencias cuyo denominador común era una impecable elegancia a la hora de exponer los términos, acompañada de una absoluta inoperancia en su aplicación práctica.</w:t>
      </w:r>
    </w:p>
    <w:p w:rsidR="00613B05" w:rsidRPr="00384B4E" w:rsidRDefault="00613B05" w:rsidP="00613B05">
      <w:pPr>
        <w:spacing w:line="240" w:lineRule="auto"/>
        <w:jc w:val="both"/>
        <w:rPr>
          <w:rFonts w:ascii="Times New Roman" w:hAnsi="Times New Roman" w:cs="Times New Roman"/>
          <w:color w:val="FF0000"/>
          <w:sz w:val="24"/>
          <w:szCs w:val="24"/>
          <w:u w:val="single"/>
        </w:rPr>
      </w:pPr>
      <w:r w:rsidRPr="00384B4E">
        <w:rPr>
          <w:rFonts w:ascii="Times New Roman" w:hAnsi="Times New Roman" w:cs="Times New Roman"/>
          <w:color w:val="FF0000"/>
          <w:sz w:val="24"/>
          <w:szCs w:val="24"/>
          <w:u w:val="single"/>
        </w:rPr>
        <w:t>En esta misma línea, hubo quien dio un paso adelante y abandonó el lado oscuro y tenebroso de la ortodoxia, el premio Nobel de economía 2018, Paul Romer. Recuerden su artículo imprescindible para todo estudiante de economía, y que tantas veces hemos citado aquí, “The Trouble with Macroeconomics”. El resumen del artículo no puede ser más demoledor: “En los últimos tres decenios, los métodos y conclusiones de la macroeconomía se han deteriorado hasta el punto de que gran parte de la labor en esta esfera ya no puede calificarse de investigación científica. El tratamiento de la identificación en los modelos macroeconómicos no es más creíble que en los grandes modelos keynesianos de primera generación, y es peor porque es mucho más opaco. La mayor preocupación es que la pseudociencia macroeconómica está socavando las normas de la ciencia en toda la economía. Si es así, todos los dominios de política que toca la economía podrían perder la acumulación de conocimientos útiles que caracterizan a la verdadera ciencia, el mayor invento humano".</w:t>
      </w:r>
    </w:p>
    <w:p w:rsidR="00613B05" w:rsidRDefault="00613B05" w:rsidP="00613B05">
      <w:pPr>
        <w:spacing w:line="240" w:lineRule="auto"/>
        <w:jc w:val="both"/>
        <w:rPr>
          <w:rFonts w:ascii="Times New Roman" w:hAnsi="Times New Roman" w:cs="Times New Roman"/>
          <w:color w:val="FF0000"/>
          <w:sz w:val="24"/>
          <w:szCs w:val="24"/>
          <w:u w:val="single"/>
        </w:rPr>
      </w:pPr>
      <w:r w:rsidRPr="0001624F">
        <w:rPr>
          <w:rFonts w:ascii="Times New Roman" w:hAnsi="Times New Roman" w:cs="Times New Roman"/>
          <w:sz w:val="24"/>
          <w:szCs w:val="24"/>
        </w:rPr>
        <w:t xml:space="preserve">El problema es que estas teorías, idealizadas por los macroeconomistas, han sido aplicadas por banqueros, industriales, tecnócratas y políticos –resultan hilarantes las intervenciones del gobernador de Banco de España cuyos discursos denotan que quienes se lo preparan ni siquiera se han leído las nuevas investigaciones-. </w:t>
      </w:r>
      <w:r w:rsidRPr="00384B4E">
        <w:rPr>
          <w:rFonts w:ascii="Times New Roman" w:hAnsi="Times New Roman" w:cs="Times New Roman"/>
          <w:color w:val="FF0000"/>
          <w:sz w:val="24"/>
          <w:szCs w:val="24"/>
          <w:u w:val="single"/>
        </w:rPr>
        <w:t>La Macroeconomía de la corriente dominante ha demostrado ser inútil y peligrosa para la gestión de la economía real, constituyendo una posición puramente ideológica capaz de ignorar y negar las causas de la Gran Recesión.</w:t>
      </w:r>
    </w:p>
    <w:p w:rsidR="004E5D37" w:rsidRPr="00C77A47" w:rsidRDefault="004E5D37" w:rsidP="004E5D3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5D24AE">
        <w:rPr>
          <w:rFonts w:ascii="Times New Roman" w:hAnsi="Times New Roman" w:cs="Times New Roman"/>
          <w:sz w:val="24"/>
          <w:szCs w:val="24"/>
          <w:u w:val="single"/>
        </w:rPr>
        <w:t>El CEO de JPMorgan advierte: “</w:t>
      </w:r>
      <w:r w:rsidRPr="00C77A47">
        <w:rPr>
          <w:rFonts w:ascii="Times New Roman" w:hAnsi="Times New Roman" w:cs="Times New Roman"/>
          <w:sz w:val="24"/>
          <w:szCs w:val="24"/>
          <w:u w:val="single"/>
        </w:rPr>
        <w:t>Se aproxima un huracán</w:t>
      </w:r>
      <w:r w:rsidR="005D24AE">
        <w:rPr>
          <w:rFonts w:ascii="Times New Roman" w:hAnsi="Times New Roman" w:cs="Times New Roman"/>
          <w:sz w:val="24"/>
          <w:szCs w:val="24"/>
        </w:rPr>
        <w:t>”</w:t>
      </w:r>
      <w:r>
        <w:rPr>
          <w:rFonts w:ascii="Times New Roman" w:hAnsi="Times New Roman" w:cs="Times New Roman"/>
          <w:sz w:val="24"/>
          <w:szCs w:val="24"/>
        </w:rPr>
        <w:t xml:space="preserve"> (El Economista - </w:t>
      </w:r>
      <w:r w:rsidRPr="00C77A47">
        <w:rPr>
          <w:rFonts w:ascii="Times New Roman" w:hAnsi="Times New Roman" w:cs="Times New Roman"/>
          <w:b/>
          <w:sz w:val="24"/>
          <w:szCs w:val="24"/>
        </w:rPr>
        <w:t>2/6/22</w:t>
      </w:r>
      <w:r>
        <w:rPr>
          <w:rFonts w:ascii="Times New Roman" w:hAnsi="Times New Roman" w:cs="Times New Roman"/>
          <w:sz w:val="24"/>
          <w:szCs w:val="24"/>
        </w:rPr>
        <w:t>)</w:t>
      </w:r>
    </w:p>
    <w:p w:rsidR="004E5D37" w:rsidRPr="00C77A47" w:rsidRDefault="004E5D37" w:rsidP="004E5D37">
      <w:pPr>
        <w:spacing w:line="240" w:lineRule="auto"/>
        <w:jc w:val="both"/>
        <w:rPr>
          <w:rFonts w:ascii="Times New Roman" w:hAnsi="Times New Roman" w:cs="Times New Roman"/>
          <w:sz w:val="24"/>
          <w:szCs w:val="24"/>
        </w:rPr>
      </w:pPr>
      <w:r w:rsidRPr="00C77A47">
        <w:rPr>
          <w:rFonts w:ascii="Times New Roman" w:hAnsi="Times New Roman" w:cs="Times New Roman"/>
          <w:sz w:val="24"/>
          <w:szCs w:val="24"/>
        </w:rPr>
        <w:t>Jamie Dimon asegura que su banco ya está tomando posiciones conservadoras</w:t>
      </w:r>
    </w:p>
    <w:p w:rsidR="004E5D37" w:rsidRPr="00C77A47" w:rsidRDefault="004E5D37" w:rsidP="004E5D37">
      <w:pPr>
        <w:spacing w:line="240" w:lineRule="auto"/>
        <w:jc w:val="both"/>
        <w:rPr>
          <w:rFonts w:ascii="Times New Roman" w:hAnsi="Times New Roman" w:cs="Times New Roman"/>
          <w:sz w:val="24"/>
          <w:szCs w:val="24"/>
        </w:rPr>
      </w:pPr>
      <w:r w:rsidRPr="00C77A47">
        <w:rPr>
          <w:rFonts w:ascii="Times New Roman" w:hAnsi="Times New Roman" w:cs="Times New Roman"/>
          <w:sz w:val="24"/>
          <w:szCs w:val="24"/>
        </w:rPr>
        <w:t>(Por Daniel Lara)</w:t>
      </w:r>
    </w:p>
    <w:p w:rsidR="004E5D37" w:rsidRPr="004E5D37" w:rsidRDefault="004E5D37" w:rsidP="004E5D37">
      <w:pPr>
        <w:spacing w:line="240" w:lineRule="auto"/>
        <w:jc w:val="both"/>
        <w:rPr>
          <w:rFonts w:ascii="Times New Roman" w:hAnsi="Times New Roman" w:cs="Times New Roman"/>
          <w:color w:val="FF0000"/>
          <w:sz w:val="24"/>
          <w:szCs w:val="24"/>
          <w:u w:val="single"/>
        </w:rPr>
      </w:pPr>
      <w:r w:rsidRPr="004E5D37">
        <w:rPr>
          <w:rFonts w:ascii="Times New Roman" w:hAnsi="Times New Roman" w:cs="Times New Roman"/>
          <w:color w:val="FF0000"/>
          <w:sz w:val="24"/>
          <w:szCs w:val="24"/>
          <w:u w:val="single"/>
        </w:rPr>
        <w:t>Jamie Dimon, presidente y consejero delegado de JPMorgan Chase, ha dicho este miércoles en una ponencia que se aproxima un “huracán” hacia la economía, en referencia a la fuerte inflación global y la subida de tipos de interés. El CEO ha aconsejado a los presentes que se pongan a cubierto: “Nosotros ya lo estamos haciendo y vamos a ser muy conservadores en nuestro balance”.</w:t>
      </w:r>
    </w:p>
    <w:p w:rsidR="004E5D37" w:rsidRPr="00C77A47" w:rsidRDefault="004E5D37" w:rsidP="004E5D37">
      <w:pPr>
        <w:spacing w:line="240" w:lineRule="auto"/>
        <w:jc w:val="both"/>
        <w:rPr>
          <w:rFonts w:ascii="Times New Roman" w:hAnsi="Times New Roman" w:cs="Times New Roman"/>
          <w:sz w:val="24"/>
          <w:szCs w:val="24"/>
        </w:rPr>
      </w:pPr>
      <w:r>
        <w:rPr>
          <w:rFonts w:ascii="Times New Roman" w:hAnsi="Times New Roman" w:cs="Times New Roman"/>
          <w:sz w:val="24"/>
          <w:szCs w:val="24"/>
        </w:rPr>
        <w:t>“Es un huracán”</w:t>
      </w:r>
      <w:r w:rsidRPr="00C77A47">
        <w:rPr>
          <w:rFonts w:ascii="Times New Roman" w:hAnsi="Times New Roman" w:cs="Times New Roman"/>
          <w:sz w:val="24"/>
          <w:szCs w:val="24"/>
        </w:rPr>
        <w:t>, dijo Dimon en una conferencia bancaria de AllianceBernstein, añadiendo que la situació</w:t>
      </w:r>
      <w:r>
        <w:rPr>
          <w:rFonts w:ascii="Times New Roman" w:hAnsi="Times New Roman" w:cs="Times New Roman"/>
          <w:sz w:val="24"/>
          <w:szCs w:val="24"/>
        </w:rPr>
        <w:t>n actual no tiene precedentes. “</w:t>
      </w:r>
      <w:r w:rsidRPr="00C77A47">
        <w:rPr>
          <w:rFonts w:ascii="Times New Roman" w:hAnsi="Times New Roman" w:cs="Times New Roman"/>
          <w:sz w:val="24"/>
          <w:szCs w:val="24"/>
        </w:rPr>
        <w:t>Ahora mismo, el tiempo es soleado, las cosas van bien. Todo el mundo piensa que la Fed puede manejar esto. Ese huracán está ahí fuera, viniendo hacia nosotros. Solo que no sabemos si es uno p</w:t>
      </w:r>
      <w:r>
        <w:rPr>
          <w:rFonts w:ascii="Times New Roman" w:hAnsi="Times New Roman" w:cs="Times New Roman"/>
          <w:sz w:val="24"/>
          <w:szCs w:val="24"/>
        </w:rPr>
        <w:t>equeño o la supertormenta Sandy”</w:t>
      </w:r>
      <w:r w:rsidRPr="00C77A47">
        <w:rPr>
          <w:rFonts w:ascii="Times New Roman" w:hAnsi="Times New Roman" w:cs="Times New Roman"/>
          <w:sz w:val="24"/>
          <w:szCs w:val="24"/>
        </w:rPr>
        <w:t>, añadió.</w:t>
      </w:r>
    </w:p>
    <w:p w:rsidR="004E5D37" w:rsidRPr="004E5D37" w:rsidRDefault="004E5D37" w:rsidP="004E5D37">
      <w:pPr>
        <w:spacing w:line="240" w:lineRule="auto"/>
        <w:jc w:val="both"/>
        <w:rPr>
          <w:rFonts w:ascii="Times New Roman" w:hAnsi="Times New Roman" w:cs="Times New Roman"/>
          <w:color w:val="FF0000"/>
          <w:sz w:val="24"/>
          <w:szCs w:val="24"/>
          <w:u w:val="single"/>
        </w:rPr>
      </w:pPr>
      <w:r w:rsidRPr="004E5D37">
        <w:rPr>
          <w:rFonts w:ascii="Times New Roman" w:hAnsi="Times New Roman" w:cs="Times New Roman"/>
          <w:color w:val="FF0000"/>
          <w:sz w:val="24"/>
          <w:szCs w:val="24"/>
          <w:u w:val="single"/>
        </w:rPr>
        <w:t>Tanto la Reserva Federal (Fed) como el Banco Central Europeo, los órganos encargados de regular los precios en Estados Unidos y Europa, se enfrentan al reto de reducir drásticamente la inflación en los países ricos a través de los tipos de interés, aunque Dimon cree que no están siendo lo suficientemente rápidos.</w:t>
      </w:r>
    </w:p>
    <w:p w:rsidR="004E5D37" w:rsidRPr="004E5D37" w:rsidRDefault="004E5D37" w:rsidP="004E5D37">
      <w:pPr>
        <w:spacing w:line="240" w:lineRule="auto"/>
        <w:jc w:val="both"/>
        <w:rPr>
          <w:rFonts w:ascii="Times New Roman" w:hAnsi="Times New Roman" w:cs="Times New Roman"/>
          <w:color w:val="FF0000"/>
          <w:sz w:val="24"/>
          <w:szCs w:val="24"/>
          <w:u w:val="single"/>
        </w:rPr>
      </w:pPr>
      <w:r w:rsidRPr="004E5D37">
        <w:rPr>
          <w:rFonts w:ascii="Times New Roman" w:hAnsi="Times New Roman" w:cs="Times New Roman"/>
          <w:color w:val="FF0000"/>
          <w:sz w:val="24"/>
          <w:szCs w:val="24"/>
          <w:u w:val="single"/>
        </w:rPr>
        <w:t>“La Fed tiene que hacer frente a esto ahora con la subida de tipos y el QT (Quantitative Tightening)”, dijo el presidente del mayor banco de Estados Unidos. En mi opinión, tienen que hacer QT. No tienen otra opción porque hay mucha liquidez en el sistema”, dijo Dimon.</w:t>
      </w:r>
    </w:p>
    <w:p w:rsidR="004E5D37" w:rsidRPr="00C77A47" w:rsidRDefault="004E5D37" w:rsidP="004E5D37">
      <w:pPr>
        <w:spacing w:line="240" w:lineRule="auto"/>
        <w:jc w:val="both"/>
        <w:rPr>
          <w:rFonts w:ascii="Times New Roman" w:hAnsi="Times New Roman" w:cs="Times New Roman"/>
          <w:sz w:val="24"/>
          <w:szCs w:val="24"/>
        </w:rPr>
      </w:pPr>
      <w:r w:rsidRPr="00C77A47">
        <w:rPr>
          <w:rFonts w:ascii="Times New Roman" w:hAnsi="Times New Roman" w:cs="Times New Roman"/>
          <w:sz w:val="24"/>
          <w:szCs w:val="24"/>
        </w:rPr>
        <w:lastRenderedPageBreak/>
        <w:t xml:space="preserve">El QT es una forma de política monetaria que consiste en la reducción del balance del banco central, es decir, en parar en seco la compra de deuda privada desde la Fed y dejar que venzan los bonos comprados hasta ahora a bancos y empresas. De esta manera, se reduce la liquidez en el mercado, pero fuerza al laza los tipos de interés y rebaja las posibilidades de crecimiento de las empresas. El QT es la medida inversa al Quantitative Easing, desarrollada durante la pandemia para </w:t>
      </w:r>
      <w:r>
        <w:rPr>
          <w:rFonts w:ascii="Times New Roman" w:hAnsi="Times New Roman" w:cs="Times New Roman"/>
          <w:sz w:val="24"/>
          <w:szCs w:val="24"/>
        </w:rPr>
        <w:t>inundar de liquidez el mercado.</w:t>
      </w:r>
    </w:p>
    <w:p w:rsidR="004E5D37" w:rsidRPr="004E5D37" w:rsidRDefault="004E5D37" w:rsidP="004E5D37">
      <w:pPr>
        <w:spacing w:line="240" w:lineRule="auto"/>
        <w:jc w:val="both"/>
        <w:rPr>
          <w:rFonts w:ascii="Times New Roman" w:hAnsi="Times New Roman" w:cs="Times New Roman"/>
          <w:color w:val="FF0000"/>
          <w:sz w:val="24"/>
          <w:szCs w:val="24"/>
        </w:rPr>
      </w:pPr>
      <w:r w:rsidRPr="00C77A47">
        <w:rPr>
          <w:rFonts w:ascii="Times New Roman" w:hAnsi="Times New Roman" w:cs="Times New Roman"/>
          <w:sz w:val="24"/>
          <w:szCs w:val="24"/>
        </w:rPr>
        <w:t>La predicción del CEO es poco a poco más pesimista, no solo por la falta de actuación de los bancos centrales, también por el enquistamiento de la guerra en Ucrania, que no augura un final a corto plazo. Dimon ya dijo hace un mes que Estados Unidos tenía un 33% de probabilidades de evitar la recesión porque l</w:t>
      </w:r>
      <w:r>
        <w:rPr>
          <w:rFonts w:ascii="Times New Roman" w:hAnsi="Times New Roman" w:cs="Times New Roman"/>
          <w:sz w:val="24"/>
          <w:szCs w:val="24"/>
        </w:rPr>
        <w:t xml:space="preserve">a economía se estaba nublando. </w:t>
      </w:r>
      <w:r w:rsidRPr="004E5D37">
        <w:rPr>
          <w:rFonts w:ascii="Times New Roman" w:hAnsi="Times New Roman" w:cs="Times New Roman"/>
          <w:color w:val="FF0000"/>
          <w:sz w:val="24"/>
          <w:szCs w:val="24"/>
          <w:u w:val="single"/>
        </w:rPr>
        <w:t>“Dije que había nubes de tormenta, grandes nubes de tormenta”, dijo Dimon este miércoles, pero ahora ya lo eleva a categoría de huracán</w:t>
      </w:r>
      <w:r w:rsidRPr="004E5D37">
        <w:rPr>
          <w:rFonts w:ascii="Times New Roman" w:hAnsi="Times New Roman" w:cs="Times New Roman"/>
          <w:color w:val="FF0000"/>
          <w:sz w:val="24"/>
          <w:szCs w:val="24"/>
        </w:rPr>
        <w:t>…</w:t>
      </w:r>
    </w:p>
    <w:p w:rsidR="00613B05" w:rsidRDefault="004E5D37" w:rsidP="00613B05">
      <w:pPr>
        <w:shd w:val="clear" w:color="auto" w:fill="FDFDFD"/>
        <w:spacing w:after="0" w:line="240" w:lineRule="auto"/>
        <w:jc w:val="both"/>
        <w:rPr>
          <w:rFonts w:ascii="Times New Roman" w:eastAsia="Times New Roman" w:hAnsi="Times New Roman" w:cs="Times New Roman"/>
          <w:sz w:val="24"/>
          <w:szCs w:val="24"/>
          <w:lang w:eastAsia="es-ES"/>
        </w:rPr>
      </w:pPr>
      <w:r w:rsidRPr="005A310B">
        <w:rPr>
          <w:rFonts w:ascii="Times New Roman" w:hAnsi="Times New Roman" w:cs="Times New Roman"/>
          <w:noProof/>
          <w:color w:val="FF0000"/>
          <w:sz w:val="24"/>
          <w:szCs w:val="24"/>
          <w:lang w:eastAsia="es-ES"/>
        </w:rPr>
        <w:drawing>
          <wp:inline distT="0" distB="0" distL="0" distR="0" wp14:anchorId="49E8824D" wp14:editId="77DB98F0">
            <wp:extent cx="5731510" cy="3569970"/>
            <wp:effectExtent l="0" t="0" r="254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5731510" cy="3569970"/>
                    </a:xfrm>
                    <a:prstGeom prst="rect">
                      <a:avLst/>
                    </a:prstGeom>
                  </pic:spPr>
                </pic:pic>
              </a:graphicData>
            </a:graphic>
          </wp:inline>
        </w:drawing>
      </w:r>
    </w:p>
    <w:p w:rsidR="004E5D37" w:rsidRDefault="004E5D37" w:rsidP="004E5D37">
      <w:pPr>
        <w:spacing w:line="240" w:lineRule="auto"/>
        <w:jc w:val="both"/>
        <w:rPr>
          <w:rFonts w:ascii="Times New Roman" w:hAnsi="Times New Roman" w:cs="Times New Roman"/>
          <w:sz w:val="24"/>
          <w:szCs w:val="24"/>
        </w:rPr>
      </w:pPr>
      <w:r w:rsidRPr="004E5D37">
        <w:rPr>
          <w:rFonts w:ascii="Times New Roman" w:hAnsi="Times New Roman" w:cs="Times New Roman"/>
          <w:sz w:val="24"/>
          <w:szCs w:val="24"/>
        </w:rPr>
        <w:t xml:space="preserve">El gráfico del FMI que muestra el atasco global en puertos y cadenas de suministro (El Economista - </w:t>
      </w:r>
      <w:r w:rsidRPr="004E5D37">
        <w:rPr>
          <w:rFonts w:ascii="Times New Roman" w:hAnsi="Times New Roman" w:cs="Times New Roman"/>
          <w:b/>
          <w:sz w:val="24"/>
          <w:szCs w:val="24"/>
        </w:rPr>
        <w:t>26/10/21</w:t>
      </w:r>
      <w:r w:rsidRPr="004E5D37">
        <w:rPr>
          <w:rFonts w:ascii="Times New Roman" w:hAnsi="Times New Roman" w:cs="Times New Roman"/>
          <w:sz w:val="24"/>
          <w:szCs w:val="24"/>
        </w:rPr>
        <w:t>)</w:t>
      </w:r>
    </w:p>
    <w:p w:rsidR="004E5D37" w:rsidRPr="00995962" w:rsidRDefault="004E5D37" w:rsidP="004E5D3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995962">
        <w:rPr>
          <w:rFonts w:ascii="Times New Roman" w:hAnsi="Times New Roman" w:cs="Times New Roman"/>
          <w:sz w:val="24"/>
          <w:szCs w:val="24"/>
          <w:u w:val="single"/>
        </w:rPr>
        <w:t>El BCE sacará un nuevo conejo de la chistera para mantener a las primas de riesgo bajo control</w:t>
      </w:r>
      <w:r>
        <w:rPr>
          <w:rFonts w:ascii="Times New Roman" w:hAnsi="Times New Roman" w:cs="Times New Roman"/>
          <w:sz w:val="24"/>
          <w:szCs w:val="24"/>
        </w:rPr>
        <w:t xml:space="preserve"> (El Economista - </w:t>
      </w:r>
      <w:r w:rsidRPr="00995962">
        <w:rPr>
          <w:rFonts w:ascii="Times New Roman" w:hAnsi="Times New Roman" w:cs="Times New Roman"/>
          <w:b/>
          <w:sz w:val="24"/>
          <w:szCs w:val="24"/>
        </w:rPr>
        <w:t>6/6/22</w:t>
      </w:r>
      <w:r>
        <w:rPr>
          <w:rFonts w:ascii="Times New Roman" w:hAnsi="Times New Roman" w:cs="Times New Roman"/>
          <w:sz w:val="24"/>
          <w:szCs w:val="24"/>
        </w:rPr>
        <w:t>)</w:t>
      </w:r>
    </w:p>
    <w:p w:rsidR="004E5D37" w:rsidRPr="00C60665" w:rsidRDefault="004E5D37" w:rsidP="004E5D37">
      <w:pPr>
        <w:spacing w:line="240" w:lineRule="auto"/>
        <w:jc w:val="both"/>
        <w:rPr>
          <w:rFonts w:ascii="Times New Roman" w:hAnsi="Times New Roman" w:cs="Times New Roman"/>
          <w:color w:val="FF0000"/>
          <w:sz w:val="24"/>
          <w:szCs w:val="24"/>
        </w:rPr>
      </w:pPr>
      <w:r w:rsidRPr="00C60665">
        <w:rPr>
          <w:rFonts w:ascii="Times New Roman" w:hAnsi="Times New Roman" w:cs="Times New Roman"/>
          <w:color w:val="FF0000"/>
          <w:sz w:val="24"/>
          <w:szCs w:val="24"/>
        </w:rPr>
        <w:t>El diferencial de la deuda italiana comienza a estar fuera de control</w:t>
      </w:r>
    </w:p>
    <w:p w:rsidR="004E5D37" w:rsidRPr="00C60665" w:rsidRDefault="004E5D37" w:rsidP="004E5D37">
      <w:pPr>
        <w:spacing w:line="240" w:lineRule="auto"/>
        <w:jc w:val="both"/>
        <w:rPr>
          <w:rFonts w:ascii="Times New Roman" w:hAnsi="Times New Roman" w:cs="Times New Roman"/>
          <w:color w:val="FF0000"/>
          <w:sz w:val="24"/>
          <w:szCs w:val="24"/>
        </w:rPr>
      </w:pPr>
      <w:r w:rsidRPr="00C60665">
        <w:rPr>
          <w:rFonts w:ascii="Times New Roman" w:hAnsi="Times New Roman" w:cs="Times New Roman"/>
          <w:color w:val="FF0000"/>
          <w:sz w:val="24"/>
          <w:szCs w:val="24"/>
        </w:rPr>
        <w:t>Hasta los halcones comparten la necesidad de contar con una red de seguridad</w:t>
      </w:r>
    </w:p>
    <w:p w:rsidR="004E5D37" w:rsidRPr="00C60665" w:rsidRDefault="004E5D37" w:rsidP="004E5D37">
      <w:pPr>
        <w:spacing w:line="240" w:lineRule="auto"/>
        <w:jc w:val="both"/>
        <w:rPr>
          <w:rFonts w:ascii="Times New Roman" w:hAnsi="Times New Roman" w:cs="Times New Roman"/>
          <w:color w:val="FF0000"/>
          <w:sz w:val="24"/>
          <w:szCs w:val="24"/>
        </w:rPr>
      </w:pPr>
      <w:r w:rsidRPr="00C60665">
        <w:rPr>
          <w:rFonts w:ascii="Times New Roman" w:hAnsi="Times New Roman" w:cs="Times New Roman"/>
          <w:color w:val="FF0000"/>
          <w:sz w:val="24"/>
          <w:szCs w:val="24"/>
        </w:rPr>
        <w:t>Frankfurt ya cuenta con una capacidad de 200.000 millones en reinversiones</w:t>
      </w:r>
    </w:p>
    <w:p w:rsidR="004E5D37" w:rsidRPr="00C60665" w:rsidRDefault="004E5D37" w:rsidP="004E5D37">
      <w:pPr>
        <w:spacing w:line="240" w:lineRule="auto"/>
        <w:jc w:val="both"/>
        <w:rPr>
          <w:rFonts w:ascii="Times New Roman" w:hAnsi="Times New Roman" w:cs="Times New Roman"/>
          <w:color w:val="FF0000"/>
          <w:sz w:val="24"/>
          <w:szCs w:val="24"/>
          <w:u w:val="single"/>
        </w:rPr>
      </w:pPr>
      <w:r w:rsidRPr="00C60665">
        <w:rPr>
          <w:rFonts w:ascii="Times New Roman" w:hAnsi="Times New Roman" w:cs="Times New Roman"/>
          <w:color w:val="FF0000"/>
          <w:sz w:val="24"/>
          <w:szCs w:val="24"/>
          <w:u w:val="single"/>
        </w:rPr>
        <w:t>La gran incógnita que tiene que despejar el BCE, el próximo jueves, es cómo va a concluir el fin de programa de bonos, sin dejar a la intemperie a la deuda periférica. Con las primas de riesgo, principalmente, de Italia y España, en máximos desde mayo de 2020, el Consejo de Gobierno abordará un nuevo plan para seguir comprando bonos y evitar una fragmentación en el mercado de deuda, que despierte los fantasmas de ruptura del euro de 2012.</w:t>
      </w:r>
    </w:p>
    <w:p w:rsidR="004E5D37" w:rsidRPr="00C60665" w:rsidRDefault="004E5D37" w:rsidP="004E5D37">
      <w:pPr>
        <w:spacing w:line="240" w:lineRule="auto"/>
        <w:jc w:val="both"/>
        <w:rPr>
          <w:rFonts w:ascii="Times New Roman" w:hAnsi="Times New Roman" w:cs="Times New Roman"/>
          <w:color w:val="FF0000"/>
          <w:sz w:val="24"/>
          <w:szCs w:val="24"/>
          <w:u w:val="single"/>
        </w:rPr>
      </w:pPr>
      <w:r w:rsidRPr="00C60665">
        <w:rPr>
          <w:rFonts w:ascii="Times New Roman" w:hAnsi="Times New Roman" w:cs="Times New Roman"/>
          <w:sz w:val="24"/>
          <w:szCs w:val="24"/>
          <w:u w:val="single"/>
        </w:rPr>
        <w:lastRenderedPageBreak/>
        <w:t>Todo el despliegue del BCE durante la pandemia, tuvo el principal objetivo de que el mercado crediticio no se viera afectado por las medidas sanitarias. Una de las principales preocupaciones fue que los estados encontraran los mercados financieros abiertos, pese a los confinamientos y los miles de millones comprometidos por los Gobiernos</w:t>
      </w:r>
      <w:r w:rsidRPr="00995962">
        <w:rPr>
          <w:rFonts w:ascii="Times New Roman" w:hAnsi="Times New Roman" w:cs="Times New Roman"/>
          <w:sz w:val="24"/>
          <w:szCs w:val="24"/>
        </w:rPr>
        <w:t xml:space="preserve">. </w:t>
      </w:r>
      <w:r w:rsidRPr="00C60665">
        <w:rPr>
          <w:rFonts w:ascii="Times New Roman" w:hAnsi="Times New Roman" w:cs="Times New Roman"/>
          <w:color w:val="FF0000"/>
          <w:sz w:val="24"/>
          <w:szCs w:val="24"/>
          <w:u w:val="single"/>
        </w:rPr>
        <w:t>Las cicatrices de la crisis de 2012 todavía resuenan por los pasillos del BCE. La fragmentación en el mercado de bonos a punto estuvo de cargarse el proyecto del euro. La lección parece más que aprendida y hay pocas dudas de que la deuda periférica necesita una red de seguridad.</w:t>
      </w:r>
    </w:p>
    <w:p w:rsidR="004E5D37" w:rsidRPr="00995962" w:rsidRDefault="004E5D37" w:rsidP="004E5D37">
      <w:pPr>
        <w:spacing w:line="240" w:lineRule="auto"/>
        <w:jc w:val="both"/>
        <w:rPr>
          <w:rFonts w:ascii="Times New Roman" w:hAnsi="Times New Roman" w:cs="Times New Roman"/>
          <w:sz w:val="24"/>
          <w:szCs w:val="24"/>
        </w:rPr>
      </w:pPr>
      <w:r w:rsidRPr="00C60665">
        <w:rPr>
          <w:rFonts w:ascii="Times New Roman" w:hAnsi="Times New Roman" w:cs="Times New Roman"/>
          <w:sz w:val="24"/>
          <w:szCs w:val="24"/>
          <w:u w:val="single"/>
        </w:rPr>
        <w:t>Salvo el conato de incendio que provocó el primer impacto del coronavirus, el PEPP, programa de emergencia de compra de deuda, mantuvo los diferenciales a raya. No ha sido hasta que se han comenzado a disparar las expectativas sobre los tipos de interés, cuando ha vuelto la tensión al mercado de bonos soberanos</w:t>
      </w:r>
      <w:r w:rsidRPr="00995962">
        <w:rPr>
          <w:rFonts w:ascii="Times New Roman" w:hAnsi="Times New Roman" w:cs="Times New Roman"/>
          <w:sz w:val="24"/>
          <w:szCs w:val="24"/>
        </w:rPr>
        <w:t xml:space="preserve">. </w:t>
      </w:r>
      <w:r w:rsidRPr="00C60665">
        <w:rPr>
          <w:rFonts w:ascii="Times New Roman" w:hAnsi="Times New Roman" w:cs="Times New Roman"/>
          <w:color w:val="FF0000"/>
          <w:sz w:val="24"/>
          <w:szCs w:val="24"/>
          <w:u w:val="single"/>
        </w:rPr>
        <w:t>En general, los intereses están subiendo en toda la deuda soberana, pero especialmente en países con un endeudamiento más elevado</w:t>
      </w:r>
      <w:r w:rsidRPr="00995962">
        <w:rPr>
          <w:rFonts w:ascii="Times New Roman" w:hAnsi="Times New Roman" w:cs="Times New Roman"/>
          <w:sz w:val="24"/>
          <w:szCs w:val="24"/>
        </w:rPr>
        <w:t>. Por ejemplo, la prima de riesgo, el diferencial respecto a la deuda alemana, de Italia y España, se sitúa en niveles de mayo de 2020, al situarse en 207 y 113 puntos básicos, respectivamente.</w:t>
      </w:r>
    </w:p>
    <w:p w:rsidR="004E5D37" w:rsidRPr="00995962" w:rsidRDefault="004E5D37" w:rsidP="004E5D37">
      <w:pPr>
        <w:spacing w:line="240" w:lineRule="auto"/>
        <w:jc w:val="both"/>
        <w:rPr>
          <w:rFonts w:ascii="Times New Roman" w:hAnsi="Times New Roman" w:cs="Times New Roman"/>
          <w:sz w:val="24"/>
          <w:szCs w:val="24"/>
        </w:rPr>
      </w:pPr>
      <w:r w:rsidRPr="00C60665">
        <w:rPr>
          <w:rFonts w:ascii="Times New Roman" w:hAnsi="Times New Roman" w:cs="Times New Roman"/>
          <w:color w:val="FF0000"/>
          <w:sz w:val="24"/>
          <w:szCs w:val="24"/>
          <w:u w:val="single"/>
        </w:rPr>
        <w:t>Hoy el Financial Times asegura que hay mayoría dentro del Consejo de Gobierno para apoyar una nueva línea de compras de deuda</w:t>
      </w:r>
      <w:r>
        <w:rPr>
          <w:rFonts w:ascii="Times New Roman" w:hAnsi="Times New Roman" w:cs="Times New Roman"/>
          <w:color w:val="FF0000"/>
          <w:sz w:val="24"/>
          <w:szCs w:val="24"/>
          <w:u w:val="single"/>
        </w:rPr>
        <w:t xml:space="preserve"> para países cuyos bonos están “fuera de control”</w:t>
      </w:r>
      <w:r w:rsidRPr="00C60665">
        <w:rPr>
          <w:rFonts w:ascii="Times New Roman" w:hAnsi="Times New Roman" w:cs="Times New Roman"/>
          <w:color w:val="FF0000"/>
          <w:sz w:val="24"/>
          <w:szCs w:val="24"/>
          <w:u w:val="single"/>
        </w:rPr>
        <w:t>, como es el caso de Italia</w:t>
      </w:r>
      <w:r w:rsidRPr="00995962">
        <w:rPr>
          <w:rFonts w:ascii="Times New Roman" w:hAnsi="Times New Roman" w:cs="Times New Roman"/>
          <w:sz w:val="24"/>
          <w:szCs w:val="24"/>
        </w:rPr>
        <w:t>. El interés del bono trasalpino a diez años se sitúa en el 3,37%, en máximos de octubre de 2018. Para el BCE supone un difícil equilibrio, cuando se dispone a celebrar las reuniones clave para iniciar el ciclo de subida de tipos, por primera vez desde 2011, para contener una inflación cada vez más pegajosa.</w:t>
      </w:r>
    </w:p>
    <w:p w:rsidR="004E5D37" w:rsidRPr="00B47328" w:rsidRDefault="004E5D37" w:rsidP="004E5D37">
      <w:pPr>
        <w:spacing w:line="240" w:lineRule="auto"/>
        <w:jc w:val="both"/>
        <w:rPr>
          <w:rFonts w:ascii="Times New Roman" w:hAnsi="Times New Roman" w:cs="Times New Roman"/>
          <w:color w:val="FF0000"/>
          <w:sz w:val="24"/>
          <w:szCs w:val="24"/>
        </w:rPr>
      </w:pPr>
      <w:r w:rsidRPr="00C60665">
        <w:rPr>
          <w:rFonts w:ascii="Times New Roman" w:hAnsi="Times New Roman" w:cs="Times New Roman"/>
          <w:color w:val="FF0000"/>
          <w:sz w:val="24"/>
          <w:szCs w:val="24"/>
          <w:u w:val="single"/>
        </w:rPr>
        <w:t xml:space="preserve">Fabio Panetta, miembro del Comité Ejecutivo de la institución, ha hablado ya de una 'herramienta anti-fragmentación' que impida que la normalización monetaria genere una Eurozona con dispares condiciones financieras, mientras que Christine </w:t>
      </w:r>
      <w:r w:rsidR="00B47328">
        <w:rPr>
          <w:rFonts w:ascii="Times New Roman" w:hAnsi="Times New Roman" w:cs="Times New Roman"/>
          <w:color w:val="FF0000"/>
          <w:sz w:val="24"/>
          <w:szCs w:val="24"/>
          <w:u w:val="single"/>
        </w:rPr>
        <w:t>Lagarde señaló esta semana que “</w:t>
      </w:r>
      <w:r w:rsidRPr="00C60665">
        <w:rPr>
          <w:rFonts w:ascii="Times New Roman" w:hAnsi="Times New Roman" w:cs="Times New Roman"/>
          <w:color w:val="FF0000"/>
          <w:sz w:val="24"/>
          <w:szCs w:val="24"/>
          <w:u w:val="single"/>
        </w:rPr>
        <w:t>cualquier decisión futura sobre el balance tendrá que ser coherente... con nuestro compromiso de garantizar la transmisión de la política, especialmente porque la reinversión flexible de la cartera del PEPP es una herramienta que hemos puesto a disposición para mitig</w:t>
      </w:r>
      <w:r w:rsidR="00B47328">
        <w:rPr>
          <w:rFonts w:ascii="Times New Roman" w:hAnsi="Times New Roman" w:cs="Times New Roman"/>
          <w:color w:val="FF0000"/>
          <w:sz w:val="24"/>
          <w:szCs w:val="24"/>
          <w:u w:val="single"/>
        </w:rPr>
        <w:t>ar los riesgos de fragmentación</w:t>
      </w:r>
      <w:r w:rsidR="00B47328" w:rsidRPr="00B47328">
        <w:rPr>
          <w:rFonts w:ascii="Times New Roman" w:hAnsi="Times New Roman" w:cs="Times New Roman"/>
          <w:color w:val="FF0000"/>
          <w:sz w:val="24"/>
          <w:szCs w:val="24"/>
        </w:rPr>
        <w:t>”…</w:t>
      </w:r>
    </w:p>
    <w:p w:rsidR="004E5D37" w:rsidRPr="00B47328" w:rsidRDefault="004E5D37" w:rsidP="004E5D37">
      <w:pPr>
        <w:spacing w:line="240" w:lineRule="auto"/>
        <w:jc w:val="both"/>
        <w:rPr>
          <w:rFonts w:ascii="Times New Roman" w:hAnsi="Times New Roman" w:cs="Times New Roman"/>
          <w:color w:val="FF0000"/>
          <w:sz w:val="24"/>
          <w:szCs w:val="24"/>
        </w:rPr>
      </w:pPr>
      <w:r w:rsidRPr="00902510">
        <w:rPr>
          <w:rFonts w:ascii="Times New Roman" w:hAnsi="Times New Roman" w:cs="Times New Roman"/>
          <w:sz w:val="24"/>
          <w:szCs w:val="24"/>
          <w:u w:val="single"/>
        </w:rPr>
        <w:t>Los expertos tienen en mente el programa OMT de 2012, asociado a las palabras mágicas de Mario Draghi, el a</w:t>
      </w:r>
      <w:r w:rsidR="00B47328">
        <w:rPr>
          <w:rFonts w:ascii="Times New Roman" w:hAnsi="Times New Roman" w:cs="Times New Roman"/>
          <w:sz w:val="24"/>
          <w:szCs w:val="24"/>
          <w:u w:val="single"/>
        </w:rPr>
        <w:t>nterior presidente del BCE, de “</w:t>
      </w:r>
      <w:r w:rsidRPr="00902510">
        <w:rPr>
          <w:rFonts w:ascii="Times New Roman" w:hAnsi="Times New Roman" w:cs="Times New Roman"/>
          <w:sz w:val="24"/>
          <w:szCs w:val="24"/>
          <w:u w:val="single"/>
        </w:rPr>
        <w:t>whateve</w:t>
      </w:r>
      <w:r w:rsidR="00B47328">
        <w:rPr>
          <w:rFonts w:ascii="Times New Roman" w:hAnsi="Times New Roman" w:cs="Times New Roman"/>
          <w:sz w:val="24"/>
          <w:szCs w:val="24"/>
          <w:u w:val="single"/>
        </w:rPr>
        <w:t>r it takes to preserve the euro”</w:t>
      </w:r>
      <w:r w:rsidRPr="00902510">
        <w:rPr>
          <w:rFonts w:ascii="Times New Roman" w:hAnsi="Times New Roman" w:cs="Times New Roman"/>
          <w:sz w:val="24"/>
          <w:szCs w:val="24"/>
          <w:u w:val="single"/>
        </w:rPr>
        <w:t>. El programa nunca se llegó a utilizar, pero permitía al banco central comprar deuda directamente en el mercado secundario. Su solo presencia</w:t>
      </w:r>
      <w:r w:rsidR="00B47328">
        <w:rPr>
          <w:rFonts w:ascii="Times New Roman" w:hAnsi="Times New Roman" w:cs="Times New Roman"/>
          <w:sz w:val="24"/>
          <w:szCs w:val="24"/>
          <w:u w:val="single"/>
        </w:rPr>
        <w:t xml:space="preserve"> aplacó las primas de riesgo.  “</w:t>
      </w:r>
      <w:r w:rsidRPr="00902510">
        <w:rPr>
          <w:rFonts w:ascii="Times New Roman" w:hAnsi="Times New Roman" w:cs="Times New Roman"/>
          <w:sz w:val="24"/>
          <w:szCs w:val="24"/>
          <w:u w:val="single"/>
        </w:rPr>
        <w:t>Sospechamos que el BCE confiará primero en la intervenc</w:t>
      </w:r>
      <w:r w:rsidR="00B47328">
        <w:rPr>
          <w:rFonts w:ascii="Times New Roman" w:hAnsi="Times New Roman" w:cs="Times New Roman"/>
          <w:sz w:val="24"/>
          <w:szCs w:val="24"/>
          <w:u w:val="single"/>
        </w:rPr>
        <w:t>ión verbal en primera instancia”</w:t>
      </w:r>
      <w:r w:rsidRPr="00902510">
        <w:rPr>
          <w:rFonts w:ascii="Times New Roman" w:hAnsi="Times New Roman" w:cs="Times New Roman"/>
          <w:sz w:val="24"/>
          <w:szCs w:val="24"/>
          <w:u w:val="single"/>
        </w:rPr>
        <w:t>, inciden los expertos.</w:t>
      </w:r>
      <w:r w:rsidRPr="00995962">
        <w:rPr>
          <w:rFonts w:ascii="Times New Roman" w:hAnsi="Times New Roman" w:cs="Times New Roman"/>
          <w:sz w:val="24"/>
          <w:szCs w:val="24"/>
        </w:rPr>
        <w:t xml:space="preserve"> </w:t>
      </w:r>
      <w:r w:rsidR="00B47328">
        <w:rPr>
          <w:rFonts w:ascii="Times New Roman" w:hAnsi="Times New Roman" w:cs="Times New Roman"/>
          <w:color w:val="FF0000"/>
          <w:sz w:val="24"/>
          <w:szCs w:val="24"/>
          <w:u w:val="single"/>
        </w:rPr>
        <w:t>“</w:t>
      </w:r>
      <w:r w:rsidRPr="00902510">
        <w:rPr>
          <w:rFonts w:ascii="Times New Roman" w:hAnsi="Times New Roman" w:cs="Times New Roman"/>
          <w:color w:val="FF0000"/>
          <w:sz w:val="24"/>
          <w:szCs w:val="24"/>
          <w:u w:val="single"/>
        </w:rPr>
        <w:t>Solo si las presiones del mercado aumentan considerablemente, se llegará a un acuerdo sobre una herramienta y sobre los niveles de intervención, condicionada a reformas y a</w:t>
      </w:r>
      <w:r w:rsidR="00B47328">
        <w:rPr>
          <w:rFonts w:ascii="Times New Roman" w:hAnsi="Times New Roman" w:cs="Times New Roman"/>
          <w:color w:val="FF0000"/>
          <w:sz w:val="24"/>
          <w:szCs w:val="24"/>
          <w:u w:val="single"/>
        </w:rPr>
        <w:t xml:space="preserve"> los fondos del Next Generation”</w:t>
      </w:r>
      <w:r w:rsidRPr="00902510">
        <w:rPr>
          <w:rFonts w:ascii="Times New Roman" w:hAnsi="Times New Roman" w:cs="Times New Roman"/>
          <w:color w:val="FF0000"/>
          <w:sz w:val="24"/>
          <w:szCs w:val="24"/>
          <w:u w:val="single"/>
        </w:rPr>
        <w:t>, concretan</w:t>
      </w:r>
      <w:r w:rsidR="00B47328" w:rsidRPr="00B47328">
        <w:rPr>
          <w:rFonts w:ascii="Times New Roman" w:hAnsi="Times New Roman" w:cs="Times New Roman"/>
          <w:color w:val="FF0000"/>
          <w:sz w:val="24"/>
          <w:szCs w:val="24"/>
        </w:rPr>
        <w:t>…</w:t>
      </w:r>
    </w:p>
    <w:p w:rsidR="00B47328" w:rsidRPr="00613FD8" w:rsidRDefault="00B47328" w:rsidP="00B4732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F85B0D">
        <w:rPr>
          <w:rFonts w:ascii="Times New Roman" w:hAnsi="Times New Roman" w:cs="Times New Roman"/>
          <w:sz w:val="24"/>
          <w:szCs w:val="24"/>
          <w:u w:val="single"/>
        </w:rPr>
        <w:t>El Nobel Robert Shiller teme que el miedo a una recesión en EEUU acabe provocando una recesión</w:t>
      </w:r>
      <w:r>
        <w:rPr>
          <w:rFonts w:ascii="Times New Roman" w:hAnsi="Times New Roman" w:cs="Times New Roman"/>
          <w:sz w:val="24"/>
          <w:szCs w:val="24"/>
        </w:rPr>
        <w:t xml:space="preserve"> (El Economista - </w:t>
      </w:r>
      <w:r w:rsidRPr="00F85B0D">
        <w:rPr>
          <w:rFonts w:ascii="Times New Roman" w:hAnsi="Times New Roman" w:cs="Times New Roman"/>
          <w:b/>
          <w:sz w:val="24"/>
          <w:szCs w:val="24"/>
        </w:rPr>
        <w:t>8/6/22</w:t>
      </w:r>
      <w:r>
        <w:rPr>
          <w:rFonts w:ascii="Times New Roman" w:hAnsi="Times New Roman" w:cs="Times New Roman"/>
          <w:sz w:val="24"/>
          <w:szCs w:val="24"/>
        </w:rPr>
        <w:t>)</w:t>
      </w:r>
    </w:p>
    <w:p w:rsidR="00B47328" w:rsidRPr="00B47328" w:rsidRDefault="00B47328" w:rsidP="00B47328">
      <w:pPr>
        <w:spacing w:line="240" w:lineRule="auto"/>
        <w:jc w:val="both"/>
        <w:rPr>
          <w:rFonts w:ascii="Times New Roman" w:hAnsi="Times New Roman" w:cs="Times New Roman"/>
          <w:color w:val="FF0000"/>
          <w:sz w:val="24"/>
          <w:szCs w:val="24"/>
        </w:rPr>
      </w:pPr>
      <w:r w:rsidRPr="00B47328">
        <w:rPr>
          <w:rFonts w:ascii="Times New Roman" w:hAnsi="Times New Roman" w:cs="Times New Roman"/>
          <w:color w:val="FF0000"/>
          <w:sz w:val="24"/>
          <w:szCs w:val="24"/>
        </w:rPr>
        <w:t>Teme que la desconfianza de las familias frene el consumo</w:t>
      </w:r>
    </w:p>
    <w:p w:rsidR="00B47328" w:rsidRPr="00B47328" w:rsidRDefault="00B47328" w:rsidP="00B47328">
      <w:pPr>
        <w:spacing w:line="240" w:lineRule="auto"/>
        <w:jc w:val="both"/>
        <w:rPr>
          <w:rFonts w:ascii="Times New Roman" w:hAnsi="Times New Roman" w:cs="Times New Roman"/>
          <w:color w:val="FF0000"/>
          <w:sz w:val="24"/>
          <w:szCs w:val="24"/>
          <w:u w:val="single"/>
        </w:rPr>
      </w:pPr>
      <w:r w:rsidRPr="00B47328">
        <w:rPr>
          <w:rFonts w:ascii="Times New Roman" w:hAnsi="Times New Roman" w:cs="Times New Roman"/>
          <w:color w:val="FF0000"/>
          <w:sz w:val="24"/>
          <w:szCs w:val="24"/>
          <w:u w:val="single"/>
        </w:rPr>
        <w:t>El economista y premio Nobel Robert Shiller cree que hay una “buena probabilidad” de que se desate una recesión en EEUU que sea, al menos en parte, el resultado de una “profecía autocumplida” provocada por la preocupación creciente de los inversores, las empresas y los consumidores de que se desate esa misma recesión, lo que, paradójicamente, la hace más probable.</w:t>
      </w:r>
    </w:p>
    <w:p w:rsidR="00B47328" w:rsidRPr="00613FD8" w:rsidRDefault="00B47328" w:rsidP="00B47328">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w:t>
      </w:r>
      <w:r w:rsidRPr="00613FD8">
        <w:rPr>
          <w:rFonts w:ascii="Times New Roman" w:hAnsi="Times New Roman" w:cs="Times New Roman"/>
          <w:sz w:val="24"/>
          <w:szCs w:val="24"/>
        </w:rPr>
        <w:t xml:space="preserve">El </w:t>
      </w:r>
      <w:r>
        <w:rPr>
          <w:rFonts w:ascii="Times New Roman" w:hAnsi="Times New Roman" w:cs="Times New Roman"/>
          <w:sz w:val="24"/>
          <w:szCs w:val="24"/>
        </w:rPr>
        <w:t>miedo puede cambiar la realidad”</w:t>
      </w:r>
      <w:r w:rsidRPr="00613FD8">
        <w:rPr>
          <w:rFonts w:ascii="Times New Roman" w:hAnsi="Times New Roman" w:cs="Times New Roman"/>
          <w:sz w:val="24"/>
          <w:szCs w:val="24"/>
        </w:rPr>
        <w:t xml:space="preserve">, dijo Shiller, profesor de la Universidad de Yale y autor del libro de 2019 Narrativa económica: cómo las historias se vuelven virales y </w:t>
      </w:r>
      <w:r>
        <w:rPr>
          <w:rFonts w:ascii="Times New Roman" w:hAnsi="Times New Roman" w:cs="Times New Roman"/>
          <w:sz w:val="24"/>
          <w:szCs w:val="24"/>
        </w:rPr>
        <w:t>dirigen los eventos económicos.</w:t>
      </w:r>
    </w:p>
    <w:p w:rsidR="00B47328" w:rsidRPr="00613FD8" w:rsidRDefault="00B47328" w:rsidP="00B47328">
      <w:pPr>
        <w:spacing w:line="240" w:lineRule="auto"/>
        <w:jc w:val="both"/>
        <w:rPr>
          <w:rFonts w:ascii="Times New Roman" w:hAnsi="Times New Roman" w:cs="Times New Roman"/>
          <w:sz w:val="24"/>
          <w:szCs w:val="24"/>
        </w:rPr>
      </w:pPr>
      <w:r w:rsidRPr="00613FD8">
        <w:rPr>
          <w:rFonts w:ascii="Times New Roman" w:hAnsi="Times New Roman" w:cs="Times New Roman"/>
          <w:sz w:val="24"/>
          <w:szCs w:val="24"/>
        </w:rPr>
        <w:t>La preocupación por una posible contracción ha aumentado recientemente a medida que la inflación se ha ido acelerando y la Reserva Federal ha empezado a subir tipos para controlarla. Algunas grandes empresas ya han hecho sonar la alarma y los mercados siguen rondando territorio bajista. Y un número cada vez mayor de hogares estadounidenses dice que la economía va en la dirección equivocada. Todo eso podría hacer que los consumidores y las empresas reduzcan su consumo y empiecen a ahorrar, plantand</w:t>
      </w:r>
      <w:r>
        <w:rPr>
          <w:rFonts w:ascii="Times New Roman" w:hAnsi="Times New Roman" w:cs="Times New Roman"/>
          <w:sz w:val="24"/>
          <w:szCs w:val="24"/>
        </w:rPr>
        <w:t>o las semillas de una recesión.</w:t>
      </w:r>
    </w:p>
    <w:p w:rsidR="00B47328" w:rsidRPr="00613FD8" w:rsidRDefault="00B47328" w:rsidP="00B47328">
      <w:pPr>
        <w:spacing w:line="240" w:lineRule="auto"/>
        <w:jc w:val="both"/>
        <w:rPr>
          <w:rFonts w:ascii="Times New Roman" w:hAnsi="Times New Roman" w:cs="Times New Roman"/>
          <w:sz w:val="24"/>
          <w:szCs w:val="24"/>
        </w:rPr>
      </w:pPr>
      <w:r w:rsidRPr="00613FD8">
        <w:rPr>
          <w:rFonts w:ascii="Times New Roman" w:hAnsi="Times New Roman" w:cs="Times New Roman"/>
          <w:sz w:val="24"/>
          <w:szCs w:val="24"/>
        </w:rPr>
        <w:t>Miedo a una burbuja inmobiliaria</w:t>
      </w:r>
    </w:p>
    <w:p w:rsidR="00B47328" w:rsidRPr="00B47328" w:rsidRDefault="00B47328" w:rsidP="00B47328">
      <w:pPr>
        <w:spacing w:line="240" w:lineRule="auto"/>
        <w:jc w:val="both"/>
        <w:rPr>
          <w:rFonts w:ascii="Times New Roman" w:hAnsi="Times New Roman" w:cs="Times New Roman"/>
          <w:color w:val="FF0000"/>
          <w:sz w:val="24"/>
          <w:szCs w:val="24"/>
          <w:u w:val="single"/>
        </w:rPr>
      </w:pPr>
      <w:r w:rsidRPr="00B47328">
        <w:rPr>
          <w:rFonts w:ascii="Times New Roman" w:hAnsi="Times New Roman" w:cs="Times New Roman"/>
          <w:color w:val="FF0000"/>
          <w:sz w:val="24"/>
          <w:szCs w:val="24"/>
          <w:u w:val="single"/>
        </w:rPr>
        <w:t>El Nobel cree que la perspectiva de una senda de subida de tipos podría llevar a las familias a una avalancha de compras de viviendas, para fijar tipos de interés lo más bajos posibles. Pero una vez que los tipos alcancen niveles suficientemente altos, las compras se frenarán y el mercado inmobiliario podría empezar a mostrar signos de tensión. Y eso podría despertar recuerdos de la última vez. “Todavía no se habla tanto de la idea de que estamos en una burbuja inmobiliaria”, dijo el premio Shiller. “Pero ya está volviendo”.</w:t>
      </w:r>
    </w:p>
    <w:p w:rsidR="00B47328" w:rsidRPr="00613FD8" w:rsidRDefault="00B47328" w:rsidP="00B47328">
      <w:pPr>
        <w:spacing w:line="240" w:lineRule="auto"/>
        <w:jc w:val="both"/>
        <w:rPr>
          <w:rFonts w:ascii="Times New Roman" w:hAnsi="Times New Roman" w:cs="Times New Roman"/>
          <w:sz w:val="24"/>
          <w:szCs w:val="24"/>
        </w:rPr>
      </w:pPr>
      <w:r w:rsidRPr="00613FD8">
        <w:rPr>
          <w:rFonts w:ascii="Times New Roman" w:hAnsi="Times New Roman" w:cs="Times New Roman"/>
          <w:sz w:val="24"/>
          <w:szCs w:val="24"/>
        </w:rPr>
        <w:t>El economista tam</w:t>
      </w:r>
      <w:r>
        <w:rPr>
          <w:rFonts w:ascii="Times New Roman" w:hAnsi="Times New Roman" w:cs="Times New Roman"/>
          <w:sz w:val="24"/>
          <w:szCs w:val="24"/>
        </w:rPr>
        <w:t>bién teme que el país sufra un “</w:t>
      </w:r>
      <w:r w:rsidRPr="00613FD8">
        <w:rPr>
          <w:rFonts w:ascii="Times New Roman" w:hAnsi="Times New Roman" w:cs="Times New Roman"/>
          <w:sz w:val="24"/>
          <w:szCs w:val="24"/>
        </w:rPr>
        <w:t>tr</w:t>
      </w:r>
      <w:r>
        <w:rPr>
          <w:rFonts w:ascii="Times New Roman" w:hAnsi="Times New Roman" w:cs="Times New Roman"/>
          <w:sz w:val="24"/>
          <w:szCs w:val="24"/>
        </w:rPr>
        <w:t>astorno de estrés postraumático”</w:t>
      </w:r>
      <w:r w:rsidRPr="00613FD8">
        <w:rPr>
          <w:rFonts w:ascii="Times New Roman" w:hAnsi="Times New Roman" w:cs="Times New Roman"/>
          <w:sz w:val="24"/>
          <w:szCs w:val="24"/>
        </w:rPr>
        <w:t xml:space="preserve"> colectivo por la pandemia. La polariz</w:t>
      </w:r>
      <w:r>
        <w:rPr>
          <w:rFonts w:ascii="Times New Roman" w:hAnsi="Times New Roman" w:cs="Times New Roman"/>
          <w:sz w:val="24"/>
          <w:szCs w:val="24"/>
        </w:rPr>
        <w:t>ación “muy marcada”</w:t>
      </w:r>
      <w:r w:rsidRPr="00613FD8">
        <w:rPr>
          <w:rFonts w:ascii="Times New Roman" w:hAnsi="Times New Roman" w:cs="Times New Roman"/>
          <w:sz w:val="24"/>
          <w:szCs w:val="24"/>
        </w:rPr>
        <w:t xml:space="preserve"> de la sociedad, con una línea divisoria muy clara entre ambos partidos políticos y una imagen cada vez mayor de que los millones de ciudadanos simpa</w:t>
      </w:r>
      <w:r>
        <w:rPr>
          <w:rFonts w:ascii="Times New Roman" w:hAnsi="Times New Roman" w:cs="Times New Roman"/>
          <w:sz w:val="24"/>
          <w:szCs w:val="24"/>
        </w:rPr>
        <w:t>tizantes del partido rival son “malvados enemigos de la patria”</w:t>
      </w:r>
      <w:r w:rsidRPr="00613FD8">
        <w:rPr>
          <w:rFonts w:ascii="Times New Roman" w:hAnsi="Times New Roman" w:cs="Times New Roman"/>
          <w:sz w:val="24"/>
          <w:szCs w:val="24"/>
        </w:rPr>
        <w:t>, también aumenta el riesgo de que el miedo impu</w:t>
      </w:r>
      <w:r>
        <w:rPr>
          <w:rFonts w:ascii="Times New Roman" w:hAnsi="Times New Roman" w:cs="Times New Roman"/>
          <w:sz w:val="24"/>
          <w:szCs w:val="24"/>
        </w:rPr>
        <w:t>lse la realidad, según Shiller.</w:t>
      </w:r>
    </w:p>
    <w:p w:rsidR="00B47328" w:rsidRDefault="00B47328" w:rsidP="00B47328">
      <w:pPr>
        <w:spacing w:line="240" w:lineRule="auto"/>
        <w:jc w:val="both"/>
        <w:rPr>
          <w:rFonts w:ascii="Times New Roman" w:hAnsi="Times New Roman" w:cs="Times New Roman"/>
          <w:color w:val="FF0000"/>
          <w:sz w:val="24"/>
          <w:szCs w:val="24"/>
          <w:u w:val="single"/>
        </w:rPr>
      </w:pPr>
      <w:r w:rsidRPr="00B47328">
        <w:rPr>
          <w:rFonts w:ascii="Times New Roman" w:hAnsi="Times New Roman" w:cs="Times New Roman"/>
          <w:color w:val="FF0000"/>
          <w:sz w:val="24"/>
          <w:szCs w:val="24"/>
          <w:u w:val="single"/>
        </w:rPr>
        <w:t>Los estrategas políticos del presidente Joe Biden se han quejado de que el pesimismo económico es exagerado, dada la solidez del mercado laboral, que algunos economistas consideran el más ajustado que jamás haya existido. Pero Shiller dijo que el aumento de la inflación tiene más impacto en la mente de los estadounidenses que en el estado del mercado laboral. “La inflación afecta a todos”, dijo. “Cada vez que van a la tienda ven precios más altos y se enfadan”.</w:t>
      </w:r>
    </w:p>
    <w:p w:rsidR="00B47328" w:rsidRPr="00EA330E" w:rsidRDefault="00B47328" w:rsidP="00B4732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EA330E">
        <w:rPr>
          <w:rFonts w:ascii="Times New Roman" w:hAnsi="Times New Roman" w:cs="Times New Roman"/>
          <w:sz w:val="24"/>
          <w:szCs w:val="24"/>
          <w:u w:val="single"/>
        </w:rPr>
        <w:t>El BCE subirá 25 puntos los tipos en julio y promete mantener a raya la prima de riesgo</w:t>
      </w:r>
      <w:r>
        <w:rPr>
          <w:rFonts w:ascii="Times New Roman" w:hAnsi="Times New Roman" w:cs="Times New Roman"/>
          <w:sz w:val="24"/>
          <w:szCs w:val="24"/>
        </w:rPr>
        <w:t xml:space="preserve"> (Cinco Días - </w:t>
      </w:r>
      <w:r w:rsidRPr="00EA330E">
        <w:rPr>
          <w:rFonts w:ascii="Times New Roman" w:hAnsi="Times New Roman" w:cs="Times New Roman"/>
          <w:b/>
          <w:sz w:val="24"/>
          <w:szCs w:val="24"/>
        </w:rPr>
        <w:t>9/6/22</w:t>
      </w:r>
      <w:r>
        <w:rPr>
          <w:rFonts w:ascii="Times New Roman" w:hAnsi="Times New Roman" w:cs="Times New Roman"/>
          <w:sz w:val="24"/>
          <w:szCs w:val="24"/>
        </w:rPr>
        <w:t>)</w:t>
      </w:r>
    </w:p>
    <w:p w:rsidR="00B47328" w:rsidRPr="00B47328" w:rsidRDefault="00B47328" w:rsidP="00B47328">
      <w:pPr>
        <w:spacing w:line="240" w:lineRule="auto"/>
        <w:jc w:val="both"/>
        <w:rPr>
          <w:rFonts w:ascii="Times New Roman" w:hAnsi="Times New Roman" w:cs="Times New Roman"/>
          <w:color w:val="FF0000"/>
          <w:sz w:val="24"/>
          <w:szCs w:val="24"/>
        </w:rPr>
      </w:pPr>
      <w:r w:rsidRPr="00B47328">
        <w:rPr>
          <w:rFonts w:ascii="Times New Roman" w:hAnsi="Times New Roman" w:cs="Times New Roman"/>
          <w:color w:val="FF0000"/>
          <w:sz w:val="24"/>
          <w:szCs w:val="24"/>
        </w:rPr>
        <w:t>Eleva su previsión de inflación este año en la zona euro al 6,8% y rebaja el alza del PIB al 2,8%</w:t>
      </w:r>
    </w:p>
    <w:p w:rsidR="00B47328" w:rsidRPr="00B47328" w:rsidRDefault="00B47328" w:rsidP="00B47328">
      <w:pPr>
        <w:spacing w:line="240" w:lineRule="auto"/>
        <w:jc w:val="both"/>
        <w:rPr>
          <w:rFonts w:ascii="Times New Roman" w:hAnsi="Times New Roman" w:cs="Times New Roman"/>
          <w:color w:val="FF0000"/>
          <w:sz w:val="24"/>
          <w:szCs w:val="24"/>
        </w:rPr>
      </w:pPr>
      <w:r w:rsidRPr="00B47328">
        <w:rPr>
          <w:rFonts w:ascii="Times New Roman" w:hAnsi="Times New Roman" w:cs="Times New Roman"/>
          <w:color w:val="FF0000"/>
          <w:sz w:val="24"/>
          <w:szCs w:val="24"/>
        </w:rPr>
        <w:t>Volverá a subir tipos en septiembre y no descarta un alza de 50 puntos básicos si la elevada inflación persiste</w:t>
      </w:r>
    </w:p>
    <w:p w:rsidR="00B47328" w:rsidRPr="00B47328" w:rsidRDefault="00B47328" w:rsidP="00B47328">
      <w:pPr>
        <w:spacing w:line="240" w:lineRule="auto"/>
        <w:jc w:val="both"/>
        <w:rPr>
          <w:rFonts w:ascii="Times New Roman" w:hAnsi="Times New Roman" w:cs="Times New Roman"/>
          <w:color w:val="FF0000"/>
          <w:sz w:val="24"/>
          <w:szCs w:val="24"/>
          <w:u w:val="single"/>
        </w:rPr>
      </w:pPr>
      <w:r w:rsidRPr="00B47328">
        <w:rPr>
          <w:rFonts w:ascii="Times New Roman" w:hAnsi="Times New Roman" w:cs="Times New Roman"/>
          <w:color w:val="FF0000"/>
          <w:sz w:val="24"/>
          <w:szCs w:val="24"/>
          <w:u w:val="single"/>
        </w:rPr>
        <w:t>El guion ya estaba escrito y hoy ha llegado la confirmación oficial. El Consejo de Gobierno del BCE, reunido hoy en Ámsterdam, ha decidido emprender el camino hacia la primera subida de tipos de interés en la zona euro desde 2011. Los subirá 25 puntos básicos en julio, al tiempo que pondrá fin a las compras netas de deuda el día 1 de ese mes. El objetivo es que la zona euro abandone el territorio de los tipos de interés negativos en septiembre.</w:t>
      </w:r>
    </w:p>
    <w:p w:rsidR="00B47328" w:rsidRDefault="00B47328" w:rsidP="00B47328">
      <w:pPr>
        <w:spacing w:line="240" w:lineRule="auto"/>
        <w:jc w:val="both"/>
        <w:rPr>
          <w:rFonts w:ascii="Times New Roman" w:hAnsi="Times New Roman" w:cs="Times New Roman"/>
          <w:sz w:val="24"/>
          <w:szCs w:val="24"/>
        </w:rPr>
      </w:pPr>
      <w:r w:rsidRPr="00B47328">
        <w:rPr>
          <w:rFonts w:ascii="Times New Roman" w:hAnsi="Times New Roman" w:cs="Times New Roman"/>
          <w:color w:val="FF0000"/>
          <w:sz w:val="24"/>
          <w:szCs w:val="24"/>
          <w:u w:val="single"/>
        </w:rPr>
        <w:t>En el comunicado posterior a la reunión el BCE también avanza que volverá a subir los tipos en septiembre, sin descartar un alza de 50 puntos básicos en esa cita. “Dependerá de las expectativas de inflación en el medio plazo. Si persisten o se deterioran un incremento más elevado sería apropiado en la reunión de septiembre”, explica la institución</w:t>
      </w:r>
      <w:r w:rsidRPr="00EA330E">
        <w:rPr>
          <w:rFonts w:ascii="Times New Roman" w:hAnsi="Times New Roman" w:cs="Times New Roman"/>
          <w:sz w:val="24"/>
          <w:szCs w:val="24"/>
        </w:rPr>
        <w:t xml:space="preserve">. Las alzas de </w:t>
      </w:r>
      <w:r w:rsidRPr="00EA330E">
        <w:rPr>
          <w:rFonts w:ascii="Times New Roman" w:hAnsi="Times New Roman" w:cs="Times New Roman"/>
          <w:sz w:val="24"/>
          <w:szCs w:val="24"/>
        </w:rPr>
        <w:lastRenderedPageBreak/>
        <w:t>tipos se aplicarán por igual a todas las referencias: a la tasa de depósito, ahora en el -0,5%; al tipo de referencia, en el 0%, y a la</w:t>
      </w:r>
      <w:r>
        <w:rPr>
          <w:rFonts w:ascii="Times New Roman" w:hAnsi="Times New Roman" w:cs="Times New Roman"/>
          <w:sz w:val="24"/>
          <w:szCs w:val="24"/>
        </w:rPr>
        <w:t xml:space="preserve"> facilidad marginal de crédito.</w:t>
      </w:r>
    </w:p>
    <w:p w:rsidR="00B47328" w:rsidRDefault="00B47328" w:rsidP="00B47328">
      <w:pPr>
        <w:spacing w:line="240" w:lineRule="auto"/>
        <w:jc w:val="both"/>
        <w:rPr>
          <w:rFonts w:ascii="Times New Roman" w:hAnsi="Times New Roman" w:cs="Times New Roman"/>
          <w:sz w:val="24"/>
          <w:szCs w:val="24"/>
        </w:rPr>
      </w:pPr>
      <w:r w:rsidRPr="00EA330E">
        <w:rPr>
          <w:rFonts w:ascii="Times New Roman" w:hAnsi="Times New Roman" w:cs="Times New Roman"/>
          <w:sz w:val="24"/>
          <w:szCs w:val="24"/>
        </w:rPr>
        <w:t>A partir de septiembre, el BCE avanza que “una gradual pero sostenida senda de aumentos adicionales de los tipos será apropiada, en línea con el objetivo del Consejo de Gobierno de alcanzar un objetivo de inflación del 2% en el medio plazo”. El comunicado añade que el ritmo de esas subidas dependerá de los indicadores económicos y de cómo evolucione la inflación en el medio plazo</w:t>
      </w:r>
      <w:r>
        <w:rPr>
          <w:rFonts w:ascii="Times New Roman" w:hAnsi="Times New Roman" w:cs="Times New Roman"/>
          <w:sz w:val="24"/>
          <w:szCs w:val="24"/>
        </w:rPr>
        <w:t>…</w:t>
      </w:r>
    </w:p>
    <w:p w:rsidR="00B47328" w:rsidRDefault="00B47328" w:rsidP="00B47328">
      <w:pPr>
        <w:spacing w:line="240" w:lineRule="auto"/>
        <w:jc w:val="both"/>
        <w:rPr>
          <w:rFonts w:ascii="Times New Roman" w:hAnsi="Times New Roman" w:cs="Times New Roman"/>
          <w:sz w:val="24"/>
          <w:szCs w:val="24"/>
        </w:rPr>
      </w:pPr>
      <w:r>
        <w:rPr>
          <w:noProof/>
          <w:lang w:eastAsia="es-ES"/>
        </w:rPr>
        <w:drawing>
          <wp:inline distT="0" distB="0" distL="0" distR="0" wp14:anchorId="4B55AA14" wp14:editId="306A8D9E">
            <wp:extent cx="5732492" cy="3098800"/>
            <wp:effectExtent l="0" t="0" r="1905" b="6350"/>
            <wp:docPr id="41" name="Imagen 41" descr="Prima de riesgo Españ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rima de riesgo España"/>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731510" cy="3098269"/>
                    </a:xfrm>
                    <a:prstGeom prst="rect">
                      <a:avLst/>
                    </a:prstGeom>
                    <a:noFill/>
                    <a:ln>
                      <a:noFill/>
                    </a:ln>
                  </pic:spPr>
                </pic:pic>
              </a:graphicData>
            </a:graphic>
          </wp:inline>
        </w:drawing>
      </w:r>
    </w:p>
    <w:p w:rsidR="00B47328" w:rsidRDefault="00B47328" w:rsidP="00B47328">
      <w:pPr>
        <w:spacing w:line="240" w:lineRule="auto"/>
        <w:jc w:val="both"/>
        <w:rPr>
          <w:rFonts w:ascii="Times New Roman" w:hAnsi="Times New Roman" w:cs="Times New Roman"/>
          <w:color w:val="FF0000"/>
          <w:sz w:val="24"/>
          <w:szCs w:val="24"/>
        </w:rPr>
      </w:pPr>
      <w:r w:rsidRPr="00B47328">
        <w:rPr>
          <w:rFonts w:ascii="Times New Roman" w:hAnsi="Times New Roman" w:cs="Times New Roman"/>
          <w:color w:val="FF0000"/>
          <w:sz w:val="24"/>
          <w:szCs w:val="24"/>
          <w:u w:val="single"/>
        </w:rPr>
        <w:t>Según ha insistido Lagarde en rueda de prensa, “estamos comprometidos con evitar la fragmentación financiera que impida la transmisión de la política monetaria. No toleraremos la fragmentación financiera”. Ha recordado que el BCE cuenta con la reinversión total de los vencimientos del programa PEPP; que alcanzó los 1,7 billones de euros, y que puede hacerlo con total flexibilidad en cuanto al tipo de activos y su nacionalidad o puede también emplear “instrumentos disponibles o nuevos”, como ya ha hecho en el pasado</w:t>
      </w:r>
      <w:r w:rsidRPr="00B47328">
        <w:rPr>
          <w:rFonts w:ascii="Times New Roman" w:hAnsi="Times New Roman" w:cs="Times New Roman"/>
          <w:color w:val="FF0000"/>
          <w:sz w:val="24"/>
          <w:szCs w:val="24"/>
        </w:rPr>
        <w:t>…</w:t>
      </w:r>
    </w:p>
    <w:p w:rsidR="00093A50" w:rsidRPr="00EA330E" w:rsidRDefault="00093A50" w:rsidP="00093A5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6E33BC">
        <w:rPr>
          <w:rFonts w:ascii="Times New Roman" w:hAnsi="Times New Roman" w:cs="Times New Roman"/>
          <w:sz w:val="24"/>
          <w:szCs w:val="24"/>
          <w:u w:val="single"/>
        </w:rPr>
        <w:t>Lagarde, ahora sí, se toma en serio la inflación y el riesgo de fragmentación</w:t>
      </w:r>
      <w:r>
        <w:rPr>
          <w:rFonts w:ascii="Times New Roman" w:hAnsi="Times New Roman" w:cs="Times New Roman"/>
          <w:sz w:val="24"/>
          <w:szCs w:val="24"/>
        </w:rPr>
        <w:t xml:space="preserve"> (Cinco Días - </w:t>
      </w:r>
      <w:r w:rsidRPr="006E33BC">
        <w:rPr>
          <w:rFonts w:ascii="Times New Roman" w:hAnsi="Times New Roman" w:cs="Times New Roman"/>
          <w:b/>
          <w:sz w:val="24"/>
          <w:szCs w:val="24"/>
        </w:rPr>
        <w:t>10/6/22</w:t>
      </w:r>
      <w:r>
        <w:rPr>
          <w:rFonts w:ascii="Times New Roman" w:hAnsi="Times New Roman" w:cs="Times New Roman"/>
          <w:sz w:val="24"/>
          <w:szCs w:val="24"/>
        </w:rPr>
        <w:t>)</w:t>
      </w:r>
    </w:p>
    <w:p w:rsidR="00093A50" w:rsidRPr="00093A50" w:rsidRDefault="00093A50" w:rsidP="00093A50">
      <w:pPr>
        <w:spacing w:line="240" w:lineRule="auto"/>
        <w:jc w:val="both"/>
        <w:rPr>
          <w:rFonts w:ascii="Times New Roman" w:hAnsi="Times New Roman" w:cs="Times New Roman"/>
          <w:color w:val="FF0000"/>
          <w:sz w:val="24"/>
          <w:szCs w:val="24"/>
        </w:rPr>
      </w:pPr>
      <w:r w:rsidRPr="00093A50">
        <w:rPr>
          <w:rFonts w:ascii="Times New Roman" w:hAnsi="Times New Roman" w:cs="Times New Roman"/>
          <w:color w:val="FF0000"/>
          <w:sz w:val="24"/>
          <w:szCs w:val="24"/>
        </w:rPr>
        <w:t>Hará falta también un estricto control de las finanzas de cada país, algo que los Gobiernos no atienden bien</w:t>
      </w:r>
    </w:p>
    <w:p w:rsidR="00093A50" w:rsidRDefault="00093A50" w:rsidP="00093A50">
      <w:pPr>
        <w:spacing w:line="240" w:lineRule="auto"/>
        <w:jc w:val="both"/>
        <w:rPr>
          <w:rFonts w:ascii="Times New Roman" w:hAnsi="Times New Roman" w:cs="Times New Roman"/>
          <w:color w:val="FF0000"/>
          <w:sz w:val="24"/>
          <w:szCs w:val="24"/>
          <w:u w:val="single"/>
        </w:rPr>
      </w:pPr>
      <w:r w:rsidRPr="00093A50">
        <w:rPr>
          <w:rFonts w:ascii="Times New Roman" w:hAnsi="Times New Roman" w:cs="Times New Roman"/>
          <w:color w:val="FF0000"/>
          <w:sz w:val="24"/>
          <w:szCs w:val="24"/>
          <w:u w:val="single"/>
        </w:rPr>
        <w:t>El Banco Central Europeo (BCE) ha decidido, ahora sí, tomarse en serio los riesgos que una inflación rampante puede inyectar en la economía de la zona euro. Tras casi un año de análisis contemplativo en el que la inflación amenazaba tormenta por la quiebra de la oferta en infinidad de mercados industriales y la presión de la demanda tras superar la pandemia, Christine Lagarde reacciona. Y lo hace con un discurso desacostumbradamente duro, aliñado con unas previsiones de crecimiento e inflación mucho más alarmantes de lo anticipado, y con la promesa de hacer su trabajo con el celo necesario para domeñar los precios y evitar la temida fragmentación financiera: ese fantasma que recorrió la zona euro hace diez años por negligencia del BCE, sí, pero por incapacidad de las autoridades políticas para cerrar el círculo institucional del euro, también.</w:t>
      </w:r>
    </w:p>
    <w:p w:rsidR="00093A50" w:rsidRDefault="00093A50" w:rsidP="00093A50">
      <w:pPr>
        <w:spacing w:line="240" w:lineRule="auto"/>
        <w:jc w:val="both"/>
        <w:rPr>
          <w:rFonts w:ascii="Times New Roman" w:hAnsi="Times New Roman" w:cs="Times New Roman"/>
          <w:sz w:val="24"/>
          <w:szCs w:val="24"/>
        </w:rPr>
      </w:pPr>
      <w:r w:rsidRPr="00EA330E">
        <w:rPr>
          <w:rFonts w:ascii="Times New Roman" w:hAnsi="Times New Roman" w:cs="Times New Roman"/>
          <w:sz w:val="24"/>
          <w:szCs w:val="24"/>
        </w:rPr>
        <w:lastRenderedPageBreak/>
        <w:t>Si hasta la última revisión de escenarios económicos la institución de Fráncfort preveía una inflación elevada este año y colocarla en la jaula del 2% en 2023, ahora las estimaciones han cambiado y consideran que los precios se mantendrán al alza de forma persistente, entre otras cuestiones porque el conflicto de Ucrania impide que la energía relaje su coste y deje de inyectarse en los procesos industriales. Por ello, Lagarde ha confirmado que desde el primero de julio deja de comprarse deuda con programas específicos, aunque se mantendrá la reinversión de los vencimientos de los títulos ya comprados, y que subirá los tipos de interés en 25 puntos en todas sus modalidades, y que volverá a hacerlo en septiembre, sin descartar que entonces, si la cosa sigue fea, la cu</w:t>
      </w:r>
      <w:r>
        <w:rPr>
          <w:rFonts w:ascii="Times New Roman" w:hAnsi="Times New Roman" w:cs="Times New Roman"/>
          <w:sz w:val="24"/>
          <w:szCs w:val="24"/>
        </w:rPr>
        <w:t>antía de la subida sea de 0,5%...</w:t>
      </w:r>
    </w:p>
    <w:p w:rsidR="00093A50" w:rsidRPr="000830AB" w:rsidRDefault="00093A50" w:rsidP="00093A50">
      <w:pPr>
        <w:shd w:val="clear" w:color="auto" w:fill="FFFFFF"/>
        <w:spacing w:before="84" w:after="170" w:line="240" w:lineRule="auto"/>
        <w:jc w:val="both"/>
        <w:textAlignment w:val="baseline"/>
        <w:outlineLvl w:val="0"/>
        <w:rPr>
          <w:rFonts w:ascii="Times New Roman" w:eastAsia="Times New Roman" w:hAnsi="Times New Roman" w:cs="Times New Roman"/>
          <w:bCs/>
          <w:color w:val="111111"/>
          <w:kern w:val="36"/>
          <w:sz w:val="24"/>
          <w:szCs w:val="24"/>
          <w:lang w:eastAsia="es-ES"/>
        </w:rPr>
      </w:pPr>
      <w:r>
        <w:rPr>
          <w:rFonts w:ascii="Times New Roman" w:eastAsia="Times New Roman" w:hAnsi="Times New Roman" w:cs="Times New Roman"/>
          <w:bCs/>
          <w:color w:val="111111"/>
          <w:kern w:val="36"/>
          <w:sz w:val="24"/>
          <w:szCs w:val="24"/>
          <w:lang w:eastAsia="es-ES"/>
        </w:rPr>
        <w:t xml:space="preserve">- </w:t>
      </w:r>
      <w:r w:rsidRPr="000830AB">
        <w:rPr>
          <w:rFonts w:ascii="Times New Roman" w:eastAsia="Times New Roman" w:hAnsi="Times New Roman" w:cs="Times New Roman"/>
          <w:bCs/>
          <w:color w:val="111111"/>
          <w:kern w:val="36"/>
          <w:sz w:val="24"/>
          <w:szCs w:val="24"/>
          <w:u w:val="single"/>
          <w:lang w:eastAsia="es-ES"/>
        </w:rPr>
        <w:t>La OCDE ya habla abiertamente de estanflación: el fin de ciclo ha llegado</w:t>
      </w:r>
      <w:r>
        <w:rPr>
          <w:rFonts w:ascii="Times New Roman" w:eastAsia="Times New Roman" w:hAnsi="Times New Roman" w:cs="Times New Roman"/>
          <w:bCs/>
          <w:color w:val="111111"/>
          <w:kern w:val="36"/>
          <w:sz w:val="24"/>
          <w:szCs w:val="24"/>
          <w:lang w:eastAsia="es-ES"/>
        </w:rPr>
        <w:t xml:space="preserve"> (Libertad Digital - </w:t>
      </w:r>
      <w:r w:rsidRPr="000830AB">
        <w:rPr>
          <w:rFonts w:ascii="Times New Roman" w:eastAsia="Times New Roman" w:hAnsi="Times New Roman" w:cs="Times New Roman"/>
          <w:b/>
          <w:bCs/>
          <w:color w:val="111111"/>
          <w:kern w:val="36"/>
          <w:sz w:val="24"/>
          <w:szCs w:val="24"/>
          <w:lang w:eastAsia="es-ES"/>
        </w:rPr>
        <w:t>12/6/22</w:t>
      </w:r>
      <w:r>
        <w:rPr>
          <w:rFonts w:ascii="Times New Roman" w:eastAsia="Times New Roman" w:hAnsi="Times New Roman" w:cs="Times New Roman"/>
          <w:bCs/>
          <w:color w:val="111111"/>
          <w:kern w:val="36"/>
          <w:sz w:val="24"/>
          <w:szCs w:val="24"/>
          <w:lang w:eastAsia="es-ES"/>
        </w:rPr>
        <w:t>)</w:t>
      </w:r>
    </w:p>
    <w:p w:rsidR="00093A50" w:rsidRPr="00563353" w:rsidRDefault="00093A50" w:rsidP="00093A50">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563353">
        <w:rPr>
          <w:rFonts w:ascii="Times New Roman" w:eastAsia="Times New Roman" w:hAnsi="Times New Roman" w:cs="Times New Roman"/>
          <w:sz w:val="24"/>
          <w:szCs w:val="24"/>
          <w:lang w:eastAsia="es-ES"/>
        </w:rPr>
        <w:t>(Por Daniel Rodríguez Asensio)</w:t>
      </w:r>
    </w:p>
    <w:p w:rsidR="00093A50" w:rsidRPr="00563353" w:rsidRDefault="00093A50" w:rsidP="00093A50">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093A50" w:rsidRPr="00563353" w:rsidRDefault="00093A50" w:rsidP="00093A50">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563353">
        <w:rPr>
          <w:rFonts w:ascii="Times New Roman" w:eastAsia="Times New Roman" w:hAnsi="Times New Roman" w:cs="Times New Roman"/>
          <w:sz w:val="24"/>
          <w:szCs w:val="24"/>
          <w:lang w:eastAsia="es-ES"/>
        </w:rPr>
        <w:t>Elecciones de noviembre de 2019. Este humilde economista tuvo el inmenso honor de acudir en calidad de oyente al debate económico que organizó El Objetivo de Ana Pastor. Lo menos relevante para este artículo fue el contenido de dicho debate. Lo que sí que importa es lo que se comentó entre bambalinas. </w:t>
      </w:r>
      <w:r>
        <w:rPr>
          <w:rFonts w:ascii="Times New Roman" w:eastAsia="Times New Roman" w:hAnsi="Times New Roman" w:cs="Times New Roman"/>
          <w:bCs/>
          <w:sz w:val="24"/>
          <w:szCs w:val="24"/>
          <w:bdr w:val="none" w:sz="0" w:space="0" w:color="auto" w:frame="1"/>
          <w:lang w:eastAsia="es-ES"/>
        </w:rPr>
        <w:t>“</w:t>
      </w:r>
      <w:r w:rsidRPr="00563353">
        <w:rPr>
          <w:rFonts w:ascii="Times New Roman" w:eastAsia="Times New Roman" w:hAnsi="Times New Roman" w:cs="Times New Roman"/>
          <w:bCs/>
          <w:sz w:val="24"/>
          <w:szCs w:val="24"/>
          <w:bdr w:val="none" w:sz="0" w:space="0" w:color="auto" w:frame="1"/>
          <w:lang w:eastAsia="es-ES"/>
        </w:rPr>
        <w:t>Tenemos p</w:t>
      </w:r>
      <w:r>
        <w:rPr>
          <w:rFonts w:ascii="Times New Roman" w:eastAsia="Times New Roman" w:hAnsi="Times New Roman" w:cs="Times New Roman"/>
          <w:bCs/>
          <w:sz w:val="24"/>
          <w:szCs w:val="24"/>
          <w:bdr w:val="none" w:sz="0" w:space="0" w:color="auto" w:frame="1"/>
          <w:lang w:eastAsia="es-ES"/>
        </w:rPr>
        <w:t>or delante una crisis”</w:t>
      </w:r>
      <w:r w:rsidRPr="00563353">
        <w:rPr>
          <w:rFonts w:ascii="Times New Roman" w:eastAsia="Times New Roman" w:hAnsi="Times New Roman" w:cs="Times New Roman"/>
          <w:bCs/>
          <w:sz w:val="24"/>
          <w:szCs w:val="24"/>
          <w:bdr w:val="none" w:sz="0" w:space="0" w:color="auto" w:frame="1"/>
          <w:lang w:eastAsia="es-ES"/>
        </w:rPr>
        <w:t>, dijo el responsable económic</w:t>
      </w:r>
      <w:r>
        <w:rPr>
          <w:rFonts w:ascii="Times New Roman" w:eastAsia="Times New Roman" w:hAnsi="Times New Roman" w:cs="Times New Roman"/>
          <w:bCs/>
          <w:sz w:val="24"/>
          <w:szCs w:val="24"/>
          <w:bdr w:val="none" w:sz="0" w:space="0" w:color="auto" w:frame="1"/>
          <w:lang w:eastAsia="es-ES"/>
        </w:rPr>
        <w:t>o de un partido de izquierdas, “</w:t>
      </w:r>
      <w:r w:rsidRPr="00563353">
        <w:rPr>
          <w:rFonts w:ascii="Times New Roman" w:eastAsia="Times New Roman" w:hAnsi="Times New Roman" w:cs="Times New Roman"/>
          <w:bCs/>
          <w:sz w:val="24"/>
          <w:szCs w:val="24"/>
          <w:bdr w:val="none" w:sz="0" w:space="0" w:color="auto" w:frame="1"/>
          <w:lang w:eastAsia="es-ES"/>
        </w:rPr>
        <w:t>pero no va a ser de mucho calado</w:t>
      </w:r>
      <w:r w:rsidRPr="00563353">
        <w:rPr>
          <w:rFonts w:ascii="Times New Roman" w:eastAsia="Times New Roman" w:hAnsi="Times New Roman" w:cs="Times New Roman"/>
          <w:sz w:val="24"/>
          <w:szCs w:val="24"/>
          <w:lang w:eastAsia="es-ES"/>
        </w:rPr>
        <w:t>. Será mucho más parecida a la de</w:t>
      </w:r>
      <w:r>
        <w:rPr>
          <w:rFonts w:ascii="Times New Roman" w:eastAsia="Times New Roman" w:hAnsi="Times New Roman" w:cs="Times New Roman"/>
          <w:sz w:val="24"/>
          <w:szCs w:val="24"/>
          <w:lang w:eastAsia="es-ES"/>
        </w:rPr>
        <w:t xml:space="preserve"> los años 2000 que a la de 2008”</w:t>
      </w:r>
      <w:r w:rsidRPr="00563353">
        <w:rPr>
          <w:rFonts w:ascii="Times New Roman" w:eastAsia="Times New Roman" w:hAnsi="Times New Roman" w:cs="Times New Roman"/>
          <w:sz w:val="24"/>
          <w:szCs w:val="24"/>
          <w:lang w:eastAsia="es-ES"/>
        </w:rPr>
        <w:t>.</w:t>
      </w:r>
    </w:p>
    <w:p w:rsidR="00093A50" w:rsidRPr="00563353" w:rsidRDefault="00093A50" w:rsidP="00093A50">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093A50" w:rsidRDefault="00093A50" w:rsidP="00093A50">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563353">
        <w:rPr>
          <w:rFonts w:ascii="Times New Roman" w:eastAsia="Times New Roman" w:hAnsi="Times New Roman" w:cs="Times New Roman"/>
          <w:sz w:val="24"/>
          <w:szCs w:val="24"/>
          <w:lang w:eastAsia="es-ES"/>
        </w:rPr>
        <w:t>No le faltaba razón, salvo en un detalle:</w:t>
      </w:r>
      <w:r w:rsidRPr="00563353">
        <w:rPr>
          <w:rFonts w:ascii="Times New Roman" w:eastAsia="Times New Roman" w:hAnsi="Times New Roman" w:cs="Times New Roman"/>
          <w:bCs/>
          <w:sz w:val="24"/>
          <w:szCs w:val="24"/>
          <w:bdr w:val="none" w:sz="0" w:space="0" w:color="auto" w:frame="1"/>
          <w:lang w:eastAsia="es-ES"/>
        </w:rPr>
        <w:t> La crisis que se estaba gestando no era de carácter económico, sino financiero. </w:t>
      </w:r>
      <w:r w:rsidRPr="00563353">
        <w:rPr>
          <w:rFonts w:ascii="Times New Roman" w:eastAsia="Times New Roman" w:hAnsi="Times New Roman" w:cs="Times New Roman"/>
          <w:sz w:val="24"/>
          <w:szCs w:val="24"/>
          <w:lang w:eastAsia="es-ES"/>
        </w:rPr>
        <w:t>Los tipos de interés de los bonos soberanos a ambos lados del Atlántico se estaban situando en niveles similares a los que vimos en 2008 (y que ahora se están repitiendo), la desaceleración económica (especialmente en China) era más que evidente, y las herramientas de política monetaria de los bancos centrales reducidas, por no decir nulas.</w:t>
      </w:r>
    </w:p>
    <w:p w:rsidR="00093A50" w:rsidRPr="00563353" w:rsidRDefault="00093A50" w:rsidP="00093A50">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093A50" w:rsidRPr="00563353" w:rsidRDefault="00093A50" w:rsidP="00093A50">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563353">
        <w:rPr>
          <w:rFonts w:ascii="Times New Roman" w:eastAsia="Times New Roman" w:hAnsi="Times New Roman" w:cs="Times New Roman"/>
          <w:noProof/>
          <w:sz w:val="24"/>
          <w:szCs w:val="24"/>
          <w:bdr w:val="none" w:sz="0" w:space="0" w:color="auto" w:frame="1"/>
          <w:lang w:eastAsia="es-ES"/>
        </w:rPr>
        <w:drawing>
          <wp:inline distT="0" distB="0" distL="0" distR="0" wp14:anchorId="649D6DE1" wp14:editId="068D4EEC">
            <wp:extent cx="5562600" cy="2997200"/>
            <wp:effectExtent l="0" t="0" r="0" b="0"/>
            <wp:docPr id="152" name="Imagen 152" descr="tipos-de-interes.jpg">
              <a:hlinkClick xmlns:a="http://schemas.openxmlformats.org/drawingml/2006/main" r:id="rId50"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ipos-de-interes.jpg">
                      <a:hlinkClick r:id="rId50" tooltip="&quot;&quot;"/>
                    </pic:cNvPr>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562600" cy="2997200"/>
                    </a:xfrm>
                    <a:prstGeom prst="rect">
                      <a:avLst/>
                    </a:prstGeom>
                    <a:noFill/>
                    <a:ln>
                      <a:noFill/>
                    </a:ln>
                  </pic:spPr>
                </pic:pic>
              </a:graphicData>
            </a:graphic>
          </wp:inline>
        </w:drawing>
      </w:r>
    </w:p>
    <w:p w:rsidR="00093A50" w:rsidRDefault="00093A50" w:rsidP="00093A50">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093A50" w:rsidRPr="00563353" w:rsidRDefault="00093A50" w:rsidP="00093A50">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563353">
        <w:rPr>
          <w:rFonts w:ascii="Times New Roman" w:eastAsia="Times New Roman" w:hAnsi="Times New Roman" w:cs="Times New Roman"/>
          <w:sz w:val="24"/>
          <w:szCs w:val="24"/>
          <w:lang w:eastAsia="es-ES"/>
        </w:rPr>
        <w:t xml:space="preserve">En esta columna ya </w:t>
      </w:r>
      <w:r>
        <w:rPr>
          <w:rFonts w:ascii="Times New Roman" w:eastAsia="Times New Roman" w:hAnsi="Times New Roman" w:cs="Times New Roman"/>
          <w:sz w:val="24"/>
          <w:szCs w:val="24"/>
          <w:lang w:eastAsia="es-ES"/>
        </w:rPr>
        <w:t>alertábamos sobre la situación</w:t>
      </w:r>
      <w:r w:rsidRPr="00563353">
        <w:rPr>
          <w:rFonts w:ascii="Times New Roman" w:eastAsia="Times New Roman" w:hAnsi="Times New Roman" w:cs="Times New Roman"/>
          <w:sz w:val="24"/>
          <w:szCs w:val="24"/>
          <w:lang w:eastAsia="es-ES"/>
        </w:rPr>
        <w:t>. Entonces, llegó el Covid19 y cambió el panorama por completo. Prácticamente todas las economías del mundo registraron la mayor destrucción económica de su historia reciente, l</w:t>
      </w:r>
      <w:r w:rsidRPr="00563353">
        <w:rPr>
          <w:rFonts w:ascii="Times New Roman" w:eastAsia="Times New Roman" w:hAnsi="Times New Roman" w:cs="Times New Roman"/>
          <w:bCs/>
          <w:sz w:val="24"/>
          <w:szCs w:val="24"/>
          <w:bdr w:val="none" w:sz="0" w:space="0" w:color="auto" w:frame="1"/>
          <w:lang w:eastAsia="es-ES"/>
        </w:rPr>
        <w:t xml:space="preserve">os déficit se dispararon, la situación en los </w:t>
      </w:r>
      <w:r w:rsidRPr="00563353">
        <w:rPr>
          <w:rFonts w:ascii="Times New Roman" w:eastAsia="Times New Roman" w:hAnsi="Times New Roman" w:cs="Times New Roman"/>
          <w:bCs/>
          <w:sz w:val="24"/>
          <w:szCs w:val="24"/>
          <w:bdr w:val="none" w:sz="0" w:space="0" w:color="auto" w:frame="1"/>
          <w:lang w:eastAsia="es-ES"/>
        </w:rPr>
        <w:lastRenderedPageBreak/>
        <w:t>mercados financieros se puso muy seria… </w:t>
      </w:r>
      <w:r w:rsidRPr="00563353">
        <w:rPr>
          <w:rFonts w:ascii="Times New Roman" w:eastAsia="Times New Roman" w:hAnsi="Times New Roman" w:cs="Times New Roman"/>
          <w:sz w:val="24"/>
          <w:szCs w:val="24"/>
          <w:lang w:eastAsia="es-ES"/>
        </w:rPr>
        <w:t>Hasta que los principales bancos centrales decidieron intervenir con más fuerza que nunca.</w:t>
      </w:r>
    </w:p>
    <w:p w:rsidR="00093A50" w:rsidRPr="00563353" w:rsidRDefault="00093A50" w:rsidP="00093A50">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093A50" w:rsidRPr="00093A50" w:rsidRDefault="00093A50" w:rsidP="00093A50">
      <w:pPr>
        <w:shd w:val="clear" w:color="auto" w:fill="FFFFFF"/>
        <w:spacing w:after="0" w:line="240" w:lineRule="auto"/>
        <w:jc w:val="both"/>
        <w:textAlignment w:val="baseline"/>
        <w:rPr>
          <w:rFonts w:ascii="Times New Roman" w:eastAsia="Times New Roman" w:hAnsi="Times New Roman" w:cs="Times New Roman"/>
          <w:b/>
          <w:color w:val="FF0000"/>
          <w:sz w:val="24"/>
          <w:szCs w:val="24"/>
          <w:u w:val="single"/>
          <w:lang w:eastAsia="es-ES"/>
        </w:rPr>
      </w:pPr>
      <w:r w:rsidRPr="00093A50">
        <w:rPr>
          <w:rFonts w:ascii="Times New Roman" w:eastAsia="Times New Roman" w:hAnsi="Times New Roman" w:cs="Times New Roman"/>
          <w:b/>
          <w:color w:val="FF0000"/>
          <w:sz w:val="24"/>
          <w:szCs w:val="24"/>
          <w:u w:val="single"/>
          <w:lang w:eastAsia="es-ES"/>
        </w:rPr>
        <w:t>¿Se puede considerar que la acción de política monetaria nos salvó de una situación aún peor y, por lo tanto, los bancos centrales sí que tenían munición en la recámara? El </w:t>
      </w:r>
      <w:r w:rsidRPr="00093A50">
        <w:rPr>
          <w:rFonts w:ascii="Times New Roman" w:eastAsia="Times New Roman" w:hAnsi="Times New Roman" w:cs="Times New Roman"/>
          <w:b/>
          <w:bCs/>
          <w:color w:val="FF0000"/>
          <w:sz w:val="24"/>
          <w:szCs w:val="24"/>
          <w:u w:val="single"/>
          <w:bdr w:val="none" w:sz="0" w:space="0" w:color="auto" w:frame="1"/>
          <w:lang w:eastAsia="es-ES"/>
        </w:rPr>
        <w:t>balance de los principales bancos centrales desde el estallido de la pandemia se ha incrementado en 12 billones de dólares</w:t>
      </w:r>
      <w:r w:rsidRPr="00093A50">
        <w:rPr>
          <w:rFonts w:ascii="Times New Roman" w:eastAsia="Times New Roman" w:hAnsi="Times New Roman" w:cs="Times New Roman"/>
          <w:b/>
          <w:color w:val="FF0000"/>
          <w:sz w:val="24"/>
          <w:szCs w:val="24"/>
          <w:u w:val="single"/>
          <w:lang w:eastAsia="es-ES"/>
        </w:rPr>
        <w:t>, un 63%.</w:t>
      </w:r>
    </w:p>
    <w:p w:rsidR="00093A50" w:rsidRPr="00563353" w:rsidRDefault="00093A50" w:rsidP="00093A50">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563353">
        <w:rPr>
          <w:rFonts w:ascii="Times New Roman" w:eastAsia="Times New Roman" w:hAnsi="Times New Roman" w:cs="Times New Roman"/>
          <w:noProof/>
          <w:sz w:val="24"/>
          <w:szCs w:val="24"/>
          <w:bdr w:val="none" w:sz="0" w:space="0" w:color="auto" w:frame="1"/>
          <w:lang w:eastAsia="es-ES"/>
        </w:rPr>
        <w:drawing>
          <wp:inline distT="0" distB="0" distL="0" distR="0" wp14:anchorId="761962B6" wp14:editId="46ECDC0C">
            <wp:extent cx="5632450" cy="3086100"/>
            <wp:effectExtent l="0" t="0" r="6350" b="0"/>
            <wp:docPr id="153" name="Imagen 153" descr="tamano-bancos-centrales.jpg">
              <a:hlinkClick xmlns:a="http://schemas.openxmlformats.org/drawingml/2006/main" r:id="rId52"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amano-bancos-centrales.jpg">
                      <a:hlinkClick r:id="rId52" tooltip="&quot;&quot;"/>
                    </pic:cNvPr>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632450" cy="3086100"/>
                    </a:xfrm>
                    <a:prstGeom prst="rect">
                      <a:avLst/>
                    </a:prstGeom>
                    <a:noFill/>
                    <a:ln>
                      <a:noFill/>
                    </a:ln>
                  </pic:spPr>
                </pic:pic>
              </a:graphicData>
            </a:graphic>
          </wp:inline>
        </w:drawing>
      </w:r>
    </w:p>
    <w:p w:rsidR="00093A50" w:rsidRDefault="00093A50" w:rsidP="00093A50">
      <w:pPr>
        <w:shd w:val="clear" w:color="auto" w:fill="FFFFFF"/>
        <w:spacing w:after="0" w:line="240" w:lineRule="auto"/>
        <w:jc w:val="both"/>
        <w:textAlignment w:val="baseline"/>
        <w:rPr>
          <w:rFonts w:ascii="Times New Roman" w:eastAsia="Times New Roman" w:hAnsi="Times New Roman" w:cs="Times New Roman"/>
          <w:bCs/>
          <w:sz w:val="24"/>
          <w:szCs w:val="24"/>
          <w:bdr w:val="none" w:sz="0" w:space="0" w:color="auto" w:frame="1"/>
          <w:lang w:eastAsia="es-ES"/>
        </w:rPr>
      </w:pPr>
    </w:p>
    <w:p w:rsidR="00093A50" w:rsidRPr="00093A50" w:rsidRDefault="00093A50" w:rsidP="00093A50">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lang w:eastAsia="es-ES"/>
        </w:rPr>
      </w:pPr>
      <w:r w:rsidRPr="00093A50">
        <w:rPr>
          <w:rFonts w:ascii="Times New Roman" w:eastAsia="Times New Roman" w:hAnsi="Times New Roman" w:cs="Times New Roman"/>
          <w:bCs/>
          <w:color w:val="FF0000"/>
          <w:sz w:val="24"/>
          <w:szCs w:val="24"/>
          <w:u w:val="single"/>
          <w:bdr w:val="none" w:sz="0" w:space="0" w:color="auto" w:frame="1"/>
          <w:lang w:eastAsia="es-ES"/>
        </w:rPr>
        <w:t>¿De qué ha servido? El </w:t>
      </w:r>
      <w:r w:rsidRPr="00093A50">
        <w:rPr>
          <w:rFonts w:ascii="Times New Roman" w:eastAsia="Times New Roman" w:hAnsi="Times New Roman" w:cs="Times New Roman"/>
          <w:bCs/>
          <w:i/>
          <w:iCs/>
          <w:color w:val="FF0000"/>
          <w:sz w:val="24"/>
          <w:szCs w:val="24"/>
          <w:u w:val="single"/>
          <w:bdr w:val="none" w:sz="0" w:space="0" w:color="auto" w:frame="1"/>
          <w:lang w:eastAsia="es-ES"/>
        </w:rPr>
        <w:t>efecto placebo</w:t>
      </w:r>
      <w:r w:rsidRPr="00093A50">
        <w:rPr>
          <w:rFonts w:ascii="Times New Roman" w:eastAsia="Times New Roman" w:hAnsi="Times New Roman" w:cs="Times New Roman"/>
          <w:i/>
          <w:iCs/>
          <w:color w:val="FF0000"/>
          <w:sz w:val="24"/>
          <w:szCs w:val="24"/>
          <w:u w:val="single"/>
          <w:bdr w:val="none" w:sz="0" w:space="0" w:color="auto" w:frame="1"/>
          <w:lang w:eastAsia="es-ES"/>
        </w:rPr>
        <w:t> </w:t>
      </w:r>
      <w:r w:rsidRPr="00093A50">
        <w:rPr>
          <w:rFonts w:ascii="Times New Roman" w:eastAsia="Times New Roman" w:hAnsi="Times New Roman" w:cs="Times New Roman"/>
          <w:color w:val="FF0000"/>
          <w:sz w:val="24"/>
          <w:szCs w:val="24"/>
          <w:u w:val="single"/>
          <w:lang w:eastAsia="es-ES"/>
        </w:rPr>
        <w:t>(esto es, aplacar las tensiones en los mercados financieros) es indudable, pero nada más. El crecimiento económico ha sido muy débil en todo el mundo, altamente endeudado… y con graves desequilibrios que han derivado en la situación de inflación moderada que estamos sufriendo.</w:t>
      </w:r>
    </w:p>
    <w:p w:rsidR="00093A50" w:rsidRPr="00093A50" w:rsidRDefault="00093A50" w:rsidP="00093A50">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lang w:eastAsia="es-ES"/>
        </w:rPr>
      </w:pPr>
    </w:p>
    <w:p w:rsidR="00093A50" w:rsidRPr="00563353" w:rsidRDefault="00093A50" w:rsidP="00093A50">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563353">
        <w:rPr>
          <w:rFonts w:ascii="Times New Roman" w:eastAsia="Times New Roman" w:hAnsi="Times New Roman" w:cs="Times New Roman"/>
          <w:sz w:val="24"/>
          <w:szCs w:val="24"/>
          <w:lang w:eastAsia="es-ES"/>
        </w:rPr>
        <w:t>Perdonen el ataque de nostalgia, pero hay veces que a uno le llaman </w:t>
      </w:r>
      <w:r w:rsidRPr="00563353">
        <w:rPr>
          <w:rFonts w:ascii="Times New Roman" w:eastAsia="Times New Roman" w:hAnsi="Times New Roman" w:cs="Times New Roman"/>
          <w:i/>
          <w:iCs/>
          <w:sz w:val="24"/>
          <w:szCs w:val="24"/>
          <w:bdr w:val="none" w:sz="0" w:space="0" w:color="auto" w:frame="1"/>
          <w:lang w:eastAsia="es-ES"/>
        </w:rPr>
        <w:t>agorero</w:t>
      </w:r>
      <w:r w:rsidRPr="00563353">
        <w:rPr>
          <w:rFonts w:ascii="Times New Roman" w:eastAsia="Times New Roman" w:hAnsi="Times New Roman" w:cs="Times New Roman"/>
          <w:sz w:val="24"/>
          <w:szCs w:val="24"/>
          <w:lang w:eastAsia="es-ES"/>
        </w:rPr>
        <w:t> de forma absolutamente injustificada. </w:t>
      </w:r>
      <w:r w:rsidRPr="00563353">
        <w:rPr>
          <w:rFonts w:ascii="Times New Roman" w:eastAsia="Times New Roman" w:hAnsi="Times New Roman" w:cs="Times New Roman"/>
          <w:bCs/>
          <w:sz w:val="24"/>
          <w:szCs w:val="24"/>
          <w:bdr w:val="none" w:sz="0" w:space="0" w:color="auto" w:frame="1"/>
          <w:lang w:eastAsia="es-ES"/>
        </w:rPr>
        <w:t>El Covid19 ha sido una enorme capa de maquillaje</w:t>
      </w:r>
      <w:r w:rsidRPr="00563353">
        <w:rPr>
          <w:rFonts w:ascii="Times New Roman" w:eastAsia="Times New Roman" w:hAnsi="Times New Roman" w:cs="Times New Roman"/>
          <w:sz w:val="24"/>
          <w:szCs w:val="24"/>
          <w:lang w:eastAsia="es-ES"/>
        </w:rPr>
        <w:t> que ha sido utilizado como excusa para intervenir hasta límites insospechados y culpar de todos los males económicos al enemigo externo, a pesar de que los desequilibrios eran evidentes mucho antes.</w:t>
      </w:r>
    </w:p>
    <w:p w:rsidR="00093A50" w:rsidRPr="00563353" w:rsidRDefault="00093A50" w:rsidP="00093A50">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093A50" w:rsidRPr="00563353" w:rsidRDefault="00093A50" w:rsidP="00093A50">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563353">
        <w:rPr>
          <w:rFonts w:ascii="Times New Roman" w:eastAsia="Times New Roman" w:hAnsi="Times New Roman" w:cs="Times New Roman"/>
          <w:sz w:val="24"/>
          <w:szCs w:val="24"/>
          <w:lang w:eastAsia="es-ES"/>
        </w:rPr>
        <w:t>El caso es que esta semana la </w:t>
      </w:r>
      <w:r w:rsidRPr="00563353">
        <w:rPr>
          <w:rFonts w:ascii="Times New Roman" w:eastAsia="Times New Roman" w:hAnsi="Times New Roman" w:cs="Times New Roman"/>
          <w:bCs/>
          <w:sz w:val="24"/>
          <w:szCs w:val="24"/>
          <w:bdr w:val="none" w:sz="0" w:space="0" w:color="auto" w:frame="1"/>
          <w:lang w:eastAsia="es-ES"/>
        </w:rPr>
        <w:t>OCDE ha publicado un informe en el que dedica un apartado entero al riesgo de estanflación</w:t>
      </w:r>
      <w:r w:rsidRPr="00563353">
        <w:rPr>
          <w:rFonts w:ascii="Times New Roman" w:eastAsia="Times New Roman" w:hAnsi="Times New Roman" w:cs="Times New Roman"/>
          <w:sz w:val="24"/>
          <w:szCs w:val="24"/>
          <w:lang w:eastAsia="es-ES"/>
        </w:rPr>
        <w:t> (estancamiento económico con inflación) a nivel global. O, dicho de otra manera, dos años después de la crisis que sí que fue pero quedó disimulada tras el Covid19, seguimos teniendo el mismo problema para crecer, al que añadimos una evolución de los precios que cada vez menos organismos se ven capacitados para justificar que remitirán en el medio plazo.</w:t>
      </w:r>
    </w:p>
    <w:p w:rsidR="00093A50" w:rsidRPr="00563353" w:rsidRDefault="00093A50" w:rsidP="00093A50">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093A50" w:rsidRPr="00563353" w:rsidRDefault="00093A50" w:rsidP="00093A50">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563353">
        <w:rPr>
          <w:rFonts w:ascii="Times New Roman" w:eastAsia="Times New Roman" w:hAnsi="Times New Roman" w:cs="Times New Roman"/>
          <w:sz w:val="24"/>
          <w:szCs w:val="24"/>
          <w:lang w:eastAsia="es-ES"/>
        </w:rPr>
        <w:t>Lo que es evidente es que la</w:t>
      </w:r>
      <w:r w:rsidRPr="00563353">
        <w:rPr>
          <w:rFonts w:ascii="Times New Roman" w:eastAsia="Times New Roman" w:hAnsi="Times New Roman" w:cs="Times New Roman"/>
          <w:bCs/>
          <w:sz w:val="24"/>
          <w:szCs w:val="24"/>
          <w:bdr w:val="none" w:sz="0" w:space="0" w:color="auto" w:frame="1"/>
          <w:lang w:eastAsia="es-ES"/>
        </w:rPr>
        <w:t> cascada de revisiones a la baja en el crecimiento económico</w:t>
      </w:r>
      <w:r w:rsidRPr="00563353">
        <w:rPr>
          <w:rFonts w:ascii="Times New Roman" w:eastAsia="Times New Roman" w:hAnsi="Times New Roman" w:cs="Times New Roman"/>
          <w:sz w:val="24"/>
          <w:szCs w:val="24"/>
          <w:lang w:eastAsia="es-ES"/>
        </w:rPr>
        <w:t> está afectando, por una u otra causa, a prácticamente todas las economías de la OCDE, y la inflación, lejos de remitir, se está consolidando.</w:t>
      </w:r>
    </w:p>
    <w:p w:rsidR="00093A50" w:rsidRPr="00563353" w:rsidRDefault="00093A50" w:rsidP="00093A50">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563353">
        <w:rPr>
          <w:rFonts w:ascii="Times New Roman" w:eastAsia="Times New Roman" w:hAnsi="Times New Roman" w:cs="Times New Roman"/>
          <w:noProof/>
          <w:sz w:val="24"/>
          <w:szCs w:val="24"/>
          <w:bdr w:val="none" w:sz="0" w:space="0" w:color="auto" w:frame="1"/>
          <w:lang w:eastAsia="es-ES"/>
        </w:rPr>
        <w:lastRenderedPageBreak/>
        <w:drawing>
          <wp:inline distT="0" distB="0" distL="0" distR="0" wp14:anchorId="07C2A2FC" wp14:editId="50F3633B">
            <wp:extent cx="5721350" cy="4756150"/>
            <wp:effectExtent l="0" t="0" r="0" b="6350"/>
            <wp:docPr id="154" name="Imagen 154" descr="crecimiento-ocde.jpg">
              <a:hlinkClick xmlns:a="http://schemas.openxmlformats.org/drawingml/2006/main" r:id="rId54"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recimiento-ocde.jpg">
                      <a:hlinkClick r:id="rId54" tooltip="&quot;&quot;"/>
                    </pic:cNvPr>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721350" cy="4756150"/>
                    </a:xfrm>
                    <a:prstGeom prst="rect">
                      <a:avLst/>
                    </a:prstGeom>
                    <a:noFill/>
                    <a:ln>
                      <a:noFill/>
                    </a:ln>
                  </pic:spPr>
                </pic:pic>
              </a:graphicData>
            </a:graphic>
          </wp:inline>
        </w:drawing>
      </w:r>
    </w:p>
    <w:p w:rsidR="00093A50" w:rsidRDefault="00093A50" w:rsidP="00093A50">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563353">
        <w:rPr>
          <w:rFonts w:ascii="Times New Roman" w:eastAsia="Times New Roman" w:hAnsi="Times New Roman" w:cs="Times New Roman"/>
          <w:sz w:val="24"/>
          <w:szCs w:val="24"/>
          <w:lang w:eastAsia="es-ES"/>
        </w:rPr>
        <w:t>Por si lo anterior fuera poco, </w:t>
      </w:r>
      <w:r w:rsidRPr="00563353">
        <w:rPr>
          <w:rFonts w:ascii="Times New Roman" w:eastAsia="Times New Roman" w:hAnsi="Times New Roman" w:cs="Times New Roman"/>
          <w:bCs/>
          <w:sz w:val="24"/>
          <w:szCs w:val="24"/>
          <w:bdr w:val="none" w:sz="0" w:space="0" w:color="auto" w:frame="1"/>
          <w:lang w:eastAsia="es-ES"/>
        </w:rPr>
        <w:t>los síntomas de fin de ciclo, muy especialmente los vinculados al mercado de trabajo</w:t>
      </w:r>
      <w:r w:rsidRPr="00563353">
        <w:rPr>
          <w:rFonts w:ascii="Times New Roman" w:eastAsia="Times New Roman" w:hAnsi="Times New Roman" w:cs="Times New Roman"/>
          <w:sz w:val="24"/>
          <w:szCs w:val="24"/>
          <w:lang w:eastAsia="es-ES"/>
        </w:rPr>
        <w:t> (tasas de paro históricamente bajas) son evidentes, y los mercados de renta variable sufren pérdidas históricas. De hecho, estamos ante el cuarto peor año de la historia del S&amp;P500.</w:t>
      </w:r>
    </w:p>
    <w:p w:rsidR="00093A50" w:rsidRPr="00563353" w:rsidRDefault="00093A50" w:rsidP="00093A50">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093A50" w:rsidRPr="00563353" w:rsidRDefault="00093A50" w:rsidP="00093A50">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563353">
        <w:rPr>
          <w:rFonts w:ascii="Times New Roman" w:eastAsia="Times New Roman" w:hAnsi="Times New Roman" w:cs="Times New Roman"/>
          <w:noProof/>
          <w:sz w:val="24"/>
          <w:szCs w:val="24"/>
          <w:bdr w:val="none" w:sz="0" w:space="0" w:color="auto" w:frame="1"/>
          <w:lang w:eastAsia="es-ES"/>
        </w:rPr>
        <w:drawing>
          <wp:inline distT="0" distB="0" distL="0" distR="0" wp14:anchorId="2432A56D" wp14:editId="46011C04">
            <wp:extent cx="4178300" cy="3175000"/>
            <wp:effectExtent l="0" t="0" r="0" b="6350"/>
            <wp:docPr id="155" name="Imagen 155" descr="sp-500.jpg">
              <a:hlinkClick xmlns:a="http://schemas.openxmlformats.org/drawingml/2006/main" r:id="rId56"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p-500.jpg">
                      <a:hlinkClick r:id="rId56" tooltip="&quot;&quot;"/>
                    </pic:cNvPr>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178300" cy="3175000"/>
                    </a:xfrm>
                    <a:prstGeom prst="rect">
                      <a:avLst/>
                    </a:prstGeom>
                    <a:noFill/>
                    <a:ln>
                      <a:noFill/>
                    </a:ln>
                  </pic:spPr>
                </pic:pic>
              </a:graphicData>
            </a:graphic>
          </wp:inline>
        </w:drawing>
      </w:r>
    </w:p>
    <w:p w:rsidR="00093A50" w:rsidRPr="00563353" w:rsidRDefault="00093A50" w:rsidP="00093A50">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563353">
        <w:rPr>
          <w:rFonts w:ascii="Times New Roman" w:eastAsia="Times New Roman" w:hAnsi="Times New Roman" w:cs="Times New Roman"/>
          <w:bCs/>
          <w:sz w:val="24"/>
          <w:szCs w:val="24"/>
          <w:bdr w:val="none" w:sz="0" w:space="0" w:color="auto" w:frame="1"/>
          <w:lang w:eastAsia="es-ES"/>
        </w:rPr>
        <w:lastRenderedPageBreak/>
        <w:t>La OCDE sí que recoge con claridad el fenómeno de la estanflación</w:t>
      </w:r>
      <w:r w:rsidRPr="00563353">
        <w:rPr>
          <w:rFonts w:ascii="Times New Roman" w:eastAsia="Times New Roman" w:hAnsi="Times New Roman" w:cs="Times New Roman"/>
          <w:sz w:val="24"/>
          <w:szCs w:val="24"/>
          <w:lang w:eastAsia="es-ES"/>
        </w:rPr>
        <w:t>, aunque aún no ha alertado sobre la situación en los mercados financieros. Mientras, el BCE anuncia que va a subir 0,25 puntos básicos los tipos de interés de referencia en la zona Euro en julio, y el mal dato de inflación en Estados Unidos provoca una nueva estampida en los mercados de renta variable en búsqueda de activos refugio como el oro. Además, las </w:t>
      </w:r>
      <w:r w:rsidRPr="00563353">
        <w:rPr>
          <w:rFonts w:ascii="Times New Roman" w:eastAsia="Times New Roman" w:hAnsi="Times New Roman" w:cs="Times New Roman"/>
          <w:bCs/>
          <w:sz w:val="24"/>
          <w:szCs w:val="24"/>
          <w:bdr w:val="none" w:sz="0" w:space="0" w:color="auto" w:frame="1"/>
          <w:lang w:eastAsia="es-ES"/>
        </w:rPr>
        <w:t>primas de riesgo en Europa están subiendo a un ritmo vertiginoso</w:t>
      </w:r>
      <w:r w:rsidRPr="00563353">
        <w:rPr>
          <w:rFonts w:ascii="Times New Roman" w:eastAsia="Times New Roman" w:hAnsi="Times New Roman" w:cs="Times New Roman"/>
          <w:sz w:val="24"/>
          <w:szCs w:val="24"/>
          <w:lang w:eastAsia="es-ES"/>
        </w:rPr>
        <w:t> y términos como </w:t>
      </w:r>
      <w:r w:rsidRPr="00563353">
        <w:rPr>
          <w:rFonts w:ascii="Times New Roman" w:eastAsia="Times New Roman" w:hAnsi="Times New Roman" w:cs="Times New Roman"/>
          <w:i/>
          <w:iCs/>
          <w:sz w:val="24"/>
          <w:szCs w:val="24"/>
          <w:bdr w:val="none" w:sz="0" w:space="0" w:color="auto" w:frame="1"/>
          <w:lang w:eastAsia="es-ES"/>
        </w:rPr>
        <w:t>morosidad </w:t>
      </w:r>
      <w:r w:rsidRPr="00563353">
        <w:rPr>
          <w:rFonts w:ascii="Times New Roman" w:eastAsia="Times New Roman" w:hAnsi="Times New Roman" w:cs="Times New Roman"/>
          <w:sz w:val="24"/>
          <w:szCs w:val="24"/>
          <w:lang w:eastAsia="es-ES"/>
        </w:rPr>
        <w:t>son cada vez más usados en el argot bancario.</w:t>
      </w:r>
    </w:p>
    <w:p w:rsidR="00093A50" w:rsidRPr="00563353" w:rsidRDefault="00093A50" w:rsidP="00093A50">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093A50" w:rsidRPr="00093A50" w:rsidRDefault="00093A50" w:rsidP="00093A50">
      <w:pPr>
        <w:shd w:val="clear" w:color="auto" w:fill="FFFFFF"/>
        <w:spacing w:line="240" w:lineRule="auto"/>
        <w:jc w:val="both"/>
        <w:textAlignment w:val="baseline"/>
        <w:rPr>
          <w:rFonts w:ascii="Times New Roman" w:eastAsia="Times New Roman" w:hAnsi="Times New Roman" w:cs="Times New Roman"/>
          <w:color w:val="FF0000"/>
          <w:sz w:val="24"/>
          <w:szCs w:val="24"/>
          <w:u w:val="single"/>
          <w:lang w:eastAsia="es-ES"/>
        </w:rPr>
      </w:pPr>
      <w:r w:rsidRPr="00093A50">
        <w:rPr>
          <w:rFonts w:ascii="Times New Roman" w:eastAsia="Times New Roman" w:hAnsi="Times New Roman" w:cs="Times New Roman"/>
          <w:color w:val="FF0000"/>
          <w:sz w:val="24"/>
          <w:szCs w:val="24"/>
          <w:u w:val="single"/>
          <w:lang w:eastAsia="es-ES"/>
        </w:rPr>
        <w:t>Llegados al punto al que estamos es difícil frenar esta situación, aunque sí que es posible suavizarla. Lo que es evidente es que subiendo los tipos con una sensación de urgencia y con claras deficiencias en materia de comunicación como está haciendo el BCE es la receta más adecuada para que en Europa se produzca la tormenta perfecta.</w:t>
      </w:r>
    </w:p>
    <w:p w:rsidR="00093A50" w:rsidRDefault="00093A50" w:rsidP="00093A50">
      <w:pPr>
        <w:pStyle w:val="bbc-bm53ic"/>
        <w:shd w:val="clear" w:color="auto" w:fill="FDFDFD"/>
        <w:spacing w:after="0"/>
        <w:jc w:val="both"/>
      </w:pPr>
      <w:r>
        <w:t xml:space="preserve">- </w:t>
      </w:r>
      <w:r w:rsidR="005D24AE">
        <w:rPr>
          <w:u w:val="single"/>
        </w:rPr>
        <w:t>Deutsche Bank avisa al BCE: “</w:t>
      </w:r>
      <w:r w:rsidRPr="005378EF">
        <w:rPr>
          <w:u w:val="single"/>
        </w:rPr>
        <w:t>El escenario de pesadilla que hemos temido durante décadas ya está aquí</w:t>
      </w:r>
      <w:r w:rsidR="005D24AE">
        <w:t>”</w:t>
      </w:r>
      <w:r>
        <w:t xml:space="preserve"> (El Economista - </w:t>
      </w:r>
      <w:r w:rsidRPr="005378EF">
        <w:rPr>
          <w:b/>
        </w:rPr>
        <w:t>14/6/22</w:t>
      </w:r>
      <w:r>
        <w:t>)</w:t>
      </w:r>
    </w:p>
    <w:p w:rsidR="00093A50" w:rsidRPr="00492FDD" w:rsidRDefault="00093A50" w:rsidP="00093A50">
      <w:pPr>
        <w:pStyle w:val="bbc-bm53ic"/>
        <w:shd w:val="clear" w:color="auto" w:fill="FDFDFD"/>
        <w:spacing w:after="0"/>
        <w:jc w:val="both"/>
        <w:rPr>
          <w:color w:val="FF0000"/>
        </w:rPr>
      </w:pPr>
      <w:r>
        <w:rPr>
          <w:color w:val="FF0000"/>
        </w:rPr>
        <w:t>“</w:t>
      </w:r>
      <w:r w:rsidRPr="00492FDD">
        <w:rPr>
          <w:color w:val="FF0000"/>
        </w:rPr>
        <w:t>La inflación alemana está fuera de control junto a</w:t>
      </w:r>
      <w:r>
        <w:rPr>
          <w:color w:val="FF0000"/>
        </w:rPr>
        <w:t>l rendimiento del bono italiano”</w:t>
      </w:r>
    </w:p>
    <w:p w:rsidR="00093A50" w:rsidRPr="00492FDD" w:rsidRDefault="00093A50" w:rsidP="00093A50">
      <w:pPr>
        <w:pStyle w:val="bbc-bm53ic"/>
        <w:shd w:val="clear" w:color="auto" w:fill="FDFDFD"/>
        <w:spacing w:after="0"/>
        <w:jc w:val="both"/>
        <w:rPr>
          <w:color w:val="FF0000"/>
        </w:rPr>
      </w:pPr>
      <w:r>
        <w:rPr>
          <w:color w:val="FF0000"/>
        </w:rPr>
        <w:t>“</w:t>
      </w:r>
      <w:r w:rsidRPr="00492FDD">
        <w:rPr>
          <w:color w:val="FF0000"/>
        </w:rPr>
        <w:t>La buena noticia es que el BCE deberá int</w:t>
      </w:r>
      <w:r>
        <w:rPr>
          <w:color w:val="FF0000"/>
        </w:rPr>
        <w:t>ervenir de forma más específica”</w:t>
      </w:r>
    </w:p>
    <w:p w:rsidR="00093A50" w:rsidRPr="00492FDD" w:rsidRDefault="00093A50" w:rsidP="00093A50">
      <w:pPr>
        <w:pStyle w:val="bbc-bm53ic"/>
        <w:shd w:val="clear" w:color="auto" w:fill="FDFDFD"/>
        <w:spacing w:after="0"/>
        <w:jc w:val="both"/>
        <w:rPr>
          <w:color w:val="FF0000"/>
        </w:rPr>
      </w:pPr>
      <w:r>
        <w:rPr>
          <w:color w:val="FF0000"/>
        </w:rPr>
        <w:t>“</w:t>
      </w:r>
      <w:r w:rsidRPr="00492FDD">
        <w:rPr>
          <w:color w:val="FF0000"/>
        </w:rPr>
        <w:t xml:space="preserve">No será fácil, pero la política monetaria estará </w:t>
      </w:r>
      <w:r>
        <w:rPr>
          <w:color w:val="FF0000"/>
        </w:rPr>
        <w:t>probablemente mejor equilibrada”</w:t>
      </w:r>
    </w:p>
    <w:p w:rsidR="00093A50" w:rsidRPr="005378EF" w:rsidRDefault="00093A50" w:rsidP="00093A50">
      <w:pPr>
        <w:pStyle w:val="bbc-bm53ic"/>
        <w:shd w:val="clear" w:color="auto" w:fill="FDFDFD"/>
        <w:spacing w:after="0"/>
        <w:jc w:val="both"/>
      </w:pPr>
      <w:r w:rsidRPr="005378EF">
        <w:t>(Por Vicente Nieves y Francisco S. Jiménez</w:t>
      </w:r>
      <w:r>
        <w:t>)</w:t>
      </w:r>
    </w:p>
    <w:p w:rsidR="00093A50" w:rsidRPr="00167358" w:rsidRDefault="00093A50" w:rsidP="00093A50">
      <w:pPr>
        <w:pStyle w:val="bbc-bm53ic"/>
        <w:shd w:val="clear" w:color="auto" w:fill="FDFDFD"/>
        <w:spacing w:after="0"/>
        <w:jc w:val="both"/>
        <w:rPr>
          <w:color w:val="FF0000"/>
          <w:u w:val="single"/>
        </w:rPr>
      </w:pPr>
      <w:r w:rsidRPr="00167358">
        <w:rPr>
          <w:color w:val="FF0000"/>
          <w:u w:val="single"/>
        </w:rPr>
        <w:t>Probablemente, ni el mejor escritor de novelas de terror habría sido capaz de engendrar un argumento que superase a la realidad a la que se enfrenta hoy el Banco Central Europeo. Todas las tendencias que habían dominado la economía europea en los últimos años (deflación, tipos negativos, exceso de ahorro...) han sufrido un drástico vuelco en cuestión de meses... y la peor pesadilla de un banco central se ha hecho realidad: una inflación disparada dentro de una zona euro con países débiles y muy endeudados, y unos rendimientos que están empezando a desbocarse en las economías más vulnerables.</w:t>
      </w:r>
    </w:p>
    <w:p w:rsidR="00093A50" w:rsidRPr="00167358" w:rsidRDefault="00093A50" w:rsidP="00093A50">
      <w:pPr>
        <w:pStyle w:val="bbc-bm53ic"/>
        <w:shd w:val="clear" w:color="auto" w:fill="FDFDFD"/>
        <w:spacing w:after="0"/>
        <w:jc w:val="both"/>
        <w:rPr>
          <w:color w:val="FF0000"/>
          <w:u w:val="single"/>
        </w:rPr>
      </w:pPr>
      <w:r w:rsidRPr="00167358">
        <w:rPr>
          <w:color w:val="FF0000"/>
          <w:u w:val="single"/>
        </w:rPr>
        <w:t>Si la estanflación ya es la peor pesadilla para la banca central, algo todavía peor es una estanflación dentro de un bloque de países heterogéneos. Los analistas de Deutsche Bank avisan</w:t>
      </w:r>
      <w:r w:rsidR="005D24AE">
        <w:rPr>
          <w:color w:val="FF0000"/>
          <w:u w:val="single"/>
        </w:rPr>
        <w:t xml:space="preserve"> en una nota para clientes que “</w:t>
      </w:r>
      <w:r w:rsidRPr="00167358">
        <w:rPr>
          <w:color w:val="FF0000"/>
          <w:u w:val="single"/>
        </w:rPr>
        <w:t>el escenario de pesadilla en el que todos hemos estado pensando hipotéticamente durante años, si no décadas, ahora está aquí. La inflación alemana fuera de control, al mismo tiempo que los ren</w:t>
      </w:r>
      <w:r w:rsidR="005D24AE">
        <w:rPr>
          <w:color w:val="FF0000"/>
          <w:u w:val="single"/>
        </w:rPr>
        <w:t>dimientos italianos se disparan”</w:t>
      </w:r>
      <w:r w:rsidRPr="00167358">
        <w:rPr>
          <w:color w:val="FF0000"/>
          <w:u w:val="single"/>
        </w:rPr>
        <w:t>, sentencia los expertos del banco alemán. El dilema está servido.</w:t>
      </w:r>
    </w:p>
    <w:p w:rsidR="00093A50" w:rsidRDefault="00093A50" w:rsidP="00093A50">
      <w:pPr>
        <w:pStyle w:val="bbc-bm53ic"/>
        <w:shd w:val="clear" w:color="auto" w:fill="FDFDFD"/>
        <w:spacing w:after="0"/>
        <w:jc w:val="both"/>
      </w:pPr>
      <w:r>
        <w:t>Esta situación genera un rompecabezas enorme para el banco central. Por un lado, resulta evidente que el mandato del BCE es la estabilidad de la inflación. Atendiendo a su misión, Christine Lagarde, presidenta de la institución, y el Consejo de Gobierno deberían actuar en una sola dirección: subidas de tipos de interés y retirada de estímulos.</w:t>
      </w:r>
    </w:p>
    <w:p w:rsidR="00093A50" w:rsidRPr="00167358" w:rsidRDefault="00093A50" w:rsidP="00093A50">
      <w:pPr>
        <w:pStyle w:val="bbc-bm53ic"/>
        <w:shd w:val="clear" w:color="auto" w:fill="FDFDFD"/>
        <w:spacing w:after="0"/>
        <w:jc w:val="both"/>
        <w:rPr>
          <w:u w:val="single"/>
        </w:rPr>
      </w:pPr>
      <w:r>
        <w:t xml:space="preserve">Sin embargo, el BCE tiene, quizá, otra misión oculta y que incluso puede ser más importante: preservar la unidad de la zona euro y asegurar que la transmisión de la política monetaria se lleva a cabo de forma pareja en todas las economías de la zona euro. </w:t>
      </w:r>
      <w:r w:rsidRPr="00167358">
        <w:rPr>
          <w:u w:val="single"/>
        </w:rPr>
        <w:t xml:space="preserve">Si la deuda italiana o la española siguen presentando unos diferenciales crecientes con la alemana, el banco central puede verse tentado a ralentizar la normalización, lo que generará grandes tensiones dentro </w:t>
      </w:r>
      <w:r w:rsidRPr="00167358">
        <w:rPr>
          <w:u w:val="single"/>
        </w:rPr>
        <w:lastRenderedPageBreak/>
        <w:t>del bloque, puesto que los países del norte creen con vehemencia que la inflación ya ha ido demasiado lejos.</w:t>
      </w:r>
    </w:p>
    <w:p w:rsidR="00093A50" w:rsidRDefault="00093A50" w:rsidP="00093A50">
      <w:pPr>
        <w:pStyle w:val="bbc-bm53ic"/>
        <w:shd w:val="clear" w:color="auto" w:fill="FDFDFD"/>
        <w:spacing w:after="0"/>
        <w:jc w:val="both"/>
      </w:pPr>
      <w:r w:rsidRPr="005378EF">
        <w:rPr>
          <w:noProof/>
        </w:rPr>
        <w:drawing>
          <wp:inline distT="0" distB="0" distL="0" distR="0" wp14:anchorId="06E8F3ED" wp14:editId="31E2828C">
            <wp:extent cx="5727700" cy="2806700"/>
            <wp:effectExtent l="0" t="0" r="6350" b="0"/>
            <wp:docPr id="150" name="Imagen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5731510" cy="2808567"/>
                    </a:xfrm>
                    <a:prstGeom prst="rect">
                      <a:avLst/>
                    </a:prstGeom>
                  </pic:spPr>
                </pic:pic>
              </a:graphicData>
            </a:graphic>
          </wp:inline>
        </w:drawing>
      </w:r>
    </w:p>
    <w:p w:rsidR="00093A50" w:rsidRDefault="00093A50" w:rsidP="00093A50">
      <w:pPr>
        <w:pStyle w:val="bbc-bm53ic"/>
        <w:shd w:val="clear" w:color="auto" w:fill="FDFDFD"/>
        <w:spacing w:after="0"/>
        <w:jc w:val="both"/>
      </w:pPr>
      <w:r>
        <w:t>Ahora mismo, el BCE solo está dando pasos hacia la normalización monetaria sin anunciar medidas concretas para luchar contra la fragmentación. El resultado son unas primas de riesgo al alza y unos bonos periféricos que están tocando niveles que comienzan a ser preocupantes. El bono italiano a 10 años ya cotiza en el 4%, mientras que el español y el portugués ya han llegado a tocar el 3%. La prima de riesgo en los países ibéricos ya roza los 140 puntos básicos, mientras que en Italia se sitúa en los 240 puntos básicos.</w:t>
      </w:r>
    </w:p>
    <w:p w:rsidR="00093A50" w:rsidRDefault="00093A50" w:rsidP="00093A50">
      <w:pPr>
        <w:pStyle w:val="bbc-bm53ic"/>
        <w:shd w:val="clear" w:color="auto" w:fill="FDFDFD"/>
        <w:spacing w:after="0"/>
        <w:jc w:val="both"/>
      </w:pPr>
      <w:r>
        <w:t>Los mercados se han tomado en serio la última reunión del banco central y su mensaje contundente contra la inflación. Las expectativas colocan los tipos de interés en el 1,2% para finales de año. Ahora mismo, la tasa de depósito se encuentra en el -0,5%, de modo que para llegar al 1,2% hace falta una subida de tipos de 170 puntos en las pocas reuniones que quedan. El banco central tendría que hacer más de una subida de 50 puntos básicos para cumplir con las expectativas del mercado</w:t>
      </w:r>
      <w:r w:rsidR="005D24AE">
        <w:t>, mientras que la periferia se “desangra”</w:t>
      </w:r>
      <w:r>
        <w:t>.</w:t>
      </w:r>
    </w:p>
    <w:p w:rsidR="00093A50" w:rsidRDefault="00093A50" w:rsidP="00093A50">
      <w:pPr>
        <w:pStyle w:val="bbc-bm53ic"/>
        <w:shd w:val="clear" w:color="auto" w:fill="FDFDFD"/>
        <w:spacing w:after="0"/>
        <w:jc w:val="both"/>
      </w:pPr>
      <w:r>
        <w:t>La herramienta que no llega</w:t>
      </w:r>
    </w:p>
    <w:p w:rsidR="00093A50" w:rsidRPr="00167358" w:rsidRDefault="00093A50" w:rsidP="00093A50">
      <w:pPr>
        <w:pStyle w:val="bbc-bm53ic"/>
        <w:shd w:val="clear" w:color="auto" w:fill="FDFDFD"/>
        <w:spacing w:after="0"/>
        <w:jc w:val="both"/>
        <w:rPr>
          <w:u w:val="single"/>
        </w:rPr>
      </w:pPr>
      <w:r>
        <w:t xml:space="preserve">Los spreads de los bonos ganaron velocidad después de que la presidenta del BCE decepcionase al no ofrecer ningún detalle sobre los posibles planes del BCE. </w:t>
      </w:r>
      <w:r w:rsidRPr="00167358">
        <w:rPr>
          <w:u w:val="single"/>
        </w:rPr>
        <w:t>Un amplio espectro del Consejo de Gobierno comparte la estrategia de no desvelar detalles de la nueva herramienta del BCE para contener las primas de riesgo, según informa Bloomberg. Hay cierto miedo de que el mercado ponga a prueba la nueva medida si se presenta con demasiada antelación. Pref</w:t>
      </w:r>
      <w:r>
        <w:rPr>
          <w:u w:val="single"/>
        </w:rPr>
        <w:t>ieren a que se materialice una “amenaza específica”</w:t>
      </w:r>
      <w:r w:rsidRPr="00167358">
        <w:rPr>
          <w:u w:val="single"/>
        </w:rPr>
        <w:t>. De producirse, hay una fuerte voluntad de actuar, subraya el medio.</w:t>
      </w:r>
    </w:p>
    <w:p w:rsidR="00093A50" w:rsidRPr="00167358" w:rsidRDefault="00093A50" w:rsidP="00093A50">
      <w:pPr>
        <w:pStyle w:val="bbc-bm53ic"/>
        <w:shd w:val="clear" w:color="auto" w:fill="FDFDFD"/>
        <w:spacing w:after="0"/>
        <w:jc w:val="both"/>
        <w:rPr>
          <w:color w:val="FF0000"/>
          <w:u w:val="single"/>
        </w:rPr>
      </w:pPr>
      <w:r w:rsidRPr="00167358">
        <w:rPr>
          <w:color w:val="FF0000"/>
          <w:u w:val="single"/>
        </w:rPr>
        <w:t xml:space="preserve">El BCE, antes o después, se verá obligado a implementar políticas específicas para ciertos países. Esta nueva herramienta sería una forma de reconocer que la zona euro es una región variopinta, con economías diferentes, propensiones al consumo y al ahorro dispares y que, por lo tanto, no puede permanecer eternamente bajo el paraguas de una política monetaria única (al menos mientras que no se produzca una convergencia real en las variables señaladas </w:t>
      </w:r>
      <w:r w:rsidRPr="00167358">
        <w:rPr>
          <w:color w:val="FF0000"/>
          <w:u w:val="single"/>
        </w:rPr>
        <w:lastRenderedPageBreak/>
        <w:t>anteriormente). Como se ha podido comprobar en la corta historia de la Eurozona, una política monetaria homogénea termina generando desequilibrios y malestar.</w:t>
      </w:r>
    </w:p>
    <w:p w:rsidR="00093A50" w:rsidRPr="00167358" w:rsidRDefault="00093A50" w:rsidP="00093A50">
      <w:pPr>
        <w:pStyle w:val="bbc-bm53ic"/>
        <w:shd w:val="clear" w:color="auto" w:fill="FDFDFD"/>
        <w:spacing w:after="0"/>
        <w:jc w:val="both"/>
        <w:rPr>
          <w:b/>
          <w:color w:val="FF0000"/>
          <w:u w:val="single"/>
        </w:rPr>
      </w:pPr>
      <w:r w:rsidRPr="00167358">
        <w:rPr>
          <w:b/>
          <w:color w:val="FF0000"/>
          <w:u w:val="single"/>
        </w:rPr>
        <w:t>Estas políticas podrían incluir una herramienta para mitigar los diferenciales entre los bonos. Los países con más proble</w:t>
      </w:r>
      <w:r>
        <w:rPr>
          <w:b/>
          <w:color w:val="FF0000"/>
          <w:u w:val="single"/>
        </w:rPr>
        <w:t>mas podrían gozar de una mayor “ayuda”</w:t>
      </w:r>
      <w:r w:rsidRPr="00167358">
        <w:rPr>
          <w:b/>
          <w:color w:val="FF0000"/>
          <w:u w:val="single"/>
        </w:rPr>
        <w:t xml:space="preserve"> del Banco Central Europeo, mientras que se reduce el peso de la deuda de los estados solventes en el balance del BCE. El riesgo de esta política es el de siempre: los países vulnerables podrían volver a retrasar las reformas clave para reducir su déficit estructural y lograr 'desengancharse' de la respiración asistida del banco central.  </w:t>
      </w:r>
    </w:p>
    <w:p w:rsidR="00093A50" w:rsidRPr="00167358" w:rsidRDefault="00093A50" w:rsidP="00093A50">
      <w:pPr>
        <w:pStyle w:val="bbc-bm53ic"/>
        <w:shd w:val="clear" w:color="auto" w:fill="FDFDFD"/>
        <w:spacing w:after="0"/>
        <w:jc w:val="both"/>
        <w:rPr>
          <w:color w:val="FF0000"/>
          <w:u w:val="single"/>
        </w:rPr>
      </w:pPr>
      <w:r w:rsidRPr="00167358">
        <w:rPr>
          <w:color w:val="FF0000"/>
          <w:u w:val="single"/>
        </w:rPr>
        <w:t>Desde JP Morgan daban una solución híbrida que podría contentar a todos. El BCE podría implementar esta herramienta que evitase una fuerte subida de las primas de riesgo con cierta condicionalidad. Es decir, si Italia no quiere que los rendimientos de su deuda se desboquen, deberá comprometerse a reducir el desequilibrio de sus finanzas públicas con propuestas concretas. Los fondos Next Generation también pueden cobrar gran relevancia en este aspecto.</w:t>
      </w:r>
    </w:p>
    <w:p w:rsidR="00093A50" w:rsidRPr="00093A50" w:rsidRDefault="00093A50" w:rsidP="00093A50">
      <w:pPr>
        <w:pStyle w:val="bbc-bm53ic"/>
        <w:shd w:val="clear" w:color="auto" w:fill="FDFDFD"/>
        <w:spacing w:before="0" w:beforeAutospacing="0" w:after="0" w:afterAutospacing="0"/>
        <w:jc w:val="both"/>
        <w:rPr>
          <w:color w:val="FF0000"/>
          <w:u w:val="single"/>
        </w:rPr>
      </w:pPr>
      <w:r>
        <w:t xml:space="preserve">Así, los economistas de Deutsche Bank creen que no hay mal que por bien no venga: “La buena noticia es que esto debería generar una intervención mucho más específica y una respuesta política mejor equilibrada que la vista en la última década, cuando los tipos de interés negativos y el QE fueron utilizados como políticas generales para toda la zona euro. </w:t>
      </w:r>
      <w:r w:rsidRPr="00093A50">
        <w:rPr>
          <w:color w:val="FF0000"/>
          <w:u w:val="single"/>
        </w:rPr>
        <w:t>La alta inflación obligará al BCE a subir los tipos de interés mientras aborda las consecuencias de manera más personalizada. No será fácil, pero probablemente estará mejor equilibrado”.</w:t>
      </w:r>
    </w:p>
    <w:p w:rsidR="00093A50" w:rsidRDefault="00093A50" w:rsidP="00093A50">
      <w:pPr>
        <w:pStyle w:val="bbc-bm53ic"/>
        <w:shd w:val="clear" w:color="auto" w:fill="FDFDFD"/>
        <w:spacing w:after="0"/>
        <w:jc w:val="both"/>
      </w:pPr>
      <w:r>
        <w:t xml:space="preserve">- </w:t>
      </w:r>
      <w:r w:rsidRPr="00550A0F">
        <w:rPr>
          <w:u w:val="single"/>
        </w:rPr>
        <w:t>El BCE apoyará la deuda periférica y prepara una nueva herramienta anticrisis</w:t>
      </w:r>
      <w:r>
        <w:t xml:space="preserve"> (Cinco Días - </w:t>
      </w:r>
      <w:r w:rsidRPr="00550A0F">
        <w:rPr>
          <w:b/>
        </w:rPr>
        <w:t>15/6/22</w:t>
      </w:r>
      <w:r>
        <w:t>)</w:t>
      </w:r>
    </w:p>
    <w:p w:rsidR="00093A50" w:rsidRPr="00DD1321" w:rsidRDefault="00093A50" w:rsidP="00093A50">
      <w:pPr>
        <w:pStyle w:val="bbc-bm53ic"/>
        <w:shd w:val="clear" w:color="auto" w:fill="FDFDFD"/>
        <w:spacing w:after="0"/>
        <w:jc w:val="both"/>
        <w:rPr>
          <w:color w:val="FF0000"/>
        </w:rPr>
      </w:pPr>
      <w:r w:rsidRPr="00DD1321">
        <w:rPr>
          <w:color w:val="FF0000"/>
        </w:rPr>
        <w:t>La autoridad monetaria se reúne de urgencia ante la subida de las primas de riesgo.</w:t>
      </w:r>
    </w:p>
    <w:p w:rsidR="00093A50" w:rsidRPr="00DD1321" w:rsidRDefault="00093A50" w:rsidP="00093A50">
      <w:pPr>
        <w:pStyle w:val="bbc-bm53ic"/>
        <w:shd w:val="clear" w:color="auto" w:fill="FDFDFD"/>
        <w:spacing w:after="0"/>
        <w:jc w:val="both"/>
        <w:rPr>
          <w:color w:val="FF0000"/>
        </w:rPr>
      </w:pPr>
      <w:r w:rsidRPr="00DD1321">
        <w:rPr>
          <w:color w:val="FF0000"/>
        </w:rPr>
        <w:t>Acuerda aplicar flexibilidad al reinvertir los vencimientos de deuda y acelera el diseño del mecanismo para poner coto a los diferenciales</w:t>
      </w:r>
    </w:p>
    <w:p w:rsidR="00093A50" w:rsidRPr="00563353" w:rsidRDefault="00093A50" w:rsidP="00093A50">
      <w:pPr>
        <w:pStyle w:val="bbc-bm53ic"/>
        <w:shd w:val="clear" w:color="auto" w:fill="FDFDFD"/>
        <w:spacing w:after="0"/>
        <w:jc w:val="both"/>
      </w:pPr>
      <w:r w:rsidRPr="00563353">
        <w:t>El Consejo de Gobierno del Banco Central Europeo celebró una reunión no programada este miércoles por la mañana para discutir la reciente presión en los mercados de bonos, especialmente de Italia y España. Las perspectivas de subida de tipos y el final de las compras de deuda han ampliado de forma dramática los diferenciales entre los bonos de los países de la eurozona: la prima de riesgo española ha pasado de 87 puntos a mediados de abril a un máximo de 125 ayer martes, y la italiana, significativamente más presionada, de 160 a rozar los 250.</w:t>
      </w:r>
    </w:p>
    <w:p w:rsidR="00093A50" w:rsidRPr="00093A50" w:rsidRDefault="00093A50" w:rsidP="00093A50">
      <w:pPr>
        <w:pStyle w:val="bbc-bm53ic"/>
        <w:shd w:val="clear" w:color="auto" w:fill="FDFDFD"/>
        <w:spacing w:after="0"/>
        <w:jc w:val="both"/>
      </w:pPr>
      <w:r w:rsidRPr="00563353">
        <w:rPr>
          <w:u w:val="single"/>
        </w:rPr>
        <w:t>En el comunicado difundido al término del encuentro, el Consejo de Gobierno ha anunciado que ha dado mandato a los comités de la institución para acelerar el diseño de un nuevo vehículo con el que combatir la fragmentación financiera en la zona euro. Es decir, un nuevo programa que contenga la escalada de las primas de riesgo. Por ahora, recurrirá a la reinversión de los vencimientos del programa extraordinario antipandemia (PEPP), según estaba ya previsto. Una alternativa con muchas limitaciones para afrontar de forma efectiva momentos de estrés en el mercado y ante lo que el BCE se ha visto forzado a diseñar una nueva herramienta</w:t>
      </w:r>
      <w:r w:rsidRPr="00093A50">
        <w:t>…</w:t>
      </w:r>
    </w:p>
    <w:p w:rsidR="00093A50" w:rsidRPr="00563353" w:rsidRDefault="00093A50" w:rsidP="00093A50">
      <w:pPr>
        <w:pStyle w:val="bbc-bm53ic"/>
        <w:shd w:val="clear" w:color="auto" w:fill="FDFDFD"/>
        <w:spacing w:after="0"/>
        <w:jc w:val="both"/>
      </w:pPr>
      <w:r w:rsidRPr="00563353">
        <w:lastRenderedPageBreak/>
        <w:t>A lo largo de estas semanas el BCE ya había señalado en varias ocasiones su compromiso para prevenir una fragmentación de los mercados de deuda que evite la correcta transmisión de su política monetaria, pero se había mostrado reticente a dar detalles al respecto. En la última reunión del consejo de gobierno la presidenta Christine Lagarde reafirmó este compromiso, y ayer Isabel Schnabel, alemana y miembro del comité ejecutivo, insistió en la idea.</w:t>
      </w:r>
    </w:p>
    <w:p w:rsidR="00093A50" w:rsidRDefault="00093A50" w:rsidP="00093A50">
      <w:pPr>
        <w:pStyle w:val="bbc-bm53ic"/>
        <w:shd w:val="clear" w:color="auto" w:fill="FDFDFD"/>
        <w:spacing w:after="0"/>
        <w:jc w:val="both"/>
      </w:pPr>
      <w:r w:rsidRPr="00563353">
        <w:rPr>
          <w:u w:val="single"/>
        </w:rPr>
        <w:t>La convocatoria llega en la misma jornada en la que la Reserva Federal de Estados Unidos tiene programada una reunión en la que podría subir los tipos 75 puntos básicos, la</w:t>
      </w:r>
      <w:r>
        <w:rPr>
          <w:u w:val="single"/>
        </w:rPr>
        <w:t xml:space="preserve"> mayor alza desde los años 90. “</w:t>
      </w:r>
      <w:r w:rsidRPr="00563353">
        <w:rPr>
          <w:u w:val="single"/>
        </w:rPr>
        <w:t>Obviamente hay miedo de que una Fed más agresiva pueda empujar los activos de riesgo a una espiral bajista; el BCE necesita tener</w:t>
      </w:r>
      <w:r>
        <w:rPr>
          <w:u w:val="single"/>
        </w:rPr>
        <w:t xml:space="preserve"> preparada una red de seguridad”</w:t>
      </w:r>
      <w:r w:rsidRPr="00563353">
        <w:rPr>
          <w:u w:val="single"/>
        </w:rPr>
        <w:t>, indica el analista de Bloomberg Lorcan Roche Kelly</w:t>
      </w:r>
      <w:r w:rsidRPr="00093A50">
        <w:t>…</w:t>
      </w:r>
    </w:p>
    <w:p w:rsidR="00EB20FB" w:rsidRPr="00563353" w:rsidRDefault="00EB20FB" w:rsidP="00EB20FB">
      <w:pPr>
        <w:pStyle w:val="bbc-bm53ic"/>
        <w:shd w:val="clear" w:color="auto" w:fill="FDFDFD"/>
        <w:spacing w:after="0"/>
        <w:jc w:val="both"/>
      </w:pPr>
      <w:r w:rsidRPr="00563353">
        <w:t xml:space="preserve">- </w:t>
      </w:r>
      <w:r w:rsidRPr="00563353">
        <w:rPr>
          <w:u w:val="single"/>
        </w:rPr>
        <w:t>La Reserva Federal se prepara para la mayor subida de tipos desde 1994</w:t>
      </w:r>
      <w:r w:rsidRPr="00563353">
        <w:t xml:space="preserve"> (Cinco Días - </w:t>
      </w:r>
      <w:r w:rsidRPr="00563353">
        <w:rPr>
          <w:b/>
        </w:rPr>
        <w:t>15/6/22</w:t>
      </w:r>
      <w:r w:rsidRPr="00563353">
        <w:t>)</w:t>
      </w:r>
    </w:p>
    <w:p w:rsidR="00EB20FB" w:rsidRPr="00492FDD" w:rsidRDefault="00EB20FB" w:rsidP="00EB20FB">
      <w:pPr>
        <w:pStyle w:val="bbc-bm53ic"/>
        <w:shd w:val="clear" w:color="auto" w:fill="FDFDFD"/>
        <w:spacing w:after="0"/>
        <w:jc w:val="both"/>
        <w:rPr>
          <w:color w:val="FF0000"/>
        </w:rPr>
      </w:pPr>
      <w:r w:rsidRPr="00492FDD">
        <w:rPr>
          <w:color w:val="FF0000"/>
        </w:rPr>
        <w:t>El mercado ya adelanta para hoy un alza de 75 puntos básicos</w:t>
      </w:r>
    </w:p>
    <w:p w:rsidR="00EB20FB" w:rsidRDefault="00EB20FB" w:rsidP="00EB20FB">
      <w:pPr>
        <w:pStyle w:val="bbc-bm53ic"/>
        <w:shd w:val="clear" w:color="auto" w:fill="FDFDFD"/>
        <w:spacing w:after="0"/>
        <w:jc w:val="both"/>
      </w:pPr>
      <w:r>
        <w:rPr>
          <w:noProof/>
        </w:rPr>
        <w:drawing>
          <wp:inline distT="0" distB="0" distL="0" distR="0" wp14:anchorId="2BA82EB3" wp14:editId="6E1446B1">
            <wp:extent cx="5727700" cy="2228850"/>
            <wp:effectExtent l="0" t="0" r="6350" b="0"/>
            <wp:docPr id="151" name="Imagen 151" descr="Deuda EE U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Deuda EE UU"/>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731510" cy="2230333"/>
                    </a:xfrm>
                    <a:prstGeom prst="rect">
                      <a:avLst/>
                    </a:prstGeom>
                    <a:noFill/>
                    <a:ln>
                      <a:noFill/>
                    </a:ln>
                  </pic:spPr>
                </pic:pic>
              </a:graphicData>
            </a:graphic>
          </wp:inline>
        </w:drawing>
      </w:r>
    </w:p>
    <w:p w:rsidR="00EB20FB" w:rsidRDefault="00EB20FB" w:rsidP="00EB20FB">
      <w:pPr>
        <w:pStyle w:val="bbc-bm53ic"/>
        <w:shd w:val="clear" w:color="auto" w:fill="FDFDFD"/>
        <w:spacing w:after="0"/>
        <w:jc w:val="both"/>
      </w:pPr>
      <w:r w:rsidRPr="00EB20FB">
        <w:rPr>
          <w:color w:val="FF0000"/>
          <w:u w:val="single"/>
        </w:rPr>
        <w:t>El dato de inflación publicado el viernes ha cambiado las reglas del juego. Aunque en las últimas semanas algunos de los miembros de la Reserva Federal han venido abogando por una subida de tipos de 75 puntos básicos, su presidente Jerome Powell había asegurado que un alza de este calibre no estaba sobre la mesa</w:t>
      </w:r>
      <w:r>
        <w:t>. Pero lo que hace unos días parecía imposible empieza a ganar fuerza. A falta de una jornada para conocer el veredicto, las expectativas de que el banco central estadounidense suba las tasas en tres cuartos de puntos crecen al 96,5% frente al 3,9% de hace solo una semana. Si se cumplen estas previsiones, la Reserva Federal acometería la mayor subida de tipos desde 1994.</w:t>
      </w:r>
    </w:p>
    <w:p w:rsidR="00EB20FB" w:rsidRPr="00EB20FB" w:rsidRDefault="00EB20FB" w:rsidP="00EB20FB">
      <w:pPr>
        <w:pStyle w:val="bbc-bm53ic"/>
        <w:shd w:val="clear" w:color="auto" w:fill="FDFDFD"/>
        <w:spacing w:after="0"/>
        <w:jc w:val="both"/>
        <w:rPr>
          <w:color w:val="FF0000"/>
        </w:rPr>
      </w:pPr>
      <w:r w:rsidRPr="00EB20FB">
        <w:rPr>
          <w:color w:val="FF0000"/>
          <w:u w:val="single"/>
        </w:rPr>
        <w:t>Así lo creen firmas internacionales como Barclays o Goldman Sachs. El banco estadounidense va incluso un paso más allá y en sus últimas previsiones no descarta que la Fed repita el movimiento en julio. Es decir, prevé dos repuntes consecutivos de 75 puntos básicos. Más agresivo aún se muestra Michale Feroli, economista jefe para EEUU de JP Morgan, que en declaraciones recogidas por Bloomberg señala que no habría que descarta</w:t>
      </w:r>
      <w:r>
        <w:rPr>
          <w:color w:val="FF0000"/>
          <w:u w:val="single"/>
        </w:rPr>
        <w:t>r un alza de 100 puntos básicos</w:t>
      </w:r>
      <w:r>
        <w:rPr>
          <w:color w:val="FF0000"/>
        </w:rPr>
        <w:t>…</w:t>
      </w:r>
    </w:p>
    <w:p w:rsidR="00EB20FB" w:rsidRDefault="00EB20FB" w:rsidP="00EB20FB">
      <w:pPr>
        <w:pStyle w:val="bbc-bm53ic"/>
        <w:shd w:val="clear" w:color="auto" w:fill="FDFDFD"/>
        <w:spacing w:after="0"/>
        <w:jc w:val="both"/>
      </w:pPr>
      <w:r>
        <w:t xml:space="preserve">Si por algo se caracteriza Powell es que no le gusta dar sorpresas al mercado y menos en momentos tan revueltos como el actual con los rendimientos de la deuda a dos años subiendo </w:t>
      </w:r>
      <w:r>
        <w:lastRenderedPageBreak/>
        <w:t>58 puntos básicos en las últimas tres jornadas, el mayor movimiento desde 2008. El problema es que la Fed ya ha sido criticada por ser lenta en darse cuenta de que el aumento de la inflación sería persistente. Ralentizar el ritmo de subidas daría alas al alza de precios, que cerró mayo en el 8,6%, tres décimas más de lo previsto. El mercado descarta una pausa en septiembre tal y como apuntaban las alzas de la pasada reunión.</w:t>
      </w:r>
    </w:p>
    <w:p w:rsidR="00EB20FB" w:rsidRDefault="00EB20FB" w:rsidP="00EB20FB">
      <w:pPr>
        <w:pStyle w:val="bbc-bm53ic"/>
        <w:shd w:val="clear" w:color="auto" w:fill="FDFDFD"/>
        <w:spacing w:before="0" w:beforeAutospacing="0" w:after="0" w:afterAutospacing="0"/>
        <w:jc w:val="both"/>
      </w:pPr>
      <w:r>
        <w:t>Junto a la subida de tipos, el comité actualizará sus proyecciones macroeconómicas. El consenso espera un menor crecimiento para los próximos años y un repunte de la inflación. Aunque de momento la economía estadounidense sigue mostrando solidez, en la última encuesta realizada por el Financial Times, 70% de los economistas descuentan una recesión en 2023…</w:t>
      </w:r>
    </w:p>
    <w:p w:rsidR="00EB20FB" w:rsidRDefault="00EB20FB" w:rsidP="00EB20FB">
      <w:pPr>
        <w:pStyle w:val="bbc-bm53ic"/>
        <w:shd w:val="clear" w:color="auto" w:fill="FDFDFD"/>
        <w:spacing w:before="0" w:beforeAutospacing="0" w:after="0" w:afterAutospacing="0"/>
        <w:jc w:val="both"/>
      </w:pPr>
    </w:p>
    <w:p w:rsidR="00EB20FB" w:rsidRPr="005378EF" w:rsidRDefault="00EB20FB" w:rsidP="00EB20FB">
      <w:pPr>
        <w:spacing w:after="36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5378EF">
        <w:rPr>
          <w:rFonts w:ascii="Times New Roman" w:eastAsia="Times New Roman" w:hAnsi="Times New Roman" w:cs="Times New Roman"/>
          <w:sz w:val="24"/>
          <w:szCs w:val="24"/>
          <w:lang w:eastAsia="es-ES"/>
        </w:rPr>
        <w:t>¿</w:t>
      </w:r>
      <w:r w:rsidRPr="005378EF">
        <w:rPr>
          <w:rFonts w:ascii="Times New Roman" w:eastAsia="Times New Roman" w:hAnsi="Times New Roman" w:cs="Times New Roman"/>
          <w:sz w:val="24"/>
          <w:szCs w:val="24"/>
          <w:u w:val="single"/>
          <w:lang w:eastAsia="es-ES"/>
        </w:rPr>
        <w:t>Con qué herramientas cuenta el BCE para frenar las primas de riesgo</w:t>
      </w:r>
      <w:r w:rsidRPr="005378EF">
        <w:rPr>
          <w:rFonts w:ascii="Times New Roman" w:eastAsia="Times New Roman" w:hAnsi="Times New Roman" w:cs="Times New Roman"/>
          <w:sz w:val="24"/>
          <w:szCs w:val="24"/>
          <w:lang w:eastAsia="es-ES"/>
        </w:rPr>
        <w:t>?</w:t>
      </w:r>
      <w:r>
        <w:rPr>
          <w:rFonts w:ascii="Times New Roman" w:eastAsia="Times New Roman" w:hAnsi="Times New Roman" w:cs="Times New Roman"/>
          <w:sz w:val="24"/>
          <w:szCs w:val="24"/>
          <w:lang w:eastAsia="es-ES"/>
        </w:rPr>
        <w:t xml:space="preserve"> (Cinco Días - </w:t>
      </w:r>
      <w:r w:rsidRPr="005378EF">
        <w:rPr>
          <w:rFonts w:ascii="Times New Roman" w:eastAsia="Times New Roman" w:hAnsi="Times New Roman" w:cs="Times New Roman"/>
          <w:b/>
          <w:sz w:val="24"/>
          <w:szCs w:val="24"/>
          <w:lang w:eastAsia="es-ES"/>
        </w:rPr>
        <w:t>15/6/22</w:t>
      </w:r>
      <w:r>
        <w:rPr>
          <w:rFonts w:ascii="Times New Roman" w:eastAsia="Times New Roman" w:hAnsi="Times New Roman" w:cs="Times New Roman"/>
          <w:sz w:val="24"/>
          <w:szCs w:val="24"/>
          <w:lang w:eastAsia="es-ES"/>
        </w:rPr>
        <w:t>)</w:t>
      </w:r>
    </w:p>
    <w:p w:rsidR="00EB20FB" w:rsidRPr="00167358" w:rsidRDefault="00EB20FB" w:rsidP="00EB20FB">
      <w:pPr>
        <w:spacing w:after="360" w:line="240" w:lineRule="auto"/>
        <w:jc w:val="both"/>
        <w:rPr>
          <w:rFonts w:ascii="Times New Roman" w:eastAsia="Times New Roman" w:hAnsi="Times New Roman" w:cs="Times New Roman"/>
          <w:color w:val="FF0000"/>
          <w:sz w:val="24"/>
          <w:szCs w:val="24"/>
          <w:lang w:eastAsia="es-ES"/>
        </w:rPr>
      </w:pPr>
      <w:r w:rsidRPr="00167358">
        <w:rPr>
          <w:rFonts w:ascii="Times New Roman" w:eastAsia="Times New Roman" w:hAnsi="Times New Roman" w:cs="Times New Roman"/>
          <w:color w:val="FF0000"/>
          <w:sz w:val="24"/>
          <w:szCs w:val="24"/>
          <w:lang w:eastAsia="es-ES"/>
        </w:rPr>
        <w:t>La reinversión de los vencimientos que esgrime el banco central puede no ser suficiente en momentos de estrés de mercado</w:t>
      </w:r>
    </w:p>
    <w:p w:rsidR="00EB20FB" w:rsidRPr="00167358" w:rsidRDefault="00EB20FB" w:rsidP="00EB20FB">
      <w:pPr>
        <w:spacing w:after="360" w:line="240" w:lineRule="auto"/>
        <w:jc w:val="both"/>
        <w:rPr>
          <w:rFonts w:ascii="Times New Roman" w:eastAsia="Times New Roman" w:hAnsi="Times New Roman" w:cs="Times New Roman"/>
          <w:color w:val="FF0000"/>
          <w:sz w:val="24"/>
          <w:szCs w:val="24"/>
          <w:lang w:eastAsia="es-ES"/>
        </w:rPr>
      </w:pPr>
      <w:r w:rsidRPr="00167358">
        <w:rPr>
          <w:rFonts w:ascii="Times New Roman" w:eastAsia="Times New Roman" w:hAnsi="Times New Roman" w:cs="Times New Roman"/>
          <w:color w:val="FF0000"/>
          <w:sz w:val="24"/>
          <w:szCs w:val="24"/>
          <w:lang w:eastAsia="es-ES"/>
        </w:rPr>
        <w:t>La creación de un nuevo programa de compras afronta la dura resistencia de los halcones</w:t>
      </w:r>
    </w:p>
    <w:p w:rsidR="00EB20FB" w:rsidRPr="00167358" w:rsidRDefault="00EB20FB" w:rsidP="00EB20FB">
      <w:pPr>
        <w:spacing w:after="360" w:line="240" w:lineRule="auto"/>
        <w:jc w:val="both"/>
        <w:rPr>
          <w:rFonts w:ascii="Times New Roman" w:eastAsia="Times New Roman" w:hAnsi="Times New Roman" w:cs="Times New Roman"/>
          <w:sz w:val="24"/>
          <w:szCs w:val="24"/>
          <w:u w:val="single"/>
          <w:lang w:eastAsia="es-ES"/>
        </w:rPr>
      </w:pPr>
      <w:r w:rsidRPr="005378EF">
        <w:rPr>
          <w:rFonts w:ascii="Times New Roman" w:eastAsia="Times New Roman" w:hAnsi="Times New Roman" w:cs="Times New Roman"/>
          <w:sz w:val="24"/>
          <w:szCs w:val="24"/>
          <w:lang w:eastAsia="es-ES"/>
        </w:rPr>
        <w:t xml:space="preserve">El BCE ha decidido reaccionar al súbito incremento del coste de financiación y de las primas de riesgo de España e Italia y hoy se ha reunido de forma extraordinaria para debatir cómo abordar las actuales condiciones de mercado. </w:t>
      </w:r>
      <w:r w:rsidRPr="00167358">
        <w:rPr>
          <w:rFonts w:ascii="Times New Roman" w:eastAsia="Times New Roman" w:hAnsi="Times New Roman" w:cs="Times New Roman"/>
          <w:sz w:val="24"/>
          <w:szCs w:val="24"/>
          <w:u w:val="single"/>
          <w:lang w:eastAsia="es-ES"/>
        </w:rPr>
        <w:t>Chistine Lagarde ya anunció el jueves pasado que el BCE no iba a tolerar la fragmentación financiera en la zona euro, es decir, que se desboquen las primas de riesgo de los países de la periferia europea, los más endeudados, y sea mucho más costosa su financiación.</w:t>
      </w:r>
    </w:p>
    <w:p w:rsidR="00EB20FB" w:rsidRPr="00167358" w:rsidRDefault="00EB20FB" w:rsidP="00EB20FB">
      <w:pPr>
        <w:spacing w:after="360" w:line="240" w:lineRule="auto"/>
        <w:jc w:val="both"/>
        <w:rPr>
          <w:rFonts w:ascii="Times New Roman" w:eastAsia="Times New Roman" w:hAnsi="Times New Roman" w:cs="Times New Roman"/>
          <w:sz w:val="24"/>
          <w:szCs w:val="24"/>
          <w:u w:val="single"/>
          <w:lang w:eastAsia="es-ES"/>
        </w:rPr>
      </w:pPr>
      <w:r w:rsidRPr="00167358">
        <w:rPr>
          <w:rFonts w:ascii="Times New Roman" w:eastAsia="Times New Roman" w:hAnsi="Times New Roman" w:cs="Times New Roman"/>
          <w:sz w:val="24"/>
          <w:szCs w:val="24"/>
          <w:u w:val="single"/>
          <w:lang w:eastAsia="es-ES"/>
        </w:rPr>
        <w:t>¿Cuáles son entonces las herramientas con las que cuenta el BCE para evitarlo?</w:t>
      </w:r>
      <w:r w:rsidRPr="005378EF">
        <w:rPr>
          <w:rFonts w:ascii="Times New Roman" w:eastAsia="Times New Roman" w:hAnsi="Times New Roman" w:cs="Times New Roman"/>
          <w:sz w:val="24"/>
          <w:szCs w:val="24"/>
          <w:lang w:eastAsia="es-ES"/>
        </w:rPr>
        <w:t xml:space="preserve"> La institución ya ha respondido con contundencia en el pasado a la presión del mercado sobre la deuda periférica. A veces con rapidez y contundencia, como en la primavera de 2020 con el estallido de la pandemia, y otras veces mucho más lentamente y después de haber llegado casi al límite, como en la crisis del euro de 2012. </w:t>
      </w:r>
      <w:r w:rsidRPr="00167358">
        <w:rPr>
          <w:rFonts w:ascii="Times New Roman" w:eastAsia="Times New Roman" w:hAnsi="Times New Roman" w:cs="Times New Roman"/>
          <w:sz w:val="24"/>
          <w:szCs w:val="24"/>
          <w:u w:val="single"/>
          <w:lang w:eastAsia="es-ES"/>
        </w:rPr>
        <w:t>Estas son las opciones de las que dispone…</w:t>
      </w:r>
    </w:p>
    <w:p w:rsidR="00EB20FB" w:rsidRPr="005378EF" w:rsidRDefault="00EB20FB" w:rsidP="00EB20FB">
      <w:pPr>
        <w:spacing w:after="360" w:line="240" w:lineRule="auto"/>
        <w:jc w:val="both"/>
        <w:rPr>
          <w:rFonts w:ascii="Times New Roman" w:eastAsia="Times New Roman" w:hAnsi="Times New Roman" w:cs="Times New Roman"/>
          <w:sz w:val="24"/>
          <w:szCs w:val="24"/>
          <w:lang w:eastAsia="es-ES"/>
        </w:rPr>
      </w:pPr>
      <w:r w:rsidRPr="005378EF">
        <w:rPr>
          <w:rFonts w:ascii="Times New Roman" w:eastAsia="Times New Roman" w:hAnsi="Times New Roman" w:cs="Times New Roman"/>
          <w:sz w:val="24"/>
          <w:szCs w:val="24"/>
          <w:lang w:eastAsia="es-ES"/>
        </w:rPr>
        <w:t>No hacer nada</w:t>
      </w:r>
    </w:p>
    <w:p w:rsidR="00EB20FB" w:rsidRPr="005378EF" w:rsidRDefault="00EB20FB" w:rsidP="00EB20FB">
      <w:pPr>
        <w:spacing w:after="360" w:line="240" w:lineRule="auto"/>
        <w:jc w:val="both"/>
        <w:rPr>
          <w:rFonts w:ascii="Times New Roman" w:eastAsia="Times New Roman" w:hAnsi="Times New Roman" w:cs="Times New Roman"/>
          <w:sz w:val="24"/>
          <w:szCs w:val="24"/>
          <w:lang w:eastAsia="es-ES"/>
        </w:rPr>
      </w:pPr>
      <w:r w:rsidRPr="00167358">
        <w:rPr>
          <w:rFonts w:ascii="Times New Roman" w:eastAsia="Times New Roman" w:hAnsi="Times New Roman" w:cs="Times New Roman"/>
          <w:sz w:val="24"/>
          <w:szCs w:val="24"/>
          <w:u w:val="single"/>
          <w:lang w:eastAsia="es-ES"/>
        </w:rPr>
        <w:t>A Mario Draghi le bastó con unas pocas palabras en julio de 2012, hace ya casi una década, para sofocar el incendio de las primas de riesgo en la periferia europea y el riesgo cierto por entonces de desintegración de la zona euro</w:t>
      </w:r>
      <w:r w:rsidRPr="005378EF">
        <w:rPr>
          <w:rFonts w:ascii="Times New Roman" w:eastAsia="Times New Roman" w:hAnsi="Times New Roman" w:cs="Times New Roman"/>
          <w:sz w:val="24"/>
          <w:szCs w:val="24"/>
          <w:lang w:eastAsia="es-ES"/>
        </w:rPr>
        <w:t xml:space="preserve">. Su promesa de hacer todo lo que fuera necesario para proteger el euro (el ya famoso whatever it takes…) convenció a los inversores de que el BCE no iba a permitir poner </w:t>
      </w:r>
      <w:r>
        <w:rPr>
          <w:rFonts w:ascii="Times New Roman" w:eastAsia="Times New Roman" w:hAnsi="Times New Roman" w:cs="Times New Roman"/>
          <w:sz w:val="24"/>
          <w:szCs w:val="24"/>
          <w:lang w:eastAsia="es-ES"/>
        </w:rPr>
        <w:t>el peligro el proyecto europeo…</w:t>
      </w:r>
    </w:p>
    <w:p w:rsidR="00EB20FB" w:rsidRPr="005378EF" w:rsidRDefault="00EB20FB" w:rsidP="00EB20FB">
      <w:pPr>
        <w:spacing w:after="360" w:line="240" w:lineRule="auto"/>
        <w:jc w:val="both"/>
        <w:rPr>
          <w:rFonts w:ascii="Times New Roman" w:eastAsia="Times New Roman" w:hAnsi="Times New Roman" w:cs="Times New Roman"/>
          <w:sz w:val="24"/>
          <w:szCs w:val="24"/>
          <w:lang w:eastAsia="es-ES"/>
        </w:rPr>
      </w:pPr>
      <w:r w:rsidRPr="005378EF">
        <w:rPr>
          <w:rFonts w:ascii="Times New Roman" w:eastAsia="Times New Roman" w:hAnsi="Times New Roman" w:cs="Times New Roman"/>
          <w:sz w:val="24"/>
          <w:szCs w:val="24"/>
          <w:lang w:eastAsia="es-ES"/>
        </w:rPr>
        <w:t>Reinversión de los vencimientos</w:t>
      </w:r>
    </w:p>
    <w:p w:rsidR="00EB20FB" w:rsidRPr="00167358" w:rsidRDefault="00EB20FB" w:rsidP="00EB20FB">
      <w:pPr>
        <w:spacing w:after="360" w:line="240" w:lineRule="auto"/>
        <w:jc w:val="both"/>
        <w:rPr>
          <w:rFonts w:ascii="Times New Roman" w:eastAsia="Times New Roman" w:hAnsi="Times New Roman" w:cs="Times New Roman"/>
          <w:color w:val="FF0000"/>
          <w:sz w:val="24"/>
          <w:szCs w:val="24"/>
          <w:u w:val="single"/>
          <w:lang w:eastAsia="es-ES"/>
        </w:rPr>
      </w:pPr>
      <w:r w:rsidRPr="00167358">
        <w:rPr>
          <w:rFonts w:ascii="Times New Roman" w:eastAsia="Times New Roman" w:hAnsi="Times New Roman" w:cs="Times New Roman"/>
          <w:color w:val="FF0000"/>
          <w:sz w:val="24"/>
          <w:szCs w:val="24"/>
          <w:u w:val="single"/>
          <w:lang w:eastAsia="es-ES"/>
        </w:rPr>
        <w:t xml:space="preserve">Es la fórmula que esgrime con más contundencia el BCE estos días como muro de contención. El banco central tiene previsto reinvertir la totalidad de los vencimientos de los bonos en balance adquiridos hasta el momento. Por un lado, los 1,7 billones de euros del programa extraordinario antipandemia (PEPP), que finalizó en marzo. Y por otro lado, los más de 3,2 billones del programa ordinario de compras (APP), iniciado en 2014 y al que se </w:t>
      </w:r>
      <w:r w:rsidRPr="00167358">
        <w:rPr>
          <w:rFonts w:ascii="Times New Roman" w:eastAsia="Times New Roman" w:hAnsi="Times New Roman" w:cs="Times New Roman"/>
          <w:color w:val="FF0000"/>
          <w:sz w:val="24"/>
          <w:szCs w:val="24"/>
          <w:u w:val="single"/>
          <w:lang w:eastAsia="es-ES"/>
        </w:rPr>
        <w:lastRenderedPageBreak/>
        <w:t>va a poner fin el 1 de julio. Terminarán las compras netas, el incremento del balance, aunque se mantendrán las reinversiones el tiempo necesario.</w:t>
      </w:r>
    </w:p>
    <w:p w:rsidR="00EB20FB" w:rsidRPr="00167358" w:rsidRDefault="00EB20FB" w:rsidP="00EB20FB">
      <w:pPr>
        <w:spacing w:after="360" w:line="240" w:lineRule="auto"/>
        <w:jc w:val="both"/>
        <w:rPr>
          <w:rFonts w:ascii="Times New Roman" w:eastAsia="Times New Roman" w:hAnsi="Times New Roman" w:cs="Times New Roman"/>
          <w:color w:val="FF0000"/>
          <w:sz w:val="24"/>
          <w:szCs w:val="24"/>
          <w:u w:val="single"/>
          <w:lang w:eastAsia="es-ES"/>
        </w:rPr>
      </w:pPr>
      <w:r w:rsidRPr="00167358">
        <w:rPr>
          <w:rFonts w:ascii="Times New Roman" w:eastAsia="Times New Roman" w:hAnsi="Times New Roman" w:cs="Times New Roman"/>
          <w:color w:val="FF0000"/>
          <w:sz w:val="24"/>
          <w:szCs w:val="24"/>
          <w:u w:val="single"/>
          <w:lang w:eastAsia="es-ES"/>
        </w:rPr>
        <w:t>Según explica Nadia Gharbi, economista para Europa de Pictet WM, “las reinversiones del programa PEPP ascenderán a 200.000 millones los próximos doce meses y habrá 225.000 millones en reembolsos de deuda del programa convencional PSPP. Pero solo una parte puede llegar a reorientarse a compra de deuda periférica, especialmente italiana”.</w:t>
      </w:r>
    </w:p>
    <w:p w:rsidR="00EB20FB" w:rsidRPr="005378EF" w:rsidRDefault="00EB20FB" w:rsidP="00EB20FB">
      <w:pPr>
        <w:spacing w:after="360" w:line="240" w:lineRule="auto"/>
        <w:jc w:val="both"/>
        <w:rPr>
          <w:rFonts w:ascii="Times New Roman" w:eastAsia="Times New Roman" w:hAnsi="Times New Roman" w:cs="Times New Roman"/>
          <w:sz w:val="24"/>
          <w:szCs w:val="24"/>
          <w:lang w:eastAsia="es-ES"/>
        </w:rPr>
      </w:pPr>
      <w:r w:rsidRPr="005378EF">
        <w:rPr>
          <w:rFonts w:ascii="Times New Roman" w:eastAsia="Times New Roman" w:hAnsi="Times New Roman" w:cs="Times New Roman"/>
          <w:sz w:val="24"/>
          <w:szCs w:val="24"/>
          <w:lang w:eastAsia="es-ES"/>
        </w:rPr>
        <w:t>Flexibilidad</w:t>
      </w:r>
    </w:p>
    <w:p w:rsidR="00EB20FB" w:rsidRDefault="00EB20FB" w:rsidP="00EB20FB">
      <w:pPr>
        <w:spacing w:after="360" w:line="240" w:lineRule="auto"/>
        <w:jc w:val="both"/>
        <w:rPr>
          <w:rFonts w:ascii="Times New Roman" w:eastAsia="Times New Roman" w:hAnsi="Times New Roman" w:cs="Times New Roman"/>
          <w:sz w:val="24"/>
          <w:szCs w:val="24"/>
          <w:lang w:eastAsia="es-ES"/>
        </w:rPr>
      </w:pPr>
      <w:r w:rsidRPr="005378EF">
        <w:rPr>
          <w:rFonts w:ascii="Times New Roman" w:eastAsia="Times New Roman" w:hAnsi="Times New Roman" w:cs="Times New Roman"/>
          <w:sz w:val="24"/>
          <w:szCs w:val="24"/>
          <w:lang w:eastAsia="es-ES"/>
        </w:rPr>
        <w:t>La reinversión de los vencimientos puede encontrarse con la limitación, muy probable, de que no baste para contener un</w:t>
      </w:r>
      <w:r>
        <w:rPr>
          <w:rFonts w:ascii="Times New Roman" w:eastAsia="Times New Roman" w:hAnsi="Times New Roman" w:cs="Times New Roman"/>
          <w:sz w:val="24"/>
          <w:szCs w:val="24"/>
          <w:lang w:eastAsia="es-ES"/>
        </w:rPr>
        <w:t>as primas de riesgo desbocadas…</w:t>
      </w:r>
    </w:p>
    <w:p w:rsidR="00EB20FB" w:rsidRPr="00EB20FB" w:rsidRDefault="00EB20FB" w:rsidP="00EB20FB">
      <w:pPr>
        <w:spacing w:after="360" w:line="240" w:lineRule="auto"/>
        <w:jc w:val="both"/>
        <w:rPr>
          <w:rFonts w:ascii="Times New Roman" w:eastAsia="Times New Roman" w:hAnsi="Times New Roman" w:cs="Times New Roman"/>
          <w:color w:val="FF0000"/>
          <w:sz w:val="24"/>
          <w:szCs w:val="24"/>
          <w:lang w:eastAsia="es-ES"/>
        </w:rPr>
      </w:pPr>
      <w:r w:rsidRPr="00C25103">
        <w:rPr>
          <w:rFonts w:ascii="Times New Roman" w:eastAsia="Times New Roman" w:hAnsi="Times New Roman" w:cs="Times New Roman"/>
          <w:color w:val="FF0000"/>
          <w:sz w:val="24"/>
          <w:szCs w:val="24"/>
          <w:u w:val="single"/>
          <w:lang w:eastAsia="es-ES"/>
        </w:rPr>
        <w:t xml:space="preserve">Con el programa PEPP el BCE pudo favorecer con sus compras abiertamente a la deuda italiana y española. Ahora podrá hacerlo también con la reinversión de los vencimientos, pero en unas cuantías que pueden ser insuficientes en un momento </w:t>
      </w:r>
      <w:r>
        <w:rPr>
          <w:rFonts w:ascii="Times New Roman" w:eastAsia="Times New Roman" w:hAnsi="Times New Roman" w:cs="Times New Roman"/>
          <w:color w:val="FF0000"/>
          <w:sz w:val="24"/>
          <w:szCs w:val="24"/>
          <w:u w:val="single"/>
          <w:lang w:eastAsia="es-ES"/>
        </w:rPr>
        <w:t>de estrés elevado en el mercado</w:t>
      </w:r>
      <w:r>
        <w:rPr>
          <w:rFonts w:ascii="Times New Roman" w:eastAsia="Times New Roman" w:hAnsi="Times New Roman" w:cs="Times New Roman"/>
          <w:color w:val="FF0000"/>
          <w:sz w:val="24"/>
          <w:szCs w:val="24"/>
          <w:lang w:eastAsia="es-ES"/>
        </w:rPr>
        <w:t>…</w:t>
      </w:r>
    </w:p>
    <w:p w:rsidR="00EB20FB" w:rsidRPr="005378EF" w:rsidRDefault="00EB20FB" w:rsidP="00EB20FB">
      <w:pPr>
        <w:spacing w:after="360" w:line="240" w:lineRule="auto"/>
        <w:jc w:val="both"/>
        <w:rPr>
          <w:rFonts w:ascii="Times New Roman" w:eastAsia="Times New Roman" w:hAnsi="Times New Roman" w:cs="Times New Roman"/>
          <w:sz w:val="24"/>
          <w:szCs w:val="24"/>
          <w:lang w:eastAsia="es-ES"/>
        </w:rPr>
      </w:pPr>
      <w:r w:rsidRPr="005378EF">
        <w:rPr>
          <w:rFonts w:ascii="Times New Roman" w:eastAsia="Times New Roman" w:hAnsi="Times New Roman" w:cs="Times New Roman"/>
          <w:sz w:val="24"/>
          <w:szCs w:val="24"/>
          <w:lang w:eastAsia="es-ES"/>
        </w:rPr>
        <w:t>Un instrumento nuevo</w:t>
      </w:r>
    </w:p>
    <w:p w:rsidR="00EB20FB" w:rsidRPr="005378EF" w:rsidRDefault="00EB20FB" w:rsidP="00EB20FB">
      <w:pPr>
        <w:spacing w:after="360" w:line="240" w:lineRule="auto"/>
        <w:jc w:val="both"/>
        <w:rPr>
          <w:rFonts w:ascii="Times New Roman" w:eastAsia="Times New Roman" w:hAnsi="Times New Roman" w:cs="Times New Roman"/>
          <w:sz w:val="24"/>
          <w:szCs w:val="24"/>
          <w:lang w:eastAsia="es-ES"/>
        </w:rPr>
      </w:pPr>
      <w:r w:rsidRPr="005378EF">
        <w:rPr>
          <w:rFonts w:ascii="Times New Roman" w:eastAsia="Times New Roman" w:hAnsi="Times New Roman" w:cs="Times New Roman"/>
          <w:sz w:val="24"/>
          <w:szCs w:val="24"/>
          <w:lang w:eastAsia="es-ES"/>
        </w:rPr>
        <w:t xml:space="preserve">El BCE podría recuperar alguno de los programas de compras que ya ha empleado o lanzar uno nuevo, la opción elegida y que supondrá vencer la resistencia de los halcones del BCE. El lanzamiento del PEPP con la pandemia se adoptó con rapidez y de forma unánime, en un momento en que una crisis arrolladora afectaba a todos los países por igual. El alza de tipos que va a iniciar ahora el BCE hace sin </w:t>
      </w:r>
      <w:r w:rsidR="005D24AE" w:rsidRPr="005378EF">
        <w:rPr>
          <w:rFonts w:ascii="Times New Roman" w:eastAsia="Times New Roman" w:hAnsi="Times New Roman" w:cs="Times New Roman"/>
          <w:sz w:val="24"/>
          <w:szCs w:val="24"/>
          <w:lang w:eastAsia="es-ES"/>
        </w:rPr>
        <w:t>embargo más vulnerable</w:t>
      </w:r>
      <w:r w:rsidRPr="005378EF">
        <w:rPr>
          <w:rFonts w:ascii="Times New Roman" w:eastAsia="Times New Roman" w:hAnsi="Times New Roman" w:cs="Times New Roman"/>
          <w:sz w:val="24"/>
          <w:szCs w:val="24"/>
          <w:lang w:eastAsia="es-ES"/>
        </w:rPr>
        <w:t xml:space="preserve"> a unos países que a otros. Italia y España vuelven a destacar por sus elev</w:t>
      </w:r>
      <w:r>
        <w:rPr>
          <w:rFonts w:ascii="Times New Roman" w:eastAsia="Times New Roman" w:hAnsi="Times New Roman" w:cs="Times New Roman"/>
          <w:sz w:val="24"/>
          <w:szCs w:val="24"/>
          <w:lang w:eastAsia="es-ES"/>
        </w:rPr>
        <w:t>ados ratios de deuda sobre PIB.</w:t>
      </w:r>
    </w:p>
    <w:p w:rsidR="00EB20FB" w:rsidRPr="00C25103" w:rsidRDefault="00EB20FB" w:rsidP="00EB20FB">
      <w:pPr>
        <w:spacing w:after="360" w:line="240" w:lineRule="auto"/>
        <w:jc w:val="both"/>
        <w:rPr>
          <w:rFonts w:ascii="Times New Roman" w:eastAsia="Times New Roman" w:hAnsi="Times New Roman" w:cs="Times New Roman"/>
          <w:color w:val="FF0000"/>
          <w:sz w:val="24"/>
          <w:szCs w:val="24"/>
          <w:u w:val="single"/>
          <w:lang w:eastAsia="es-ES"/>
        </w:rPr>
      </w:pPr>
      <w:r w:rsidRPr="00C25103">
        <w:rPr>
          <w:rFonts w:ascii="Times New Roman" w:eastAsia="Times New Roman" w:hAnsi="Times New Roman" w:cs="Times New Roman"/>
          <w:color w:val="FF0000"/>
          <w:sz w:val="24"/>
          <w:szCs w:val="24"/>
          <w:u w:val="single"/>
          <w:lang w:eastAsia="es-ES"/>
        </w:rPr>
        <w:t>Además, favorecer de nuevo a estos dos países con nuevas compras de deuda -paradójicamente en un momento en que la economía requiere alzas de tipos de interés- plantea el riesgo de romper el principio de neutralidad del BCE y de desatar la denuncia de Alemania, siempre vigilante para que la política monetaria no sea una vía de ayuda a la política fiscal. El programa de ayuda OMT lanzado por Mario Draghi llegó a recibir una sentencia en contra del Tribunal Constitucional alemán.</w:t>
      </w:r>
    </w:p>
    <w:p w:rsidR="00EB20FB" w:rsidRPr="005378EF" w:rsidRDefault="00EB20FB" w:rsidP="00EB20FB">
      <w:pPr>
        <w:spacing w:after="360" w:line="240" w:lineRule="auto"/>
        <w:jc w:val="both"/>
        <w:rPr>
          <w:rFonts w:ascii="Times New Roman" w:eastAsia="Times New Roman" w:hAnsi="Times New Roman" w:cs="Times New Roman"/>
          <w:sz w:val="24"/>
          <w:szCs w:val="24"/>
          <w:lang w:eastAsia="es-ES"/>
        </w:rPr>
      </w:pPr>
      <w:r w:rsidRPr="005378EF">
        <w:rPr>
          <w:rFonts w:ascii="Times New Roman" w:eastAsia="Times New Roman" w:hAnsi="Times New Roman" w:cs="Times New Roman"/>
          <w:sz w:val="24"/>
          <w:szCs w:val="24"/>
          <w:lang w:eastAsia="es-ES"/>
        </w:rPr>
        <w:t>Ayuda con condiciones</w:t>
      </w:r>
    </w:p>
    <w:p w:rsidR="00EB20FB" w:rsidRPr="00C25103" w:rsidRDefault="00EB20FB" w:rsidP="00EB20FB">
      <w:pPr>
        <w:spacing w:after="360" w:line="240" w:lineRule="auto"/>
        <w:jc w:val="both"/>
        <w:rPr>
          <w:rFonts w:ascii="Times New Roman" w:eastAsia="Times New Roman" w:hAnsi="Times New Roman" w:cs="Times New Roman"/>
          <w:b/>
          <w:color w:val="FF0000"/>
          <w:sz w:val="24"/>
          <w:szCs w:val="24"/>
          <w:u w:val="single"/>
          <w:lang w:eastAsia="es-ES"/>
        </w:rPr>
      </w:pPr>
      <w:r w:rsidRPr="00C25103">
        <w:rPr>
          <w:rFonts w:ascii="Times New Roman" w:eastAsia="Times New Roman" w:hAnsi="Times New Roman" w:cs="Times New Roman"/>
          <w:b/>
          <w:color w:val="FF0000"/>
          <w:sz w:val="24"/>
          <w:szCs w:val="24"/>
          <w:u w:val="single"/>
          <w:lang w:eastAsia="es-ES"/>
        </w:rPr>
        <w:t xml:space="preserve">El BCE también cuenta con ese programa OMT (Outright Monetary Transactions), que permite la compra </w:t>
      </w:r>
      <w:r>
        <w:rPr>
          <w:rFonts w:ascii="Times New Roman" w:eastAsia="Times New Roman" w:hAnsi="Times New Roman" w:cs="Times New Roman"/>
          <w:b/>
          <w:color w:val="FF0000"/>
          <w:sz w:val="24"/>
          <w:szCs w:val="24"/>
          <w:u w:val="single"/>
          <w:lang w:eastAsia="es-ES"/>
        </w:rPr>
        <w:t>ilimitada de deuda</w:t>
      </w:r>
      <w:r w:rsidRPr="00C25103">
        <w:rPr>
          <w:rFonts w:ascii="Times New Roman" w:eastAsia="Times New Roman" w:hAnsi="Times New Roman" w:cs="Times New Roman"/>
          <w:b/>
          <w:color w:val="FF0000"/>
          <w:sz w:val="24"/>
          <w:szCs w:val="24"/>
          <w:u w:val="single"/>
          <w:lang w:eastAsia="es-ES"/>
        </w:rPr>
        <w:t xml:space="preserve"> de un país pero que requiere la petición expresa de su solicitud. Su concesión va a asociada al cumplimiento de medidas económica y ajustes que hacen impopular su solicitud. Hasta el momento, nunca se ha activado.</w:t>
      </w:r>
    </w:p>
    <w:p w:rsidR="00EB20FB" w:rsidRPr="005378EF" w:rsidRDefault="00EB20FB" w:rsidP="00EB20FB">
      <w:pPr>
        <w:spacing w:after="36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5378EF">
        <w:rPr>
          <w:rFonts w:ascii="Times New Roman" w:eastAsia="Times New Roman" w:hAnsi="Times New Roman" w:cs="Times New Roman"/>
          <w:sz w:val="24"/>
          <w:szCs w:val="24"/>
          <w:u w:val="single"/>
          <w:lang w:eastAsia="es-ES"/>
        </w:rPr>
        <w:t>La Reserva Federal d</w:t>
      </w:r>
      <w:r>
        <w:rPr>
          <w:rFonts w:ascii="Times New Roman" w:eastAsia="Times New Roman" w:hAnsi="Times New Roman" w:cs="Times New Roman"/>
          <w:sz w:val="24"/>
          <w:szCs w:val="24"/>
          <w:u w:val="single"/>
          <w:lang w:eastAsia="es-ES"/>
        </w:rPr>
        <w:t>e EEUU</w:t>
      </w:r>
      <w:r w:rsidRPr="005378EF">
        <w:rPr>
          <w:rFonts w:ascii="Times New Roman" w:eastAsia="Times New Roman" w:hAnsi="Times New Roman" w:cs="Times New Roman"/>
          <w:sz w:val="24"/>
          <w:szCs w:val="24"/>
          <w:u w:val="single"/>
          <w:lang w:eastAsia="es-ES"/>
        </w:rPr>
        <w:t xml:space="preserve"> anuncia la mayor subida de las tasas de interés en casi 30 años</w:t>
      </w:r>
      <w:r>
        <w:rPr>
          <w:rFonts w:ascii="Times New Roman" w:eastAsia="Times New Roman" w:hAnsi="Times New Roman" w:cs="Times New Roman"/>
          <w:sz w:val="24"/>
          <w:szCs w:val="24"/>
          <w:lang w:eastAsia="es-ES"/>
        </w:rPr>
        <w:t xml:space="preserve"> (BBCMundo - </w:t>
      </w:r>
      <w:r w:rsidRPr="005378EF">
        <w:rPr>
          <w:rFonts w:ascii="Times New Roman" w:eastAsia="Times New Roman" w:hAnsi="Times New Roman" w:cs="Times New Roman"/>
          <w:b/>
          <w:sz w:val="24"/>
          <w:szCs w:val="24"/>
          <w:lang w:eastAsia="es-ES"/>
        </w:rPr>
        <w:t>15/6/22</w:t>
      </w:r>
      <w:r>
        <w:rPr>
          <w:rFonts w:ascii="Times New Roman" w:eastAsia="Times New Roman" w:hAnsi="Times New Roman" w:cs="Times New Roman"/>
          <w:sz w:val="24"/>
          <w:szCs w:val="24"/>
          <w:lang w:eastAsia="es-ES"/>
        </w:rPr>
        <w:t>)</w:t>
      </w:r>
    </w:p>
    <w:p w:rsidR="00EB20FB" w:rsidRPr="00C25103" w:rsidRDefault="00EB20FB" w:rsidP="00EB20FB">
      <w:pPr>
        <w:spacing w:after="360" w:line="240" w:lineRule="auto"/>
        <w:jc w:val="both"/>
        <w:rPr>
          <w:rFonts w:ascii="Times New Roman" w:eastAsia="Times New Roman" w:hAnsi="Times New Roman" w:cs="Times New Roman"/>
          <w:color w:val="FF0000"/>
          <w:sz w:val="24"/>
          <w:szCs w:val="24"/>
          <w:lang w:eastAsia="es-ES"/>
        </w:rPr>
      </w:pPr>
      <w:r>
        <w:rPr>
          <w:rFonts w:ascii="Times New Roman" w:eastAsia="Times New Roman" w:hAnsi="Times New Roman" w:cs="Times New Roman"/>
          <w:color w:val="FF0000"/>
          <w:sz w:val="24"/>
          <w:szCs w:val="24"/>
          <w:lang w:eastAsia="es-ES"/>
        </w:rPr>
        <w:t>La Reserva Federal de EE</w:t>
      </w:r>
      <w:r w:rsidR="00814E8D">
        <w:rPr>
          <w:rFonts w:ascii="Times New Roman" w:eastAsia="Times New Roman" w:hAnsi="Times New Roman" w:cs="Times New Roman"/>
          <w:color w:val="FF0000"/>
          <w:sz w:val="24"/>
          <w:szCs w:val="24"/>
          <w:lang w:eastAsia="es-ES"/>
        </w:rPr>
        <w:t>UU</w:t>
      </w:r>
      <w:r w:rsidRPr="00C25103">
        <w:rPr>
          <w:rFonts w:ascii="Times New Roman" w:eastAsia="Times New Roman" w:hAnsi="Times New Roman" w:cs="Times New Roman"/>
          <w:color w:val="FF0000"/>
          <w:sz w:val="24"/>
          <w:szCs w:val="24"/>
          <w:lang w:eastAsia="es-ES"/>
        </w:rPr>
        <w:t xml:space="preserve"> anunció este miércoles el mayor aumento de las tasas de interés en casi 30 años.</w:t>
      </w:r>
    </w:p>
    <w:p w:rsidR="00EB20FB" w:rsidRPr="00C25103" w:rsidRDefault="00EB20FB" w:rsidP="00EB20FB">
      <w:pPr>
        <w:spacing w:after="360" w:line="240" w:lineRule="auto"/>
        <w:jc w:val="both"/>
        <w:rPr>
          <w:rFonts w:ascii="Times New Roman" w:eastAsia="Times New Roman" w:hAnsi="Times New Roman" w:cs="Times New Roman"/>
          <w:color w:val="FF0000"/>
          <w:sz w:val="24"/>
          <w:szCs w:val="24"/>
          <w:lang w:eastAsia="es-ES"/>
        </w:rPr>
      </w:pPr>
      <w:r w:rsidRPr="00C25103">
        <w:rPr>
          <w:rFonts w:ascii="Times New Roman" w:eastAsia="Times New Roman" w:hAnsi="Times New Roman" w:cs="Times New Roman"/>
          <w:color w:val="FF0000"/>
          <w:sz w:val="24"/>
          <w:szCs w:val="24"/>
          <w:lang w:eastAsia="es-ES"/>
        </w:rPr>
        <w:lastRenderedPageBreak/>
        <w:t>Como parte de su estrategia para detener el incremento de la inflación, el banco central estadounidense elevó la tasa de referencia de los préstamos en 0,75 puntos porcentuales, a un rango entre 1,5% y 1,75%.</w:t>
      </w:r>
    </w:p>
    <w:p w:rsidR="00EB20FB" w:rsidRPr="005378EF" w:rsidRDefault="00EB20FB" w:rsidP="00EB20FB">
      <w:pPr>
        <w:spacing w:after="360" w:line="240" w:lineRule="auto"/>
        <w:jc w:val="both"/>
        <w:rPr>
          <w:rFonts w:ascii="Times New Roman" w:eastAsia="Times New Roman" w:hAnsi="Times New Roman" w:cs="Times New Roman"/>
          <w:sz w:val="24"/>
          <w:szCs w:val="24"/>
          <w:lang w:eastAsia="es-ES"/>
        </w:rPr>
      </w:pPr>
      <w:r w:rsidRPr="005378EF">
        <w:rPr>
          <w:rFonts w:ascii="Times New Roman" w:eastAsia="Times New Roman" w:hAnsi="Times New Roman" w:cs="Times New Roman"/>
          <w:sz w:val="24"/>
          <w:szCs w:val="24"/>
          <w:lang w:eastAsia="es-ES"/>
        </w:rPr>
        <w:t>El incremento, el tercero que hay desde marzo, se produce después de que la inflación aumentara inesperadamente el mes pasado. Es probable que haya más aum</w:t>
      </w:r>
      <w:r>
        <w:rPr>
          <w:rFonts w:ascii="Times New Roman" w:eastAsia="Times New Roman" w:hAnsi="Times New Roman" w:cs="Times New Roman"/>
          <w:sz w:val="24"/>
          <w:szCs w:val="24"/>
          <w:lang w:eastAsia="es-ES"/>
        </w:rPr>
        <w:t>entos, dijo la Reserva Federal.</w:t>
      </w:r>
    </w:p>
    <w:p w:rsidR="00EB20FB" w:rsidRPr="00C25103" w:rsidRDefault="00EB20FB" w:rsidP="00EB20FB">
      <w:pPr>
        <w:spacing w:after="360" w:line="240" w:lineRule="auto"/>
        <w:jc w:val="both"/>
        <w:rPr>
          <w:rFonts w:ascii="Times New Roman" w:eastAsia="Times New Roman" w:hAnsi="Times New Roman" w:cs="Times New Roman"/>
          <w:color w:val="FF0000"/>
          <w:sz w:val="24"/>
          <w:szCs w:val="24"/>
          <w:u w:val="single"/>
          <w:lang w:eastAsia="es-ES"/>
        </w:rPr>
      </w:pPr>
      <w:r w:rsidRPr="00C25103">
        <w:rPr>
          <w:rFonts w:ascii="Times New Roman" w:eastAsia="Times New Roman" w:hAnsi="Times New Roman" w:cs="Times New Roman"/>
          <w:color w:val="FF0000"/>
          <w:sz w:val="24"/>
          <w:szCs w:val="24"/>
          <w:u w:val="single"/>
          <w:lang w:eastAsia="es-ES"/>
        </w:rPr>
        <w:t>La última vez que la Fed anunció una subida de tipos de esta magnitud fue en 1994.</w:t>
      </w:r>
    </w:p>
    <w:p w:rsidR="00EB20FB" w:rsidRPr="005378EF" w:rsidRDefault="00EB20FB" w:rsidP="00EB20FB">
      <w:pPr>
        <w:spacing w:after="360" w:line="240" w:lineRule="auto"/>
        <w:jc w:val="both"/>
        <w:rPr>
          <w:rFonts w:ascii="Times New Roman" w:eastAsia="Times New Roman" w:hAnsi="Times New Roman" w:cs="Times New Roman"/>
          <w:sz w:val="24"/>
          <w:szCs w:val="24"/>
          <w:lang w:eastAsia="es-ES"/>
        </w:rPr>
      </w:pPr>
      <w:r w:rsidRPr="00C25103">
        <w:rPr>
          <w:rFonts w:ascii="Times New Roman" w:eastAsia="Times New Roman" w:hAnsi="Times New Roman" w:cs="Times New Roman"/>
          <w:sz w:val="24"/>
          <w:szCs w:val="24"/>
          <w:u w:val="single"/>
          <w:lang w:eastAsia="es-ES"/>
        </w:rPr>
        <w:t>Los pronósticos de la institución indican que las tasas de interés alcanzarán el 3,4% para fines de año,</w:t>
      </w:r>
      <w:r w:rsidRPr="005378EF">
        <w:rPr>
          <w:rFonts w:ascii="Times New Roman" w:eastAsia="Times New Roman" w:hAnsi="Times New Roman" w:cs="Times New Roman"/>
          <w:sz w:val="24"/>
          <w:szCs w:val="24"/>
          <w:lang w:eastAsia="es-ES"/>
        </w:rPr>
        <w:t xml:space="preserve"> un movimiento que afecta a los estadounidense en aspectos como mayores costos de endeudamiento para tarjetas de crédito o hipotecas.</w:t>
      </w:r>
    </w:p>
    <w:p w:rsidR="00EB20FB" w:rsidRPr="00EB20FB" w:rsidRDefault="00EB20FB" w:rsidP="00EB20FB">
      <w:pPr>
        <w:spacing w:after="360" w:line="240" w:lineRule="auto"/>
        <w:jc w:val="both"/>
        <w:rPr>
          <w:rFonts w:ascii="Times New Roman" w:eastAsia="Times New Roman" w:hAnsi="Times New Roman" w:cs="Times New Roman"/>
          <w:sz w:val="24"/>
          <w:szCs w:val="24"/>
          <w:lang w:eastAsia="es-ES"/>
        </w:rPr>
      </w:pPr>
      <w:r w:rsidRPr="00C25103">
        <w:rPr>
          <w:rFonts w:ascii="Times New Roman" w:eastAsia="Times New Roman" w:hAnsi="Times New Roman" w:cs="Times New Roman"/>
          <w:sz w:val="24"/>
          <w:szCs w:val="24"/>
          <w:u w:val="single"/>
          <w:lang w:eastAsia="es-ES"/>
        </w:rPr>
        <w:t>Y a nivel mundial, muchos bancos centrales naci</w:t>
      </w:r>
      <w:r>
        <w:rPr>
          <w:rFonts w:ascii="Times New Roman" w:eastAsia="Times New Roman" w:hAnsi="Times New Roman" w:cs="Times New Roman"/>
          <w:sz w:val="24"/>
          <w:szCs w:val="24"/>
          <w:u w:val="single"/>
          <w:lang w:eastAsia="es-ES"/>
        </w:rPr>
        <w:t>onales siguen las medidas de EEUU</w:t>
      </w:r>
      <w:r w:rsidRPr="00C25103">
        <w:rPr>
          <w:rFonts w:ascii="Times New Roman" w:eastAsia="Times New Roman" w:hAnsi="Times New Roman" w:cs="Times New Roman"/>
          <w:sz w:val="24"/>
          <w:szCs w:val="24"/>
          <w:u w:val="single"/>
          <w:lang w:eastAsia="es-ES"/>
        </w:rPr>
        <w:t>, lo cual marca un cambio para la economía global, ya que en los últimos años las empresas y los hogares han disfr</w:t>
      </w:r>
      <w:r>
        <w:rPr>
          <w:rFonts w:ascii="Times New Roman" w:eastAsia="Times New Roman" w:hAnsi="Times New Roman" w:cs="Times New Roman"/>
          <w:sz w:val="24"/>
          <w:szCs w:val="24"/>
          <w:u w:val="single"/>
          <w:lang w:eastAsia="es-ES"/>
        </w:rPr>
        <w:t>utado de préstamos a bajo costo</w:t>
      </w:r>
      <w:r>
        <w:rPr>
          <w:rFonts w:ascii="Times New Roman" w:eastAsia="Times New Roman" w:hAnsi="Times New Roman" w:cs="Times New Roman"/>
          <w:sz w:val="24"/>
          <w:szCs w:val="24"/>
          <w:lang w:eastAsia="es-ES"/>
        </w:rPr>
        <w:t>…</w:t>
      </w:r>
    </w:p>
    <w:p w:rsidR="00EB20FB" w:rsidRPr="00C25103" w:rsidRDefault="00EB20FB" w:rsidP="00EB20FB">
      <w:pPr>
        <w:spacing w:after="360" w:line="240" w:lineRule="auto"/>
        <w:jc w:val="both"/>
        <w:rPr>
          <w:rFonts w:ascii="Times New Roman" w:eastAsia="Times New Roman" w:hAnsi="Times New Roman" w:cs="Times New Roman"/>
          <w:sz w:val="24"/>
          <w:szCs w:val="24"/>
          <w:u w:val="single"/>
          <w:lang w:eastAsia="es-ES"/>
        </w:rPr>
      </w:pPr>
      <w:r>
        <w:rPr>
          <w:rFonts w:ascii="Times New Roman" w:eastAsia="Times New Roman" w:hAnsi="Times New Roman" w:cs="Times New Roman"/>
          <w:sz w:val="24"/>
          <w:szCs w:val="24"/>
          <w:u w:val="single"/>
          <w:lang w:eastAsia="es-ES"/>
        </w:rPr>
        <w:t>“</w:t>
      </w:r>
      <w:r w:rsidRPr="00C25103">
        <w:rPr>
          <w:rFonts w:ascii="Times New Roman" w:eastAsia="Times New Roman" w:hAnsi="Times New Roman" w:cs="Times New Roman"/>
          <w:sz w:val="24"/>
          <w:szCs w:val="24"/>
          <w:u w:val="single"/>
          <w:lang w:eastAsia="es-ES"/>
        </w:rPr>
        <w:t>La inflación sigue siendo elevada, lo que refleja los desequilibrios de oferta y demanda relacionados con la pandemia, los precios más altos de la energía y las</w:t>
      </w:r>
      <w:r>
        <w:rPr>
          <w:rFonts w:ascii="Times New Roman" w:eastAsia="Times New Roman" w:hAnsi="Times New Roman" w:cs="Times New Roman"/>
          <w:sz w:val="24"/>
          <w:szCs w:val="24"/>
          <w:u w:val="single"/>
          <w:lang w:eastAsia="es-ES"/>
        </w:rPr>
        <w:t xml:space="preserve"> presiones de precios generales”</w:t>
      </w:r>
      <w:r w:rsidRPr="00C25103">
        <w:rPr>
          <w:rFonts w:ascii="Times New Roman" w:eastAsia="Times New Roman" w:hAnsi="Times New Roman" w:cs="Times New Roman"/>
          <w:sz w:val="24"/>
          <w:szCs w:val="24"/>
          <w:u w:val="single"/>
          <w:lang w:eastAsia="es-ES"/>
        </w:rPr>
        <w:t>, dijo el banco en un comunicado al final de su última reunión de dos días en Washington.</w:t>
      </w:r>
      <w:r>
        <w:rPr>
          <w:rFonts w:ascii="Times New Roman" w:eastAsia="Times New Roman" w:hAnsi="Times New Roman" w:cs="Times New Roman"/>
          <w:sz w:val="24"/>
          <w:szCs w:val="24"/>
          <w:u w:val="single"/>
          <w:lang w:eastAsia="es-ES"/>
        </w:rPr>
        <w:t xml:space="preserve"> “</w:t>
      </w:r>
      <w:r w:rsidRPr="00C25103">
        <w:rPr>
          <w:rFonts w:ascii="Times New Roman" w:eastAsia="Times New Roman" w:hAnsi="Times New Roman" w:cs="Times New Roman"/>
          <w:sz w:val="24"/>
          <w:szCs w:val="24"/>
          <w:u w:val="single"/>
          <w:lang w:eastAsia="es-ES"/>
        </w:rPr>
        <w:t>El comité está fuertemente comprometido a devolver la</w:t>
      </w:r>
      <w:r>
        <w:rPr>
          <w:rFonts w:ascii="Times New Roman" w:eastAsia="Times New Roman" w:hAnsi="Times New Roman" w:cs="Times New Roman"/>
          <w:sz w:val="24"/>
          <w:szCs w:val="24"/>
          <w:u w:val="single"/>
          <w:lang w:eastAsia="es-ES"/>
        </w:rPr>
        <w:t xml:space="preserve"> inflación a su objetivo del 2%”</w:t>
      </w:r>
      <w:r w:rsidRPr="00C25103">
        <w:rPr>
          <w:rFonts w:ascii="Times New Roman" w:eastAsia="Times New Roman" w:hAnsi="Times New Roman" w:cs="Times New Roman"/>
          <w:sz w:val="24"/>
          <w:szCs w:val="24"/>
          <w:u w:val="single"/>
          <w:lang w:eastAsia="es-ES"/>
        </w:rPr>
        <w:t>, añadió.</w:t>
      </w:r>
    </w:p>
    <w:p w:rsidR="00EB20FB" w:rsidRPr="00EB20FB" w:rsidRDefault="00EB20FB" w:rsidP="00EB20FB">
      <w:pPr>
        <w:spacing w:after="360" w:line="240" w:lineRule="auto"/>
        <w:jc w:val="both"/>
        <w:rPr>
          <w:rFonts w:ascii="Times New Roman" w:eastAsia="Times New Roman" w:hAnsi="Times New Roman" w:cs="Times New Roman"/>
          <w:sz w:val="24"/>
          <w:szCs w:val="24"/>
          <w:lang w:eastAsia="es-ES"/>
        </w:rPr>
      </w:pPr>
      <w:r w:rsidRPr="005378EF">
        <w:rPr>
          <w:rFonts w:ascii="Times New Roman" w:eastAsia="Times New Roman" w:hAnsi="Times New Roman" w:cs="Times New Roman"/>
          <w:sz w:val="24"/>
          <w:szCs w:val="24"/>
          <w:lang w:eastAsia="es-ES"/>
        </w:rPr>
        <w:t>Muchos analistas dicen que la Fed está luchando por ponerse al día, después de que la infl</w:t>
      </w:r>
      <w:r>
        <w:rPr>
          <w:rFonts w:ascii="Times New Roman" w:eastAsia="Times New Roman" w:hAnsi="Times New Roman" w:cs="Times New Roman"/>
          <w:sz w:val="24"/>
          <w:szCs w:val="24"/>
          <w:lang w:eastAsia="es-ES"/>
        </w:rPr>
        <w:t>ación comenzara a crecer en EEUU</w:t>
      </w:r>
      <w:r w:rsidRPr="005378EF">
        <w:rPr>
          <w:rFonts w:ascii="Times New Roman" w:eastAsia="Times New Roman" w:hAnsi="Times New Roman" w:cs="Times New Roman"/>
          <w:sz w:val="24"/>
          <w:szCs w:val="24"/>
          <w:lang w:eastAsia="es-ES"/>
        </w:rPr>
        <w:t xml:space="preserve"> el año pasado, debido a un repunte económico más fuerte de lo esperado tras la pa</w:t>
      </w:r>
      <w:r>
        <w:rPr>
          <w:rFonts w:ascii="Times New Roman" w:eastAsia="Times New Roman" w:hAnsi="Times New Roman" w:cs="Times New Roman"/>
          <w:sz w:val="24"/>
          <w:szCs w:val="24"/>
          <w:lang w:eastAsia="es-ES"/>
        </w:rPr>
        <w:t xml:space="preserve">usa de la pandemia de covid-19. </w:t>
      </w:r>
      <w:r w:rsidRPr="00C25103">
        <w:rPr>
          <w:rFonts w:ascii="Times New Roman" w:eastAsia="Times New Roman" w:hAnsi="Times New Roman" w:cs="Times New Roman"/>
          <w:color w:val="FF0000"/>
          <w:sz w:val="24"/>
          <w:szCs w:val="24"/>
          <w:u w:val="single"/>
          <w:lang w:eastAsia="es-ES"/>
        </w:rPr>
        <w:t>Con el aumento de la demanda, ayudada por los billones de dólares que inyectó el gobierno estadounidense en la economía, incluidos cheques directos a los hogares, las autoridades pensaron inicialmente que los aumentos de precios eran transitorios.</w:t>
      </w:r>
    </w:p>
    <w:p w:rsidR="00EB20FB" w:rsidRPr="00EB20FB" w:rsidRDefault="00EB20FB" w:rsidP="00EB20FB">
      <w:pPr>
        <w:spacing w:after="360" w:line="240" w:lineRule="auto"/>
        <w:jc w:val="both"/>
        <w:rPr>
          <w:rFonts w:ascii="Times New Roman" w:eastAsia="Times New Roman" w:hAnsi="Times New Roman" w:cs="Times New Roman"/>
          <w:color w:val="FF0000"/>
          <w:sz w:val="24"/>
          <w:szCs w:val="24"/>
          <w:lang w:eastAsia="es-ES"/>
        </w:rPr>
      </w:pPr>
      <w:r w:rsidRPr="00C25103">
        <w:rPr>
          <w:rFonts w:ascii="Times New Roman" w:eastAsia="Times New Roman" w:hAnsi="Times New Roman" w:cs="Times New Roman"/>
          <w:color w:val="FF0000"/>
          <w:sz w:val="24"/>
          <w:szCs w:val="24"/>
          <w:u w:val="single"/>
          <w:lang w:eastAsia="es-ES"/>
        </w:rPr>
        <w:t>Pero los problemas han demostrado ser persistentes, ya que los nuevos brotes de variantes del virus y los parones que generan, continúan interrumpiendo la actividad, y la guerra en Ucrania impulsa al alza los precios mundiales de los alimentos y la energía.</w:t>
      </w:r>
      <w:r>
        <w:rPr>
          <w:rFonts w:ascii="Times New Roman" w:eastAsia="Times New Roman" w:hAnsi="Times New Roman" w:cs="Times New Roman"/>
          <w:color w:val="FF0000"/>
          <w:sz w:val="24"/>
          <w:szCs w:val="24"/>
          <w:u w:val="single"/>
          <w:lang w:eastAsia="es-ES"/>
        </w:rPr>
        <w:t xml:space="preserve"> </w:t>
      </w:r>
      <w:r w:rsidRPr="00C25103">
        <w:rPr>
          <w:rFonts w:ascii="Times New Roman" w:eastAsia="Times New Roman" w:hAnsi="Times New Roman" w:cs="Times New Roman"/>
          <w:color w:val="FF0000"/>
          <w:sz w:val="24"/>
          <w:szCs w:val="24"/>
          <w:u w:val="single"/>
          <w:lang w:eastAsia="es-ES"/>
        </w:rPr>
        <w:t>Encuestas recientes sugieren que la gente en general espera que el problema siga empeorando, a pesar de las promesas</w:t>
      </w:r>
      <w:r w:rsidRPr="00EB20FB">
        <w:rPr>
          <w:rFonts w:ascii="Times New Roman" w:eastAsia="Times New Roman" w:hAnsi="Times New Roman" w:cs="Times New Roman"/>
          <w:color w:val="FF0000"/>
          <w:sz w:val="24"/>
          <w:szCs w:val="24"/>
          <w:lang w:eastAsia="es-ES"/>
        </w:rPr>
        <w:t>…</w:t>
      </w:r>
    </w:p>
    <w:p w:rsidR="00EB20FB" w:rsidRPr="00D10BBD" w:rsidRDefault="00EB20FB" w:rsidP="00EB20FB">
      <w:pPr>
        <w:spacing w:after="36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D10BBD">
        <w:rPr>
          <w:rFonts w:ascii="Times New Roman" w:eastAsia="Times New Roman" w:hAnsi="Times New Roman" w:cs="Times New Roman"/>
          <w:sz w:val="24"/>
          <w:szCs w:val="24"/>
          <w:u w:val="single"/>
          <w:lang w:eastAsia="es-ES"/>
        </w:rPr>
        <w:t>Fed y BCE aceleran sus cambios de política ante el zarpazo de la inflación</w:t>
      </w:r>
      <w:r>
        <w:rPr>
          <w:rFonts w:ascii="Times New Roman" w:eastAsia="Times New Roman" w:hAnsi="Times New Roman" w:cs="Times New Roman"/>
          <w:sz w:val="24"/>
          <w:szCs w:val="24"/>
          <w:lang w:eastAsia="es-ES"/>
        </w:rPr>
        <w:t xml:space="preserve"> (Cinco Días - </w:t>
      </w:r>
      <w:r w:rsidRPr="00D10BBD">
        <w:rPr>
          <w:rFonts w:ascii="Times New Roman" w:eastAsia="Times New Roman" w:hAnsi="Times New Roman" w:cs="Times New Roman"/>
          <w:b/>
          <w:sz w:val="24"/>
          <w:szCs w:val="24"/>
          <w:lang w:eastAsia="es-ES"/>
        </w:rPr>
        <w:t>16/6/22</w:t>
      </w:r>
      <w:r>
        <w:rPr>
          <w:rFonts w:ascii="Times New Roman" w:eastAsia="Times New Roman" w:hAnsi="Times New Roman" w:cs="Times New Roman"/>
          <w:sz w:val="24"/>
          <w:szCs w:val="24"/>
          <w:lang w:eastAsia="es-ES"/>
        </w:rPr>
        <w:t>)</w:t>
      </w:r>
    </w:p>
    <w:p w:rsidR="00EB20FB" w:rsidRPr="00EB20FB" w:rsidRDefault="00EB20FB" w:rsidP="00EB20FB">
      <w:pPr>
        <w:spacing w:after="360" w:line="240" w:lineRule="auto"/>
        <w:jc w:val="both"/>
        <w:rPr>
          <w:rFonts w:ascii="Times New Roman" w:eastAsia="Times New Roman" w:hAnsi="Times New Roman" w:cs="Times New Roman"/>
          <w:color w:val="FF0000"/>
          <w:sz w:val="24"/>
          <w:szCs w:val="24"/>
          <w:lang w:eastAsia="es-ES"/>
        </w:rPr>
      </w:pPr>
      <w:r w:rsidRPr="00EB20FB">
        <w:rPr>
          <w:rFonts w:ascii="Times New Roman" w:eastAsia="Times New Roman" w:hAnsi="Times New Roman" w:cs="Times New Roman"/>
          <w:color w:val="FF0000"/>
          <w:sz w:val="24"/>
          <w:szCs w:val="24"/>
          <w:lang w:eastAsia="es-ES"/>
        </w:rPr>
        <w:t>EEUU aplica una histórica subida de intereses y vislumbra tipos cerca del 4% mientras el BCE revisa sus planes para evitar una nueva crisis de deuda</w:t>
      </w:r>
    </w:p>
    <w:p w:rsidR="00EB20FB" w:rsidRPr="00EB20FB" w:rsidRDefault="00EB20FB" w:rsidP="00EB20FB">
      <w:pPr>
        <w:spacing w:after="360" w:line="240" w:lineRule="auto"/>
        <w:jc w:val="both"/>
        <w:rPr>
          <w:rFonts w:ascii="Times New Roman" w:eastAsia="Times New Roman" w:hAnsi="Times New Roman" w:cs="Times New Roman"/>
          <w:color w:val="FF0000"/>
          <w:sz w:val="24"/>
          <w:szCs w:val="24"/>
          <w:u w:val="single"/>
          <w:lang w:eastAsia="es-ES"/>
        </w:rPr>
      </w:pPr>
      <w:r w:rsidRPr="00EB20FB">
        <w:rPr>
          <w:rFonts w:ascii="Times New Roman" w:eastAsia="Times New Roman" w:hAnsi="Times New Roman" w:cs="Times New Roman"/>
          <w:color w:val="FF0000"/>
          <w:sz w:val="24"/>
          <w:szCs w:val="24"/>
          <w:u w:val="single"/>
          <w:lang w:eastAsia="es-ES"/>
        </w:rPr>
        <w:t xml:space="preserve">En una jornada maratoniana, la Reserva Federal de EEUU y el Banco Central Europeo se conjuraron ayer para intentar poner coto a la inflación, por un lado, y en Europa, terminar con la especulación que acecha a los bonos periféricos, especialmente de España e Italia. Dos movimientos de gran calado en las dos principales áreas monetarias del mundo sucedidos por </w:t>
      </w:r>
      <w:r w:rsidRPr="00EB20FB">
        <w:rPr>
          <w:rFonts w:ascii="Times New Roman" w:eastAsia="Times New Roman" w:hAnsi="Times New Roman" w:cs="Times New Roman"/>
          <w:color w:val="FF0000"/>
          <w:sz w:val="24"/>
          <w:szCs w:val="24"/>
          <w:u w:val="single"/>
          <w:lang w:eastAsia="es-ES"/>
        </w:rPr>
        <w:lastRenderedPageBreak/>
        <w:t>12 horas. A primera hora de la mañana, el BCE anunciaba una reunión urgente para tomar medidas, adelantándose a la cita programada de la Fed en la que se esperaba, como realmente ocurrió, una subida de tipos de 75 puntos básicos.</w:t>
      </w:r>
    </w:p>
    <w:p w:rsidR="00EB20FB" w:rsidRPr="00E13B88" w:rsidRDefault="00EB20FB" w:rsidP="00EB20FB">
      <w:pPr>
        <w:spacing w:after="360" w:line="240" w:lineRule="auto"/>
        <w:jc w:val="both"/>
        <w:rPr>
          <w:rFonts w:ascii="Times New Roman" w:eastAsia="Times New Roman" w:hAnsi="Times New Roman" w:cs="Times New Roman"/>
          <w:sz w:val="24"/>
          <w:szCs w:val="24"/>
          <w:u w:val="single"/>
          <w:lang w:eastAsia="es-ES"/>
        </w:rPr>
      </w:pPr>
      <w:r w:rsidRPr="00E13B88">
        <w:rPr>
          <w:rFonts w:ascii="Times New Roman" w:eastAsia="Times New Roman" w:hAnsi="Times New Roman" w:cs="Times New Roman"/>
          <w:sz w:val="24"/>
          <w:szCs w:val="24"/>
          <w:u w:val="single"/>
          <w:lang w:eastAsia="es-ES"/>
        </w:rPr>
        <w:t>Las principales autoridades monetarias se enfrentan a un mismo problema, una subida de precios desconocida en varias décadas, pero con sus matices: por un lado, un mercado que marcha a varias velocidades como es el caso de la zona euro, y por otro, la amenaza firme de recesión en 2023, en el caso estadounidense. El complejo puzzle que obligó ayer a las autoridades monetarias de ambas partes del Atlántico a mover ficha</w:t>
      </w:r>
      <w:r w:rsidR="004902CA">
        <w:rPr>
          <w:rFonts w:ascii="Times New Roman" w:eastAsia="Times New Roman" w:hAnsi="Times New Roman" w:cs="Times New Roman"/>
          <w:sz w:val="24"/>
          <w:szCs w:val="24"/>
          <w:lang w:eastAsia="es-ES"/>
        </w:rPr>
        <w:t>..</w:t>
      </w:r>
      <w:r w:rsidRPr="004902CA">
        <w:rPr>
          <w:rFonts w:ascii="Times New Roman" w:eastAsia="Times New Roman" w:hAnsi="Times New Roman" w:cs="Times New Roman"/>
          <w:sz w:val="24"/>
          <w:szCs w:val="24"/>
          <w:lang w:eastAsia="es-ES"/>
        </w:rPr>
        <w:t>.</w:t>
      </w:r>
    </w:p>
    <w:p w:rsidR="00EB20FB" w:rsidRPr="00E13B88" w:rsidRDefault="004902CA" w:rsidP="00EB20FB">
      <w:pPr>
        <w:spacing w:after="360" w:line="240" w:lineRule="auto"/>
        <w:jc w:val="both"/>
        <w:rPr>
          <w:rFonts w:ascii="Times New Roman" w:eastAsia="Times New Roman" w:hAnsi="Times New Roman" w:cs="Times New Roman"/>
          <w:sz w:val="24"/>
          <w:szCs w:val="24"/>
          <w:u w:val="single"/>
          <w:lang w:eastAsia="es-ES"/>
        </w:rPr>
      </w:pPr>
      <w:r>
        <w:rPr>
          <w:rFonts w:ascii="Times New Roman" w:eastAsia="Times New Roman" w:hAnsi="Times New Roman" w:cs="Times New Roman"/>
          <w:sz w:val="24"/>
          <w:szCs w:val="24"/>
          <w:u w:val="single"/>
          <w:lang w:eastAsia="es-ES"/>
        </w:rPr>
        <w:t>“</w:t>
      </w:r>
      <w:r w:rsidR="00EB20FB" w:rsidRPr="00E13B88">
        <w:rPr>
          <w:rFonts w:ascii="Times New Roman" w:eastAsia="Times New Roman" w:hAnsi="Times New Roman" w:cs="Times New Roman"/>
          <w:sz w:val="24"/>
          <w:szCs w:val="24"/>
          <w:u w:val="single"/>
          <w:lang w:eastAsia="es-ES"/>
        </w:rPr>
        <w:t>Está muy claro que la Fed hará lo que sea necesario para reducir enérgicamente la inflación y que la tasa de tipos va a terminar ce</w:t>
      </w:r>
      <w:r>
        <w:rPr>
          <w:rFonts w:ascii="Times New Roman" w:eastAsia="Times New Roman" w:hAnsi="Times New Roman" w:cs="Times New Roman"/>
          <w:sz w:val="24"/>
          <w:szCs w:val="24"/>
          <w:u w:val="single"/>
          <w:lang w:eastAsia="es-ES"/>
        </w:rPr>
        <w:t>rca del 4% o incluso más arriba”</w:t>
      </w:r>
      <w:r w:rsidR="00EB20FB" w:rsidRPr="00E13B88">
        <w:rPr>
          <w:rFonts w:ascii="Times New Roman" w:eastAsia="Times New Roman" w:hAnsi="Times New Roman" w:cs="Times New Roman"/>
          <w:sz w:val="24"/>
          <w:szCs w:val="24"/>
          <w:u w:val="single"/>
          <w:lang w:eastAsia="es-ES"/>
        </w:rPr>
        <w:t>, dijo a Bloomberg Peter Yi, director de renta fija en No</w:t>
      </w:r>
      <w:r>
        <w:rPr>
          <w:rFonts w:ascii="Times New Roman" w:eastAsia="Times New Roman" w:hAnsi="Times New Roman" w:cs="Times New Roman"/>
          <w:sz w:val="24"/>
          <w:szCs w:val="24"/>
          <w:u w:val="single"/>
          <w:lang w:eastAsia="es-ES"/>
        </w:rPr>
        <w:t>rthern Trust Asset Management. “</w:t>
      </w:r>
      <w:r w:rsidR="00EB20FB" w:rsidRPr="00E13B88">
        <w:rPr>
          <w:rFonts w:ascii="Times New Roman" w:eastAsia="Times New Roman" w:hAnsi="Times New Roman" w:cs="Times New Roman"/>
          <w:sz w:val="24"/>
          <w:szCs w:val="24"/>
          <w:u w:val="single"/>
          <w:lang w:eastAsia="es-ES"/>
        </w:rPr>
        <w:t>Aunque Powell trató de restar importancia a otra subida de 75 puntos básicos el próximo mes, dijo que los tipos sig</w:t>
      </w:r>
      <w:r>
        <w:rPr>
          <w:rFonts w:ascii="Times New Roman" w:eastAsia="Times New Roman" w:hAnsi="Times New Roman" w:cs="Times New Roman"/>
          <w:sz w:val="24"/>
          <w:szCs w:val="24"/>
          <w:u w:val="single"/>
          <w:lang w:eastAsia="es-ES"/>
        </w:rPr>
        <w:t>uen siendo extremadamente bajos”</w:t>
      </w:r>
      <w:r w:rsidR="00EB20FB" w:rsidRPr="00E13B88">
        <w:rPr>
          <w:rFonts w:ascii="Times New Roman" w:eastAsia="Times New Roman" w:hAnsi="Times New Roman" w:cs="Times New Roman"/>
          <w:sz w:val="24"/>
          <w:szCs w:val="24"/>
          <w:u w:val="single"/>
          <w:lang w:eastAsia="es-ES"/>
        </w:rPr>
        <w:t>.</w:t>
      </w:r>
    </w:p>
    <w:p w:rsidR="00EB20FB" w:rsidRPr="00E13B88" w:rsidRDefault="00EB20FB" w:rsidP="00EB20FB">
      <w:pPr>
        <w:spacing w:after="360" w:line="240" w:lineRule="auto"/>
        <w:jc w:val="both"/>
        <w:rPr>
          <w:rFonts w:ascii="Times New Roman" w:eastAsia="Times New Roman" w:hAnsi="Times New Roman" w:cs="Times New Roman"/>
          <w:sz w:val="24"/>
          <w:szCs w:val="24"/>
          <w:u w:val="single"/>
          <w:lang w:eastAsia="es-ES"/>
        </w:rPr>
      </w:pPr>
      <w:r w:rsidRPr="00E13B88">
        <w:rPr>
          <w:rFonts w:ascii="Times New Roman" w:eastAsia="Times New Roman" w:hAnsi="Times New Roman" w:cs="Times New Roman"/>
          <w:sz w:val="24"/>
          <w:szCs w:val="24"/>
          <w:u w:val="single"/>
          <w:lang w:eastAsia="es-ES"/>
        </w:rPr>
        <w:t>El cambio de postura conlleva peligros no sólo para la economía, sino para los mercados financieros, también en Europa, en la medida en que los tipos de interés estadounidenses son la referencia para todo el mundo. Cuando sube tipos la Fed, los activos de riesgo de todo el mundo sufren, como ha venido sucediendo este año. Y cuanto más suban, más presión. Ello ayuda a explicar la premura con la que el BCE convocó ayer su consejo de gobierno para debatir el alza de las primas de riesgo de la periferia del euro.</w:t>
      </w:r>
    </w:p>
    <w:p w:rsidR="00EB20FB" w:rsidRPr="00D10BBD" w:rsidRDefault="00EB20FB" w:rsidP="00EB20FB">
      <w:pPr>
        <w:spacing w:after="360" w:line="240" w:lineRule="auto"/>
        <w:jc w:val="both"/>
        <w:rPr>
          <w:rFonts w:ascii="Times New Roman" w:eastAsia="Times New Roman" w:hAnsi="Times New Roman" w:cs="Times New Roman"/>
          <w:sz w:val="24"/>
          <w:szCs w:val="24"/>
          <w:lang w:eastAsia="es-ES"/>
        </w:rPr>
      </w:pPr>
      <w:r w:rsidRPr="00D10BBD">
        <w:rPr>
          <w:rFonts w:ascii="Times New Roman" w:eastAsia="Times New Roman" w:hAnsi="Times New Roman" w:cs="Times New Roman"/>
          <w:sz w:val="24"/>
          <w:szCs w:val="24"/>
          <w:lang w:eastAsia="es-ES"/>
        </w:rPr>
        <w:t>El inicio de la retirada de estímulos del BCE y el anuncio la semana pasada por parte de Christine Lagarde de subidas de tipos, junto al papel de la Fed, ha provocado el aumento de las primas de riesgo periféricas, una situación que recuerda a los peores años de la crisis del euro de 2011 y 2012, que a punto estuvo de acabar con la moneda europea. Los tipos de la deuda han subido en vertical en todo el mundo, pero el diferencial entre la deuda alemana y la española o italiana, que han pasado de 70 a 130 puntos (la españ</w:t>
      </w:r>
      <w:r>
        <w:rPr>
          <w:rFonts w:ascii="Times New Roman" w:eastAsia="Times New Roman" w:hAnsi="Times New Roman" w:cs="Times New Roman"/>
          <w:sz w:val="24"/>
          <w:szCs w:val="24"/>
          <w:lang w:eastAsia="es-ES"/>
        </w:rPr>
        <w:t>ola) y de 130 a 240 (italiana).</w:t>
      </w:r>
    </w:p>
    <w:p w:rsidR="00093A50" w:rsidRDefault="00EB20FB" w:rsidP="004902CA">
      <w:pPr>
        <w:spacing w:after="360" w:line="240" w:lineRule="auto"/>
        <w:jc w:val="both"/>
        <w:rPr>
          <w:rFonts w:ascii="Times New Roman" w:eastAsia="Times New Roman" w:hAnsi="Times New Roman" w:cs="Times New Roman"/>
          <w:color w:val="FF0000"/>
          <w:sz w:val="24"/>
          <w:szCs w:val="24"/>
          <w:lang w:eastAsia="es-ES"/>
        </w:rPr>
      </w:pPr>
      <w:r w:rsidRPr="00E13B88">
        <w:rPr>
          <w:rFonts w:ascii="Times New Roman" w:eastAsia="Times New Roman" w:hAnsi="Times New Roman" w:cs="Times New Roman"/>
          <w:color w:val="FF0000"/>
          <w:sz w:val="24"/>
          <w:szCs w:val="24"/>
          <w:u w:val="single"/>
          <w:lang w:eastAsia="es-ES"/>
        </w:rPr>
        <w:t>El BCE ha advertido repetidamente de que quiere evitar la fragmentación financiera derivada de este fenómeno: como el mercado extrapola las primas de riesgo de cada país a los activos de empresas o entidades allí situadas, estos diferenciales ero</w:t>
      </w:r>
      <w:r w:rsidR="004902CA">
        <w:rPr>
          <w:rFonts w:ascii="Times New Roman" w:eastAsia="Times New Roman" w:hAnsi="Times New Roman" w:cs="Times New Roman"/>
          <w:color w:val="FF0000"/>
          <w:sz w:val="24"/>
          <w:szCs w:val="24"/>
          <w:u w:val="single"/>
          <w:lang w:eastAsia="es-ES"/>
        </w:rPr>
        <w:t>sionan la unidad de la eurozona</w:t>
      </w:r>
      <w:r w:rsidR="004902CA">
        <w:rPr>
          <w:rFonts w:ascii="Times New Roman" w:eastAsia="Times New Roman" w:hAnsi="Times New Roman" w:cs="Times New Roman"/>
          <w:color w:val="FF0000"/>
          <w:sz w:val="24"/>
          <w:szCs w:val="24"/>
          <w:lang w:eastAsia="es-ES"/>
        </w:rPr>
        <w:t>…</w:t>
      </w:r>
      <w:r w:rsidRPr="00E13B88">
        <w:rPr>
          <w:rFonts w:ascii="Times New Roman" w:eastAsia="Times New Roman" w:hAnsi="Times New Roman" w:cs="Times New Roman"/>
          <w:color w:val="FF0000"/>
          <w:sz w:val="24"/>
          <w:szCs w:val="24"/>
          <w:lang w:eastAsia="es-ES"/>
        </w:rPr>
        <w:t xml:space="preserve"> </w:t>
      </w:r>
    </w:p>
    <w:p w:rsidR="004902CA" w:rsidRPr="00D10BBD" w:rsidRDefault="004902CA" w:rsidP="004902CA">
      <w:pPr>
        <w:spacing w:after="36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D10BBD">
        <w:rPr>
          <w:rFonts w:ascii="Times New Roman" w:eastAsia="Times New Roman" w:hAnsi="Times New Roman" w:cs="Times New Roman"/>
          <w:sz w:val="24"/>
          <w:szCs w:val="24"/>
          <w:u w:val="single"/>
          <w:lang w:eastAsia="es-ES"/>
        </w:rPr>
        <w:t>Las claves de la nueva herramienta del BCE: con condiciones y sin tope inicial de cuantía</w:t>
      </w:r>
      <w:r>
        <w:rPr>
          <w:rFonts w:ascii="Times New Roman" w:eastAsia="Times New Roman" w:hAnsi="Times New Roman" w:cs="Times New Roman"/>
          <w:sz w:val="24"/>
          <w:szCs w:val="24"/>
          <w:lang w:eastAsia="es-ES"/>
        </w:rPr>
        <w:t xml:space="preserve"> (Cinco Días - </w:t>
      </w:r>
      <w:r w:rsidRPr="00D10BBD">
        <w:rPr>
          <w:rFonts w:ascii="Times New Roman" w:eastAsia="Times New Roman" w:hAnsi="Times New Roman" w:cs="Times New Roman"/>
          <w:b/>
          <w:sz w:val="24"/>
          <w:szCs w:val="24"/>
          <w:lang w:eastAsia="es-ES"/>
        </w:rPr>
        <w:t>16/6/22</w:t>
      </w:r>
      <w:r>
        <w:rPr>
          <w:rFonts w:ascii="Times New Roman" w:eastAsia="Times New Roman" w:hAnsi="Times New Roman" w:cs="Times New Roman"/>
          <w:sz w:val="24"/>
          <w:szCs w:val="24"/>
          <w:lang w:eastAsia="es-ES"/>
        </w:rPr>
        <w:t>)</w:t>
      </w:r>
    </w:p>
    <w:p w:rsidR="004902CA" w:rsidRPr="004902CA" w:rsidRDefault="004902CA" w:rsidP="004902CA">
      <w:pPr>
        <w:spacing w:after="360" w:line="240" w:lineRule="auto"/>
        <w:jc w:val="both"/>
        <w:rPr>
          <w:rFonts w:ascii="Times New Roman" w:eastAsia="Times New Roman" w:hAnsi="Times New Roman" w:cs="Times New Roman"/>
          <w:color w:val="FF0000"/>
          <w:sz w:val="24"/>
          <w:szCs w:val="24"/>
          <w:lang w:eastAsia="es-ES"/>
        </w:rPr>
      </w:pPr>
      <w:r w:rsidRPr="004902CA">
        <w:rPr>
          <w:rFonts w:ascii="Times New Roman" w:eastAsia="Times New Roman" w:hAnsi="Times New Roman" w:cs="Times New Roman"/>
          <w:color w:val="FF0000"/>
          <w:sz w:val="24"/>
          <w:szCs w:val="24"/>
          <w:lang w:eastAsia="es-ES"/>
        </w:rPr>
        <w:t>Los inversores esperan que el programa anticrisis esté listo en julio</w:t>
      </w:r>
    </w:p>
    <w:p w:rsidR="004902CA" w:rsidRDefault="004902CA" w:rsidP="004902CA">
      <w:pPr>
        <w:spacing w:after="360" w:line="240" w:lineRule="auto"/>
        <w:jc w:val="both"/>
        <w:rPr>
          <w:rFonts w:ascii="Times New Roman" w:eastAsia="Times New Roman" w:hAnsi="Times New Roman" w:cs="Times New Roman"/>
          <w:sz w:val="24"/>
          <w:szCs w:val="24"/>
          <w:lang w:eastAsia="es-ES"/>
        </w:rPr>
      </w:pPr>
      <w:r w:rsidRPr="00D10BBD">
        <w:rPr>
          <w:rFonts w:ascii="Times New Roman" w:eastAsia="Times New Roman" w:hAnsi="Times New Roman" w:cs="Times New Roman"/>
          <w:sz w:val="24"/>
          <w:szCs w:val="24"/>
          <w:lang w:eastAsia="es-ES"/>
        </w:rPr>
        <w:t>La senda de alzas de tipos que el BCE iniciará en julio va a ser un camino plagado de dificultades. Ni una semana después de confirmar una subida de 25 puntos básicos el mes que viene, el consejo de gobierno de la institución volvió a reunirse ayer, de forma extraordinaria, ante la escalada fulminante que han registrado en unos días las primas de riesgo de Italia y España, propia</w:t>
      </w:r>
      <w:r>
        <w:rPr>
          <w:rFonts w:ascii="Times New Roman" w:eastAsia="Times New Roman" w:hAnsi="Times New Roman" w:cs="Times New Roman"/>
          <w:sz w:val="24"/>
          <w:szCs w:val="24"/>
          <w:lang w:eastAsia="es-ES"/>
        </w:rPr>
        <w:t xml:space="preserve"> de momentos de crisis pasadas.</w:t>
      </w:r>
    </w:p>
    <w:p w:rsidR="004902CA" w:rsidRPr="00D10BBD" w:rsidRDefault="004902CA" w:rsidP="004902CA">
      <w:pPr>
        <w:spacing w:after="360" w:line="240" w:lineRule="auto"/>
        <w:jc w:val="both"/>
        <w:rPr>
          <w:rFonts w:ascii="Times New Roman" w:eastAsia="Times New Roman" w:hAnsi="Times New Roman" w:cs="Times New Roman"/>
          <w:sz w:val="24"/>
          <w:szCs w:val="24"/>
          <w:lang w:eastAsia="es-ES"/>
        </w:rPr>
      </w:pPr>
      <w:r w:rsidRPr="00D10BBD">
        <w:rPr>
          <w:rFonts w:ascii="Times New Roman" w:eastAsia="Times New Roman" w:hAnsi="Times New Roman" w:cs="Times New Roman"/>
          <w:sz w:val="24"/>
          <w:szCs w:val="24"/>
          <w:lang w:eastAsia="es-ES"/>
        </w:rPr>
        <w:lastRenderedPageBreak/>
        <w:t>El consejo de gobierno anunció que ha dado mandato a los comités de la institución para acelerar el diseño de un nuevo vehículo con el que combatir la fragmentación financiera en la zona euro. Es decir, un nuevo programa que contenga la escalada de las primas de riesgo. Por ahora, recurrirá a la reinversión de los vencimientos del programa extraordinario antipandemia (PEPP), según estaba ya previsto. Una alternativa con muchas limitaciones para afrontar de forma efectiva momentos de estrés de mercado y ante lo que el BCE se ha visto forzado a diseñar una nueva herramienta. Esta vez con un carácter mucho más estructural con el fin de prevenir crisis de deuda futuras, incluyendo cierta condicionalidad y sin establecer un volumen concreto de antemano, según prevén fuentes financieras.</w:t>
      </w:r>
    </w:p>
    <w:p w:rsidR="004902CA" w:rsidRPr="00D10BBD" w:rsidRDefault="004902CA" w:rsidP="004902CA">
      <w:pPr>
        <w:spacing w:after="360" w:line="240" w:lineRule="auto"/>
        <w:jc w:val="both"/>
        <w:rPr>
          <w:rFonts w:ascii="Times New Roman" w:eastAsia="Times New Roman" w:hAnsi="Times New Roman" w:cs="Times New Roman"/>
          <w:sz w:val="24"/>
          <w:szCs w:val="24"/>
          <w:lang w:eastAsia="es-ES"/>
        </w:rPr>
      </w:pPr>
      <w:r w:rsidRPr="00D10BBD">
        <w:rPr>
          <w:rFonts w:ascii="Times New Roman" w:eastAsia="Times New Roman" w:hAnsi="Times New Roman" w:cs="Times New Roman"/>
          <w:sz w:val="24"/>
          <w:szCs w:val="24"/>
          <w:lang w:eastAsia="es-ES"/>
        </w:rPr>
        <w:t>Ya no quedan dudas de que el riesgo de fragmentación monetaria es una cuestión clave para el BCE, más aún cuando la zona euro afronta el riesgo cierto de recesión, bajo la amenaza constante del corte de suministro energético desde Rusia. “La señal es clara. El BCE muestra dónde está el umbral del dolor. En el momento actual económico y de mercado, el riesgo de volver a la cuestión de la sostenibilidad de la deuda es innecesario”, asegura Annalisa Piazza, analista de MFS Investment Manageme</w:t>
      </w:r>
      <w:r>
        <w:rPr>
          <w:rFonts w:ascii="Times New Roman" w:eastAsia="Times New Roman" w:hAnsi="Times New Roman" w:cs="Times New Roman"/>
          <w:sz w:val="24"/>
          <w:szCs w:val="24"/>
          <w:lang w:eastAsia="es-ES"/>
        </w:rPr>
        <w:t>nt.</w:t>
      </w:r>
    </w:p>
    <w:p w:rsidR="004902CA" w:rsidRPr="00D10BBD" w:rsidRDefault="004902CA" w:rsidP="004902CA">
      <w:pPr>
        <w:spacing w:after="360" w:line="240" w:lineRule="auto"/>
        <w:jc w:val="both"/>
        <w:rPr>
          <w:rFonts w:ascii="Times New Roman" w:eastAsia="Times New Roman" w:hAnsi="Times New Roman" w:cs="Times New Roman"/>
          <w:sz w:val="24"/>
          <w:szCs w:val="24"/>
          <w:lang w:eastAsia="es-ES"/>
        </w:rPr>
      </w:pPr>
      <w:r w:rsidRPr="00D10BBD">
        <w:rPr>
          <w:rFonts w:ascii="Times New Roman" w:eastAsia="Times New Roman" w:hAnsi="Times New Roman" w:cs="Times New Roman"/>
          <w:sz w:val="24"/>
          <w:szCs w:val="24"/>
          <w:lang w:eastAsia="es-ES"/>
        </w:rPr>
        <w:t>El BCE ha terminado por reconocer que la plena reinversión de los vencimientos de sus programas de deuda no basta para contener una crisis, pese a la paradoja que supondrá subir tipos mientras se activan nuevos mecanismos de compra de activos. El BCE aplicará mucha flexibilidad en la reinversión de los reembolsos del PEPP, de modo que pueda favorecer a la deuda italiana o española, pero esta medida “no aborda el problema de la fragmentación con suficiente eficacia”, apuntan desde Carmignac. De ahí la nueva herramienta.</w:t>
      </w:r>
    </w:p>
    <w:p w:rsidR="004902CA" w:rsidRPr="00E13B88" w:rsidRDefault="004902CA" w:rsidP="004902CA">
      <w:pPr>
        <w:spacing w:after="360" w:line="240" w:lineRule="auto"/>
        <w:jc w:val="both"/>
        <w:rPr>
          <w:rFonts w:ascii="Times New Roman" w:eastAsia="Times New Roman" w:hAnsi="Times New Roman" w:cs="Times New Roman"/>
          <w:color w:val="FF0000"/>
          <w:sz w:val="24"/>
          <w:szCs w:val="24"/>
          <w:u w:val="single"/>
          <w:lang w:eastAsia="es-ES"/>
        </w:rPr>
      </w:pPr>
      <w:r w:rsidRPr="00E13B88">
        <w:rPr>
          <w:rFonts w:ascii="Times New Roman" w:eastAsia="Times New Roman" w:hAnsi="Times New Roman" w:cs="Times New Roman"/>
          <w:color w:val="FF0000"/>
          <w:sz w:val="24"/>
          <w:szCs w:val="24"/>
          <w:u w:val="single"/>
          <w:lang w:eastAsia="es-ES"/>
        </w:rPr>
        <w:t>Estimaciones de Goldman Sachs apuntan a que una reinversión de los vencimientos del PEPP completamente a fav</w:t>
      </w:r>
      <w:r w:rsidR="00814E8D">
        <w:rPr>
          <w:rFonts w:ascii="Times New Roman" w:eastAsia="Times New Roman" w:hAnsi="Times New Roman" w:cs="Times New Roman"/>
          <w:color w:val="FF0000"/>
          <w:sz w:val="24"/>
          <w:szCs w:val="24"/>
          <w:u w:val="single"/>
          <w:lang w:eastAsia="es-ES"/>
        </w:rPr>
        <w:t>or de los países más en riesgo -</w:t>
      </w:r>
      <w:r w:rsidRPr="00E13B88">
        <w:rPr>
          <w:rFonts w:ascii="Times New Roman" w:eastAsia="Times New Roman" w:hAnsi="Times New Roman" w:cs="Times New Roman"/>
          <w:color w:val="FF0000"/>
          <w:sz w:val="24"/>
          <w:szCs w:val="24"/>
          <w:u w:val="single"/>
          <w:lang w:eastAsia="es-ES"/>
        </w:rPr>
        <w:t>excluyendo así de esas compras a los bonos de Alemania, Franci</w:t>
      </w:r>
      <w:r w:rsidR="00814E8D">
        <w:rPr>
          <w:rFonts w:ascii="Times New Roman" w:eastAsia="Times New Roman" w:hAnsi="Times New Roman" w:cs="Times New Roman"/>
          <w:color w:val="FF0000"/>
          <w:sz w:val="24"/>
          <w:szCs w:val="24"/>
          <w:u w:val="single"/>
          <w:lang w:eastAsia="es-ES"/>
        </w:rPr>
        <w:t>a, Austria, Bélgica y Finlandia-</w:t>
      </w:r>
      <w:r w:rsidRPr="00E13B88">
        <w:rPr>
          <w:rFonts w:ascii="Times New Roman" w:eastAsia="Times New Roman" w:hAnsi="Times New Roman" w:cs="Times New Roman"/>
          <w:color w:val="FF0000"/>
          <w:sz w:val="24"/>
          <w:szCs w:val="24"/>
          <w:u w:val="single"/>
          <w:lang w:eastAsia="es-ES"/>
        </w:rPr>
        <w:t xml:space="preserve"> supondría 88.000 millones de euros en compras de deuda italiana y otros 62.000 millones en bonos españoles y desencadenaría una rebaja de entre 30 y 40 puntos básicos en las primas de riesgo de esos países este año y el próximo. “Daría cierto alivio pero probablemente no es suficiente como herramienta anticrisis”, apunta el banco estadounidense. Goldman espera que el BCE presente su nueva arma en la reunión del 21 de julio. “Tienen que poner en práctica la herramienta antifragmentación con relativa rapidez si quieren mantener una perspectiva de tipos de interés agresiva”, advierten desde Janus Henderson.</w:t>
      </w:r>
    </w:p>
    <w:p w:rsidR="004902CA" w:rsidRDefault="004902CA" w:rsidP="004902CA">
      <w:pPr>
        <w:spacing w:after="360" w:line="240" w:lineRule="auto"/>
        <w:jc w:val="both"/>
        <w:rPr>
          <w:rFonts w:ascii="Times New Roman" w:eastAsia="Times New Roman" w:hAnsi="Times New Roman" w:cs="Times New Roman"/>
          <w:b/>
          <w:color w:val="FF0000"/>
          <w:sz w:val="24"/>
          <w:szCs w:val="24"/>
          <w:lang w:eastAsia="es-ES"/>
        </w:rPr>
      </w:pPr>
      <w:r w:rsidRPr="00E13B88">
        <w:rPr>
          <w:rFonts w:ascii="Times New Roman" w:eastAsia="Times New Roman" w:hAnsi="Times New Roman" w:cs="Times New Roman"/>
          <w:b/>
          <w:color w:val="FF0000"/>
          <w:sz w:val="24"/>
          <w:szCs w:val="24"/>
          <w:u w:val="single"/>
          <w:lang w:eastAsia="es-ES"/>
        </w:rPr>
        <w:t>Con la urgencia que reclama el mercado, las próximas semanas serán de intenso debate y entre las características que se prevén para la nueva herramienta está la de la condicionalidad. Es decir, requisitos de reformas económicas a los países beneficiarios. El pulso entre los frugales y la periferia está servido. El gobernador del Banco Central de Estonia, Madis Mu</w:t>
      </w:r>
      <w:r>
        <w:rPr>
          <w:rFonts w:ascii="Times New Roman" w:eastAsia="Times New Roman" w:hAnsi="Times New Roman" w:cs="Times New Roman"/>
          <w:b/>
          <w:color w:val="FF0000"/>
          <w:sz w:val="24"/>
          <w:szCs w:val="24"/>
          <w:u w:val="single"/>
          <w:lang w:eastAsia="es-ES"/>
        </w:rPr>
        <w:t>ller, ya advertía ayer de que “</w:t>
      </w:r>
      <w:r w:rsidRPr="00E13B88">
        <w:rPr>
          <w:rFonts w:ascii="Times New Roman" w:eastAsia="Times New Roman" w:hAnsi="Times New Roman" w:cs="Times New Roman"/>
          <w:b/>
          <w:color w:val="FF0000"/>
          <w:sz w:val="24"/>
          <w:szCs w:val="24"/>
          <w:u w:val="single"/>
          <w:lang w:eastAsia="es-ES"/>
        </w:rPr>
        <w:t>respecto a Italia, mi opinión es qu</w:t>
      </w:r>
      <w:r>
        <w:rPr>
          <w:rFonts w:ascii="Times New Roman" w:eastAsia="Times New Roman" w:hAnsi="Times New Roman" w:cs="Times New Roman"/>
          <w:b/>
          <w:color w:val="FF0000"/>
          <w:sz w:val="24"/>
          <w:szCs w:val="24"/>
          <w:u w:val="single"/>
          <w:lang w:eastAsia="es-ES"/>
        </w:rPr>
        <w:t>e no deberíamos hacer demasiado”</w:t>
      </w:r>
      <w:r>
        <w:rPr>
          <w:rFonts w:ascii="Times New Roman" w:eastAsia="Times New Roman" w:hAnsi="Times New Roman" w:cs="Times New Roman"/>
          <w:b/>
          <w:color w:val="FF0000"/>
          <w:sz w:val="24"/>
          <w:szCs w:val="24"/>
          <w:lang w:eastAsia="es-ES"/>
        </w:rPr>
        <w:t>…</w:t>
      </w:r>
    </w:p>
    <w:p w:rsidR="004902CA" w:rsidRPr="00D10BBD" w:rsidRDefault="004902CA" w:rsidP="004902CA">
      <w:pPr>
        <w:spacing w:after="36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A44B7D">
        <w:rPr>
          <w:rFonts w:ascii="Times New Roman" w:eastAsia="Times New Roman" w:hAnsi="Times New Roman" w:cs="Times New Roman"/>
          <w:sz w:val="24"/>
          <w:szCs w:val="24"/>
          <w:u w:val="single"/>
          <w:lang w:eastAsia="es-ES"/>
        </w:rPr>
        <w:t>El BCE exigirá contrapartidas</w:t>
      </w:r>
      <w:r>
        <w:rPr>
          <w:rFonts w:ascii="Times New Roman" w:eastAsia="Times New Roman" w:hAnsi="Times New Roman" w:cs="Times New Roman"/>
          <w:sz w:val="24"/>
          <w:szCs w:val="24"/>
          <w:u w:val="single"/>
          <w:lang w:eastAsia="es-ES"/>
        </w:rPr>
        <w:t xml:space="preserve"> a quienes se beneficien de su “freno”</w:t>
      </w:r>
      <w:r w:rsidRPr="00A44B7D">
        <w:rPr>
          <w:rFonts w:ascii="Times New Roman" w:eastAsia="Times New Roman" w:hAnsi="Times New Roman" w:cs="Times New Roman"/>
          <w:sz w:val="24"/>
          <w:szCs w:val="24"/>
          <w:u w:val="single"/>
          <w:lang w:eastAsia="es-ES"/>
        </w:rPr>
        <w:t xml:space="preserve"> a las primas de riesgo</w:t>
      </w:r>
      <w:r>
        <w:rPr>
          <w:rFonts w:ascii="Times New Roman" w:eastAsia="Times New Roman" w:hAnsi="Times New Roman" w:cs="Times New Roman"/>
          <w:sz w:val="24"/>
          <w:szCs w:val="24"/>
          <w:lang w:eastAsia="es-ES"/>
        </w:rPr>
        <w:t xml:space="preserve"> (El Confidencial - </w:t>
      </w:r>
      <w:r w:rsidRPr="00A44B7D">
        <w:rPr>
          <w:rFonts w:ascii="Times New Roman" w:eastAsia="Times New Roman" w:hAnsi="Times New Roman" w:cs="Times New Roman"/>
          <w:b/>
          <w:sz w:val="24"/>
          <w:szCs w:val="24"/>
          <w:lang w:eastAsia="es-ES"/>
        </w:rPr>
        <w:t>16/6/22</w:t>
      </w:r>
      <w:r>
        <w:rPr>
          <w:rFonts w:ascii="Times New Roman" w:eastAsia="Times New Roman" w:hAnsi="Times New Roman" w:cs="Times New Roman"/>
          <w:sz w:val="24"/>
          <w:szCs w:val="24"/>
          <w:lang w:eastAsia="es-ES"/>
        </w:rPr>
        <w:t>)</w:t>
      </w:r>
    </w:p>
    <w:p w:rsidR="004902CA" w:rsidRPr="00503004" w:rsidRDefault="004902CA" w:rsidP="004902CA">
      <w:pPr>
        <w:spacing w:after="360" w:line="240" w:lineRule="auto"/>
        <w:jc w:val="both"/>
        <w:rPr>
          <w:rFonts w:ascii="Times New Roman" w:eastAsia="Times New Roman" w:hAnsi="Times New Roman" w:cs="Times New Roman"/>
          <w:color w:val="FF0000"/>
          <w:sz w:val="24"/>
          <w:szCs w:val="24"/>
          <w:lang w:eastAsia="es-ES"/>
        </w:rPr>
      </w:pPr>
      <w:r w:rsidRPr="00503004">
        <w:rPr>
          <w:rFonts w:ascii="Times New Roman" w:eastAsia="Times New Roman" w:hAnsi="Times New Roman" w:cs="Times New Roman"/>
          <w:color w:val="FF0000"/>
          <w:sz w:val="24"/>
          <w:szCs w:val="24"/>
          <w:lang w:eastAsia="es-ES"/>
        </w:rPr>
        <w:t xml:space="preserve">El mecanismo estará sujeto a condicionalidad para garantizar que no acabe </w:t>
      </w:r>
      <w:r>
        <w:rPr>
          <w:rFonts w:ascii="Times New Roman" w:eastAsia="Times New Roman" w:hAnsi="Times New Roman" w:cs="Times New Roman"/>
          <w:color w:val="FF0000"/>
          <w:sz w:val="24"/>
          <w:szCs w:val="24"/>
          <w:lang w:eastAsia="es-ES"/>
        </w:rPr>
        <w:t>sirviendo, “de facto”</w:t>
      </w:r>
      <w:r w:rsidRPr="00503004">
        <w:rPr>
          <w:rFonts w:ascii="Times New Roman" w:eastAsia="Times New Roman" w:hAnsi="Times New Roman" w:cs="Times New Roman"/>
          <w:color w:val="FF0000"/>
          <w:sz w:val="24"/>
          <w:szCs w:val="24"/>
          <w:lang w:eastAsia="es-ES"/>
        </w:rPr>
        <w:t>, para financiar a los Estados del sur, entre ellos España</w:t>
      </w:r>
    </w:p>
    <w:p w:rsidR="004902CA" w:rsidRPr="00D10BBD" w:rsidRDefault="004902CA" w:rsidP="004902CA">
      <w:pPr>
        <w:spacing w:after="360" w:line="240" w:lineRule="auto"/>
        <w:jc w:val="both"/>
        <w:rPr>
          <w:rFonts w:ascii="Times New Roman" w:eastAsia="Times New Roman" w:hAnsi="Times New Roman" w:cs="Times New Roman"/>
          <w:sz w:val="24"/>
          <w:szCs w:val="24"/>
          <w:lang w:eastAsia="es-ES"/>
        </w:rPr>
      </w:pPr>
      <w:r w:rsidRPr="00503004">
        <w:rPr>
          <w:rFonts w:ascii="Times New Roman" w:eastAsia="Times New Roman" w:hAnsi="Times New Roman" w:cs="Times New Roman"/>
          <w:color w:val="FF0000"/>
          <w:sz w:val="24"/>
          <w:szCs w:val="24"/>
          <w:u w:val="single"/>
          <w:lang w:eastAsia="es-ES"/>
        </w:rPr>
        <w:lastRenderedPageBreak/>
        <w:t>El Banco Central Europeo exigirá contrapartidas a los países que se beneficien de la nueva herramienta para poner coto al crecimiento de las primas de riesgo. Según fuentes consultadas por la agencia Bloomberg, el mecanismo estará sujeto a condicionalidad para gara</w:t>
      </w:r>
      <w:r>
        <w:rPr>
          <w:rFonts w:ascii="Times New Roman" w:eastAsia="Times New Roman" w:hAnsi="Times New Roman" w:cs="Times New Roman"/>
          <w:color w:val="FF0000"/>
          <w:sz w:val="24"/>
          <w:szCs w:val="24"/>
          <w:u w:val="single"/>
          <w:lang w:eastAsia="es-ES"/>
        </w:rPr>
        <w:t>ntizar que no acabe sirviendo, “de facto”</w:t>
      </w:r>
      <w:r w:rsidRPr="00503004">
        <w:rPr>
          <w:rFonts w:ascii="Times New Roman" w:eastAsia="Times New Roman" w:hAnsi="Times New Roman" w:cs="Times New Roman"/>
          <w:color w:val="FF0000"/>
          <w:sz w:val="24"/>
          <w:szCs w:val="24"/>
          <w:u w:val="single"/>
          <w:lang w:eastAsia="es-ES"/>
        </w:rPr>
        <w:t>, para financiar a los Estados del sur, entre ellos España</w:t>
      </w:r>
      <w:r w:rsidRPr="00D10BBD">
        <w:rPr>
          <w:rFonts w:ascii="Times New Roman" w:eastAsia="Times New Roman" w:hAnsi="Times New Roman" w:cs="Times New Roman"/>
          <w:sz w:val="24"/>
          <w:szCs w:val="24"/>
          <w:lang w:eastAsia="es-ES"/>
        </w:rPr>
        <w:t>. Las mismas fuentes indicaron a Bloomberg que es muy probable que las nuevas compras de bonos que prevé la herramienta anticrisis impliquen la venta de otros activos de la cartera del BCE. El objetivo de Fráncfort es que el nuevo mecanismo no contribuya a aumentar la inflación, precisamente en un momento de giro restrictivo de la política monetaria, ejemplificado en la próxima subida de los tipos de interés. El objetivo es que el instrumento esté concluido para la reunión que tendrá lugar los próximos 20 y 21 de julio, por lo que su diseño todavía podría sufrir cambios. Precisamente, en ese encuentro tendrá lugar la primera subida de tipos, de 25 puntos básicos, tres semanas después del fin de las compras netas de activos, prevista para el 1 de julio.</w:t>
      </w:r>
    </w:p>
    <w:p w:rsidR="004902CA" w:rsidRDefault="004902CA" w:rsidP="004902CA">
      <w:pPr>
        <w:spacing w:after="360" w:line="240" w:lineRule="auto"/>
        <w:jc w:val="both"/>
        <w:rPr>
          <w:rFonts w:ascii="Times New Roman" w:eastAsia="Times New Roman" w:hAnsi="Times New Roman" w:cs="Times New Roman"/>
          <w:sz w:val="24"/>
          <w:szCs w:val="24"/>
          <w:lang w:eastAsia="es-ES"/>
        </w:rPr>
      </w:pPr>
      <w:r w:rsidRPr="00D10BBD">
        <w:rPr>
          <w:rFonts w:ascii="Times New Roman" w:eastAsia="Times New Roman" w:hAnsi="Times New Roman" w:cs="Times New Roman"/>
          <w:sz w:val="24"/>
          <w:szCs w:val="24"/>
          <w:lang w:eastAsia="es-ES"/>
        </w:rPr>
        <w:t>El anuncio del BCE sobre el nuevo mecanismo para aliviar la tensión en la renta fija, conocido este miércoles, ha tenido un efecto balsámico en las tensiones sobre la deuda de los países del sur. La prima de riesgo, que mide la diferencia entre el bono español a 10 años y el bono alemán, cae este jueves hasta los 117 puntos, mientras que el bono de referencia permanece por debajo del 3%.</w:t>
      </w:r>
      <w:r>
        <w:rPr>
          <w:rFonts w:ascii="Times New Roman" w:eastAsia="Times New Roman" w:hAnsi="Times New Roman" w:cs="Times New Roman"/>
          <w:sz w:val="24"/>
          <w:szCs w:val="24"/>
          <w:lang w:eastAsia="es-ES"/>
        </w:rPr>
        <w:t>..</w:t>
      </w:r>
    </w:p>
    <w:p w:rsidR="004902CA" w:rsidRPr="00F54352" w:rsidRDefault="004902CA" w:rsidP="004902CA">
      <w:pPr>
        <w:spacing w:after="360" w:line="240" w:lineRule="auto"/>
        <w:jc w:val="both"/>
        <w:rPr>
          <w:rFonts w:ascii="Times New Roman" w:eastAsia="Times New Roman" w:hAnsi="Times New Roman" w:cs="Times New Roman"/>
          <w:color w:val="000000"/>
          <w:sz w:val="24"/>
          <w:szCs w:val="24"/>
          <w:lang w:eastAsia="es-ES"/>
        </w:rPr>
      </w:pPr>
      <w:r w:rsidRPr="001401A3">
        <w:rPr>
          <w:rFonts w:ascii="Times New Roman" w:eastAsia="Times New Roman" w:hAnsi="Times New Roman" w:cs="Times New Roman"/>
          <w:color w:val="000000"/>
          <w:sz w:val="24"/>
          <w:szCs w:val="24"/>
          <w:u w:val="single"/>
          <w:lang w:eastAsia="es-ES"/>
        </w:rPr>
        <w:t>Wall Street sufre su peor semana desde el inicio de la pandemia</w:t>
      </w:r>
      <w:r w:rsidRPr="001401A3">
        <w:rPr>
          <w:rFonts w:ascii="Times New Roman" w:eastAsia="Times New Roman" w:hAnsi="Times New Roman" w:cs="Times New Roman"/>
          <w:color w:val="000000"/>
          <w:sz w:val="24"/>
          <w:szCs w:val="24"/>
          <w:lang w:eastAsia="es-ES"/>
        </w:rPr>
        <w:t xml:space="preserve"> </w:t>
      </w:r>
      <w:r>
        <w:rPr>
          <w:rFonts w:ascii="Times New Roman" w:eastAsia="Times New Roman" w:hAnsi="Times New Roman" w:cs="Times New Roman"/>
          <w:color w:val="000000"/>
          <w:sz w:val="24"/>
          <w:szCs w:val="24"/>
          <w:lang w:eastAsia="es-ES"/>
        </w:rPr>
        <w:t xml:space="preserve">(Cinco Días - </w:t>
      </w:r>
      <w:r w:rsidRPr="001401A3">
        <w:rPr>
          <w:rFonts w:ascii="Times New Roman" w:eastAsia="Times New Roman" w:hAnsi="Times New Roman" w:cs="Times New Roman"/>
          <w:b/>
          <w:color w:val="000000"/>
          <w:sz w:val="24"/>
          <w:szCs w:val="24"/>
          <w:lang w:eastAsia="es-ES"/>
        </w:rPr>
        <w:t>17/6/22</w:t>
      </w:r>
      <w:r>
        <w:rPr>
          <w:rFonts w:ascii="Times New Roman" w:eastAsia="Times New Roman" w:hAnsi="Times New Roman" w:cs="Times New Roman"/>
          <w:color w:val="000000"/>
          <w:sz w:val="24"/>
          <w:szCs w:val="24"/>
          <w:lang w:eastAsia="es-ES"/>
        </w:rPr>
        <w:t>)</w:t>
      </w:r>
    </w:p>
    <w:p w:rsidR="004902CA" w:rsidRDefault="004902CA" w:rsidP="004902CA">
      <w:pPr>
        <w:spacing w:line="240" w:lineRule="auto"/>
        <w:jc w:val="both"/>
        <w:rPr>
          <w:rFonts w:ascii="Times New Roman" w:hAnsi="Times New Roman" w:cs="Times New Roman"/>
          <w:sz w:val="24"/>
          <w:szCs w:val="24"/>
        </w:rPr>
      </w:pPr>
      <w:r>
        <w:rPr>
          <w:noProof/>
          <w:lang w:eastAsia="es-ES"/>
        </w:rPr>
        <w:drawing>
          <wp:inline distT="0" distB="0" distL="0" distR="0" wp14:anchorId="7E24D9E3" wp14:editId="66C7C9A1">
            <wp:extent cx="5725673" cy="2584450"/>
            <wp:effectExtent l="0" t="0" r="8890" b="6350"/>
            <wp:docPr id="81" name="Imagen 81" descr="Ib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bex"/>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725673" cy="2584450"/>
                    </a:xfrm>
                    <a:prstGeom prst="rect">
                      <a:avLst/>
                    </a:prstGeom>
                    <a:noFill/>
                    <a:ln>
                      <a:noFill/>
                    </a:ln>
                  </pic:spPr>
                </pic:pic>
              </a:graphicData>
            </a:graphic>
          </wp:inline>
        </w:drawing>
      </w:r>
    </w:p>
    <w:p w:rsidR="004902CA" w:rsidRDefault="004902CA" w:rsidP="004902CA">
      <w:pPr>
        <w:spacing w:after="360" w:line="240" w:lineRule="auto"/>
        <w:jc w:val="both"/>
        <w:rPr>
          <w:rFonts w:ascii="Times New Roman" w:eastAsia="Times New Roman" w:hAnsi="Times New Roman" w:cs="Times New Roman"/>
          <w:color w:val="000000"/>
          <w:sz w:val="24"/>
          <w:szCs w:val="24"/>
          <w:lang w:eastAsia="es-ES"/>
        </w:rPr>
      </w:pPr>
      <w:r w:rsidRPr="00022692">
        <w:rPr>
          <w:rFonts w:ascii="Times New Roman" w:eastAsia="Times New Roman" w:hAnsi="Times New Roman" w:cs="Times New Roman"/>
          <w:color w:val="000000"/>
          <w:sz w:val="24"/>
          <w:szCs w:val="24"/>
          <w:u w:val="single"/>
          <w:lang w:eastAsia="es-ES"/>
        </w:rPr>
        <w:t>Si el año cerrase hoy sería el peor en bolsa desde la caída de Lehman en 2008</w:t>
      </w:r>
      <w:r>
        <w:rPr>
          <w:rFonts w:ascii="Times New Roman" w:eastAsia="Times New Roman" w:hAnsi="Times New Roman" w:cs="Times New Roman"/>
          <w:color w:val="000000"/>
          <w:sz w:val="24"/>
          <w:szCs w:val="24"/>
          <w:lang w:eastAsia="es-ES"/>
        </w:rPr>
        <w:t xml:space="preserve"> (El Economista - </w:t>
      </w:r>
      <w:r w:rsidRPr="00022692">
        <w:rPr>
          <w:rFonts w:ascii="Times New Roman" w:eastAsia="Times New Roman" w:hAnsi="Times New Roman" w:cs="Times New Roman"/>
          <w:b/>
          <w:color w:val="000000"/>
          <w:sz w:val="24"/>
          <w:szCs w:val="24"/>
          <w:lang w:eastAsia="es-ES"/>
        </w:rPr>
        <w:t>17/6/22</w:t>
      </w:r>
      <w:r>
        <w:rPr>
          <w:rFonts w:ascii="Times New Roman" w:eastAsia="Times New Roman" w:hAnsi="Times New Roman" w:cs="Times New Roman"/>
          <w:color w:val="000000"/>
          <w:sz w:val="24"/>
          <w:szCs w:val="24"/>
          <w:lang w:eastAsia="es-ES"/>
        </w:rPr>
        <w:t>)</w:t>
      </w:r>
    </w:p>
    <w:p w:rsidR="004902CA" w:rsidRDefault="004902CA" w:rsidP="004902CA">
      <w:pPr>
        <w:spacing w:after="360" w:line="240" w:lineRule="auto"/>
        <w:jc w:val="both"/>
        <w:rPr>
          <w:rFonts w:ascii="Times New Roman" w:eastAsia="Times New Roman" w:hAnsi="Times New Roman" w:cs="Times New Roman"/>
          <w:color w:val="000000"/>
          <w:sz w:val="24"/>
          <w:szCs w:val="24"/>
          <w:lang w:eastAsia="es-ES"/>
        </w:rPr>
      </w:pPr>
      <w:r w:rsidRPr="001401A3">
        <w:rPr>
          <w:rFonts w:ascii="Times New Roman" w:eastAsia="Times New Roman" w:hAnsi="Times New Roman" w:cs="Times New Roman"/>
          <w:color w:val="000000"/>
          <w:sz w:val="24"/>
          <w:szCs w:val="24"/>
          <w:lang w:eastAsia="es-ES"/>
        </w:rPr>
        <w:t>Los bancos centrales aceleran sus planes para devolver la estabilidad a los precios. Las subidas de tipos y la reducción de los balances ponen fin a años de política monetarias ultralaxas. Nadie dijo que la eliminación de los estímulos iba a ser un camino de rosas, pero lo que los inversores no esperaban es que las autoridades monetarias estuvieran dispuestas a sacrificar el crecimiento. Con la Reserva Federal ejecutando la mayor subida de las tasas desde 1994 y el BCE preparando al mercado para la primera alza de los tipos en una década, los temores de desaceleración llevan a los inversores a reducir su exposición al riesgo</w:t>
      </w:r>
      <w:r>
        <w:rPr>
          <w:rFonts w:ascii="Times New Roman" w:eastAsia="Times New Roman" w:hAnsi="Times New Roman" w:cs="Times New Roman"/>
          <w:color w:val="000000"/>
          <w:sz w:val="24"/>
          <w:szCs w:val="24"/>
          <w:lang w:eastAsia="es-ES"/>
        </w:rPr>
        <w:t>…</w:t>
      </w:r>
    </w:p>
    <w:p w:rsidR="004902CA" w:rsidRDefault="004902CA" w:rsidP="004902CA">
      <w:pPr>
        <w:spacing w:after="360" w:line="240" w:lineRule="auto"/>
        <w:jc w:val="both"/>
        <w:rPr>
          <w:rFonts w:ascii="Times New Roman" w:eastAsia="Times New Roman" w:hAnsi="Times New Roman" w:cs="Times New Roman"/>
          <w:color w:val="000000"/>
          <w:sz w:val="24"/>
          <w:szCs w:val="24"/>
          <w:lang w:eastAsia="es-ES"/>
        </w:rPr>
      </w:pPr>
      <w:r>
        <w:rPr>
          <w:noProof/>
          <w:lang w:eastAsia="es-ES"/>
        </w:rPr>
        <w:lastRenderedPageBreak/>
        <w:drawing>
          <wp:inline distT="0" distB="0" distL="0" distR="0" wp14:anchorId="198F228C" wp14:editId="232D0E68">
            <wp:extent cx="5727699" cy="4895850"/>
            <wp:effectExtent l="0" t="0" r="6985" b="0"/>
            <wp:docPr id="30" name="Imagen 30" descr="https://s03.s3c.es/imag/_v0/1695x1350/9/1/e/180622-Resumen-Semana-B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s03.s3c.es/imag/_v0/1695x1350/9/1/e/180622-Resumen-Semana-BER.gif"/>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731510" cy="4899108"/>
                    </a:xfrm>
                    <a:prstGeom prst="rect">
                      <a:avLst/>
                    </a:prstGeom>
                    <a:noFill/>
                    <a:ln>
                      <a:noFill/>
                    </a:ln>
                  </pic:spPr>
                </pic:pic>
              </a:graphicData>
            </a:graphic>
          </wp:inline>
        </w:drawing>
      </w:r>
    </w:p>
    <w:p w:rsidR="004902CA" w:rsidRPr="001401A3" w:rsidRDefault="004902CA" w:rsidP="004902CA">
      <w:pPr>
        <w:spacing w:after="360" w:line="240" w:lineRule="auto"/>
        <w:jc w:val="both"/>
        <w:rPr>
          <w:rFonts w:ascii="Times New Roman" w:eastAsia="Times New Roman" w:hAnsi="Times New Roman" w:cs="Times New Roman"/>
          <w:color w:val="000000"/>
          <w:sz w:val="24"/>
          <w:szCs w:val="24"/>
          <w:lang w:eastAsia="es-ES"/>
        </w:rPr>
      </w:pPr>
      <w:r w:rsidRPr="001401A3">
        <w:rPr>
          <w:rFonts w:ascii="Times New Roman" w:eastAsia="Times New Roman" w:hAnsi="Times New Roman" w:cs="Times New Roman"/>
          <w:color w:val="000000"/>
          <w:sz w:val="24"/>
          <w:szCs w:val="24"/>
          <w:u w:val="single"/>
          <w:lang w:eastAsia="es-ES"/>
        </w:rPr>
        <w:t>El BCE calma las primas de riesgo con igual intensidad que en 2020</w:t>
      </w:r>
      <w:r>
        <w:rPr>
          <w:rFonts w:ascii="Times New Roman" w:eastAsia="Times New Roman" w:hAnsi="Times New Roman" w:cs="Times New Roman"/>
          <w:color w:val="000000"/>
          <w:sz w:val="24"/>
          <w:szCs w:val="24"/>
          <w:lang w:eastAsia="es-ES"/>
        </w:rPr>
        <w:t xml:space="preserve"> (Cinco Días - </w:t>
      </w:r>
      <w:r w:rsidRPr="00022692">
        <w:rPr>
          <w:rFonts w:ascii="Times New Roman" w:eastAsia="Times New Roman" w:hAnsi="Times New Roman" w:cs="Times New Roman"/>
          <w:b/>
          <w:color w:val="000000"/>
          <w:sz w:val="24"/>
          <w:szCs w:val="24"/>
          <w:lang w:eastAsia="es-ES"/>
        </w:rPr>
        <w:t>17/6/22</w:t>
      </w:r>
      <w:r>
        <w:rPr>
          <w:rFonts w:ascii="Times New Roman" w:eastAsia="Times New Roman" w:hAnsi="Times New Roman" w:cs="Times New Roman"/>
          <w:color w:val="000000"/>
          <w:sz w:val="24"/>
          <w:szCs w:val="24"/>
          <w:lang w:eastAsia="es-ES"/>
        </w:rPr>
        <w:t>)</w:t>
      </w:r>
    </w:p>
    <w:p w:rsidR="004902CA" w:rsidRPr="004902CA" w:rsidRDefault="004902CA" w:rsidP="004902CA">
      <w:pPr>
        <w:spacing w:after="360" w:line="240" w:lineRule="auto"/>
        <w:jc w:val="both"/>
        <w:rPr>
          <w:rFonts w:ascii="Times New Roman" w:eastAsia="Times New Roman" w:hAnsi="Times New Roman" w:cs="Times New Roman"/>
          <w:color w:val="FF0000"/>
          <w:sz w:val="24"/>
          <w:szCs w:val="24"/>
          <w:lang w:eastAsia="es-ES"/>
        </w:rPr>
      </w:pPr>
      <w:r w:rsidRPr="004902CA">
        <w:rPr>
          <w:rFonts w:ascii="Times New Roman" w:eastAsia="Times New Roman" w:hAnsi="Times New Roman" w:cs="Times New Roman"/>
          <w:color w:val="FF0000"/>
          <w:sz w:val="24"/>
          <w:szCs w:val="24"/>
          <w:lang w:eastAsia="es-ES"/>
        </w:rPr>
        <w:t>El diferencial entre la deuda española y alemana a 10 años bajo a los 108 puntos básicos</w:t>
      </w:r>
    </w:p>
    <w:p w:rsidR="004902CA" w:rsidRDefault="004902CA" w:rsidP="004902CA">
      <w:pPr>
        <w:spacing w:after="360" w:line="240" w:lineRule="auto"/>
        <w:jc w:val="both"/>
        <w:rPr>
          <w:rFonts w:ascii="Times New Roman" w:eastAsia="Times New Roman" w:hAnsi="Times New Roman" w:cs="Times New Roman"/>
          <w:color w:val="000000"/>
          <w:sz w:val="24"/>
          <w:szCs w:val="24"/>
          <w:lang w:eastAsia="es-ES"/>
        </w:rPr>
      </w:pPr>
      <w:r>
        <w:rPr>
          <w:noProof/>
          <w:lang w:eastAsia="es-ES"/>
        </w:rPr>
        <w:drawing>
          <wp:inline distT="0" distB="0" distL="0" distR="0" wp14:anchorId="7B382BD2" wp14:editId="34F6158B">
            <wp:extent cx="5734050" cy="2749550"/>
            <wp:effectExtent l="0" t="0" r="0" b="0"/>
            <wp:docPr id="33" name="Imagen 33" descr="Prima ries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rima riesgo"/>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731510" cy="2748332"/>
                    </a:xfrm>
                    <a:prstGeom prst="rect">
                      <a:avLst/>
                    </a:prstGeom>
                    <a:noFill/>
                    <a:ln>
                      <a:noFill/>
                    </a:ln>
                  </pic:spPr>
                </pic:pic>
              </a:graphicData>
            </a:graphic>
          </wp:inline>
        </w:drawing>
      </w:r>
    </w:p>
    <w:p w:rsidR="004902CA" w:rsidRDefault="004902CA" w:rsidP="004902CA">
      <w:pPr>
        <w:spacing w:after="360" w:line="240" w:lineRule="auto"/>
        <w:jc w:val="both"/>
        <w:rPr>
          <w:rFonts w:ascii="Times New Roman" w:eastAsia="Times New Roman" w:hAnsi="Times New Roman" w:cs="Times New Roman"/>
          <w:color w:val="000000"/>
          <w:sz w:val="24"/>
          <w:szCs w:val="24"/>
          <w:lang w:eastAsia="es-ES"/>
        </w:rPr>
      </w:pPr>
      <w:r>
        <w:rPr>
          <w:noProof/>
          <w:lang w:eastAsia="es-ES"/>
        </w:rPr>
        <w:lastRenderedPageBreak/>
        <w:drawing>
          <wp:inline distT="0" distB="0" distL="0" distR="0" wp14:anchorId="128E7271" wp14:editId="7DC9178A">
            <wp:extent cx="5727700" cy="4851400"/>
            <wp:effectExtent l="0" t="0" r="6350" b="6350"/>
            <wp:docPr id="31" name="Imagen 31" descr="Bono EE U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ono EE UU"/>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727700" cy="4851400"/>
                    </a:xfrm>
                    <a:prstGeom prst="rect">
                      <a:avLst/>
                    </a:prstGeom>
                    <a:noFill/>
                    <a:ln>
                      <a:noFill/>
                    </a:ln>
                  </pic:spPr>
                </pic:pic>
              </a:graphicData>
            </a:graphic>
          </wp:inline>
        </w:drawing>
      </w:r>
    </w:p>
    <w:p w:rsidR="004902CA" w:rsidRPr="001401A3" w:rsidRDefault="004902CA" w:rsidP="004902CA">
      <w:pPr>
        <w:spacing w:after="360" w:line="240" w:lineRule="auto"/>
        <w:jc w:val="both"/>
        <w:rPr>
          <w:rFonts w:ascii="Times New Roman" w:eastAsia="Times New Roman" w:hAnsi="Times New Roman" w:cs="Times New Roman"/>
          <w:color w:val="000000"/>
          <w:sz w:val="24"/>
          <w:szCs w:val="24"/>
          <w:lang w:eastAsia="es-ES"/>
        </w:rPr>
      </w:pPr>
      <w:r w:rsidRPr="001401A3">
        <w:rPr>
          <w:rFonts w:ascii="Times New Roman" w:eastAsia="Times New Roman" w:hAnsi="Times New Roman" w:cs="Times New Roman"/>
          <w:color w:val="000000"/>
          <w:sz w:val="24"/>
          <w:szCs w:val="24"/>
          <w:u w:val="single"/>
          <w:lang w:eastAsia="es-ES"/>
        </w:rPr>
        <w:t>El BCE calma las primas de riesgo con igual intensidad que en 2020</w:t>
      </w:r>
      <w:r>
        <w:rPr>
          <w:rFonts w:ascii="Times New Roman" w:eastAsia="Times New Roman" w:hAnsi="Times New Roman" w:cs="Times New Roman"/>
          <w:color w:val="000000"/>
          <w:sz w:val="24"/>
          <w:szCs w:val="24"/>
          <w:lang w:eastAsia="es-ES"/>
        </w:rPr>
        <w:t xml:space="preserve"> (Cinco Días - </w:t>
      </w:r>
      <w:r w:rsidRPr="00022692">
        <w:rPr>
          <w:rFonts w:ascii="Times New Roman" w:eastAsia="Times New Roman" w:hAnsi="Times New Roman" w:cs="Times New Roman"/>
          <w:b/>
          <w:color w:val="000000"/>
          <w:sz w:val="24"/>
          <w:szCs w:val="24"/>
          <w:lang w:eastAsia="es-ES"/>
        </w:rPr>
        <w:t>17/6/22</w:t>
      </w:r>
      <w:r>
        <w:rPr>
          <w:rFonts w:ascii="Times New Roman" w:eastAsia="Times New Roman" w:hAnsi="Times New Roman" w:cs="Times New Roman"/>
          <w:color w:val="000000"/>
          <w:sz w:val="24"/>
          <w:szCs w:val="24"/>
          <w:lang w:eastAsia="es-ES"/>
        </w:rPr>
        <w:t>)</w:t>
      </w:r>
    </w:p>
    <w:p w:rsidR="004902CA" w:rsidRPr="004902CA" w:rsidRDefault="004902CA" w:rsidP="004902CA">
      <w:pPr>
        <w:spacing w:after="360" w:line="240" w:lineRule="auto"/>
        <w:jc w:val="both"/>
        <w:rPr>
          <w:rFonts w:ascii="Times New Roman" w:eastAsia="Times New Roman" w:hAnsi="Times New Roman" w:cs="Times New Roman"/>
          <w:color w:val="FF0000"/>
          <w:sz w:val="24"/>
          <w:szCs w:val="24"/>
          <w:lang w:eastAsia="es-ES"/>
        </w:rPr>
      </w:pPr>
      <w:r w:rsidRPr="004902CA">
        <w:rPr>
          <w:rFonts w:ascii="Times New Roman" w:eastAsia="Times New Roman" w:hAnsi="Times New Roman" w:cs="Times New Roman"/>
          <w:color w:val="FF0000"/>
          <w:sz w:val="24"/>
          <w:szCs w:val="24"/>
          <w:lang w:eastAsia="es-ES"/>
        </w:rPr>
        <w:t>El diferencial entre la deuda española y alemana a 10 años bajo a los 108 puntos básicos</w:t>
      </w:r>
    </w:p>
    <w:p w:rsidR="004902CA" w:rsidRDefault="004902CA" w:rsidP="004902CA">
      <w:pPr>
        <w:spacing w:after="360" w:line="240" w:lineRule="auto"/>
        <w:jc w:val="both"/>
        <w:rPr>
          <w:rFonts w:ascii="Times New Roman" w:eastAsia="Times New Roman" w:hAnsi="Times New Roman" w:cs="Times New Roman"/>
          <w:color w:val="000000"/>
          <w:sz w:val="24"/>
          <w:szCs w:val="24"/>
          <w:lang w:eastAsia="es-ES"/>
        </w:rPr>
      </w:pPr>
      <w:r>
        <w:rPr>
          <w:noProof/>
          <w:lang w:eastAsia="es-ES"/>
        </w:rPr>
        <w:drawing>
          <wp:inline distT="0" distB="0" distL="0" distR="0" wp14:anchorId="2698F5B5" wp14:editId="5516DBDF">
            <wp:extent cx="5734049" cy="2952750"/>
            <wp:effectExtent l="0" t="0" r="635" b="0"/>
            <wp:docPr id="32" name="Imagen 32" descr="Prima ries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rima riesgo"/>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731510" cy="2951442"/>
                    </a:xfrm>
                    <a:prstGeom prst="rect">
                      <a:avLst/>
                    </a:prstGeom>
                    <a:noFill/>
                    <a:ln>
                      <a:noFill/>
                    </a:ln>
                  </pic:spPr>
                </pic:pic>
              </a:graphicData>
            </a:graphic>
          </wp:inline>
        </w:drawing>
      </w:r>
    </w:p>
    <w:p w:rsidR="004902CA" w:rsidRPr="00A44B7D" w:rsidRDefault="004902CA" w:rsidP="004902CA">
      <w:pPr>
        <w:spacing w:after="36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lastRenderedPageBreak/>
        <w:t xml:space="preserve">- </w:t>
      </w:r>
      <w:r w:rsidRPr="00A44B7D">
        <w:rPr>
          <w:rFonts w:ascii="Times New Roman" w:eastAsia="Times New Roman" w:hAnsi="Times New Roman" w:cs="Times New Roman"/>
          <w:sz w:val="24"/>
          <w:szCs w:val="24"/>
          <w:u w:val="single"/>
          <w:lang w:eastAsia="es-ES"/>
        </w:rPr>
        <w:t>La Fed clava una estaca en su novedoso objetivo de inflación media flexible</w:t>
      </w:r>
      <w:r>
        <w:rPr>
          <w:rFonts w:ascii="Times New Roman" w:eastAsia="Times New Roman" w:hAnsi="Times New Roman" w:cs="Times New Roman"/>
          <w:sz w:val="24"/>
          <w:szCs w:val="24"/>
          <w:lang w:eastAsia="es-ES"/>
        </w:rPr>
        <w:t xml:space="preserve"> (Cinco Días - </w:t>
      </w:r>
      <w:r w:rsidRPr="00A44B7D">
        <w:rPr>
          <w:rFonts w:ascii="Times New Roman" w:eastAsia="Times New Roman" w:hAnsi="Times New Roman" w:cs="Times New Roman"/>
          <w:b/>
          <w:sz w:val="24"/>
          <w:szCs w:val="24"/>
          <w:lang w:eastAsia="es-ES"/>
        </w:rPr>
        <w:t>17/6/22</w:t>
      </w:r>
      <w:r>
        <w:rPr>
          <w:rFonts w:ascii="Times New Roman" w:eastAsia="Times New Roman" w:hAnsi="Times New Roman" w:cs="Times New Roman"/>
          <w:sz w:val="24"/>
          <w:szCs w:val="24"/>
          <w:lang w:eastAsia="es-ES"/>
        </w:rPr>
        <w:t>)</w:t>
      </w:r>
    </w:p>
    <w:p w:rsidR="004902CA" w:rsidRPr="004902CA" w:rsidRDefault="004902CA" w:rsidP="004902CA">
      <w:pPr>
        <w:spacing w:after="360" w:line="240" w:lineRule="auto"/>
        <w:jc w:val="both"/>
        <w:rPr>
          <w:rFonts w:ascii="Times New Roman" w:eastAsia="Times New Roman" w:hAnsi="Times New Roman" w:cs="Times New Roman"/>
          <w:color w:val="FF0000"/>
          <w:sz w:val="24"/>
          <w:szCs w:val="24"/>
          <w:lang w:eastAsia="es-ES"/>
        </w:rPr>
      </w:pPr>
      <w:r w:rsidRPr="004902CA">
        <w:rPr>
          <w:rFonts w:ascii="Times New Roman" w:eastAsia="Times New Roman" w:hAnsi="Times New Roman" w:cs="Times New Roman"/>
          <w:color w:val="FF0000"/>
          <w:sz w:val="24"/>
          <w:szCs w:val="24"/>
          <w:lang w:eastAsia="es-ES"/>
        </w:rPr>
        <w:t>El rally de los precios ha doblado la mano de Powell y le ha obligado a la mayor subida de tipos desde 1994</w:t>
      </w:r>
    </w:p>
    <w:p w:rsidR="004902CA" w:rsidRPr="00A85BED" w:rsidRDefault="004902CA" w:rsidP="004902CA">
      <w:pPr>
        <w:spacing w:after="360" w:line="240" w:lineRule="auto"/>
        <w:jc w:val="both"/>
        <w:rPr>
          <w:rFonts w:ascii="Times New Roman" w:eastAsia="Times New Roman" w:hAnsi="Times New Roman" w:cs="Times New Roman"/>
          <w:sz w:val="24"/>
          <w:szCs w:val="24"/>
          <w:u w:val="single"/>
          <w:lang w:eastAsia="es-ES"/>
        </w:rPr>
      </w:pPr>
      <w:r w:rsidRPr="00A85BED">
        <w:rPr>
          <w:rFonts w:ascii="Times New Roman" w:eastAsia="Times New Roman" w:hAnsi="Times New Roman" w:cs="Times New Roman"/>
          <w:sz w:val="24"/>
          <w:szCs w:val="24"/>
          <w:u w:val="single"/>
          <w:lang w:eastAsia="es-ES"/>
        </w:rPr>
        <w:t>El giro del destino. Descanse en paz el objetivo de inflación media flexible. La Reserva Federal subió los tipos de interés 0,75 puntos porcentuales el miércoles, en la que supone la mayor subida desde 1994, debido al aumento de los precios. Puede que esto no acabe con la inflación, pero sí con el empeño del presidente Jay Powell, que lleva dos años haciendo hincapié en el empleo inclusivo.</w:t>
      </w:r>
    </w:p>
    <w:p w:rsidR="004902CA" w:rsidRPr="00A85BED" w:rsidRDefault="004902CA" w:rsidP="004902CA">
      <w:pPr>
        <w:spacing w:after="360" w:line="240" w:lineRule="auto"/>
        <w:jc w:val="both"/>
        <w:rPr>
          <w:rFonts w:ascii="Times New Roman" w:eastAsia="Times New Roman" w:hAnsi="Times New Roman" w:cs="Times New Roman"/>
          <w:sz w:val="24"/>
          <w:szCs w:val="24"/>
          <w:u w:val="single"/>
          <w:lang w:eastAsia="es-ES"/>
        </w:rPr>
      </w:pPr>
      <w:r w:rsidRPr="00A44B7D">
        <w:rPr>
          <w:rFonts w:ascii="Times New Roman" w:eastAsia="Times New Roman" w:hAnsi="Times New Roman" w:cs="Times New Roman"/>
          <w:sz w:val="24"/>
          <w:szCs w:val="24"/>
          <w:lang w:eastAsia="es-ES"/>
        </w:rPr>
        <w:t xml:space="preserve">Al final, la subida de los precios forzó la mano de Powell. En mayo, el jefe de la Fed había dicho que era partidario de un aumento constante de los tipos de 0,5 puntos porcentuales para contener la inflación. Pero después </w:t>
      </w:r>
      <w:r w:rsidRPr="00A85BED">
        <w:rPr>
          <w:rFonts w:ascii="Times New Roman" w:eastAsia="Times New Roman" w:hAnsi="Times New Roman" w:cs="Times New Roman"/>
          <w:sz w:val="24"/>
          <w:szCs w:val="24"/>
          <w:u w:val="single"/>
          <w:lang w:eastAsia="es-ES"/>
        </w:rPr>
        <w:t>los datos del Departamento de Trabajo mostraron una subida interanual del 8,6% en los precios al consumo, el mayor aumento desde 1981. Y la expectativa media de los estadounidenses para la inflación en mayo de 2023 ha aumentado, según un sondeo de la Reserva Federal de Nueva York publicado el lunes.</w:t>
      </w:r>
    </w:p>
    <w:p w:rsidR="004902CA" w:rsidRPr="00A85BED" w:rsidRDefault="004902CA" w:rsidP="004902CA">
      <w:pPr>
        <w:spacing w:after="360" w:line="240" w:lineRule="auto"/>
        <w:jc w:val="both"/>
        <w:rPr>
          <w:rFonts w:ascii="Times New Roman" w:eastAsia="Times New Roman" w:hAnsi="Times New Roman" w:cs="Times New Roman"/>
          <w:sz w:val="24"/>
          <w:szCs w:val="24"/>
          <w:u w:val="single"/>
          <w:lang w:eastAsia="es-ES"/>
        </w:rPr>
      </w:pPr>
      <w:r w:rsidRPr="00A85BED">
        <w:rPr>
          <w:rFonts w:ascii="Times New Roman" w:eastAsia="Times New Roman" w:hAnsi="Times New Roman" w:cs="Times New Roman"/>
          <w:color w:val="FF0000"/>
          <w:sz w:val="24"/>
          <w:szCs w:val="24"/>
          <w:u w:val="single"/>
          <w:lang w:eastAsia="es-ES"/>
        </w:rPr>
        <w:t>Eso ha hecho que el nuevo marco de la Reserva, cuyo acrónimo es FAIT (objetivo de inflación media flexible), sea insostenible</w:t>
      </w:r>
      <w:r w:rsidRPr="00A44B7D">
        <w:rPr>
          <w:rFonts w:ascii="Times New Roman" w:eastAsia="Times New Roman" w:hAnsi="Times New Roman" w:cs="Times New Roman"/>
          <w:sz w:val="24"/>
          <w:szCs w:val="24"/>
          <w:lang w:eastAsia="es-ES"/>
        </w:rPr>
        <w:t xml:space="preserve">. </w:t>
      </w:r>
      <w:r w:rsidRPr="00A85BED">
        <w:rPr>
          <w:rFonts w:ascii="Times New Roman" w:eastAsia="Times New Roman" w:hAnsi="Times New Roman" w:cs="Times New Roman"/>
          <w:sz w:val="24"/>
          <w:szCs w:val="24"/>
          <w:u w:val="single"/>
          <w:lang w:eastAsia="es-ES"/>
        </w:rPr>
        <w:t>Ya en 2020, Powell afirmó que, tras años de inflación por debajo del objetivo del 2% fijado por el banco central, este pasaría a un nuevo enfoque flexible. Se permitiría que los tipos se mantuvieran cerca de cero, incluso si la inflación superaba el 2% durante un tiempo, para asegurarse de que la economía estuviera creando suficientes puestos de trabajo para grupos como los trabajadores negros, que suelen ser los últimos en beneficiarse de las expansiones económicas y que no se consideraban por separado en las antiguas formas de fijar los tipos.</w:t>
      </w:r>
    </w:p>
    <w:p w:rsidR="004902CA" w:rsidRPr="004902CA" w:rsidRDefault="004902CA" w:rsidP="004902CA">
      <w:pPr>
        <w:spacing w:after="360" w:line="240" w:lineRule="auto"/>
        <w:jc w:val="both"/>
        <w:rPr>
          <w:rFonts w:ascii="Times New Roman" w:eastAsia="Times New Roman" w:hAnsi="Times New Roman" w:cs="Times New Roman"/>
          <w:sz w:val="24"/>
          <w:szCs w:val="24"/>
          <w:lang w:eastAsia="es-ES"/>
        </w:rPr>
      </w:pPr>
      <w:r w:rsidRPr="00A85BED">
        <w:rPr>
          <w:rFonts w:ascii="Times New Roman" w:eastAsia="Times New Roman" w:hAnsi="Times New Roman" w:cs="Times New Roman"/>
          <w:sz w:val="24"/>
          <w:szCs w:val="24"/>
          <w:u w:val="single"/>
          <w:lang w:eastAsia="es-ES"/>
        </w:rPr>
        <w:t>Si se suben los tipos agresivamente, se corre el riesgo de dejar a esos trabajadores en la estacada. La tasa de desempleo de los negros estadounidenses en mayo fue del 6,2%, frente al nivel general del 3,6% y el 3,2% de los trabajadores blancos</w:t>
      </w:r>
      <w:r w:rsidRPr="00A44B7D">
        <w:rPr>
          <w:rFonts w:ascii="Times New Roman" w:eastAsia="Times New Roman" w:hAnsi="Times New Roman" w:cs="Times New Roman"/>
          <w:sz w:val="24"/>
          <w:szCs w:val="24"/>
          <w:lang w:eastAsia="es-ES"/>
        </w:rPr>
        <w:t xml:space="preserve">. Y ahora la Reserva proyecta que el ritmo de desempleo aumente en los próximos años. Por otra parte, las expectativas de morosidad subieron de abril a mayo para quienes tienen un nivel de estudios de secundaria o inferior, según la encuesta de la Reserva de Nueva York. </w:t>
      </w:r>
      <w:r w:rsidRPr="00A85BED">
        <w:rPr>
          <w:rFonts w:ascii="Times New Roman" w:eastAsia="Times New Roman" w:hAnsi="Times New Roman" w:cs="Times New Roman"/>
          <w:sz w:val="24"/>
          <w:szCs w:val="24"/>
          <w:u w:val="single"/>
          <w:lang w:eastAsia="es-ES"/>
        </w:rPr>
        <w:t>Corresponderá a los políticos, y no a los banqueros centrales, decidir cuál es la mejor m</w:t>
      </w:r>
      <w:r>
        <w:rPr>
          <w:rFonts w:ascii="Times New Roman" w:eastAsia="Times New Roman" w:hAnsi="Times New Roman" w:cs="Times New Roman"/>
          <w:sz w:val="24"/>
          <w:szCs w:val="24"/>
          <w:u w:val="single"/>
          <w:lang w:eastAsia="es-ES"/>
        </w:rPr>
        <w:t>anera de ayudar a los rezagados</w:t>
      </w:r>
      <w:r w:rsidRPr="004902CA">
        <w:rPr>
          <w:rFonts w:ascii="Times New Roman" w:eastAsia="Times New Roman" w:hAnsi="Times New Roman" w:cs="Times New Roman"/>
          <w:sz w:val="24"/>
          <w:szCs w:val="24"/>
          <w:lang w:eastAsia="es-ES"/>
        </w:rPr>
        <w:t>…</w:t>
      </w:r>
    </w:p>
    <w:p w:rsidR="004902CA" w:rsidRPr="00A44B7D" w:rsidRDefault="004902CA" w:rsidP="004902CA">
      <w:pPr>
        <w:spacing w:after="36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Pr>
          <w:rFonts w:ascii="Times New Roman" w:eastAsia="Times New Roman" w:hAnsi="Times New Roman" w:cs="Times New Roman"/>
          <w:sz w:val="24"/>
          <w:szCs w:val="24"/>
          <w:u w:val="single"/>
          <w:lang w:eastAsia="es-ES"/>
        </w:rPr>
        <w:t>Los “frugales”</w:t>
      </w:r>
      <w:r w:rsidRPr="00A44B7D">
        <w:rPr>
          <w:rFonts w:ascii="Times New Roman" w:eastAsia="Times New Roman" w:hAnsi="Times New Roman" w:cs="Times New Roman"/>
          <w:sz w:val="24"/>
          <w:szCs w:val="24"/>
          <w:u w:val="single"/>
          <w:lang w:eastAsia="es-ES"/>
        </w:rPr>
        <w:t xml:space="preserve"> exigen duras condiciones para que el BCE apoye a Italia y España</w:t>
      </w:r>
      <w:r>
        <w:rPr>
          <w:rFonts w:ascii="Times New Roman" w:eastAsia="Times New Roman" w:hAnsi="Times New Roman" w:cs="Times New Roman"/>
          <w:sz w:val="24"/>
          <w:szCs w:val="24"/>
          <w:lang w:eastAsia="es-ES"/>
        </w:rPr>
        <w:t xml:space="preserve"> (El Economista - </w:t>
      </w:r>
      <w:r w:rsidRPr="00A44B7D">
        <w:rPr>
          <w:rFonts w:ascii="Times New Roman" w:eastAsia="Times New Roman" w:hAnsi="Times New Roman" w:cs="Times New Roman"/>
          <w:b/>
          <w:sz w:val="24"/>
          <w:szCs w:val="24"/>
          <w:lang w:eastAsia="es-ES"/>
        </w:rPr>
        <w:t>17/6/22</w:t>
      </w:r>
      <w:r>
        <w:rPr>
          <w:rFonts w:ascii="Times New Roman" w:eastAsia="Times New Roman" w:hAnsi="Times New Roman" w:cs="Times New Roman"/>
          <w:sz w:val="24"/>
          <w:szCs w:val="24"/>
          <w:lang w:eastAsia="es-ES"/>
        </w:rPr>
        <w:t>)</w:t>
      </w:r>
    </w:p>
    <w:p w:rsidR="004902CA" w:rsidRPr="00A85BED" w:rsidRDefault="004902CA" w:rsidP="004902CA">
      <w:pPr>
        <w:spacing w:after="360" w:line="240" w:lineRule="auto"/>
        <w:jc w:val="both"/>
        <w:rPr>
          <w:rFonts w:ascii="Times New Roman" w:eastAsia="Times New Roman" w:hAnsi="Times New Roman" w:cs="Times New Roman"/>
          <w:color w:val="FF0000"/>
          <w:sz w:val="24"/>
          <w:szCs w:val="24"/>
          <w:lang w:eastAsia="es-ES"/>
        </w:rPr>
      </w:pPr>
      <w:r w:rsidRPr="00A85BED">
        <w:rPr>
          <w:rFonts w:ascii="Times New Roman" w:eastAsia="Times New Roman" w:hAnsi="Times New Roman" w:cs="Times New Roman"/>
          <w:color w:val="FF0000"/>
          <w:sz w:val="24"/>
          <w:szCs w:val="24"/>
          <w:lang w:eastAsia="es-ES"/>
        </w:rPr>
        <w:t>Los países del norte demandan ajustes en los Estados que se beneficien del escudo</w:t>
      </w:r>
    </w:p>
    <w:p w:rsidR="004902CA" w:rsidRPr="00A85BED" w:rsidRDefault="00814E8D" w:rsidP="004902CA">
      <w:pPr>
        <w:spacing w:after="360" w:line="240" w:lineRule="auto"/>
        <w:jc w:val="both"/>
        <w:rPr>
          <w:rFonts w:ascii="Times New Roman" w:eastAsia="Times New Roman" w:hAnsi="Times New Roman" w:cs="Times New Roman"/>
          <w:color w:val="FF0000"/>
          <w:sz w:val="24"/>
          <w:szCs w:val="24"/>
          <w:lang w:eastAsia="es-ES"/>
        </w:rPr>
      </w:pPr>
      <w:r>
        <w:rPr>
          <w:rFonts w:ascii="Times New Roman" w:eastAsia="Times New Roman" w:hAnsi="Times New Roman" w:cs="Times New Roman"/>
          <w:color w:val="FF0000"/>
          <w:sz w:val="24"/>
          <w:szCs w:val="24"/>
          <w:lang w:eastAsia="es-ES"/>
        </w:rPr>
        <w:t>Vuelven los “hombres de negro</w:t>
      </w:r>
      <w:r w:rsidR="004902CA">
        <w:rPr>
          <w:rFonts w:ascii="Times New Roman" w:eastAsia="Times New Roman" w:hAnsi="Times New Roman" w:cs="Times New Roman"/>
          <w:color w:val="FF0000"/>
          <w:sz w:val="24"/>
          <w:szCs w:val="24"/>
          <w:lang w:eastAsia="es-ES"/>
        </w:rPr>
        <w:t>”</w:t>
      </w:r>
      <w:r>
        <w:rPr>
          <w:rFonts w:ascii="Times New Roman" w:eastAsia="Times New Roman" w:hAnsi="Times New Roman" w:cs="Times New Roman"/>
          <w:color w:val="FF0000"/>
          <w:sz w:val="24"/>
          <w:szCs w:val="24"/>
          <w:lang w:eastAsia="es-ES"/>
        </w:rPr>
        <w:t xml:space="preserve"> </w:t>
      </w:r>
      <w:r w:rsidR="004902CA" w:rsidRPr="00A85BED">
        <w:rPr>
          <w:rFonts w:ascii="Times New Roman" w:eastAsia="Times New Roman" w:hAnsi="Times New Roman" w:cs="Times New Roman"/>
          <w:color w:val="FF0000"/>
          <w:sz w:val="24"/>
          <w:szCs w:val="24"/>
          <w:lang w:eastAsia="es-ES"/>
        </w:rPr>
        <w:t>cuando Moncloa carece de plan para bajar déficit y deuda</w:t>
      </w:r>
    </w:p>
    <w:p w:rsidR="004902CA" w:rsidRPr="00A85BED" w:rsidRDefault="004902CA" w:rsidP="004902CA">
      <w:pPr>
        <w:spacing w:after="360" w:line="240" w:lineRule="auto"/>
        <w:jc w:val="both"/>
        <w:rPr>
          <w:rFonts w:ascii="Times New Roman" w:eastAsia="Times New Roman" w:hAnsi="Times New Roman" w:cs="Times New Roman"/>
          <w:color w:val="FF0000"/>
          <w:sz w:val="24"/>
          <w:szCs w:val="24"/>
          <w:u w:val="single"/>
          <w:lang w:eastAsia="es-ES"/>
        </w:rPr>
      </w:pPr>
      <w:r w:rsidRPr="00A85BED">
        <w:rPr>
          <w:rFonts w:ascii="Times New Roman" w:eastAsia="Times New Roman" w:hAnsi="Times New Roman" w:cs="Times New Roman"/>
          <w:color w:val="FF0000"/>
          <w:sz w:val="24"/>
          <w:szCs w:val="24"/>
          <w:u w:val="single"/>
          <w:lang w:eastAsia="es-ES"/>
        </w:rPr>
        <w:t xml:space="preserve">El nuevo cortafuegos del BCE para evitar otra crisis de deuda en la eurozona, anunciado esta semana, aún carece de diseño definitivo. Sin embargo, los países del norte de la Unión Monetaria (los llamados frugales) ya tienen claro que sus homólogos del sur se someterán a un alto peaje a cambio de beneficiarse de dicho escudo. Fuentes cercanas al eurobanco </w:t>
      </w:r>
      <w:r w:rsidRPr="00A85BED">
        <w:rPr>
          <w:rFonts w:ascii="Times New Roman" w:eastAsia="Times New Roman" w:hAnsi="Times New Roman" w:cs="Times New Roman"/>
          <w:color w:val="FF0000"/>
          <w:sz w:val="24"/>
          <w:szCs w:val="24"/>
          <w:u w:val="single"/>
          <w:lang w:eastAsia="es-ES"/>
        </w:rPr>
        <w:lastRenderedPageBreak/>
        <w:t>revelan a elEconomista que los frugales del Consejo de Gobierno de la inst</w:t>
      </w:r>
      <w:r>
        <w:rPr>
          <w:rFonts w:ascii="Times New Roman" w:eastAsia="Times New Roman" w:hAnsi="Times New Roman" w:cs="Times New Roman"/>
          <w:color w:val="FF0000"/>
          <w:sz w:val="24"/>
          <w:szCs w:val="24"/>
          <w:u w:val="single"/>
          <w:lang w:eastAsia="es-ES"/>
        </w:rPr>
        <w:t>itución monetaria se mostraron “muy reticentes”</w:t>
      </w:r>
      <w:r w:rsidRPr="00A85BED">
        <w:rPr>
          <w:rFonts w:ascii="Times New Roman" w:eastAsia="Times New Roman" w:hAnsi="Times New Roman" w:cs="Times New Roman"/>
          <w:color w:val="FF0000"/>
          <w:sz w:val="24"/>
          <w:szCs w:val="24"/>
          <w:u w:val="single"/>
          <w:lang w:eastAsia="es-ES"/>
        </w:rPr>
        <w:t xml:space="preserve"> ante la reactivación de las compras de deuda para proteger a España e Italia, </w:t>
      </w:r>
      <w:r>
        <w:rPr>
          <w:rFonts w:ascii="Times New Roman" w:eastAsia="Times New Roman" w:hAnsi="Times New Roman" w:cs="Times New Roman"/>
          <w:color w:val="FF0000"/>
          <w:sz w:val="24"/>
          <w:szCs w:val="24"/>
          <w:u w:val="single"/>
          <w:lang w:eastAsia="es-ES"/>
        </w:rPr>
        <w:t>y sólo la aceptarán imponiendo “estrictas condiciones”</w:t>
      </w:r>
      <w:r w:rsidRPr="00A85BED">
        <w:rPr>
          <w:rFonts w:ascii="Times New Roman" w:eastAsia="Times New Roman" w:hAnsi="Times New Roman" w:cs="Times New Roman"/>
          <w:color w:val="FF0000"/>
          <w:sz w:val="24"/>
          <w:szCs w:val="24"/>
          <w:u w:val="single"/>
          <w:lang w:eastAsia="es-ES"/>
        </w:rPr>
        <w:t xml:space="preserve"> a esas economías.</w:t>
      </w:r>
    </w:p>
    <w:p w:rsidR="004902CA" w:rsidRPr="00B70100" w:rsidRDefault="004902CA" w:rsidP="004902CA">
      <w:pPr>
        <w:spacing w:after="360" w:line="240" w:lineRule="auto"/>
        <w:jc w:val="both"/>
        <w:rPr>
          <w:rFonts w:ascii="Times New Roman" w:eastAsia="Times New Roman" w:hAnsi="Times New Roman" w:cs="Times New Roman"/>
          <w:color w:val="FF0000"/>
          <w:sz w:val="24"/>
          <w:szCs w:val="24"/>
          <w:u w:val="single"/>
          <w:lang w:eastAsia="es-ES"/>
        </w:rPr>
      </w:pPr>
      <w:r w:rsidRPr="00A44B7D">
        <w:rPr>
          <w:rFonts w:ascii="Times New Roman" w:eastAsia="Times New Roman" w:hAnsi="Times New Roman" w:cs="Times New Roman"/>
          <w:sz w:val="24"/>
          <w:szCs w:val="24"/>
          <w:lang w:eastAsia="es-ES"/>
        </w:rPr>
        <w:t xml:space="preserve">No se trata meramente del endurecimiento de los requisitos técnicos que todos los analistas anticipan ya, como el acortamiento del plazo temporal durante el cual el BCE podrá volver a adquirir bonos. </w:t>
      </w:r>
      <w:r w:rsidRPr="00B70100">
        <w:rPr>
          <w:rFonts w:ascii="Times New Roman" w:eastAsia="Times New Roman" w:hAnsi="Times New Roman" w:cs="Times New Roman"/>
          <w:color w:val="FF0000"/>
          <w:sz w:val="24"/>
          <w:szCs w:val="24"/>
          <w:u w:val="single"/>
          <w:lang w:eastAsia="es-ES"/>
        </w:rPr>
        <w:t>Lo que los Gobiernos de Holanda, Finlandia o Austria tienen en mente, según las fuent</w:t>
      </w:r>
      <w:r>
        <w:rPr>
          <w:rFonts w:ascii="Times New Roman" w:eastAsia="Times New Roman" w:hAnsi="Times New Roman" w:cs="Times New Roman"/>
          <w:color w:val="FF0000"/>
          <w:sz w:val="24"/>
          <w:szCs w:val="24"/>
          <w:u w:val="single"/>
          <w:lang w:eastAsia="es-ES"/>
        </w:rPr>
        <w:t>es consultadas, es “</w:t>
      </w:r>
      <w:r w:rsidRPr="00B70100">
        <w:rPr>
          <w:rFonts w:ascii="Times New Roman" w:eastAsia="Times New Roman" w:hAnsi="Times New Roman" w:cs="Times New Roman"/>
          <w:color w:val="FF0000"/>
          <w:sz w:val="24"/>
          <w:szCs w:val="24"/>
          <w:u w:val="single"/>
          <w:lang w:eastAsia="es-ES"/>
        </w:rPr>
        <w:t>un ajuste</w:t>
      </w:r>
      <w:r>
        <w:rPr>
          <w:rFonts w:ascii="Times New Roman" w:eastAsia="Times New Roman" w:hAnsi="Times New Roman" w:cs="Times New Roman"/>
          <w:color w:val="FF0000"/>
          <w:sz w:val="24"/>
          <w:szCs w:val="24"/>
          <w:u w:val="single"/>
          <w:lang w:eastAsia="es-ES"/>
        </w:rPr>
        <w:t xml:space="preserve"> generalizado del gasto público”</w:t>
      </w:r>
      <w:r w:rsidRPr="00B70100">
        <w:rPr>
          <w:rFonts w:ascii="Times New Roman" w:eastAsia="Times New Roman" w:hAnsi="Times New Roman" w:cs="Times New Roman"/>
          <w:color w:val="FF0000"/>
          <w:sz w:val="24"/>
          <w:szCs w:val="24"/>
          <w:u w:val="single"/>
          <w:lang w:eastAsia="es-ES"/>
        </w:rPr>
        <w:t xml:space="preserve"> para poner en orden el déficit y el endeudamiento de las Administraciones españolas, transalpinas y del resto de los países meridionales del euro, aun cuando las condiciones del Pacto de Estabilidad sigan oficialmente suspendidas en 2023.</w:t>
      </w:r>
    </w:p>
    <w:p w:rsidR="004902CA" w:rsidRPr="00B70100" w:rsidRDefault="004902CA" w:rsidP="004902CA">
      <w:pPr>
        <w:spacing w:after="360" w:line="240" w:lineRule="auto"/>
        <w:jc w:val="both"/>
        <w:rPr>
          <w:rFonts w:ascii="Times New Roman" w:eastAsia="Times New Roman" w:hAnsi="Times New Roman" w:cs="Times New Roman"/>
          <w:color w:val="FF0000"/>
          <w:sz w:val="24"/>
          <w:szCs w:val="24"/>
          <w:u w:val="single"/>
          <w:lang w:eastAsia="es-ES"/>
        </w:rPr>
      </w:pPr>
      <w:r w:rsidRPr="00B70100">
        <w:rPr>
          <w:rFonts w:ascii="Times New Roman" w:eastAsia="Times New Roman" w:hAnsi="Times New Roman" w:cs="Times New Roman"/>
          <w:color w:val="FF0000"/>
          <w:sz w:val="24"/>
          <w:szCs w:val="24"/>
          <w:u w:val="single"/>
          <w:lang w:eastAsia="es-ES"/>
        </w:rPr>
        <w:t>Se trataría, en otras palabras, del regreso de los hombres de negro a esos territorios.</w:t>
      </w:r>
    </w:p>
    <w:p w:rsidR="004902CA" w:rsidRPr="00A44B7D" w:rsidRDefault="004902CA" w:rsidP="004902CA">
      <w:pPr>
        <w:spacing w:after="360" w:line="240" w:lineRule="auto"/>
        <w:jc w:val="both"/>
        <w:rPr>
          <w:rFonts w:ascii="Times New Roman" w:eastAsia="Times New Roman" w:hAnsi="Times New Roman" w:cs="Times New Roman"/>
          <w:sz w:val="24"/>
          <w:szCs w:val="24"/>
          <w:lang w:eastAsia="es-ES"/>
        </w:rPr>
      </w:pPr>
      <w:r w:rsidRPr="006A723B">
        <w:rPr>
          <w:rFonts w:ascii="Times New Roman" w:eastAsia="Times New Roman" w:hAnsi="Times New Roman" w:cs="Times New Roman"/>
          <w:noProof/>
          <w:sz w:val="24"/>
          <w:szCs w:val="24"/>
          <w:lang w:eastAsia="es-ES"/>
        </w:rPr>
        <w:drawing>
          <wp:inline distT="0" distB="0" distL="0" distR="0" wp14:anchorId="356DBC33" wp14:editId="4DD9CAF7">
            <wp:extent cx="5689364" cy="4387850"/>
            <wp:effectExtent l="0" t="0" r="6985" b="0"/>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5689364" cy="4387850"/>
                    </a:xfrm>
                    <a:prstGeom prst="rect">
                      <a:avLst/>
                    </a:prstGeom>
                  </pic:spPr>
                </pic:pic>
              </a:graphicData>
            </a:graphic>
          </wp:inline>
        </w:drawing>
      </w:r>
    </w:p>
    <w:p w:rsidR="004902CA" w:rsidRPr="00B70100" w:rsidRDefault="004902CA" w:rsidP="004902CA">
      <w:pPr>
        <w:spacing w:after="360" w:line="240" w:lineRule="auto"/>
        <w:jc w:val="both"/>
        <w:rPr>
          <w:rFonts w:ascii="Times New Roman" w:eastAsia="Times New Roman" w:hAnsi="Times New Roman" w:cs="Times New Roman"/>
          <w:sz w:val="24"/>
          <w:szCs w:val="24"/>
          <w:u w:val="single"/>
          <w:lang w:eastAsia="es-ES"/>
        </w:rPr>
      </w:pPr>
      <w:r w:rsidRPr="00B70100">
        <w:rPr>
          <w:rFonts w:ascii="Times New Roman" w:eastAsia="Times New Roman" w:hAnsi="Times New Roman" w:cs="Times New Roman"/>
          <w:sz w:val="24"/>
          <w:szCs w:val="24"/>
          <w:u w:val="single"/>
          <w:lang w:eastAsia="es-ES"/>
        </w:rPr>
        <w:t>El recurso a los términos y el discurso propios de las crisis financieras de 2012 y 2015 no es en absoluto casual. Los países frugales extrajeron de esas turbulencias unas lecciones que están dispuestos a aplicar ahora en toda su extensión. En primer lugar, demandan que el BCE sea escrupuloso en el cumplimiento de sus propios plazos y compromisos.</w:t>
      </w:r>
    </w:p>
    <w:p w:rsidR="004902CA" w:rsidRPr="00B70100" w:rsidRDefault="004902CA" w:rsidP="004902CA">
      <w:pPr>
        <w:spacing w:after="360" w:line="240" w:lineRule="auto"/>
        <w:jc w:val="both"/>
        <w:rPr>
          <w:rFonts w:ascii="Times New Roman" w:eastAsia="Times New Roman" w:hAnsi="Times New Roman" w:cs="Times New Roman"/>
          <w:sz w:val="24"/>
          <w:szCs w:val="24"/>
          <w:u w:val="single"/>
          <w:lang w:eastAsia="es-ES"/>
        </w:rPr>
      </w:pPr>
      <w:r w:rsidRPr="00B70100">
        <w:rPr>
          <w:rFonts w:ascii="Times New Roman" w:eastAsia="Times New Roman" w:hAnsi="Times New Roman" w:cs="Times New Roman"/>
          <w:sz w:val="24"/>
          <w:szCs w:val="24"/>
          <w:u w:val="single"/>
          <w:lang w:eastAsia="es-ES"/>
        </w:rPr>
        <w:t>En este sentido, recuerdan que Fráncfort dejó claro que las compras de deuda puestas en marcha en el Programa Extraordinario Antipandemia (PEPP) se terminaron el pasado 31 de marzo y así deben continuar.</w:t>
      </w:r>
    </w:p>
    <w:p w:rsidR="004902CA" w:rsidRPr="004902CA" w:rsidRDefault="004902CA" w:rsidP="004902CA">
      <w:pPr>
        <w:spacing w:after="360" w:line="240" w:lineRule="auto"/>
        <w:jc w:val="both"/>
        <w:rPr>
          <w:rFonts w:ascii="Times New Roman" w:eastAsia="Times New Roman" w:hAnsi="Times New Roman" w:cs="Times New Roman"/>
          <w:color w:val="FF0000"/>
          <w:sz w:val="24"/>
          <w:szCs w:val="24"/>
          <w:lang w:eastAsia="es-ES"/>
        </w:rPr>
      </w:pPr>
      <w:r w:rsidRPr="00B70100">
        <w:rPr>
          <w:rFonts w:ascii="Times New Roman" w:eastAsia="Times New Roman" w:hAnsi="Times New Roman" w:cs="Times New Roman"/>
          <w:color w:val="FF0000"/>
          <w:sz w:val="24"/>
          <w:szCs w:val="24"/>
          <w:u w:val="single"/>
          <w:lang w:eastAsia="es-ES"/>
        </w:rPr>
        <w:lastRenderedPageBreak/>
        <w:t>Toda reactivación de las adquisiciones de activos tiene que considerarse, por tanto, una acción excepcional asociada a unas nuevas exigencias para quienes más se van a beneficiar de ellas. Los frugales, con todo, saben que no pueden llevar su rigidez al extremo y romper la baraja en el Consejo de Gobierno del B</w:t>
      </w:r>
      <w:r>
        <w:rPr>
          <w:rFonts w:ascii="Times New Roman" w:eastAsia="Times New Roman" w:hAnsi="Times New Roman" w:cs="Times New Roman"/>
          <w:color w:val="FF0000"/>
          <w:sz w:val="24"/>
          <w:szCs w:val="24"/>
          <w:u w:val="single"/>
          <w:lang w:eastAsia="es-ES"/>
        </w:rPr>
        <w:t>CE</w:t>
      </w:r>
      <w:r>
        <w:rPr>
          <w:rFonts w:ascii="Times New Roman" w:eastAsia="Times New Roman" w:hAnsi="Times New Roman" w:cs="Times New Roman"/>
          <w:color w:val="FF0000"/>
          <w:sz w:val="24"/>
          <w:szCs w:val="24"/>
          <w:lang w:eastAsia="es-ES"/>
        </w:rPr>
        <w:t>…</w:t>
      </w:r>
    </w:p>
    <w:p w:rsidR="00173662" w:rsidRPr="00015E59" w:rsidRDefault="00173662" w:rsidP="00173662">
      <w:pPr>
        <w:spacing w:after="36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015E59">
        <w:rPr>
          <w:rFonts w:ascii="Times New Roman" w:eastAsia="Times New Roman" w:hAnsi="Times New Roman" w:cs="Times New Roman"/>
          <w:sz w:val="24"/>
          <w:szCs w:val="24"/>
          <w:u w:val="single"/>
          <w:lang w:eastAsia="es-ES"/>
        </w:rPr>
        <w:t>Roubini alerta de que la eurozona entrará en rece</w:t>
      </w:r>
      <w:r>
        <w:rPr>
          <w:rFonts w:ascii="Times New Roman" w:eastAsia="Times New Roman" w:hAnsi="Times New Roman" w:cs="Times New Roman"/>
          <w:sz w:val="24"/>
          <w:szCs w:val="24"/>
          <w:u w:val="single"/>
          <w:lang w:eastAsia="es-ES"/>
        </w:rPr>
        <w:t>sión en pocas semanas tras una “</w:t>
      </w:r>
      <w:r w:rsidRPr="00015E59">
        <w:rPr>
          <w:rFonts w:ascii="Times New Roman" w:eastAsia="Times New Roman" w:hAnsi="Times New Roman" w:cs="Times New Roman"/>
          <w:sz w:val="24"/>
          <w:szCs w:val="24"/>
          <w:u w:val="single"/>
          <w:lang w:eastAsia="es-ES"/>
        </w:rPr>
        <w:t>recuperación anémica</w:t>
      </w:r>
      <w:r>
        <w:rPr>
          <w:rFonts w:ascii="Times New Roman" w:eastAsia="Times New Roman" w:hAnsi="Times New Roman" w:cs="Times New Roman"/>
          <w:sz w:val="24"/>
          <w:szCs w:val="24"/>
          <w:lang w:eastAsia="es-ES"/>
        </w:rPr>
        <w:t xml:space="preserve">” (El Economista - </w:t>
      </w:r>
      <w:r w:rsidRPr="00015E59">
        <w:rPr>
          <w:rFonts w:ascii="Times New Roman" w:eastAsia="Times New Roman" w:hAnsi="Times New Roman" w:cs="Times New Roman"/>
          <w:b/>
          <w:sz w:val="24"/>
          <w:szCs w:val="24"/>
          <w:lang w:eastAsia="es-ES"/>
        </w:rPr>
        <w:t>18/6/22</w:t>
      </w:r>
      <w:r>
        <w:rPr>
          <w:rFonts w:ascii="Times New Roman" w:eastAsia="Times New Roman" w:hAnsi="Times New Roman" w:cs="Times New Roman"/>
          <w:sz w:val="24"/>
          <w:szCs w:val="24"/>
          <w:lang w:eastAsia="es-ES"/>
        </w:rPr>
        <w:t>)</w:t>
      </w:r>
    </w:p>
    <w:p w:rsidR="00173662" w:rsidRPr="00015E59" w:rsidRDefault="00173662" w:rsidP="00173662">
      <w:pPr>
        <w:spacing w:after="36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(Por </w:t>
      </w:r>
      <w:r w:rsidRPr="00015E59">
        <w:rPr>
          <w:rFonts w:ascii="Times New Roman" w:eastAsia="Times New Roman" w:hAnsi="Times New Roman" w:cs="Times New Roman"/>
          <w:sz w:val="24"/>
          <w:szCs w:val="24"/>
          <w:lang w:eastAsia="es-ES"/>
        </w:rPr>
        <w:t>Javier Collado</w:t>
      </w:r>
      <w:r>
        <w:rPr>
          <w:rFonts w:ascii="Times New Roman" w:eastAsia="Times New Roman" w:hAnsi="Times New Roman" w:cs="Times New Roman"/>
          <w:sz w:val="24"/>
          <w:szCs w:val="24"/>
          <w:lang w:eastAsia="es-ES"/>
        </w:rPr>
        <w:t>)</w:t>
      </w:r>
    </w:p>
    <w:p w:rsidR="00173662" w:rsidRPr="00040881" w:rsidRDefault="00173662" w:rsidP="00173662">
      <w:pPr>
        <w:spacing w:after="360" w:line="240" w:lineRule="auto"/>
        <w:jc w:val="both"/>
        <w:rPr>
          <w:rFonts w:ascii="Times New Roman" w:eastAsia="Times New Roman" w:hAnsi="Times New Roman" w:cs="Times New Roman"/>
          <w:sz w:val="24"/>
          <w:szCs w:val="24"/>
          <w:u w:val="single"/>
          <w:lang w:eastAsia="es-ES"/>
        </w:rPr>
      </w:pPr>
      <w:r w:rsidRPr="00015E59">
        <w:rPr>
          <w:rFonts w:ascii="Times New Roman" w:eastAsia="Times New Roman" w:hAnsi="Times New Roman" w:cs="Times New Roman"/>
          <w:sz w:val="24"/>
          <w:szCs w:val="24"/>
          <w:lang w:eastAsia="es-ES"/>
        </w:rPr>
        <w:t xml:space="preserve">Los gurús de la economía empiezan a señalar los riesgos de las nuevas medidas propuestas por el Banco Central Europeo. Es el caso </w:t>
      </w:r>
      <w:r w:rsidRPr="00040881">
        <w:rPr>
          <w:rFonts w:ascii="Times New Roman" w:eastAsia="Times New Roman" w:hAnsi="Times New Roman" w:cs="Times New Roman"/>
          <w:sz w:val="24"/>
          <w:szCs w:val="24"/>
          <w:u w:val="single"/>
          <w:lang w:eastAsia="es-ES"/>
        </w:rPr>
        <w:t>de Nouriel Roubini, profesor de Finanzas de la Universidad de Nueva York, quien ha alertado este sábado de que, si bien la situación de la economía estadounidense no es favorable, la que atraviesa la eurozona es especialmente preocupante. Además, ha señalado el caso de Italia como el país que más puede sufrir durante los próximos meses.</w:t>
      </w:r>
    </w:p>
    <w:p w:rsidR="00173662" w:rsidRPr="00040881" w:rsidRDefault="00173662" w:rsidP="00173662">
      <w:pPr>
        <w:spacing w:after="360" w:line="240" w:lineRule="auto"/>
        <w:jc w:val="both"/>
        <w:rPr>
          <w:rFonts w:ascii="Times New Roman" w:eastAsia="Times New Roman" w:hAnsi="Times New Roman" w:cs="Times New Roman"/>
          <w:sz w:val="24"/>
          <w:szCs w:val="24"/>
          <w:u w:val="single"/>
          <w:lang w:eastAsia="es-ES"/>
        </w:rPr>
      </w:pPr>
      <w:r w:rsidRPr="00015E59">
        <w:rPr>
          <w:rFonts w:ascii="Times New Roman" w:eastAsia="Times New Roman" w:hAnsi="Times New Roman" w:cs="Times New Roman"/>
          <w:sz w:val="24"/>
          <w:szCs w:val="24"/>
          <w:lang w:eastAsia="es-ES"/>
        </w:rPr>
        <w:t xml:space="preserve">En un artículo publicado en Financial Times, Roubini ha señalado que la zona euro se enfrenta a peligros que no se aprecian en el resto de economías mundiales. </w:t>
      </w:r>
      <w:r>
        <w:rPr>
          <w:rFonts w:ascii="Times New Roman" w:eastAsia="Times New Roman" w:hAnsi="Times New Roman" w:cs="Times New Roman"/>
          <w:sz w:val="24"/>
          <w:szCs w:val="24"/>
          <w:u w:val="single"/>
          <w:lang w:eastAsia="es-ES"/>
        </w:rPr>
        <w:t>“</w:t>
      </w:r>
      <w:r w:rsidRPr="00040881">
        <w:rPr>
          <w:rFonts w:ascii="Times New Roman" w:eastAsia="Times New Roman" w:hAnsi="Times New Roman" w:cs="Times New Roman"/>
          <w:sz w:val="24"/>
          <w:szCs w:val="24"/>
          <w:u w:val="single"/>
          <w:lang w:eastAsia="es-ES"/>
        </w:rPr>
        <w:t>La zona podría ir hacia una recesión incluso antes de que el</w:t>
      </w:r>
      <w:r>
        <w:rPr>
          <w:rFonts w:ascii="Times New Roman" w:eastAsia="Times New Roman" w:hAnsi="Times New Roman" w:cs="Times New Roman"/>
          <w:sz w:val="24"/>
          <w:szCs w:val="24"/>
          <w:u w:val="single"/>
          <w:lang w:eastAsia="es-ES"/>
        </w:rPr>
        <w:t xml:space="preserve"> BCE comience a subir los tipos”</w:t>
      </w:r>
      <w:r w:rsidRPr="00040881">
        <w:rPr>
          <w:rFonts w:ascii="Times New Roman" w:eastAsia="Times New Roman" w:hAnsi="Times New Roman" w:cs="Times New Roman"/>
          <w:sz w:val="24"/>
          <w:szCs w:val="24"/>
          <w:u w:val="single"/>
          <w:lang w:eastAsia="es-ES"/>
        </w:rPr>
        <w:t>, apunta Roubini. De esta forma, el experto deja entrever que la posibilidad de recesión es inminente, puesto que el organismo dirigido por Christine Lagarde ya anunció hace unas semanas que iniciará las subidas en su reunión de julio.</w:t>
      </w:r>
    </w:p>
    <w:p w:rsidR="00173662" w:rsidRPr="00040881" w:rsidRDefault="00173662" w:rsidP="00173662">
      <w:pPr>
        <w:spacing w:after="360" w:line="240" w:lineRule="auto"/>
        <w:jc w:val="both"/>
        <w:rPr>
          <w:rFonts w:ascii="Times New Roman" w:eastAsia="Times New Roman" w:hAnsi="Times New Roman" w:cs="Times New Roman"/>
          <w:sz w:val="24"/>
          <w:szCs w:val="24"/>
          <w:u w:val="single"/>
          <w:lang w:eastAsia="es-ES"/>
        </w:rPr>
      </w:pPr>
      <w:r w:rsidRPr="00015E59">
        <w:rPr>
          <w:rFonts w:ascii="Times New Roman" w:eastAsia="Times New Roman" w:hAnsi="Times New Roman" w:cs="Times New Roman"/>
          <w:sz w:val="24"/>
          <w:szCs w:val="24"/>
          <w:lang w:eastAsia="es-ES"/>
        </w:rPr>
        <w:t xml:space="preserve">El profesor emérito de la Stern School of Business indica las grandes diferencias entre el conjunto de economías de la moneda única y la de Estados Unidos. Por una parte, cita al shock de oferta, incluyendo el encarecimiento de la energía y las materias primas, que alimenta la inflación. </w:t>
      </w:r>
      <w:r w:rsidRPr="00040881">
        <w:rPr>
          <w:rFonts w:ascii="Times New Roman" w:eastAsia="Times New Roman" w:hAnsi="Times New Roman" w:cs="Times New Roman"/>
          <w:sz w:val="24"/>
          <w:szCs w:val="24"/>
          <w:u w:val="single"/>
          <w:lang w:eastAsia="es-ES"/>
        </w:rPr>
        <w:t>Alude también a un crecimiento inferior en salari</w:t>
      </w:r>
      <w:r>
        <w:rPr>
          <w:rFonts w:ascii="Times New Roman" w:eastAsia="Times New Roman" w:hAnsi="Times New Roman" w:cs="Times New Roman"/>
          <w:sz w:val="24"/>
          <w:szCs w:val="24"/>
          <w:u w:val="single"/>
          <w:lang w:eastAsia="es-ES"/>
        </w:rPr>
        <w:t>os y creación de empleo, a una “recuperación anémica”</w:t>
      </w:r>
      <w:r w:rsidRPr="00040881">
        <w:rPr>
          <w:rFonts w:ascii="Times New Roman" w:eastAsia="Times New Roman" w:hAnsi="Times New Roman" w:cs="Times New Roman"/>
          <w:sz w:val="24"/>
          <w:szCs w:val="24"/>
          <w:u w:val="single"/>
          <w:lang w:eastAsia="es-ES"/>
        </w:rPr>
        <w:t xml:space="preserve"> tras la pandemia, al debilitamiento del euro y a la mayor exposición a las exportaciones de China, que pueden vers</w:t>
      </w:r>
      <w:r>
        <w:rPr>
          <w:rFonts w:ascii="Times New Roman" w:eastAsia="Times New Roman" w:hAnsi="Times New Roman" w:cs="Times New Roman"/>
          <w:sz w:val="24"/>
          <w:szCs w:val="24"/>
          <w:u w:val="single"/>
          <w:lang w:eastAsia="es-ES"/>
        </w:rPr>
        <w:t>e afectadas por la política de “cero Covid”</w:t>
      </w:r>
      <w:r w:rsidRPr="00040881">
        <w:rPr>
          <w:rFonts w:ascii="Times New Roman" w:eastAsia="Times New Roman" w:hAnsi="Times New Roman" w:cs="Times New Roman"/>
          <w:sz w:val="24"/>
          <w:szCs w:val="24"/>
          <w:u w:val="single"/>
          <w:lang w:eastAsia="es-ES"/>
        </w:rPr>
        <w:t xml:space="preserve"> y seguir empujando los precios al alza.</w:t>
      </w:r>
    </w:p>
    <w:p w:rsidR="00173662" w:rsidRPr="00040881" w:rsidRDefault="00173662" w:rsidP="00173662">
      <w:pPr>
        <w:spacing w:after="360" w:line="240" w:lineRule="auto"/>
        <w:jc w:val="both"/>
        <w:rPr>
          <w:rFonts w:ascii="Times New Roman" w:eastAsia="Times New Roman" w:hAnsi="Times New Roman" w:cs="Times New Roman"/>
          <w:sz w:val="24"/>
          <w:szCs w:val="24"/>
          <w:u w:val="single"/>
          <w:lang w:eastAsia="es-ES"/>
        </w:rPr>
      </w:pPr>
      <w:r>
        <w:rPr>
          <w:rFonts w:ascii="Times New Roman" w:eastAsia="Times New Roman" w:hAnsi="Times New Roman" w:cs="Times New Roman"/>
          <w:sz w:val="24"/>
          <w:szCs w:val="24"/>
          <w:u w:val="single"/>
          <w:lang w:eastAsia="es-ES"/>
        </w:rPr>
        <w:t>“</w:t>
      </w:r>
      <w:r w:rsidRPr="00040881">
        <w:rPr>
          <w:rFonts w:ascii="Times New Roman" w:eastAsia="Times New Roman" w:hAnsi="Times New Roman" w:cs="Times New Roman"/>
          <w:sz w:val="24"/>
          <w:szCs w:val="24"/>
          <w:u w:val="single"/>
          <w:lang w:eastAsia="es-ES"/>
        </w:rPr>
        <w:t>Un aterrizaje forzoso no solo exacerbaría esos problemas sino que intensificaría las preocupaciones del mercado sobre la sostenibilidad de la deuda o el riesgo de fragmentación. El círculo vicioso entre los gobiernos endeudados y los bancos que poseen esa deuda, una situación fijada en las cabezas de muchos por la crisis de la eurozona de hace una déca</w:t>
      </w:r>
      <w:r>
        <w:rPr>
          <w:rFonts w:ascii="Times New Roman" w:eastAsia="Times New Roman" w:hAnsi="Times New Roman" w:cs="Times New Roman"/>
          <w:sz w:val="24"/>
          <w:szCs w:val="24"/>
          <w:u w:val="single"/>
          <w:lang w:eastAsia="es-ES"/>
        </w:rPr>
        <w:t>da, volvería a estar en el foco”</w:t>
      </w:r>
      <w:r w:rsidRPr="00040881">
        <w:rPr>
          <w:rFonts w:ascii="Times New Roman" w:eastAsia="Times New Roman" w:hAnsi="Times New Roman" w:cs="Times New Roman"/>
          <w:sz w:val="24"/>
          <w:szCs w:val="24"/>
          <w:u w:val="single"/>
          <w:lang w:eastAsia="es-ES"/>
        </w:rPr>
        <w:t>, argumenta.</w:t>
      </w:r>
    </w:p>
    <w:p w:rsidR="00173662" w:rsidRPr="00040881" w:rsidRDefault="00173662" w:rsidP="00173662">
      <w:pPr>
        <w:spacing w:after="360" w:line="240" w:lineRule="auto"/>
        <w:jc w:val="both"/>
        <w:rPr>
          <w:rFonts w:ascii="Times New Roman" w:eastAsia="Times New Roman" w:hAnsi="Times New Roman" w:cs="Times New Roman"/>
          <w:sz w:val="24"/>
          <w:szCs w:val="24"/>
          <w:u w:val="single"/>
          <w:lang w:eastAsia="es-ES"/>
        </w:rPr>
      </w:pPr>
      <w:r w:rsidRPr="00015E59">
        <w:rPr>
          <w:rFonts w:ascii="Times New Roman" w:eastAsia="Times New Roman" w:hAnsi="Times New Roman" w:cs="Times New Roman"/>
          <w:sz w:val="24"/>
          <w:szCs w:val="24"/>
          <w:lang w:eastAsia="es-ES"/>
        </w:rPr>
        <w:t>En este aspecto, sí cree que el mecanismo anunciado por el BCE es necesario porque las medidas de política monetaria afectarán de forma distinta a los 19 países de la zo</w:t>
      </w:r>
      <w:r>
        <w:rPr>
          <w:rFonts w:ascii="Times New Roman" w:eastAsia="Times New Roman" w:hAnsi="Times New Roman" w:cs="Times New Roman"/>
          <w:sz w:val="24"/>
          <w:szCs w:val="24"/>
          <w:lang w:eastAsia="es-ES"/>
        </w:rPr>
        <w:t>na euro, pero cree que es algo “más fácil de decir que de hacer”</w:t>
      </w:r>
      <w:r w:rsidRPr="00015E59">
        <w:rPr>
          <w:rFonts w:ascii="Times New Roman" w:eastAsia="Times New Roman" w:hAnsi="Times New Roman" w:cs="Times New Roman"/>
          <w:sz w:val="24"/>
          <w:szCs w:val="24"/>
          <w:lang w:eastAsia="es-ES"/>
        </w:rPr>
        <w:t xml:space="preserve">. </w:t>
      </w:r>
      <w:r w:rsidRPr="00040881">
        <w:rPr>
          <w:rFonts w:ascii="Times New Roman" w:eastAsia="Times New Roman" w:hAnsi="Times New Roman" w:cs="Times New Roman"/>
          <w:sz w:val="24"/>
          <w:szCs w:val="24"/>
          <w:u w:val="single"/>
          <w:lang w:eastAsia="es-ES"/>
        </w:rPr>
        <w:t>Roubini recuerda que la adquisición ilimitada de bonos soberanos por parte del banco central está condicionada a una serie de medidas económicas que pongan en el buen rumbo las finanzas del país, lo que desincentiva a los países más perjudicados a que soliciten este rescate.</w:t>
      </w:r>
    </w:p>
    <w:p w:rsidR="00173662" w:rsidRPr="00040881" w:rsidRDefault="00173662" w:rsidP="00173662">
      <w:pPr>
        <w:spacing w:after="360" w:line="240" w:lineRule="auto"/>
        <w:jc w:val="both"/>
        <w:rPr>
          <w:rFonts w:ascii="Times New Roman" w:eastAsia="Times New Roman" w:hAnsi="Times New Roman" w:cs="Times New Roman"/>
          <w:color w:val="FF0000"/>
          <w:sz w:val="24"/>
          <w:szCs w:val="24"/>
          <w:u w:val="single"/>
          <w:lang w:eastAsia="es-ES"/>
        </w:rPr>
      </w:pPr>
      <w:r w:rsidRPr="00040881">
        <w:rPr>
          <w:rFonts w:ascii="Times New Roman" w:eastAsia="Times New Roman" w:hAnsi="Times New Roman" w:cs="Times New Roman"/>
          <w:color w:val="FF0000"/>
          <w:sz w:val="24"/>
          <w:szCs w:val="24"/>
          <w:u w:val="single"/>
          <w:lang w:eastAsia="es-ES"/>
        </w:rPr>
        <w:t>Roubini señala especialmente el caso de I</w:t>
      </w:r>
      <w:r>
        <w:rPr>
          <w:rFonts w:ascii="Times New Roman" w:eastAsia="Times New Roman" w:hAnsi="Times New Roman" w:cs="Times New Roman"/>
          <w:color w:val="FF0000"/>
          <w:sz w:val="24"/>
          <w:szCs w:val="24"/>
          <w:u w:val="single"/>
          <w:lang w:eastAsia="es-ES"/>
        </w:rPr>
        <w:t>talia, de quien dice que tiene “</w:t>
      </w:r>
      <w:r w:rsidRPr="00040881">
        <w:rPr>
          <w:rFonts w:ascii="Times New Roman" w:eastAsia="Times New Roman" w:hAnsi="Times New Roman" w:cs="Times New Roman"/>
          <w:color w:val="FF0000"/>
          <w:sz w:val="24"/>
          <w:szCs w:val="24"/>
          <w:u w:val="single"/>
          <w:lang w:eastAsia="es-ES"/>
        </w:rPr>
        <w:t>bajo potencial de crecimiento, un gran déficit fiscal y una enorme deuda pública, posiblemente insostenible, que h</w:t>
      </w:r>
      <w:r>
        <w:rPr>
          <w:rFonts w:ascii="Times New Roman" w:eastAsia="Times New Roman" w:hAnsi="Times New Roman" w:cs="Times New Roman"/>
          <w:color w:val="FF0000"/>
          <w:sz w:val="24"/>
          <w:szCs w:val="24"/>
          <w:u w:val="single"/>
          <w:lang w:eastAsia="es-ES"/>
        </w:rPr>
        <w:t>a aumentado durante la pandemia”</w:t>
      </w:r>
      <w:r w:rsidRPr="00040881">
        <w:rPr>
          <w:rFonts w:ascii="Times New Roman" w:eastAsia="Times New Roman" w:hAnsi="Times New Roman" w:cs="Times New Roman"/>
          <w:color w:val="FF0000"/>
          <w:sz w:val="24"/>
          <w:szCs w:val="24"/>
          <w:u w:val="single"/>
          <w:lang w:eastAsia="es-ES"/>
        </w:rPr>
        <w:t xml:space="preserve">, una deuda a la que le costará cada vez más poder </w:t>
      </w:r>
      <w:r w:rsidRPr="00040881">
        <w:rPr>
          <w:rFonts w:ascii="Times New Roman" w:eastAsia="Times New Roman" w:hAnsi="Times New Roman" w:cs="Times New Roman"/>
          <w:color w:val="FF0000"/>
          <w:sz w:val="24"/>
          <w:szCs w:val="24"/>
          <w:u w:val="single"/>
          <w:lang w:eastAsia="es-ES"/>
        </w:rPr>
        <w:lastRenderedPageBreak/>
        <w:t>pagar cuando el BCE empiece a subir los tipos de interés. Además, recuerda que habrá elecciones en el país en 2023 que pueden dar como resultado una coalición de derechas con partidos euroescép</w:t>
      </w:r>
      <w:r>
        <w:rPr>
          <w:rFonts w:ascii="Times New Roman" w:eastAsia="Times New Roman" w:hAnsi="Times New Roman" w:cs="Times New Roman"/>
          <w:color w:val="FF0000"/>
          <w:sz w:val="24"/>
          <w:szCs w:val="24"/>
          <w:u w:val="single"/>
          <w:lang w:eastAsia="es-ES"/>
        </w:rPr>
        <w:t>ticos para quienes podrían ser “inaceptables”</w:t>
      </w:r>
      <w:r w:rsidRPr="00040881">
        <w:rPr>
          <w:rFonts w:ascii="Times New Roman" w:eastAsia="Times New Roman" w:hAnsi="Times New Roman" w:cs="Times New Roman"/>
          <w:color w:val="FF0000"/>
          <w:sz w:val="24"/>
          <w:szCs w:val="24"/>
          <w:u w:val="single"/>
          <w:lang w:eastAsia="es-ES"/>
        </w:rPr>
        <w:t xml:space="preserve"> las condiciones que el banco central imponga de cara a la compra de deuda soberana italiana.</w:t>
      </w:r>
    </w:p>
    <w:p w:rsidR="00173662" w:rsidRDefault="00173662" w:rsidP="00173662">
      <w:pPr>
        <w:spacing w:after="360" w:line="240" w:lineRule="auto"/>
        <w:jc w:val="both"/>
        <w:rPr>
          <w:rFonts w:ascii="Times New Roman" w:eastAsia="Times New Roman" w:hAnsi="Times New Roman" w:cs="Times New Roman"/>
          <w:sz w:val="24"/>
          <w:szCs w:val="24"/>
          <w:lang w:eastAsia="es-ES"/>
        </w:rPr>
      </w:pPr>
      <w:r w:rsidRPr="00015E59">
        <w:rPr>
          <w:rFonts w:ascii="Times New Roman" w:eastAsia="Times New Roman" w:hAnsi="Times New Roman" w:cs="Times New Roman"/>
          <w:sz w:val="24"/>
          <w:szCs w:val="24"/>
          <w:lang w:eastAsia="es-ES"/>
        </w:rPr>
        <w:t>Cabe recordar que, en una reunión de urgencia convocada el miércoles, la entidad dirigida por Lagarde comunicó que flexibilizará la reinversión de la cartera de vencimientos del programa de compra de emergencia, de forma que se adquiera más deuda de aquellas economías más perjudicadas. Es la forma en la que el BCE ha intentado refrenar el miedo de los inversores hacia los países periféricos, donde la prima de riesgo se ha disparado en las últimas semanas ante el miedo a los efectos de una recesión. En la práctica, esto supondrá que el BCE dejará de comprar deuda de los países fuertes, como Alemania o Francia, para aumentar el apoyo a los que están en riesgo, como Italia, España, Grecia o Portugal.</w:t>
      </w:r>
    </w:p>
    <w:p w:rsidR="00173662" w:rsidRPr="00563353" w:rsidRDefault="00173662" w:rsidP="00173662">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563353">
        <w:rPr>
          <w:rFonts w:ascii="Times New Roman" w:eastAsia="Times New Roman" w:hAnsi="Times New Roman" w:cs="Times New Roman"/>
          <w:sz w:val="24"/>
          <w:szCs w:val="24"/>
          <w:lang w:eastAsia="es-ES"/>
        </w:rPr>
        <w:t xml:space="preserve">- </w:t>
      </w:r>
      <w:r w:rsidRPr="00563353">
        <w:rPr>
          <w:rFonts w:ascii="Times New Roman" w:eastAsia="Times New Roman" w:hAnsi="Times New Roman" w:cs="Times New Roman"/>
          <w:sz w:val="24"/>
          <w:szCs w:val="24"/>
          <w:u w:val="single"/>
          <w:lang w:eastAsia="es-ES"/>
        </w:rPr>
        <w:t>Susto o muerte: la Fed se enfrenta a un dilema que no se ha visto en las recesiones de los últimos 40 años</w:t>
      </w:r>
      <w:r w:rsidRPr="00563353">
        <w:rPr>
          <w:rFonts w:ascii="Times New Roman" w:eastAsia="Times New Roman" w:hAnsi="Times New Roman" w:cs="Times New Roman"/>
          <w:sz w:val="24"/>
          <w:szCs w:val="24"/>
          <w:lang w:eastAsia="es-ES"/>
        </w:rPr>
        <w:t xml:space="preserve"> (El Economista - </w:t>
      </w:r>
      <w:r w:rsidRPr="00563353">
        <w:rPr>
          <w:rFonts w:ascii="Times New Roman" w:eastAsia="Times New Roman" w:hAnsi="Times New Roman" w:cs="Times New Roman"/>
          <w:b/>
          <w:sz w:val="24"/>
          <w:szCs w:val="24"/>
          <w:lang w:eastAsia="es-ES"/>
        </w:rPr>
        <w:t>21/6/22</w:t>
      </w:r>
      <w:r w:rsidRPr="00563353">
        <w:rPr>
          <w:rFonts w:ascii="Times New Roman" w:eastAsia="Times New Roman" w:hAnsi="Times New Roman" w:cs="Times New Roman"/>
          <w:sz w:val="24"/>
          <w:szCs w:val="24"/>
          <w:lang w:eastAsia="es-ES"/>
        </w:rPr>
        <w:t>)</w:t>
      </w:r>
    </w:p>
    <w:p w:rsidR="00173662" w:rsidRPr="00D71AC1" w:rsidRDefault="00173662" w:rsidP="00173662">
      <w:pPr>
        <w:shd w:val="clear" w:color="auto" w:fill="FFFFFF"/>
        <w:spacing w:line="240" w:lineRule="auto"/>
        <w:jc w:val="both"/>
        <w:textAlignment w:val="baseline"/>
        <w:rPr>
          <w:rFonts w:ascii="Times New Roman" w:eastAsia="Times New Roman" w:hAnsi="Times New Roman" w:cs="Times New Roman"/>
          <w:color w:val="FF0000"/>
          <w:sz w:val="24"/>
          <w:szCs w:val="24"/>
          <w:lang w:eastAsia="es-ES"/>
        </w:rPr>
      </w:pPr>
      <w:r w:rsidRPr="00D71AC1">
        <w:rPr>
          <w:rFonts w:ascii="Times New Roman" w:eastAsia="Times New Roman" w:hAnsi="Times New Roman" w:cs="Times New Roman"/>
          <w:color w:val="FF0000"/>
          <w:sz w:val="24"/>
          <w:szCs w:val="24"/>
          <w:lang w:eastAsia="es-ES"/>
        </w:rPr>
        <w:t>La Fed tendrá que subir ahora los tipos de interés más allá del 4%</w:t>
      </w:r>
    </w:p>
    <w:p w:rsidR="00173662" w:rsidRPr="00D71AC1" w:rsidRDefault="00173662" w:rsidP="00173662">
      <w:pPr>
        <w:shd w:val="clear" w:color="auto" w:fill="FFFFFF"/>
        <w:spacing w:line="240" w:lineRule="auto"/>
        <w:jc w:val="both"/>
        <w:textAlignment w:val="baseline"/>
        <w:rPr>
          <w:rFonts w:ascii="Times New Roman" w:eastAsia="Times New Roman" w:hAnsi="Times New Roman" w:cs="Times New Roman"/>
          <w:color w:val="FF0000"/>
          <w:sz w:val="24"/>
          <w:szCs w:val="24"/>
          <w:lang w:eastAsia="es-ES"/>
        </w:rPr>
      </w:pPr>
      <w:r w:rsidRPr="00D71AC1">
        <w:rPr>
          <w:rFonts w:ascii="Times New Roman" w:eastAsia="Times New Roman" w:hAnsi="Times New Roman" w:cs="Times New Roman"/>
          <w:color w:val="FF0000"/>
          <w:sz w:val="24"/>
          <w:szCs w:val="24"/>
          <w:lang w:eastAsia="es-ES"/>
        </w:rPr>
        <w:t>Deutsche Bank adelante un trimestre la llegada de la recesión en EEUU</w:t>
      </w:r>
    </w:p>
    <w:p w:rsidR="00173662" w:rsidRPr="00D71AC1" w:rsidRDefault="00173662" w:rsidP="00173662">
      <w:pPr>
        <w:shd w:val="clear" w:color="auto" w:fill="FFFFFF"/>
        <w:spacing w:line="240" w:lineRule="auto"/>
        <w:jc w:val="both"/>
        <w:textAlignment w:val="baseline"/>
        <w:rPr>
          <w:rFonts w:ascii="Times New Roman" w:eastAsia="Times New Roman" w:hAnsi="Times New Roman" w:cs="Times New Roman"/>
          <w:color w:val="FF0000"/>
          <w:sz w:val="24"/>
          <w:szCs w:val="24"/>
          <w:lang w:eastAsia="es-ES"/>
        </w:rPr>
      </w:pPr>
      <w:r w:rsidRPr="00D71AC1">
        <w:rPr>
          <w:rFonts w:ascii="Times New Roman" w:eastAsia="Times New Roman" w:hAnsi="Times New Roman" w:cs="Times New Roman"/>
          <w:color w:val="FF0000"/>
          <w:sz w:val="24"/>
          <w:szCs w:val="24"/>
          <w:lang w:eastAsia="es-ES"/>
        </w:rPr>
        <w:t>Además, la contracción de la economía será más severa de lo previsto</w:t>
      </w:r>
    </w:p>
    <w:p w:rsidR="00173662" w:rsidRPr="00563353" w:rsidRDefault="00173662" w:rsidP="00173662">
      <w:pPr>
        <w:shd w:val="clear" w:color="auto" w:fill="FFFFFF"/>
        <w:spacing w:line="240" w:lineRule="auto"/>
        <w:jc w:val="both"/>
        <w:textAlignment w:val="baseline"/>
        <w:rPr>
          <w:rFonts w:ascii="Times New Roman" w:eastAsia="Times New Roman" w:hAnsi="Times New Roman" w:cs="Times New Roman"/>
          <w:sz w:val="24"/>
          <w:szCs w:val="24"/>
          <w:u w:val="single"/>
          <w:lang w:eastAsia="es-ES"/>
        </w:rPr>
      </w:pPr>
      <w:r w:rsidRPr="00563353">
        <w:rPr>
          <w:rFonts w:ascii="Times New Roman" w:eastAsia="Times New Roman" w:hAnsi="Times New Roman" w:cs="Times New Roman"/>
          <w:sz w:val="24"/>
          <w:szCs w:val="24"/>
          <w:u w:val="single"/>
          <w:lang w:eastAsia="es-ES"/>
        </w:rPr>
        <w:t>La economía de EEUU se enfrenta a una drástica desaceleración. La gran pregunta ahora es si la Fed y la Administración de Joe Biden podrán pilotar un aterrizaje suave o si el accidente (recesión) es ya inevitable. Si la economía de EEUU termina contrayéndose, la Reserva Federal se enfrentará a un escenario peliagudo. El mercado laboral sufrirá las consecuencias (aumento del desempleo) y la Fed tendrá que priorizar o elegir entre uno de sus dos mandatos: remar para un lado e intentar mantener el pleno empleo o remar para el otro en un intento por rebajar la inflación. Conseguir ambas cosas en un escenario de cuasi estanflación parece una misión imposible.</w:t>
      </w:r>
    </w:p>
    <w:p w:rsidR="00173662" w:rsidRPr="00563353" w:rsidRDefault="00173662" w:rsidP="00173662">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563353">
        <w:rPr>
          <w:rFonts w:ascii="Times New Roman" w:eastAsia="Times New Roman" w:hAnsi="Times New Roman" w:cs="Times New Roman"/>
          <w:sz w:val="24"/>
          <w:szCs w:val="24"/>
          <w:lang w:eastAsia="es-ES"/>
        </w:rPr>
        <w:t xml:space="preserve">Los tambores de recesión suenan cada vez con más fuerza en la economía de EEUU. Tanto es así, que el presidente, Joe Biden, ha conversado por teléfono esta semana con Larry Summers, exsecretario del Tesoro y respetado economista, que supo anticipar la crisis de inflación y ahora prevé la llegada de una recesión. Biden asegura que su charla con Summers ha llegado a la conclusión de que la recesión no es inevitable. </w:t>
      </w:r>
    </w:p>
    <w:p w:rsidR="00173662" w:rsidRPr="00563353" w:rsidRDefault="00173662" w:rsidP="00173662">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563353">
        <w:rPr>
          <w:rFonts w:ascii="Times New Roman" w:eastAsia="Times New Roman" w:hAnsi="Times New Roman" w:cs="Times New Roman"/>
          <w:sz w:val="24"/>
          <w:szCs w:val="24"/>
          <w:lang w:eastAsia="es-ES"/>
        </w:rPr>
        <w:t>Sin embargo, cuando se pregunta a organismo no relacionados con el gobierno, el escenario de un aterrizaje suave parece cada vez más lejano. La Reserva Federal ya ha pisado el acelerador de las subidas de tipos para frenar una inflación que ha llegado demasiado lejos (8,6%). El accidente parece inevitable.</w:t>
      </w:r>
    </w:p>
    <w:p w:rsidR="00173662" w:rsidRPr="00563353" w:rsidRDefault="00173662" w:rsidP="00173662">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563353">
        <w:rPr>
          <w:rFonts w:ascii="Times New Roman" w:eastAsia="Times New Roman" w:hAnsi="Times New Roman" w:cs="Times New Roman"/>
          <w:sz w:val="24"/>
          <w:szCs w:val="24"/>
          <w:lang w:eastAsia="es-ES"/>
        </w:rPr>
        <w:t>Los economistas de Deutsche Bank (una de las primeras instituciones en incluir en su escenario base la recesión) han publicado este martes una actualización de las previsiones económicas para EEUU</w:t>
      </w:r>
      <w:r>
        <w:rPr>
          <w:rFonts w:ascii="Times New Roman" w:eastAsia="Times New Roman" w:hAnsi="Times New Roman" w:cs="Times New Roman"/>
          <w:sz w:val="24"/>
          <w:szCs w:val="24"/>
          <w:lang w:eastAsia="es-ES"/>
        </w:rPr>
        <w:t xml:space="preserve"> y las noticias no son buenas: “</w:t>
      </w:r>
      <w:r w:rsidRPr="00563353">
        <w:rPr>
          <w:rFonts w:ascii="Times New Roman" w:eastAsia="Times New Roman" w:hAnsi="Times New Roman" w:cs="Times New Roman"/>
          <w:sz w:val="24"/>
          <w:szCs w:val="24"/>
          <w:lang w:eastAsia="es-ES"/>
        </w:rPr>
        <w:t>Hace más de dos meses, pronosticamos que la economía de EEUU entraría en recesión a finales de 2023. Desde entonces, la Fed ha emprendido una ruta más agresiva, las condiciones financieras se han endurecido drásticamente y los datos económicos comienzan a mostrar signos claros de desaceleración. En respuesta a estos acontecimientos, ahora esperamos una recesión</w:t>
      </w:r>
      <w:r>
        <w:rPr>
          <w:rFonts w:ascii="Times New Roman" w:eastAsia="Times New Roman" w:hAnsi="Times New Roman" w:cs="Times New Roman"/>
          <w:sz w:val="24"/>
          <w:szCs w:val="24"/>
          <w:lang w:eastAsia="es-ES"/>
        </w:rPr>
        <w:t xml:space="preserve"> más temprana y algo más severa”</w:t>
      </w:r>
      <w:r w:rsidRPr="00563353">
        <w:rPr>
          <w:rFonts w:ascii="Times New Roman" w:eastAsia="Times New Roman" w:hAnsi="Times New Roman" w:cs="Times New Roman"/>
          <w:sz w:val="24"/>
          <w:szCs w:val="24"/>
          <w:lang w:eastAsia="es-ES"/>
        </w:rPr>
        <w:t>.</w:t>
      </w:r>
    </w:p>
    <w:p w:rsidR="00173662" w:rsidRPr="00563353" w:rsidRDefault="00173662" w:rsidP="00173662">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563353">
        <w:rPr>
          <w:rFonts w:ascii="Times New Roman" w:eastAsia="Times New Roman" w:hAnsi="Times New Roman" w:cs="Times New Roman"/>
          <w:noProof/>
          <w:sz w:val="24"/>
          <w:szCs w:val="24"/>
          <w:lang w:eastAsia="es-ES"/>
        </w:rPr>
        <w:lastRenderedPageBreak/>
        <w:drawing>
          <wp:inline distT="0" distB="0" distL="0" distR="0" wp14:anchorId="183FD11F" wp14:editId="634640CA">
            <wp:extent cx="5727662" cy="3613150"/>
            <wp:effectExtent l="0" t="0" r="6985" b="6350"/>
            <wp:docPr id="157" name="Imagen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5731510" cy="3615578"/>
                    </a:xfrm>
                    <a:prstGeom prst="rect">
                      <a:avLst/>
                    </a:prstGeom>
                  </pic:spPr>
                </pic:pic>
              </a:graphicData>
            </a:graphic>
          </wp:inline>
        </w:drawing>
      </w:r>
    </w:p>
    <w:p w:rsidR="00173662" w:rsidRPr="00563353" w:rsidRDefault="00173662" w:rsidP="00173662">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563353">
        <w:rPr>
          <w:rFonts w:ascii="Times New Roman" w:eastAsia="Times New Roman" w:hAnsi="Times New Roman" w:cs="Times New Roman"/>
          <w:sz w:val="24"/>
          <w:szCs w:val="24"/>
          <w:lang w:eastAsia="es-ES"/>
        </w:rPr>
        <w:t>Estos expertos pronostican un crecimiento del PIB menor del 1% en la primera mitad de 2023 y que la primera contracción de la actividad se produzca en el tercer trimestre de 2023, un trimestre antes res</w:t>
      </w:r>
      <w:r>
        <w:rPr>
          <w:rFonts w:ascii="Times New Roman" w:eastAsia="Times New Roman" w:hAnsi="Times New Roman" w:cs="Times New Roman"/>
          <w:sz w:val="24"/>
          <w:szCs w:val="24"/>
          <w:lang w:eastAsia="es-ES"/>
        </w:rPr>
        <w:t>pecto a la anterior previsión. “</w:t>
      </w:r>
      <w:r w:rsidRPr="00563353">
        <w:rPr>
          <w:rFonts w:ascii="Times New Roman" w:eastAsia="Times New Roman" w:hAnsi="Times New Roman" w:cs="Times New Roman"/>
          <w:sz w:val="24"/>
          <w:szCs w:val="24"/>
          <w:lang w:eastAsia="es-ES"/>
        </w:rPr>
        <w:t xml:space="preserve">Es probable que la economía se contraiga el próximo año en aproximadamente un 0,5%. Una recesión más severa conducirá a una tasa de desempleo más alta, que alcanzará un </w:t>
      </w:r>
      <w:r>
        <w:rPr>
          <w:rFonts w:ascii="Times New Roman" w:eastAsia="Times New Roman" w:hAnsi="Times New Roman" w:cs="Times New Roman"/>
          <w:sz w:val="24"/>
          <w:szCs w:val="24"/>
          <w:lang w:eastAsia="es-ES"/>
        </w:rPr>
        <w:t>máximo cercano al 5,5%”</w:t>
      </w:r>
      <w:r w:rsidRPr="00563353">
        <w:rPr>
          <w:rFonts w:ascii="Times New Roman" w:eastAsia="Times New Roman" w:hAnsi="Times New Roman" w:cs="Times New Roman"/>
          <w:sz w:val="24"/>
          <w:szCs w:val="24"/>
          <w:lang w:eastAsia="es-ES"/>
        </w:rPr>
        <w:t>. No obstante, desde Deutsche Bank (DB) avisa de que este pronóstico corre el riesgo de materializarse antes y terminar cortocircuitando el ciclo de subidas de tipos de la Reserva Federal</w:t>
      </w:r>
      <w:r>
        <w:rPr>
          <w:rFonts w:ascii="Times New Roman" w:eastAsia="Times New Roman" w:hAnsi="Times New Roman" w:cs="Times New Roman"/>
          <w:sz w:val="24"/>
          <w:szCs w:val="24"/>
          <w:lang w:eastAsia="es-ES"/>
        </w:rPr>
        <w:t>…</w:t>
      </w:r>
    </w:p>
    <w:p w:rsidR="00173662" w:rsidRPr="00173662" w:rsidRDefault="00173662" w:rsidP="00173662">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563353">
        <w:rPr>
          <w:rFonts w:ascii="Times New Roman" w:eastAsia="Times New Roman" w:hAnsi="Times New Roman" w:cs="Times New Roman"/>
          <w:sz w:val="24"/>
          <w:szCs w:val="24"/>
          <w:u w:val="single"/>
          <w:lang w:eastAsia="es-ES"/>
        </w:rPr>
        <w:t>Si todo va según lo esperado en el escenario base (la economía no se empieza a contraer hasta</w:t>
      </w:r>
      <w:r>
        <w:rPr>
          <w:rFonts w:ascii="Times New Roman" w:eastAsia="Times New Roman" w:hAnsi="Times New Roman" w:cs="Times New Roman"/>
          <w:sz w:val="24"/>
          <w:szCs w:val="24"/>
          <w:u w:val="single"/>
          <w:lang w:eastAsia="es-ES"/>
        </w:rPr>
        <w:t xml:space="preserve"> el tercer trimestre de 2023), “</w:t>
      </w:r>
      <w:r w:rsidRPr="00563353">
        <w:rPr>
          <w:rFonts w:ascii="Times New Roman" w:eastAsia="Times New Roman" w:hAnsi="Times New Roman" w:cs="Times New Roman"/>
          <w:sz w:val="24"/>
          <w:szCs w:val="24"/>
          <w:u w:val="single"/>
          <w:lang w:eastAsia="es-ES"/>
        </w:rPr>
        <w:t>la Fed aumentará los tipos en otros 75 puntos básicos (pb) en julio, seguido de dos aumentos de 50 pb en septiembre y noviembre, para cambiar a un ritmo más</w:t>
      </w:r>
      <w:r>
        <w:rPr>
          <w:rFonts w:ascii="Times New Roman" w:eastAsia="Times New Roman" w:hAnsi="Times New Roman" w:cs="Times New Roman"/>
          <w:sz w:val="24"/>
          <w:szCs w:val="24"/>
          <w:u w:val="single"/>
          <w:lang w:eastAsia="es-ES"/>
        </w:rPr>
        <w:t xml:space="preserve"> moderado de 25 pb en diciembre”</w:t>
      </w:r>
      <w:r>
        <w:rPr>
          <w:rFonts w:ascii="Times New Roman" w:eastAsia="Times New Roman" w:hAnsi="Times New Roman" w:cs="Times New Roman"/>
          <w:sz w:val="24"/>
          <w:szCs w:val="24"/>
          <w:lang w:eastAsia="es-ES"/>
        </w:rPr>
        <w:t>…</w:t>
      </w:r>
    </w:p>
    <w:p w:rsidR="00173662" w:rsidRPr="00563353" w:rsidRDefault="00173662" w:rsidP="00173662">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563353">
        <w:rPr>
          <w:rFonts w:ascii="Times New Roman" w:eastAsia="Times New Roman" w:hAnsi="Times New Roman" w:cs="Times New Roman"/>
          <w:sz w:val="24"/>
          <w:szCs w:val="24"/>
          <w:lang w:eastAsia="es-ES"/>
        </w:rPr>
        <w:t>¿Y cuándo llegue la recesión?</w:t>
      </w:r>
    </w:p>
    <w:p w:rsidR="00173662" w:rsidRPr="000D4A21" w:rsidRDefault="00173662" w:rsidP="00173662">
      <w:pPr>
        <w:shd w:val="clear" w:color="auto" w:fill="FFFFFF"/>
        <w:spacing w:line="240" w:lineRule="auto"/>
        <w:jc w:val="both"/>
        <w:textAlignment w:val="baseline"/>
        <w:rPr>
          <w:rFonts w:ascii="Times New Roman" w:eastAsia="Times New Roman" w:hAnsi="Times New Roman" w:cs="Times New Roman"/>
          <w:color w:val="FF0000"/>
          <w:sz w:val="24"/>
          <w:szCs w:val="24"/>
          <w:u w:val="single"/>
          <w:lang w:eastAsia="es-ES"/>
        </w:rPr>
      </w:pPr>
      <w:r w:rsidRPr="000D4A21">
        <w:rPr>
          <w:rFonts w:ascii="Times New Roman" w:eastAsia="Times New Roman" w:hAnsi="Times New Roman" w:cs="Times New Roman"/>
          <w:color w:val="FF0000"/>
          <w:sz w:val="24"/>
          <w:szCs w:val="24"/>
          <w:u w:val="single"/>
          <w:lang w:eastAsia="es-ES"/>
        </w:rPr>
        <w:t>Cuando la economía comience a retroceder, el mercado laboral comenzará a destruir empleo. Esto ayudará</w:t>
      </w:r>
      <w:r>
        <w:rPr>
          <w:rFonts w:ascii="Times New Roman" w:eastAsia="Times New Roman" w:hAnsi="Times New Roman" w:cs="Times New Roman"/>
          <w:color w:val="FF0000"/>
          <w:sz w:val="24"/>
          <w:szCs w:val="24"/>
          <w:u w:val="single"/>
          <w:lang w:eastAsia="es-ES"/>
        </w:rPr>
        <w:t xml:space="preserve"> a poner freno a la inflación, “</w:t>
      </w:r>
      <w:r w:rsidRPr="000D4A21">
        <w:rPr>
          <w:rFonts w:ascii="Times New Roman" w:eastAsia="Times New Roman" w:hAnsi="Times New Roman" w:cs="Times New Roman"/>
          <w:color w:val="FF0000"/>
          <w:sz w:val="24"/>
          <w:szCs w:val="24"/>
          <w:u w:val="single"/>
          <w:lang w:eastAsia="es-ES"/>
        </w:rPr>
        <w:t>aunque todavía anticipamos un exceso de casi m</w:t>
      </w:r>
      <w:r>
        <w:rPr>
          <w:rFonts w:ascii="Times New Roman" w:eastAsia="Times New Roman" w:hAnsi="Times New Roman" w:cs="Times New Roman"/>
          <w:color w:val="FF0000"/>
          <w:sz w:val="24"/>
          <w:szCs w:val="24"/>
          <w:u w:val="single"/>
          <w:lang w:eastAsia="es-ES"/>
        </w:rPr>
        <w:t>edio punto en el PCE subyacente”</w:t>
      </w:r>
      <w:r w:rsidRPr="000D4A21">
        <w:rPr>
          <w:rFonts w:ascii="Times New Roman" w:eastAsia="Times New Roman" w:hAnsi="Times New Roman" w:cs="Times New Roman"/>
          <w:color w:val="FF0000"/>
          <w:sz w:val="24"/>
          <w:szCs w:val="24"/>
          <w:u w:val="single"/>
          <w:lang w:eastAsia="es-ES"/>
        </w:rPr>
        <w:t>. Entonces, la Fed se enfrentará a un auténtico rompecabezas. La inflación seguirá por encima del objetivo, mientras que el mercado laboral estará alejándose del pleno empleo. Esta es la pesadilla de cualquier banco central.</w:t>
      </w:r>
      <w:r>
        <w:rPr>
          <w:rFonts w:ascii="Times New Roman" w:eastAsia="Times New Roman" w:hAnsi="Times New Roman" w:cs="Times New Roman"/>
          <w:color w:val="FF0000"/>
          <w:sz w:val="24"/>
          <w:szCs w:val="24"/>
          <w:u w:val="single"/>
          <w:lang w:eastAsia="es-ES"/>
        </w:rPr>
        <w:t xml:space="preserve"> “</w:t>
      </w:r>
      <w:r w:rsidRPr="000D4A21">
        <w:rPr>
          <w:rFonts w:ascii="Times New Roman" w:eastAsia="Times New Roman" w:hAnsi="Times New Roman" w:cs="Times New Roman"/>
          <w:color w:val="FF0000"/>
          <w:sz w:val="24"/>
          <w:szCs w:val="24"/>
          <w:u w:val="single"/>
          <w:lang w:eastAsia="es-ES"/>
        </w:rPr>
        <w:t>Según nuestro escenario de referencia, la Fed se enfrentará a una clara tensión al responder a esta recesión, una tensión que no ha estado presente durante las recesiones de las últimas cuatro décadas. Con la inflación PCE subyacente (indicador de precios fetiche de la Fed) por encima del 3,5% y la economía entrando en recesión, es posible que se vea limitada a la hora de reducir los tipos de interés para respaldar el c</w:t>
      </w:r>
      <w:r>
        <w:rPr>
          <w:rFonts w:ascii="Times New Roman" w:eastAsia="Times New Roman" w:hAnsi="Times New Roman" w:cs="Times New Roman"/>
          <w:color w:val="FF0000"/>
          <w:sz w:val="24"/>
          <w:szCs w:val="24"/>
          <w:u w:val="single"/>
          <w:lang w:eastAsia="es-ES"/>
        </w:rPr>
        <w:t>recimiento y el mercado laboral”</w:t>
      </w:r>
      <w:r w:rsidRPr="000D4A21">
        <w:rPr>
          <w:rFonts w:ascii="Times New Roman" w:eastAsia="Times New Roman" w:hAnsi="Times New Roman" w:cs="Times New Roman"/>
          <w:color w:val="FF0000"/>
          <w:sz w:val="24"/>
          <w:szCs w:val="24"/>
          <w:u w:val="single"/>
          <w:lang w:eastAsia="es-ES"/>
        </w:rPr>
        <w:t>.</w:t>
      </w:r>
    </w:p>
    <w:p w:rsidR="00173662" w:rsidRPr="00173662" w:rsidRDefault="00173662" w:rsidP="00173662">
      <w:pPr>
        <w:shd w:val="clear" w:color="auto" w:fill="FFFFFF"/>
        <w:spacing w:line="240" w:lineRule="auto"/>
        <w:jc w:val="both"/>
        <w:textAlignment w:val="baseline"/>
        <w:rPr>
          <w:rFonts w:ascii="Times New Roman" w:eastAsia="Times New Roman" w:hAnsi="Times New Roman" w:cs="Times New Roman"/>
          <w:color w:val="FF0000"/>
          <w:sz w:val="24"/>
          <w:szCs w:val="24"/>
          <w:lang w:eastAsia="es-ES"/>
        </w:rPr>
      </w:pPr>
      <w:r w:rsidRPr="000D4A21">
        <w:rPr>
          <w:rFonts w:ascii="Times New Roman" w:eastAsia="Times New Roman" w:hAnsi="Times New Roman" w:cs="Times New Roman"/>
          <w:color w:val="FF0000"/>
          <w:sz w:val="24"/>
          <w:szCs w:val="24"/>
          <w:u w:val="single"/>
          <w:lang w:eastAsia="es-ES"/>
        </w:rPr>
        <w:t xml:space="preserve">Es una situación de impotencia para la Reserva Federal. Por un lado, la inflación seguirá por encima del objetivo (el 2% a medio plazo), lo que debería forzar al Jerome Powell y su equipo a mantener los tipos de interés en niveles elevados (para enfriar la demanda). Pero por otro, el mercado laboral se encontrará lejos del pleno empleo (segundo mandato), lo que en </w:t>
      </w:r>
      <w:r w:rsidRPr="000D4A21">
        <w:rPr>
          <w:rFonts w:ascii="Times New Roman" w:eastAsia="Times New Roman" w:hAnsi="Times New Roman" w:cs="Times New Roman"/>
          <w:color w:val="FF0000"/>
          <w:sz w:val="24"/>
          <w:szCs w:val="24"/>
          <w:u w:val="single"/>
          <w:lang w:eastAsia="es-ES"/>
        </w:rPr>
        <w:lastRenderedPageBreak/>
        <w:t>principio obligaría al banco central a bajar tipos. Este es un rompecabezas al que la Fed no se enfrentaba desde finales de los 70. Las recesiones de los últimos 40 años han sido más sencillas (solo ha habido que pulsar una palanca monetaria), al menos desde el pun</w:t>
      </w:r>
      <w:r>
        <w:rPr>
          <w:rFonts w:ascii="Times New Roman" w:eastAsia="Times New Roman" w:hAnsi="Times New Roman" w:cs="Times New Roman"/>
          <w:color w:val="FF0000"/>
          <w:sz w:val="24"/>
          <w:szCs w:val="24"/>
          <w:u w:val="single"/>
          <w:lang w:eastAsia="es-ES"/>
        </w:rPr>
        <w:t>to de vista de un banco central</w:t>
      </w:r>
      <w:r>
        <w:rPr>
          <w:rFonts w:ascii="Times New Roman" w:eastAsia="Times New Roman" w:hAnsi="Times New Roman" w:cs="Times New Roman"/>
          <w:color w:val="FF0000"/>
          <w:sz w:val="24"/>
          <w:szCs w:val="24"/>
          <w:lang w:eastAsia="es-ES"/>
        </w:rPr>
        <w:t>…</w:t>
      </w:r>
    </w:p>
    <w:p w:rsidR="00173662" w:rsidRPr="008C22E0" w:rsidRDefault="00173662" w:rsidP="00173662">
      <w:pPr>
        <w:shd w:val="clear" w:color="auto" w:fill="FFFFFF"/>
        <w:spacing w:line="240" w:lineRule="auto"/>
        <w:jc w:val="both"/>
        <w:textAlignment w:val="baseline"/>
        <w:rPr>
          <w:rFonts w:ascii="Times New Roman" w:eastAsia="Times New Roman" w:hAnsi="Times New Roman" w:cs="Times New Roman"/>
          <w:color w:val="333333"/>
          <w:sz w:val="24"/>
          <w:szCs w:val="24"/>
          <w:lang w:eastAsia="es-ES"/>
        </w:rPr>
      </w:pPr>
      <w:r>
        <w:rPr>
          <w:rFonts w:ascii="Times New Roman" w:eastAsia="Times New Roman" w:hAnsi="Times New Roman" w:cs="Times New Roman"/>
          <w:color w:val="333333"/>
          <w:sz w:val="24"/>
          <w:szCs w:val="24"/>
          <w:lang w:eastAsia="es-ES"/>
        </w:rPr>
        <w:t xml:space="preserve">- </w:t>
      </w:r>
      <w:r w:rsidRPr="008C22E0">
        <w:rPr>
          <w:rFonts w:ascii="Times New Roman" w:eastAsia="Times New Roman" w:hAnsi="Times New Roman" w:cs="Times New Roman"/>
          <w:color w:val="333333"/>
          <w:sz w:val="24"/>
          <w:szCs w:val="24"/>
          <w:u w:val="single"/>
          <w:lang w:eastAsia="es-ES"/>
        </w:rPr>
        <w:t>La crisis bursátil actual ha destruido ya más valor del S&amp;P 500 que la de 2008</w:t>
      </w:r>
      <w:r>
        <w:rPr>
          <w:rFonts w:ascii="Times New Roman" w:eastAsia="Times New Roman" w:hAnsi="Times New Roman" w:cs="Times New Roman"/>
          <w:color w:val="333333"/>
          <w:sz w:val="24"/>
          <w:szCs w:val="24"/>
          <w:lang w:eastAsia="es-ES"/>
        </w:rPr>
        <w:t xml:space="preserve"> (Cinco Días - </w:t>
      </w:r>
      <w:r w:rsidRPr="008C22E0">
        <w:rPr>
          <w:rFonts w:ascii="Times New Roman" w:eastAsia="Times New Roman" w:hAnsi="Times New Roman" w:cs="Times New Roman"/>
          <w:b/>
          <w:color w:val="333333"/>
          <w:sz w:val="24"/>
          <w:szCs w:val="24"/>
          <w:lang w:eastAsia="es-ES"/>
        </w:rPr>
        <w:t>22/6/22</w:t>
      </w:r>
      <w:r>
        <w:rPr>
          <w:rFonts w:ascii="Times New Roman" w:eastAsia="Times New Roman" w:hAnsi="Times New Roman" w:cs="Times New Roman"/>
          <w:color w:val="333333"/>
          <w:sz w:val="24"/>
          <w:szCs w:val="24"/>
          <w:lang w:eastAsia="es-ES"/>
        </w:rPr>
        <w:t>)</w:t>
      </w:r>
    </w:p>
    <w:p w:rsidR="00173662" w:rsidRPr="000D4A21" w:rsidRDefault="00173662" w:rsidP="00173662">
      <w:pPr>
        <w:shd w:val="clear" w:color="auto" w:fill="FFFFFF"/>
        <w:spacing w:line="240" w:lineRule="auto"/>
        <w:jc w:val="both"/>
        <w:textAlignment w:val="baseline"/>
        <w:rPr>
          <w:rFonts w:ascii="Times New Roman" w:eastAsia="Times New Roman" w:hAnsi="Times New Roman" w:cs="Times New Roman"/>
          <w:color w:val="FF0000"/>
          <w:sz w:val="24"/>
          <w:szCs w:val="24"/>
          <w:lang w:eastAsia="es-ES"/>
        </w:rPr>
      </w:pPr>
      <w:r>
        <w:rPr>
          <w:rFonts w:ascii="Times New Roman" w:eastAsia="Times New Roman" w:hAnsi="Times New Roman" w:cs="Times New Roman"/>
          <w:color w:val="FF0000"/>
          <w:sz w:val="24"/>
          <w:szCs w:val="24"/>
          <w:lang w:eastAsia="es-ES"/>
        </w:rPr>
        <w:t>La renta variable de EE</w:t>
      </w:r>
      <w:r w:rsidRPr="000D4A21">
        <w:rPr>
          <w:rFonts w:ascii="Times New Roman" w:eastAsia="Times New Roman" w:hAnsi="Times New Roman" w:cs="Times New Roman"/>
          <w:color w:val="FF0000"/>
          <w:sz w:val="24"/>
          <w:szCs w:val="24"/>
          <w:lang w:eastAsia="es-ES"/>
        </w:rPr>
        <w:t>UU registra su peor trimestre desde 1962</w:t>
      </w:r>
    </w:p>
    <w:p w:rsidR="00173662" w:rsidRPr="008C22E0" w:rsidRDefault="00173662" w:rsidP="00173662">
      <w:pPr>
        <w:shd w:val="clear" w:color="auto" w:fill="FFFFFF"/>
        <w:spacing w:line="240" w:lineRule="auto"/>
        <w:jc w:val="both"/>
        <w:textAlignment w:val="baseline"/>
        <w:rPr>
          <w:rFonts w:ascii="Times New Roman" w:eastAsia="Times New Roman" w:hAnsi="Times New Roman" w:cs="Times New Roman"/>
          <w:color w:val="333333"/>
          <w:sz w:val="24"/>
          <w:szCs w:val="24"/>
          <w:lang w:eastAsia="es-ES"/>
        </w:rPr>
      </w:pPr>
      <w:r>
        <w:rPr>
          <w:noProof/>
          <w:lang w:eastAsia="es-ES"/>
        </w:rPr>
        <w:drawing>
          <wp:inline distT="0" distB="0" distL="0" distR="0" wp14:anchorId="4314040A" wp14:editId="71EBBA5D">
            <wp:extent cx="5731510" cy="2998321"/>
            <wp:effectExtent l="0" t="0" r="2540" b="0"/>
            <wp:docPr id="35" name="Imagen 35" descr="Capitalización S&am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apitalización S&amp;P"/>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731510" cy="2998321"/>
                    </a:xfrm>
                    <a:prstGeom prst="rect">
                      <a:avLst/>
                    </a:prstGeom>
                    <a:noFill/>
                    <a:ln>
                      <a:noFill/>
                    </a:ln>
                  </pic:spPr>
                </pic:pic>
              </a:graphicData>
            </a:graphic>
          </wp:inline>
        </w:drawing>
      </w:r>
    </w:p>
    <w:p w:rsidR="00173662" w:rsidRPr="000D4A21" w:rsidRDefault="00173662" w:rsidP="00173662">
      <w:pPr>
        <w:shd w:val="clear" w:color="auto" w:fill="FFFFFF"/>
        <w:spacing w:line="240" w:lineRule="auto"/>
        <w:jc w:val="both"/>
        <w:textAlignment w:val="baseline"/>
        <w:rPr>
          <w:rFonts w:ascii="Times New Roman" w:eastAsia="Times New Roman" w:hAnsi="Times New Roman" w:cs="Times New Roman"/>
          <w:color w:val="FF0000"/>
          <w:sz w:val="24"/>
          <w:szCs w:val="24"/>
          <w:u w:val="single"/>
          <w:lang w:eastAsia="es-ES"/>
        </w:rPr>
      </w:pPr>
      <w:r w:rsidRPr="000D4A21">
        <w:rPr>
          <w:rFonts w:ascii="Times New Roman" w:eastAsia="Times New Roman" w:hAnsi="Times New Roman" w:cs="Times New Roman"/>
          <w:color w:val="FF0000"/>
          <w:sz w:val="24"/>
          <w:szCs w:val="24"/>
          <w:u w:val="single"/>
          <w:lang w:eastAsia="es-ES"/>
        </w:rPr>
        <w:t>La crisis bursátil desatada por una inflación fuera de control se ha cobrado ya una destrucción de valor en la Bolsa de Estados Unidos superior a la que provocó la anterior crisis financiera, en 2008. Desde el máximo que el índice S&amp;P 500 registró el 3 de enero de este año, la renta variable norteamericana ha perdido 10,14 billones de dólares de capitalización (9,6 billones de euros). En el anterior mercado bajista, la máxima destrucción de valor (entre julio de 2007 y marzo de 2009) fue de 8,04 billones de dólares.</w:t>
      </w:r>
    </w:p>
    <w:p w:rsidR="00173662" w:rsidRPr="000D4A21" w:rsidRDefault="00173662" w:rsidP="00173662">
      <w:pPr>
        <w:shd w:val="clear" w:color="auto" w:fill="FFFFFF"/>
        <w:spacing w:line="240" w:lineRule="auto"/>
        <w:jc w:val="both"/>
        <w:textAlignment w:val="baseline"/>
        <w:rPr>
          <w:rFonts w:ascii="Times New Roman" w:eastAsia="Times New Roman" w:hAnsi="Times New Roman" w:cs="Times New Roman"/>
          <w:color w:val="FF0000"/>
          <w:sz w:val="24"/>
          <w:szCs w:val="24"/>
          <w:u w:val="single"/>
          <w:lang w:eastAsia="es-ES"/>
        </w:rPr>
      </w:pPr>
      <w:r w:rsidRPr="000D4A21">
        <w:rPr>
          <w:rFonts w:ascii="Times New Roman" w:eastAsia="Times New Roman" w:hAnsi="Times New Roman" w:cs="Times New Roman"/>
          <w:color w:val="FF0000"/>
          <w:sz w:val="24"/>
          <w:szCs w:val="24"/>
          <w:u w:val="single"/>
          <w:lang w:eastAsia="es-ES"/>
        </w:rPr>
        <w:t>Hasta cierto punto, es normal que las crisis más recientes destruyan más valor que las antiguas. Las compañías cada vez ganan más y valen más, puesto que es lógico que las caídas tengan un mayor valor en términos absolutos. De hecho, la crisis de Lehman Brothers llegó a conllevar un desplome máximo del S&amp;P 500 (que reúne a las mayores empresas de EE UU) del 56%, mientras que en esta ocasión la Bolsa norteamericana solo lleva una corrección del 23%.</w:t>
      </w:r>
    </w:p>
    <w:p w:rsidR="00173662" w:rsidRPr="008C22E0" w:rsidRDefault="00173662" w:rsidP="00173662">
      <w:pPr>
        <w:shd w:val="clear" w:color="auto" w:fill="FFFFFF"/>
        <w:spacing w:line="240" w:lineRule="auto"/>
        <w:jc w:val="both"/>
        <w:textAlignment w:val="baseline"/>
        <w:rPr>
          <w:rFonts w:ascii="Times New Roman" w:eastAsia="Times New Roman" w:hAnsi="Times New Roman" w:cs="Times New Roman"/>
          <w:color w:val="333333"/>
          <w:sz w:val="24"/>
          <w:szCs w:val="24"/>
          <w:lang w:eastAsia="es-ES"/>
        </w:rPr>
      </w:pPr>
      <w:r w:rsidRPr="008C22E0">
        <w:rPr>
          <w:rFonts w:ascii="Times New Roman" w:eastAsia="Times New Roman" w:hAnsi="Times New Roman" w:cs="Times New Roman"/>
          <w:color w:val="333333"/>
          <w:sz w:val="24"/>
          <w:szCs w:val="24"/>
          <w:lang w:eastAsia="es-ES"/>
        </w:rPr>
        <w:t>Si en 2007 el origen de la crisis fue puramente financiero, con una economía estadounidense sobre endeudada (recuérdense las hipotecas subprime), en esta ocasión la principal causa de la corrección ha sido la reacción de la Reserva Federal de Estados Unidos para subir tipos de interés y tratar de controlar los precios. Con una inflación en máximos de 40 años, l</w:t>
      </w:r>
      <w:r>
        <w:rPr>
          <w:rFonts w:ascii="Times New Roman" w:eastAsia="Times New Roman" w:hAnsi="Times New Roman" w:cs="Times New Roman"/>
          <w:color w:val="333333"/>
          <w:sz w:val="24"/>
          <w:szCs w:val="24"/>
          <w:lang w:eastAsia="es-ES"/>
        </w:rPr>
        <w:t>a medida era más que necesaria.</w:t>
      </w:r>
    </w:p>
    <w:p w:rsidR="00173662" w:rsidRPr="008C22E0" w:rsidRDefault="00173662" w:rsidP="00173662">
      <w:pPr>
        <w:shd w:val="clear" w:color="auto" w:fill="FFFFFF"/>
        <w:spacing w:line="240" w:lineRule="auto"/>
        <w:jc w:val="both"/>
        <w:textAlignment w:val="baseline"/>
        <w:rPr>
          <w:rFonts w:ascii="Times New Roman" w:eastAsia="Times New Roman" w:hAnsi="Times New Roman" w:cs="Times New Roman"/>
          <w:color w:val="333333"/>
          <w:sz w:val="24"/>
          <w:szCs w:val="24"/>
          <w:lang w:eastAsia="es-ES"/>
        </w:rPr>
      </w:pPr>
      <w:r w:rsidRPr="008C22E0">
        <w:rPr>
          <w:rFonts w:ascii="Times New Roman" w:eastAsia="Times New Roman" w:hAnsi="Times New Roman" w:cs="Times New Roman"/>
          <w:color w:val="333333"/>
          <w:sz w:val="24"/>
          <w:szCs w:val="24"/>
          <w:lang w:eastAsia="es-ES"/>
        </w:rPr>
        <w:t xml:space="preserve">El anterior mercado bajista se extendió durante 20 meses. Fue en marzo de 2009 cuando el S&amp;P 500 tocó suelo y empezó a remontar, para firmar después la racha alcista más larga de su historia. Esta vez, la corrección de la Bolsa estadounidense ha sido muy brusca. El segundo trimestre del S&amp;P va camino de convertirse en el segundo peor de la historia, con </w:t>
      </w:r>
      <w:r w:rsidRPr="008C22E0">
        <w:rPr>
          <w:rFonts w:ascii="Times New Roman" w:eastAsia="Times New Roman" w:hAnsi="Times New Roman" w:cs="Times New Roman"/>
          <w:color w:val="333333"/>
          <w:sz w:val="24"/>
          <w:szCs w:val="24"/>
          <w:lang w:eastAsia="es-ES"/>
        </w:rPr>
        <w:lastRenderedPageBreak/>
        <w:t>una caída de casi el 19%. Lo peor de todo es que aún no se sabe si el mercado ha tocado fondo</w:t>
      </w:r>
      <w:r>
        <w:rPr>
          <w:rFonts w:ascii="Times New Roman" w:eastAsia="Times New Roman" w:hAnsi="Times New Roman" w:cs="Times New Roman"/>
          <w:color w:val="333333"/>
          <w:sz w:val="24"/>
          <w:szCs w:val="24"/>
          <w:lang w:eastAsia="es-ES"/>
        </w:rPr>
        <w:t>…</w:t>
      </w:r>
    </w:p>
    <w:p w:rsidR="00173662" w:rsidRPr="008C22E0" w:rsidRDefault="00173662" w:rsidP="00173662">
      <w:pPr>
        <w:shd w:val="clear" w:color="auto" w:fill="FFFFFF"/>
        <w:spacing w:line="240" w:lineRule="auto"/>
        <w:jc w:val="both"/>
        <w:textAlignment w:val="baseline"/>
        <w:rPr>
          <w:rFonts w:ascii="Times New Roman" w:eastAsia="Times New Roman" w:hAnsi="Times New Roman" w:cs="Times New Roman"/>
          <w:color w:val="333333"/>
          <w:sz w:val="24"/>
          <w:szCs w:val="24"/>
          <w:lang w:eastAsia="es-ES"/>
        </w:rPr>
      </w:pPr>
      <w:r w:rsidRPr="008C22E0">
        <w:rPr>
          <w:rFonts w:ascii="Times New Roman" w:eastAsia="Times New Roman" w:hAnsi="Times New Roman" w:cs="Times New Roman"/>
          <w:color w:val="333333"/>
          <w:sz w:val="24"/>
          <w:szCs w:val="24"/>
          <w:lang w:eastAsia="es-ES"/>
        </w:rPr>
        <w:t>En las Bolsas de otras economías la destrucción de valor no ha sido tan fuerte como la que se produjo en 2008. Así, en el índice Stoxx 600, que reúne a las mayores compañías europeas, se ha dejado en el año tres billones de dólares de capitalización, mientras que en la anterior crisis llegó a perder 5,5 billones. En el MSCI World, que recopila a las 3.500 mayores compañías del mundo, la corrección fue de 20,5 billones de dólares, frente a los 16,7 billones que ha perdido durante este año.</w:t>
      </w:r>
    </w:p>
    <w:p w:rsidR="00173662" w:rsidRDefault="00173662" w:rsidP="00173662">
      <w:pPr>
        <w:shd w:val="clear" w:color="auto" w:fill="FFFFFF"/>
        <w:spacing w:line="240" w:lineRule="auto"/>
        <w:jc w:val="both"/>
        <w:textAlignment w:val="baseline"/>
        <w:rPr>
          <w:rFonts w:ascii="Times New Roman" w:eastAsia="Times New Roman" w:hAnsi="Times New Roman" w:cs="Times New Roman"/>
          <w:color w:val="333333"/>
          <w:sz w:val="24"/>
          <w:szCs w:val="24"/>
          <w:lang w:eastAsia="es-ES"/>
        </w:rPr>
      </w:pPr>
      <w:r w:rsidRPr="008C22E0">
        <w:rPr>
          <w:rFonts w:ascii="Times New Roman" w:eastAsia="Times New Roman" w:hAnsi="Times New Roman" w:cs="Times New Roman"/>
          <w:color w:val="333333"/>
          <w:sz w:val="24"/>
          <w:szCs w:val="24"/>
          <w:lang w:eastAsia="es-ES"/>
        </w:rPr>
        <w:t>Otra de las grandes diferencias de esta crisis con la anterior es que en aquella los inversores diversificados pudieron amortiguar las caídas bursátiles con sus posiciones en renta fija. Sin embargo, en esta ocasión los mercados de deuda están viviendo el peor arranque de año de su historia. Ahora, con las últimas subidas de tipos que ha puesto en marcha la Reserva Federal, algunos fondos de renta fija ya han comenzado a of</w:t>
      </w:r>
      <w:r>
        <w:rPr>
          <w:rFonts w:ascii="Times New Roman" w:eastAsia="Times New Roman" w:hAnsi="Times New Roman" w:cs="Times New Roman"/>
          <w:color w:val="333333"/>
          <w:sz w:val="24"/>
          <w:szCs w:val="24"/>
          <w:lang w:eastAsia="es-ES"/>
        </w:rPr>
        <w:t>recer rentabilidades positivas.</w:t>
      </w:r>
    </w:p>
    <w:p w:rsidR="00173662" w:rsidRPr="00F75456" w:rsidRDefault="00173662" w:rsidP="00173662">
      <w:pPr>
        <w:shd w:val="clear" w:color="auto" w:fill="FFFFFF"/>
        <w:spacing w:line="240" w:lineRule="auto"/>
        <w:jc w:val="both"/>
        <w:textAlignment w:val="baseline"/>
        <w:rPr>
          <w:rFonts w:ascii="Times New Roman" w:eastAsia="Times New Roman" w:hAnsi="Times New Roman" w:cs="Times New Roman"/>
          <w:color w:val="333333"/>
          <w:sz w:val="24"/>
          <w:szCs w:val="24"/>
          <w:lang w:eastAsia="es-ES"/>
        </w:rPr>
      </w:pPr>
      <w:r>
        <w:rPr>
          <w:rFonts w:ascii="Times New Roman" w:eastAsia="Times New Roman" w:hAnsi="Times New Roman" w:cs="Times New Roman"/>
          <w:color w:val="333333"/>
          <w:sz w:val="24"/>
          <w:szCs w:val="24"/>
          <w:lang w:eastAsia="es-ES"/>
        </w:rPr>
        <w:t xml:space="preserve">- </w:t>
      </w:r>
      <w:r w:rsidRPr="00F75456">
        <w:rPr>
          <w:rFonts w:ascii="Times New Roman" w:eastAsia="Times New Roman" w:hAnsi="Times New Roman" w:cs="Times New Roman"/>
          <w:color w:val="333333"/>
          <w:sz w:val="24"/>
          <w:szCs w:val="24"/>
          <w:u w:val="single"/>
          <w:lang w:eastAsia="es-ES"/>
        </w:rPr>
        <w:t>El BCE estudia cómo no inyectar aún más liquidez sobre un excedente récord de 4,5 billones</w:t>
      </w:r>
      <w:r>
        <w:rPr>
          <w:rFonts w:ascii="Times New Roman" w:eastAsia="Times New Roman" w:hAnsi="Times New Roman" w:cs="Times New Roman"/>
          <w:color w:val="333333"/>
          <w:sz w:val="24"/>
          <w:szCs w:val="24"/>
          <w:lang w:eastAsia="es-ES"/>
        </w:rPr>
        <w:t xml:space="preserve"> (Cinco Días - </w:t>
      </w:r>
      <w:r w:rsidRPr="00F75456">
        <w:rPr>
          <w:rFonts w:ascii="Times New Roman" w:eastAsia="Times New Roman" w:hAnsi="Times New Roman" w:cs="Times New Roman"/>
          <w:b/>
          <w:color w:val="333333"/>
          <w:sz w:val="24"/>
          <w:szCs w:val="24"/>
          <w:lang w:eastAsia="es-ES"/>
        </w:rPr>
        <w:t>23/6/22</w:t>
      </w:r>
      <w:r>
        <w:rPr>
          <w:rFonts w:ascii="Times New Roman" w:eastAsia="Times New Roman" w:hAnsi="Times New Roman" w:cs="Times New Roman"/>
          <w:color w:val="333333"/>
          <w:sz w:val="24"/>
          <w:szCs w:val="24"/>
          <w:lang w:eastAsia="es-ES"/>
        </w:rPr>
        <w:t>)</w:t>
      </w:r>
    </w:p>
    <w:p w:rsidR="00173662" w:rsidRPr="000D4A21" w:rsidRDefault="00173662" w:rsidP="00173662">
      <w:pPr>
        <w:shd w:val="clear" w:color="auto" w:fill="FFFFFF"/>
        <w:spacing w:line="240" w:lineRule="auto"/>
        <w:jc w:val="both"/>
        <w:textAlignment w:val="baseline"/>
        <w:rPr>
          <w:rFonts w:ascii="Times New Roman" w:eastAsia="Times New Roman" w:hAnsi="Times New Roman" w:cs="Times New Roman"/>
          <w:color w:val="FF0000"/>
          <w:sz w:val="24"/>
          <w:szCs w:val="24"/>
          <w:lang w:eastAsia="es-ES"/>
        </w:rPr>
      </w:pPr>
      <w:r w:rsidRPr="000D4A21">
        <w:rPr>
          <w:rFonts w:ascii="Times New Roman" w:eastAsia="Times New Roman" w:hAnsi="Times New Roman" w:cs="Times New Roman"/>
          <w:color w:val="FF0000"/>
          <w:sz w:val="24"/>
          <w:szCs w:val="24"/>
          <w:lang w:eastAsia="es-ES"/>
        </w:rPr>
        <w:t>La herramienta anticrisis incluiría el drenaje de las compras de deuda</w:t>
      </w:r>
    </w:p>
    <w:p w:rsidR="00173662" w:rsidRPr="000D4A21" w:rsidRDefault="00173662" w:rsidP="00173662">
      <w:pPr>
        <w:shd w:val="clear" w:color="auto" w:fill="FFFFFF"/>
        <w:spacing w:line="240" w:lineRule="auto"/>
        <w:jc w:val="both"/>
        <w:textAlignment w:val="baseline"/>
        <w:rPr>
          <w:rFonts w:ascii="Times New Roman" w:eastAsia="Times New Roman" w:hAnsi="Times New Roman" w:cs="Times New Roman"/>
          <w:color w:val="FF0000"/>
          <w:sz w:val="24"/>
          <w:szCs w:val="24"/>
          <w:lang w:eastAsia="es-ES"/>
        </w:rPr>
      </w:pPr>
      <w:r w:rsidRPr="000D4A21">
        <w:rPr>
          <w:rFonts w:ascii="Times New Roman" w:eastAsia="Times New Roman" w:hAnsi="Times New Roman" w:cs="Times New Roman"/>
          <w:color w:val="FF0000"/>
          <w:sz w:val="24"/>
          <w:szCs w:val="24"/>
          <w:lang w:eastAsia="es-ES"/>
        </w:rPr>
        <w:t>La banca europea devuelve de forma anticipada 74.100 millones en TLTRO</w:t>
      </w:r>
    </w:p>
    <w:p w:rsidR="00173662" w:rsidRDefault="00173662" w:rsidP="00173662">
      <w:pPr>
        <w:shd w:val="clear" w:color="auto" w:fill="FFFFFF"/>
        <w:spacing w:line="240" w:lineRule="auto"/>
        <w:jc w:val="both"/>
        <w:textAlignment w:val="baseline"/>
        <w:rPr>
          <w:rFonts w:ascii="Times New Roman" w:eastAsia="Times New Roman" w:hAnsi="Times New Roman" w:cs="Times New Roman"/>
          <w:color w:val="333333"/>
          <w:sz w:val="24"/>
          <w:szCs w:val="24"/>
          <w:lang w:eastAsia="es-ES"/>
        </w:rPr>
      </w:pPr>
      <w:r>
        <w:rPr>
          <w:noProof/>
          <w:lang w:eastAsia="es-ES"/>
        </w:rPr>
        <w:drawing>
          <wp:inline distT="0" distB="0" distL="0" distR="0" wp14:anchorId="15A72D10" wp14:editId="49788DB6">
            <wp:extent cx="5727989" cy="3041650"/>
            <wp:effectExtent l="0" t="0" r="6350" b="6350"/>
            <wp:docPr id="37" name="Imagen 37" descr="Liquidez ban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iquidez banca"/>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731510" cy="3043520"/>
                    </a:xfrm>
                    <a:prstGeom prst="rect">
                      <a:avLst/>
                    </a:prstGeom>
                    <a:noFill/>
                    <a:ln>
                      <a:noFill/>
                    </a:ln>
                  </pic:spPr>
                </pic:pic>
              </a:graphicData>
            </a:graphic>
          </wp:inline>
        </w:drawing>
      </w:r>
    </w:p>
    <w:p w:rsidR="00173662" w:rsidRPr="000D4A21" w:rsidRDefault="00173662" w:rsidP="00173662">
      <w:pPr>
        <w:shd w:val="clear" w:color="auto" w:fill="FFFFFF"/>
        <w:spacing w:line="240" w:lineRule="auto"/>
        <w:jc w:val="both"/>
        <w:textAlignment w:val="baseline"/>
        <w:rPr>
          <w:rFonts w:ascii="Times New Roman" w:eastAsia="Times New Roman" w:hAnsi="Times New Roman" w:cs="Times New Roman"/>
          <w:color w:val="FF0000"/>
          <w:sz w:val="24"/>
          <w:szCs w:val="24"/>
          <w:u w:val="single"/>
          <w:lang w:eastAsia="es-ES"/>
        </w:rPr>
      </w:pPr>
      <w:r w:rsidRPr="000D4A21">
        <w:rPr>
          <w:rFonts w:ascii="Times New Roman" w:eastAsia="Times New Roman" w:hAnsi="Times New Roman" w:cs="Times New Roman"/>
          <w:color w:val="FF0000"/>
          <w:sz w:val="24"/>
          <w:szCs w:val="24"/>
          <w:u w:val="single"/>
          <w:lang w:eastAsia="es-ES"/>
        </w:rPr>
        <w:t>El BCE continúa sin dar detalles de cómo será la nueva herramienta que prepara para prevenir futuras crisis de deuda y que previsiblemente presente en la reunión del 21 de julio. La única certeza es su compromiso en evitar que se desmanden las primas de riesgo y su propósito de que ese nuevo instrumento no interfiera en la lucha contra la inflación, según afirmó ayer el vicepresidente del BCE, Luis de Guindos. ¿Pero cómo sorber y soplar a la vez? ¿Cómo enfriar la economía subiendo tipos y a la vez inyectar más liquidez con nuevas compras de deuda?</w:t>
      </w:r>
    </w:p>
    <w:p w:rsidR="00173662" w:rsidRPr="000D4A21" w:rsidRDefault="00173662" w:rsidP="00173662">
      <w:pPr>
        <w:shd w:val="clear" w:color="auto" w:fill="FFFFFF"/>
        <w:spacing w:line="240" w:lineRule="auto"/>
        <w:jc w:val="both"/>
        <w:textAlignment w:val="baseline"/>
        <w:rPr>
          <w:rFonts w:ascii="Times New Roman" w:eastAsia="Times New Roman" w:hAnsi="Times New Roman" w:cs="Times New Roman"/>
          <w:b/>
          <w:color w:val="FF0000"/>
          <w:sz w:val="24"/>
          <w:szCs w:val="24"/>
          <w:u w:val="single"/>
          <w:lang w:eastAsia="es-ES"/>
        </w:rPr>
      </w:pPr>
      <w:r w:rsidRPr="000D4A21">
        <w:rPr>
          <w:rFonts w:ascii="Times New Roman" w:eastAsia="Times New Roman" w:hAnsi="Times New Roman" w:cs="Times New Roman"/>
          <w:color w:val="FF0000"/>
          <w:sz w:val="24"/>
          <w:szCs w:val="24"/>
          <w:u w:val="single"/>
          <w:lang w:eastAsia="es-ES"/>
        </w:rPr>
        <w:t xml:space="preserve">La respuesta al dilema está en la esterilización de las compras de deuda, en el drenaje de la liquidez inyectada con esas adquisiciones, según señalan los expertos. Y el punto de partida no puede ser más desafiante: </w:t>
      </w:r>
      <w:r w:rsidRPr="000D4A21">
        <w:rPr>
          <w:rFonts w:ascii="Times New Roman" w:eastAsia="Times New Roman" w:hAnsi="Times New Roman" w:cs="Times New Roman"/>
          <w:b/>
          <w:color w:val="FF0000"/>
          <w:sz w:val="24"/>
          <w:szCs w:val="24"/>
          <w:u w:val="single"/>
          <w:lang w:eastAsia="es-ES"/>
        </w:rPr>
        <w:t xml:space="preserve">el exceso de liquidez de la banca europea ha alcanzado </w:t>
      </w:r>
      <w:r w:rsidRPr="000D4A21">
        <w:rPr>
          <w:rFonts w:ascii="Times New Roman" w:eastAsia="Times New Roman" w:hAnsi="Times New Roman" w:cs="Times New Roman"/>
          <w:b/>
          <w:color w:val="FF0000"/>
          <w:sz w:val="24"/>
          <w:szCs w:val="24"/>
          <w:u w:val="single"/>
          <w:lang w:eastAsia="es-ES"/>
        </w:rPr>
        <w:lastRenderedPageBreak/>
        <w:t>después de años de incesantes estímulos, y en especial a raíz de la pandemia, el récord de 4,62 billones de euros alcanzado este mes de junio. Según el último dato diario, ahora se sitúa en los 4,48 billones de euros.</w:t>
      </w:r>
    </w:p>
    <w:p w:rsidR="00173662" w:rsidRPr="00F75456" w:rsidRDefault="00173662" w:rsidP="00173662">
      <w:pPr>
        <w:shd w:val="clear" w:color="auto" w:fill="FFFFFF"/>
        <w:spacing w:line="240" w:lineRule="auto"/>
        <w:jc w:val="both"/>
        <w:textAlignment w:val="baseline"/>
        <w:rPr>
          <w:rFonts w:ascii="Times New Roman" w:eastAsia="Times New Roman" w:hAnsi="Times New Roman" w:cs="Times New Roman"/>
          <w:color w:val="333333"/>
          <w:sz w:val="24"/>
          <w:szCs w:val="24"/>
          <w:lang w:eastAsia="es-ES"/>
        </w:rPr>
      </w:pPr>
      <w:r w:rsidRPr="00F75456">
        <w:rPr>
          <w:rFonts w:ascii="Times New Roman" w:eastAsia="Times New Roman" w:hAnsi="Times New Roman" w:cs="Times New Roman"/>
          <w:color w:val="333333"/>
          <w:sz w:val="24"/>
          <w:szCs w:val="24"/>
          <w:lang w:eastAsia="es-ES"/>
        </w:rPr>
        <w:t>Tan elevada cuantía es el sobrante de efectivo del que disponen las entidades financieras de la zona euro una vez cumplidas las reservas mínimas con las que garantizar la demanda de dinero de sus clientes. Una liquidez que está aparcada y que tendrá que empezar a descender dentro del proceso de normalización monetaria que v</w:t>
      </w:r>
      <w:r>
        <w:rPr>
          <w:rFonts w:ascii="Times New Roman" w:eastAsia="Times New Roman" w:hAnsi="Times New Roman" w:cs="Times New Roman"/>
          <w:color w:val="333333"/>
          <w:sz w:val="24"/>
          <w:szCs w:val="24"/>
          <w:lang w:eastAsia="es-ES"/>
        </w:rPr>
        <w:t>a a iniciar el banco central.</w:t>
      </w:r>
    </w:p>
    <w:p w:rsidR="00173662" w:rsidRPr="000D4A21" w:rsidRDefault="00173662" w:rsidP="00173662">
      <w:pPr>
        <w:shd w:val="clear" w:color="auto" w:fill="FFFFFF"/>
        <w:spacing w:line="240" w:lineRule="auto"/>
        <w:jc w:val="both"/>
        <w:textAlignment w:val="baseline"/>
        <w:rPr>
          <w:rFonts w:ascii="Times New Roman" w:eastAsia="Times New Roman" w:hAnsi="Times New Roman" w:cs="Times New Roman"/>
          <w:color w:val="FF0000"/>
          <w:sz w:val="24"/>
          <w:szCs w:val="24"/>
          <w:u w:val="single"/>
          <w:lang w:eastAsia="es-ES"/>
        </w:rPr>
      </w:pPr>
      <w:r w:rsidRPr="000D4A21">
        <w:rPr>
          <w:rFonts w:ascii="Times New Roman" w:eastAsia="Times New Roman" w:hAnsi="Times New Roman" w:cs="Times New Roman"/>
          <w:color w:val="333333"/>
          <w:sz w:val="24"/>
          <w:szCs w:val="24"/>
          <w:u w:val="single"/>
          <w:lang w:eastAsia="es-ES"/>
        </w:rPr>
        <w:t>Por lo pronto, los bancos han decidido devolver de forma anticipada 75.000 millones de euros de la liquidez de las rondas TLTRO en la ventana de la que disponen a finales de este mes.</w:t>
      </w:r>
      <w:r w:rsidRPr="00F75456">
        <w:rPr>
          <w:rFonts w:ascii="Times New Roman" w:eastAsia="Times New Roman" w:hAnsi="Times New Roman" w:cs="Times New Roman"/>
          <w:color w:val="333333"/>
          <w:sz w:val="24"/>
          <w:szCs w:val="24"/>
          <w:lang w:eastAsia="es-ES"/>
        </w:rPr>
        <w:t xml:space="preserve"> De hecho, hoy 23 de junio finalizan las condiciones especiales aplicables a estas líneas de financiación TLTRO III, activadas con la pandemia y que han concedido una bonificación del 1% a los bancos que destinaran esa liquidez a la concesión de crédito. </w:t>
      </w:r>
      <w:r w:rsidRPr="000D4A21">
        <w:rPr>
          <w:rFonts w:ascii="Times New Roman" w:eastAsia="Times New Roman" w:hAnsi="Times New Roman" w:cs="Times New Roman"/>
          <w:color w:val="FF0000"/>
          <w:sz w:val="24"/>
          <w:szCs w:val="24"/>
          <w:u w:val="single"/>
          <w:lang w:eastAsia="es-ES"/>
        </w:rPr>
        <w:t>Esa llu</w:t>
      </w:r>
      <w:r w:rsidR="00814E8D">
        <w:rPr>
          <w:rFonts w:ascii="Times New Roman" w:eastAsia="Times New Roman" w:hAnsi="Times New Roman" w:cs="Times New Roman"/>
          <w:color w:val="FF0000"/>
          <w:sz w:val="24"/>
          <w:szCs w:val="24"/>
          <w:u w:val="single"/>
          <w:lang w:eastAsia="es-ES"/>
        </w:rPr>
        <w:t>via de financiación bonificada -</w:t>
      </w:r>
      <w:r w:rsidRPr="000D4A21">
        <w:rPr>
          <w:rFonts w:ascii="Times New Roman" w:eastAsia="Times New Roman" w:hAnsi="Times New Roman" w:cs="Times New Roman"/>
          <w:color w:val="FF0000"/>
          <w:sz w:val="24"/>
          <w:szCs w:val="24"/>
          <w:u w:val="single"/>
          <w:lang w:eastAsia="es-ES"/>
        </w:rPr>
        <w:t>con una petición récord de 1,3 billones</w:t>
      </w:r>
      <w:r w:rsidR="00814E8D">
        <w:rPr>
          <w:rFonts w:ascii="Times New Roman" w:eastAsia="Times New Roman" w:hAnsi="Times New Roman" w:cs="Times New Roman"/>
          <w:color w:val="FF0000"/>
          <w:sz w:val="24"/>
          <w:szCs w:val="24"/>
          <w:u w:val="single"/>
          <w:lang w:eastAsia="es-ES"/>
        </w:rPr>
        <w:t xml:space="preserve"> en la subasta de junio de 2020-</w:t>
      </w:r>
      <w:r w:rsidRPr="000D4A21">
        <w:rPr>
          <w:rFonts w:ascii="Times New Roman" w:eastAsia="Times New Roman" w:hAnsi="Times New Roman" w:cs="Times New Roman"/>
          <w:color w:val="FF0000"/>
          <w:sz w:val="24"/>
          <w:szCs w:val="24"/>
          <w:u w:val="single"/>
          <w:lang w:eastAsia="es-ES"/>
        </w:rPr>
        <w:t xml:space="preserve"> ha sido el germen imparable para llevar el exceso de liquidez del sistema a los actuales niveles.</w:t>
      </w:r>
    </w:p>
    <w:p w:rsidR="00173662" w:rsidRDefault="00173662" w:rsidP="00173662">
      <w:pPr>
        <w:shd w:val="clear" w:color="auto" w:fill="FFFFFF"/>
        <w:spacing w:line="240" w:lineRule="auto"/>
        <w:jc w:val="both"/>
        <w:textAlignment w:val="baseline"/>
        <w:rPr>
          <w:rFonts w:ascii="Times New Roman" w:eastAsia="Times New Roman" w:hAnsi="Times New Roman" w:cs="Times New Roman"/>
          <w:color w:val="333333"/>
          <w:sz w:val="24"/>
          <w:szCs w:val="24"/>
          <w:lang w:eastAsia="es-ES"/>
        </w:rPr>
      </w:pPr>
      <w:r w:rsidRPr="00F75456">
        <w:rPr>
          <w:rFonts w:ascii="Times New Roman" w:eastAsia="Times New Roman" w:hAnsi="Times New Roman" w:cs="Times New Roman"/>
          <w:color w:val="333333"/>
          <w:sz w:val="24"/>
          <w:szCs w:val="24"/>
          <w:lang w:eastAsia="es-ES"/>
        </w:rPr>
        <w:t xml:space="preserve">Ya recurrió a la esterilización de sus compras con </w:t>
      </w:r>
      <w:r>
        <w:rPr>
          <w:rFonts w:ascii="Times New Roman" w:eastAsia="Times New Roman" w:hAnsi="Times New Roman" w:cs="Times New Roman"/>
          <w:color w:val="333333"/>
          <w:sz w:val="24"/>
          <w:szCs w:val="24"/>
          <w:lang w:eastAsia="es-ES"/>
        </w:rPr>
        <w:t>el programa SMP lanzado en 2010</w:t>
      </w:r>
    </w:p>
    <w:p w:rsidR="00173662" w:rsidRPr="00F75456" w:rsidRDefault="00173662" w:rsidP="00173662">
      <w:pPr>
        <w:shd w:val="clear" w:color="auto" w:fill="FFFFFF"/>
        <w:spacing w:line="240" w:lineRule="auto"/>
        <w:jc w:val="both"/>
        <w:textAlignment w:val="baseline"/>
        <w:rPr>
          <w:rFonts w:ascii="Times New Roman" w:eastAsia="Times New Roman" w:hAnsi="Times New Roman" w:cs="Times New Roman"/>
          <w:color w:val="333333"/>
          <w:sz w:val="24"/>
          <w:szCs w:val="24"/>
          <w:lang w:eastAsia="es-ES"/>
        </w:rPr>
      </w:pPr>
      <w:r>
        <w:rPr>
          <w:rFonts w:ascii="Times New Roman" w:eastAsia="Times New Roman" w:hAnsi="Times New Roman" w:cs="Times New Roman"/>
          <w:color w:val="333333"/>
          <w:sz w:val="24"/>
          <w:szCs w:val="24"/>
          <w:lang w:eastAsia="es-ES"/>
        </w:rPr>
        <w:t>(…)</w:t>
      </w:r>
    </w:p>
    <w:p w:rsidR="00173662" w:rsidRPr="000D4A21" w:rsidRDefault="00173662" w:rsidP="00173662">
      <w:pPr>
        <w:shd w:val="clear" w:color="auto" w:fill="FFFFFF"/>
        <w:spacing w:line="240" w:lineRule="auto"/>
        <w:jc w:val="both"/>
        <w:textAlignment w:val="baseline"/>
        <w:rPr>
          <w:rFonts w:ascii="Times New Roman" w:eastAsia="Times New Roman" w:hAnsi="Times New Roman" w:cs="Times New Roman"/>
          <w:b/>
          <w:color w:val="FF0000"/>
          <w:sz w:val="24"/>
          <w:szCs w:val="24"/>
          <w:u w:val="single"/>
          <w:lang w:eastAsia="es-ES"/>
        </w:rPr>
      </w:pPr>
      <w:r w:rsidRPr="000D4A21">
        <w:rPr>
          <w:rFonts w:ascii="Times New Roman" w:eastAsia="Times New Roman" w:hAnsi="Times New Roman" w:cs="Times New Roman"/>
          <w:b/>
          <w:color w:val="FF0000"/>
          <w:sz w:val="24"/>
          <w:szCs w:val="24"/>
          <w:u w:val="single"/>
          <w:lang w:eastAsia="es-ES"/>
        </w:rPr>
        <w:t>El BCE ya recurrió en el pasado a la esterilización de sus compras de deuda. Fue con el programa SMP (Securities Markets Programme), lanzado en mayo de 2010 y diseñado como una fórmula con la que actuar de forma puntual en el mercado sin elevar los niveles agregados de liquidez. Así, las compras de deuda quedaban neutralizadas con la emisión por parte del BCE de depósitos a corto p</w:t>
      </w:r>
      <w:r w:rsidR="00814E8D">
        <w:rPr>
          <w:rFonts w:ascii="Times New Roman" w:eastAsia="Times New Roman" w:hAnsi="Times New Roman" w:cs="Times New Roman"/>
          <w:b/>
          <w:color w:val="FF0000"/>
          <w:sz w:val="24"/>
          <w:szCs w:val="24"/>
          <w:u w:val="single"/>
          <w:lang w:eastAsia="es-ES"/>
        </w:rPr>
        <w:t>lazo suscritos por los bancos. “</w:t>
      </w:r>
      <w:r w:rsidRPr="000D4A21">
        <w:rPr>
          <w:rFonts w:ascii="Times New Roman" w:eastAsia="Times New Roman" w:hAnsi="Times New Roman" w:cs="Times New Roman"/>
          <w:b/>
          <w:color w:val="FF0000"/>
          <w:sz w:val="24"/>
          <w:szCs w:val="24"/>
          <w:u w:val="single"/>
          <w:lang w:eastAsia="es-ES"/>
        </w:rPr>
        <w:t>El BCE puede encontrar la manera de ofrecer préstamos a los bancos a tipos de interés mayores o incluso emitir los certificados de deud</w:t>
      </w:r>
      <w:r w:rsidR="00814E8D">
        <w:rPr>
          <w:rFonts w:ascii="Times New Roman" w:eastAsia="Times New Roman" w:hAnsi="Times New Roman" w:cs="Times New Roman"/>
          <w:b/>
          <w:color w:val="FF0000"/>
          <w:sz w:val="24"/>
          <w:szCs w:val="24"/>
          <w:u w:val="single"/>
          <w:lang w:eastAsia="es-ES"/>
        </w:rPr>
        <w:t>a que sus estatutos le permiten”</w:t>
      </w:r>
      <w:r w:rsidRPr="000D4A21">
        <w:rPr>
          <w:rFonts w:ascii="Times New Roman" w:eastAsia="Times New Roman" w:hAnsi="Times New Roman" w:cs="Times New Roman"/>
          <w:b/>
          <w:color w:val="FF0000"/>
          <w:sz w:val="24"/>
          <w:szCs w:val="24"/>
          <w:u w:val="single"/>
          <w:lang w:eastAsia="es-ES"/>
        </w:rPr>
        <w:t>, apunta Ducrozet.</w:t>
      </w:r>
    </w:p>
    <w:p w:rsidR="00173662" w:rsidRPr="000D4A21" w:rsidRDefault="00173662" w:rsidP="00173662">
      <w:pPr>
        <w:shd w:val="clear" w:color="auto" w:fill="FFFFFF"/>
        <w:spacing w:line="240" w:lineRule="auto"/>
        <w:jc w:val="both"/>
        <w:textAlignment w:val="baseline"/>
        <w:rPr>
          <w:rFonts w:ascii="Times New Roman" w:eastAsia="Times New Roman" w:hAnsi="Times New Roman" w:cs="Times New Roman"/>
          <w:color w:val="FF0000"/>
          <w:sz w:val="24"/>
          <w:szCs w:val="24"/>
          <w:u w:val="single"/>
          <w:lang w:eastAsia="es-ES"/>
        </w:rPr>
      </w:pPr>
      <w:r w:rsidRPr="000D4A21">
        <w:rPr>
          <w:rFonts w:ascii="Times New Roman" w:eastAsia="Times New Roman" w:hAnsi="Times New Roman" w:cs="Times New Roman"/>
          <w:color w:val="FF0000"/>
          <w:sz w:val="24"/>
          <w:szCs w:val="24"/>
          <w:u w:val="single"/>
          <w:lang w:eastAsia="es-ES"/>
        </w:rPr>
        <w:t xml:space="preserve">Otra fórmula de drenar liquidez sería vender deuda de países sin tensión en sus bonos soberanos, aunque se trata de una medida más polémica y podría plantear agravios comparativos de difícil encaje político. </w:t>
      </w:r>
      <w:r w:rsidR="00814E8D">
        <w:rPr>
          <w:rFonts w:ascii="Times New Roman" w:eastAsia="Times New Roman" w:hAnsi="Times New Roman" w:cs="Times New Roman"/>
          <w:b/>
          <w:color w:val="FF0000"/>
          <w:sz w:val="24"/>
          <w:szCs w:val="24"/>
          <w:u w:val="single"/>
          <w:lang w:eastAsia="es-ES"/>
        </w:rPr>
        <w:t>“</w:t>
      </w:r>
      <w:r w:rsidRPr="000D4A21">
        <w:rPr>
          <w:rFonts w:ascii="Times New Roman" w:eastAsia="Times New Roman" w:hAnsi="Times New Roman" w:cs="Times New Roman"/>
          <w:b/>
          <w:color w:val="FF0000"/>
          <w:sz w:val="24"/>
          <w:szCs w:val="24"/>
          <w:u w:val="single"/>
          <w:lang w:eastAsia="es-ES"/>
        </w:rPr>
        <w:t>El BCE tiene que asustar, plantear algo que ni s</w:t>
      </w:r>
      <w:r>
        <w:rPr>
          <w:rFonts w:ascii="Times New Roman" w:eastAsia="Times New Roman" w:hAnsi="Times New Roman" w:cs="Times New Roman"/>
          <w:b/>
          <w:color w:val="FF0000"/>
          <w:sz w:val="24"/>
          <w:szCs w:val="24"/>
          <w:u w:val="single"/>
          <w:lang w:eastAsia="es-ES"/>
        </w:rPr>
        <w:t>iquiera tenga que llegar a usa</w:t>
      </w:r>
      <w:r w:rsidR="00814E8D">
        <w:rPr>
          <w:rFonts w:ascii="Times New Roman" w:eastAsia="Times New Roman" w:hAnsi="Times New Roman" w:cs="Times New Roman"/>
          <w:b/>
          <w:color w:val="FF0000"/>
          <w:sz w:val="24"/>
          <w:szCs w:val="24"/>
          <w:u w:val="single"/>
          <w:lang w:eastAsia="es-ES"/>
        </w:rPr>
        <w:t>r”</w:t>
      </w:r>
      <w:r w:rsidRPr="000D4A21">
        <w:rPr>
          <w:rFonts w:ascii="Times New Roman" w:eastAsia="Times New Roman" w:hAnsi="Times New Roman" w:cs="Times New Roman"/>
          <w:color w:val="FF0000"/>
          <w:sz w:val="24"/>
          <w:szCs w:val="24"/>
          <w:u w:val="single"/>
          <w:lang w:eastAsia="es-ES"/>
        </w:rPr>
        <w:t>, afirma Amor. Un instrumento que no tenga cuantía tope de entrada.</w:t>
      </w:r>
    </w:p>
    <w:p w:rsidR="00173662" w:rsidRDefault="00173662" w:rsidP="00173662">
      <w:pPr>
        <w:shd w:val="clear" w:color="auto" w:fill="FFFFFF"/>
        <w:spacing w:line="240" w:lineRule="auto"/>
        <w:jc w:val="both"/>
        <w:textAlignment w:val="baseline"/>
        <w:rPr>
          <w:rFonts w:ascii="Times New Roman" w:eastAsia="Times New Roman" w:hAnsi="Times New Roman" w:cs="Times New Roman"/>
          <w:color w:val="FF0000"/>
          <w:sz w:val="24"/>
          <w:szCs w:val="24"/>
          <w:u w:val="single"/>
          <w:lang w:eastAsia="es-ES"/>
        </w:rPr>
      </w:pPr>
      <w:r w:rsidRPr="00F75456">
        <w:rPr>
          <w:rFonts w:ascii="Times New Roman" w:eastAsia="Times New Roman" w:hAnsi="Times New Roman" w:cs="Times New Roman"/>
          <w:color w:val="333333"/>
          <w:sz w:val="24"/>
          <w:szCs w:val="24"/>
          <w:lang w:eastAsia="es-ES"/>
        </w:rPr>
        <w:t xml:space="preserve">Ducrozet calcula que el BCE podría disponer de 10.000 millones de euros al mes para la compra de bonos de países periféricos con la reinversión de activos del programa PEPP. Sin embargo, la refinanciación de deuda italiana del resto del año ya es el doble de tal cantidad, con lo que en caso de fragmentación severa de la deuda, la reinversión del PEPP no sería de ningún modo suficiente y exige al banco central ir más allá. </w:t>
      </w:r>
      <w:r w:rsidR="00814E8D">
        <w:rPr>
          <w:rFonts w:ascii="Times New Roman" w:eastAsia="Times New Roman" w:hAnsi="Times New Roman" w:cs="Times New Roman"/>
          <w:b/>
          <w:color w:val="FF0000"/>
          <w:sz w:val="24"/>
          <w:szCs w:val="24"/>
          <w:u w:val="single"/>
          <w:lang w:eastAsia="es-ES"/>
        </w:rPr>
        <w:t>“</w:t>
      </w:r>
      <w:r w:rsidRPr="000D4A21">
        <w:rPr>
          <w:rFonts w:ascii="Times New Roman" w:eastAsia="Times New Roman" w:hAnsi="Times New Roman" w:cs="Times New Roman"/>
          <w:b/>
          <w:color w:val="FF0000"/>
          <w:sz w:val="24"/>
          <w:szCs w:val="24"/>
          <w:u w:val="single"/>
          <w:lang w:eastAsia="es-ES"/>
        </w:rPr>
        <w:t>Si el BCE presenta una herramienta creíble contra la fragmentación, es posible que al final n</w:t>
      </w:r>
      <w:r w:rsidR="00814E8D">
        <w:rPr>
          <w:rFonts w:ascii="Times New Roman" w:eastAsia="Times New Roman" w:hAnsi="Times New Roman" w:cs="Times New Roman"/>
          <w:b/>
          <w:color w:val="FF0000"/>
          <w:sz w:val="24"/>
          <w:szCs w:val="24"/>
          <w:u w:val="single"/>
          <w:lang w:eastAsia="es-ES"/>
        </w:rPr>
        <w:t>o tenga que gastar un solo euro”</w:t>
      </w:r>
      <w:r w:rsidRPr="000D4A21">
        <w:rPr>
          <w:rFonts w:ascii="Times New Roman" w:eastAsia="Times New Roman" w:hAnsi="Times New Roman" w:cs="Times New Roman"/>
          <w:b/>
          <w:color w:val="FF0000"/>
          <w:sz w:val="24"/>
          <w:szCs w:val="24"/>
          <w:u w:val="single"/>
          <w:lang w:eastAsia="es-ES"/>
        </w:rPr>
        <w:t xml:space="preserve">, </w:t>
      </w:r>
      <w:r w:rsidRPr="000D4A21">
        <w:rPr>
          <w:rFonts w:ascii="Times New Roman" w:eastAsia="Times New Roman" w:hAnsi="Times New Roman" w:cs="Times New Roman"/>
          <w:color w:val="FF0000"/>
          <w:sz w:val="24"/>
          <w:szCs w:val="24"/>
          <w:u w:val="single"/>
          <w:lang w:eastAsia="es-ES"/>
        </w:rPr>
        <w:t>añade.</w:t>
      </w:r>
    </w:p>
    <w:p w:rsidR="00920CDF" w:rsidRPr="00ED5890" w:rsidRDefault="00920CDF" w:rsidP="00920CDF">
      <w:pPr>
        <w:shd w:val="clear" w:color="auto" w:fill="FFFFFF"/>
        <w:spacing w:line="240" w:lineRule="auto"/>
        <w:jc w:val="both"/>
        <w:textAlignment w:val="baseline"/>
        <w:rPr>
          <w:rFonts w:ascii="Times New Roman" w:eastAsia="Times New Roman" w:hAnsi="Times New Roman" w:cs="Times New Roman"/>
          <w:color w:val="333333"/>
          <w:sz w:val="24"/>
          <w:szCs w:val="24"/>
          <w:lang w:eastAsia="es-ES"/>
        </w:rPr>
      </w:pPr>
      <w:r>
        <w:rPr>
          <w:rFonts w:ascii="Times New Roman" w:eastAsia="Times New Roman" w:hAnsi="Times New Roman" w:cs="Times New Roman"/>
          <w:color w:val="333333"/>
          <w:sz w:val="24"/>
          <w:szCs w:val="24"/>
          <w:lang w:eastAsia="es-ES"/>
        </w:rPr>
        <w:t xml:space="preserve">- </w:t>
      </w:r>
      <w:r w:rsidRPr="00ED5890">
        <w:rPr>
          <w:rFonts w:ascii="Times New Roman" w:eastAsia="Times New Roman" w:hAnsi="Times New Roman" w:cs="Times New Roman"/>
          <w:color w:val="333333"/>
          <w:sz w:val="24"/>
          <w:szCs w:val="24"/>
          <w:u w:val="single"/>
          <w:lang w:eastAsia="es-ES"/>
        </w:rPr>
        <w:t>El volumen de deuda en negativo cae más de un 90% y marca mínimos de 2015</w:t>
      </w:r>
      <w:r>
        <w:rPr>
          <w:rFonts w:ascii="Times New Roman" w:eastAsia="Times New Roman" w:hAnsi="Times New Roman" w:cs="Times New Roman"/>
          <w:color w:val="333333"/>
          <w:sz w:val="24"/>
          <w:szCs w:val="24"/>
          <w:lang w:eastAsia="es-ES"/>
        </w:rPr>
        <w:t xml:space="preserve"> (Cinco Días - </w:t>
      </w:r>
      <w:r w:rsidRPr="00ED5890">
        <w:rPr>
          <w:rFonts w:ascii="Times New Roman" w:eastAsia="Times New Roman" w:hAnsi="Times New Roman" w:cs="Times New Roman"/>
          <w:b/>
          <w:color w:val="333333"/>
          <w:sz w:val="24"/>
          <w:szCs w:val="24"/>
          <w:lang w:eastAsia="es-ES"/>
        </w:rPr>
        <w:t>24/6/22</w:t>
      </w:r>
      <w:r>
        <w:rPr>
          <w:rFonts w:ascii="Times New Roman" w:eastAsia="Times New Roman" w:hAnsi="Times New Roman" w:cs="Times New Roman"/>
          <w:color w:val="333333"/>
          <w:sz w:val="24"/>
          <w:szCs w:val="24"/>
          <w:lang w:eastAsia="es-ES"/>
        </w:rPr>
        <w:t>)</w:t>
      </w:r>
    </w:p>
    <w:p w:rsidR="00920CDF" w:rsidRDefault="00920CDF" w:rsidP="00920CDF">
      <w:pPr>
        <w:shd w:val="clear" w:color="auto" w:fill="FFFFFF"/>
        <w:spacing w:line="240" w:lineRule="auto"/>
        <w:jc w:val="both"/>
        <w:textAlignment w:val="baseline"/>
        <w:rPr>
          <w:rFonts w:ascii="Times New Roman" w:eastAsia="Times New Roman" w:hAnsi="Times New Roman" w:cs="Times New Roman"/>
          <w:color w:val="333333"/>
          <w:sz w:val="24"/>
          <w:szCs w:val="24"/>
          <w:lang w:eastAsia="es-ES"/>
        </w:rPr>
      </w:pPr>
      <w:r w:rsidRPr="00ED5890">
        <w:rPr>
          <w:rFonts w:ascii="Times New Roman" w:eastAsia="Times New Roman" w:hAnsi="Times New Roman" w:cs="Times New Roman"/>
          <w:color w:val="333333"/>
          <w:sz w:val="24"/>
          <w:szCs w:val="24"/>
          <w:lang w:eastAsia="es-ES"/>
        </w:rPr>
        <w:t>La normalización monetaria acelera el proceso</w:t>
      </w:r>
      <w:r>
        <w:rPr>
          <w:rFonts w:ascii="Times New Roman" w:eastAsia="Times New Roman" w:hAnsi="Times New Roman" w:cs="Times New Roman"/>
          <w:color w:val="333333"/>
          <w:sz w:val="24"/>
          <w:szCs w:val="24"/>
          <w:lang w:eastAsia="es-ES"/>
        </w:rPr>
        <w:t>…</w:t>
      </w:r>
    </w:p>
    <w:p w:rsidR="00173662" w:rsidRDefault="00173662" w:rsidP="00173662">
      <w:pPr>
        <w:shd w:val="clear" w:color="auto" w:fill="FFFFFF"/>
        <w:spacing w:line="240" w:lineRule="auto"/>
        <w:jc w:val="both"/>
        <w:textAlignment w:val="baseline"/>
        <w:rPr>
          <w:rFonts w:ascii="Times New Roman" w:eastAsia="Times New Roman" w:hAnsi="Times New Roman" w:cs="Times New Roman"/>
          <w:color w:val="FF0000"/>
          <w:sz w:val="24"/>
          <w:szCs w:val="24"/>
          <w:u w:val="single"/>
          <w:lang w:eastAsia="es-ES"/>
        </w:rPr>
      </w:pPr>
    </w:p>
    <w:p w:rsidR="00173662" w:rsidRPr="000D4A21" w:rsidRDefault="00173662" w:rsidP="00173662">
      <w:pPr>
        <w:shd w:val="clear" w:color="auto" w:fill="FFFFFF"/>
        <w:spacing w:line="240" w:lineRule="auto"/>
        <w:jc w:val="both"/>
        <w:textAlignment w:val="baseline"/>
        <w:rPr>
          <w:rFonts w:ascii="Times New Roman" w:eastAsia="Times New Roman" w:hAnsi="Times New Roman" w:cs="Times New Roman"/>
          <w:color w:val="FF0000"/>
          <w:sz w:val="24"/>
          <w:szCs w:val="24"/>
          <w:u w:val="single"/>
          <w:lang w:eastAsia="es-ES"/>
        </w:rPr>
      </w:pPr>
    </w:p>
    <w:p w:rsidR="00173662" w:rsidRDefault="00173662" w:rsidP="00173662">
      <w:pPr>
        <w:shd w:val="clear" w:color="auto" w:fill="FFFFFF"/>
        <w:spacing w:line="240" w:lineRule="auto"/>
        <w:jc w:val="both"/>
        <w:textAlignment w:val="baseline"/>
        <w:rPr>
          <w:rFonts w:ascii="Times New Roman" w:eastAsia="Times New Roman" w:hAnsi="Times New Roman" w:cs="Times New Roman"/>
          <w:color w:val="333333"/>
          <w:sz w:val="24"/>
          <w:szCs w:val="24"/>
          <w:lang w:eastAsia="es-ES"/>
        </w:rPr>
      </w:pPr>
      <w:r>
        <w:rPr>
          <w:noProof/>
          <w:lang w:eastAsia="es-ES"/>
        </w:rPr>
        <w:lastRenderedPageBreak/>
        <w:drawing>
          <wp:inline distT="0" distB="0" distL="0" distR="0" wp14:anchorId="30E16339" wp14:editId="51A84EF5">
            <wp:extent cx="5731510" cy="3084098"/>
            <wp:effectExtent l="0" t="0" r="2540" b="2540"/>
            <wp:docPr id="38" name="Imagen 38" descr="Deuda en negativ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euda en negativo"/>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731510" cy="3084098"/>
                    </a:xfrm>
                    <a:prstGeom prst="rect">
                      <a:avLst/>
                    </a:prstGeom>
                    <a:noFill/>
                    <a:ln>
                      <a:noFill/>
                    </a:ln>
                  </pic:spPr>
                </pic:pic>
              </a:graphicData>
            </a:graphic>
          </wp:inline>
        </w:drawing>
      </w:r>
    </w:p>
    <w:p w:rsidR="00920CDF" w:rsidRPr="00A43094" w:rsidRDefault="00920CDF" w:rsidP="00920CDF">
      <w:pPr>
        <w:shd w:val="clear" w:color="auto" w:fill="FFFFFF"/>
        <w:spacing w:line="240" w:lineRule="auto"/>
        <w:jc w:val="both"/>
        <w:textAlignment w:val="baseline"/>
        <w:rPr>
          <w:rFonts w:ascii="Times New Roman" w:eastAsia="Times New Roman" w:hAnsi="Times New Roman" w:cs="Times New Roman"/>
          <w:color w:val="333333"/>
          <w:sz w:val="24"/>
          <w:szCs w:val="24"/>
          <w:lang w:eastAsia="es-ES"/>
        </w:rPr>
      </w:pPr>
      <w:r>
        <w:rPr>
          <w:rFonts w:ascii="Times New Roman" w:eastAsia="Times New Roman" w:hAnsi="Times New Roman" w:cs="Times New Roman"/>
          <w:color w:val="333333"/>
          <w:sz w:val="24"/>
          <w:szCs w:val="24"/>
          <w:lang w:eastAsia="es-ES"/>
        </w:rPr>
        <w:t xml:space="preserve">- </w:t>
      </w:r>
      <w:r w:rsidRPr="00A43094">
        <w:rPr>
          <w:rFonts w:ascii="Times New Roman" w:eastAsia="Times New Roman" w:hAnsi="Times New Roman" w:cs="Times New Roman"/>
          <w:color w:val="333333"/>
          <w:sz w:val="24"/>
          <w:szCs w:val="24"/>
          <w:u w:val="single"/>
          <w:lang w:eastAsia="es-ES"/>
        </w:rPr>
        <w:t>Los seis dilemas del Banco Central Europeo</w:t>
      </w:r>
      <w:r>
        <w:rPr>
          <w:rFonts w:ascii="Times New Roman" w:eastAsia="Times New Roman" w:hAnsi="Times New Roman" w:cs="Times New Roman"/>
          <w:color w:val="333333"/>
          <w:sz w:val="24"/>
          <w:szCs w:val="24"/>
          <w:lang w:eastAsia="es-ES"/>
        </w:rPr>
        <w:t xml:space="preserve"> (Vozpópuli - </w:t>
      </w:r>
      <w:r w:rsidRPr="00A43094">
        <w:rPr>
          <w:rFonts w:ascii="Times New Roman" w:eastAsia="Times New Roman" w:hAnsi="Times New Roman" w:cs="Times New Roman"/>
          <w:b/>
          <w:color w:val="333333"/>
          <w:sz w:val="24"/>
          <w:szCs w:val="24"/>
          <w:lang w:eastAsia="es-ES"/>
        </w:rPr>
        <w:t>23/6/22</w:t>
      </w:r>
      <w:r>
        <w:rPr>
          <w:rFonts w:ascii="Times New Roman" w:eastAsia="Times New Roman" w:hAnsi="Times New Roman" w:cs="Times New Roman"/>
          <w:color w:val="333333"/>
          <w:sz w:val="24"/>
          <w:szCs w:val="24"/>
          <w:lang w:eastAsia="es-ES"/>
        </w:rPr>
        <w:t>)</w:t>
      </w:r>
    </w:p>
    <w:p w:rsidR="00920CDF" w:rsidRPr="007625AB" w:rsidRDefault="00920CDF" w:rsidP="00920CDF">
      <w:pPr>
        <w:shd w:val="clear" w:color="auto" w:fill="FFFFFF"/>
        <w:spacing w:line="240" w:lineRule="auto"/>
        <w:jc w:val="both"/>
        <w:textAlignment w:val="baseline"/>
        <w:rPr>
          <w:rFonts w:ascii="Times New Roman" w:eastAsia="Times New Roman" w:hAnsi="Times New Roman" w:cs="Times New Roman"/>
          <w:color w:val="FF0000"/>
          <w:sz w:val="24"/>
          <w:szCs w:val="24"/>
          <w:lang w:eastAsia="es-ES"/>
        </w:rPr>
      </w:pPr>
      <w:r w:rsidRPr="007625AB">
        <w:rPr>
          <w:rFonts w:ascii="Times New Roman" w:eastAsia="Times New Roman" w:hAnsi="Times New Roman" w:cs="Times New Roman"/>
          <w:color w:val="FF0000"/>
          <w:sz w:val="24"/>
          <w:szCs w:val="24"/>
          <w:lang w:eastAsia="es-ES"/>
        </w:rPr>
        <w:t>El viejo debate norte-sur ha vuelto, y a partir de ahora comenzaremos a oír lo de “¿por qué tenemos que financiar nosotros vuestras políticas de gasto?”</w:t>
      </w:r>
    </w:p>
    <w:p w:rsidR="00920CDF" w:rsidRPr="00A43094" w:rsidRDefault="00920CDF" w:rsidP="00920CDF">
      <w:pPr>
        <w:shd w:val="clear" w:color="auto" w:fill="FFFFFF"/>
        <w:spacing w:line="240" w:lineRule="auto"/>
        <w:jc w:val="both"/>
        <w:textAlignment w:val="baseline"/>
        <w:rPr>
          <w:rFonts w:ascii="Times New Roman" w:eastAsia="Times New Roman" w:hAnsi="Times New Roman" w:cs="Times New Roman"/>
          <w:color w:val="333333"/>
          <w:sz w:val="24"/>
          <w:szCs w:val="24"/>
          <w:lang w:eastAsia="es-ES"/>
        </w:rPr>
      </w:pPr>
      <w:r w:rsidRPr="00A43094">
        <w:rPr>
          <w:rFonts w:ascii="Times New Roman" w:eastAsia="Times New Roman" w:hAnsi="Times New Roman" w:cs="Times New Roman"/>
          <w:color w:val="333333"/>
          <w:sz w:val="24"/>
          <w:szCs w:val="24"/>
          <w:lang w:eastAsia="es-ES"/>
        </w:rPr>
        <w:t>El pasado 9 de junio el Banco Central Europeo (BCE) anunció una primera subida de tipos de 0,25 puntos para julio y confirmó el fin de las compras de deuda pública iniciadas con la pandemia. Esta decisión se enmarca en medio de una serie de dilemas a los que se viene enfrentando esta institución, tanto estructurales</w:t>
      </w:r>
      <w:r>
        <w:rPr>
          <w:rFonts w:ascii="Times New Roman" w:eastAsia="Times New Roman" w:hAnsi="Times New Roman" w:cs="Times New Roman"/>
          <w:color w:val="333333"/>
          <w:sz w:val="24"/>
          <w:szCs w:val="24"/>
          <w:lang w:eastAsia="es-ES"/>
        </w:rPr>
        <w:t>,</w:t>
      </w:r>
      <w:r w:rsidRPr="00A43094">
        <w:rPr>
          <w:rFonts w:ascii="Times New Roman" w:eastAsia="Times New Roman" w:hAnsi="Times New Roman" w:cs="Times New Roman"/>
          <w:color w:val="333333"/>
          <w:sz w:val="24"/>
          <w:szCs w:val="24"/>
          <w:lang w:eastAsia="es-ES"/>
        </w:rPr>
        <w:t xml:space="preserve"> como coyunturales.</w:t>
      </w:r>
    </w:p>
    <w:p w:rsidR="00920CDF" w:rsidRPr="007625AB" w:rsidRDefault="00920CDF" w:rsidP="00920CDF">
      <w:pPr>
        <w:shd w:val="clear" w:color="auto" w:fill="FFFFFF"/>
        <w:spacing w:line="240" w:lineRule="auto"/>
        <w:jc w:val="both"/>
        <w:textAlignment w:val="baseline"/>
        <w:rPr>
          <w:rFonts w:ascii="Times New Roman" w:eastAsia="Times New Roman" w:hAnsi="Times New Roman" w:cs="Times New Roman"/>
          <w:color w:val="FF0000"/>
          <w:sz w:val="24"/>
          <w:szCs w:val="24"/>
          <w:u w:val="single"/>
          <w:lang w:eastAsia="es-ES"/>
        </w:rPr>
      </w:pPr>
      <w:r w:rsidRPr="007625AB">
        <w:rPr>
          <w:rFonts w:ascii="Times New Roman" w:eastAsia="Times New Roman" w:hAnsi="Times New Roman" w:cs="Times New Roman"/>
          <w:color w:val="FF0000"/>
          <w:sz w:val="24"/>
          <w:szCs w:val="24"/>
          <w:u w:val="single"/>
          <w:lang w:eastAsia="es-ES"/>
        </w:rPr>
        <w:t>En primer lugar, un viejo dilema existencial. El BCE trata de comportarse como si fuera la Reserva Federal, pero es una institución muy distinta por varios motivos: es el banco central de una zona monetaria incompleta de 19 Estados soberanos, no de uno solo; su objetivo es exclusivamente la estabilidad de precios, no como la Fed, que incluye en su mandato el pleno empleo o la moderación de los tipos de interés a largo plazo; no puede operar con un único activo seguro (más allá de la deuda europea del Next Generation EU), sino con deuda de países, lo que vincula riesgo bancario y riesgo soberano; y su propia existencia depende de la sostenibilidad del euro, lo que es incompatible con la quiebra de un país grande (algo impensable en Estados Unidos: si quiebra California nadie piensa que el dólar o la Fed vayan a desaparecer).</w:t>
      </w:r>
    </w:p>
    <w:p w:rsidR="00920CDF" w:rsidRPr="007625AB" w:rsidRDefault="00920CDF" w:rsidP="00920CDF">
      <w:pPr>
        <w:shd w:val="clear" w:color="auto" w:fill="FFFFFF"/>
        <w:spacing w:line="240" w:lineRule="auto"/>
        <w:jc w:val="both"/>
        <w:textAlignment w:val="baseline"/>
        <w:rPr>
          <w:rFonts w:ascii="Times New Roman" w:eastAsia="Times New Roman" w:hAnsi="Times New Roman" w:cs="Times New Roman"/>
          <w:color w:val="FF0000"/>
          <w:sz w:val="24"/>
          <w:szCs w:val="24"/>
          <w:u w:val="single"/>
          <w:lang w:eastAsia="es-ES"/>
        </w:rPr>
      </w:pPr>
      <w:r w:rsidRPr="007625AB">
        <w:rPr>
          <w:rFonts w:ascii="Times New Roman" w:eastAsia="Times New Roman" w:hAnsi="Times New Roman" w:cs="Times New Roman"/>
          <w:color w:val="FF0000"/>
          <w:sz w:val="24"/>
          <w:szCs w:val="24"/>
          <w:u w:val="single"/>
          <w:lang w:eastAsia="es-ES"/>
        </w:rPr>
        <w:t>En segundo lugar, un dilema económico. El BCE sabe bien que en la eurozona, a diferencia de lo que ocurre en Estados Unidos, el nivel de demanda de consumo e inversión privadas está todavía por debajo de los niveles prepandemia. Lo que pasa es que dicho nivel es ahora incompatible con una oferta encarecida y unas cadenas de suministro asfixiadas</w:t>
      </w:r>
      <w:r w:rsidRPr="00A43094">
        <w:rPr>
          <w:rFonts w:ascii="Times New Roman" w:eastAsia="Times New Roman" w:hAnsi="Times New Roman" w:cs="Times New Roman"/>
          <w:color w:val="333333"/>
          <w:sz w:val="24"/>
          <w:szCs w:val="24"/>
          <w:lang w:eastAsia="es-ES"/>
        </w:rPr>
        <w:t xml:space="preserve">. Con independencia de las distorsiones que la abundante liquidez haya generado en los precios de los activos (ninguna medida extrema sale gratis), la realidad es que en la eurozona no hay un problema de gasto desbocado (como en Estados Unidos). </w:t>
      </w:r>
      <w:r w:rsidRPr="007625AB">
        <w:rPr>
          <w:rFonts w:ascii="Times New Roman" w:eastAsia="Times New Roman" w:hAnsi="Times New Roman" w:cs="Times New Roman"/>
          <w:color w:val="FF0000"/>
          <w:sz w:val="24"/>
          <w:szCs w:val="24"/>
          <w:u w:val="single"/>
          <w:lang w:eastAsia="es-ES"/>
        </w:rPr>
        <w:t>Pero da igual, por dos motivos. El primero es que, aunque la política monetaria sea una política de demanda y no actúe directamente sobre las causas últimas de esta inflación en Europa (la oferta), es la única herramienta de la que dispone el organismo responsable de velar por la estabilidad de precios.</w:t>
      </w:r>
      <w:r w:rsidRPr="007625AB">
        <w:rPr>
          <w:rFonts w:ascii="Times New Roman" w:eastAsia="Times New Roman" w:hAnsi="Times New Roman" w:cs="Times New Roman"/>
          <w:color w:val="FF0000"/>
          <w:sz w:val="24"/>
          <w:szCs w:val="24"/>
          <w:lang w:eastAsia="es-ES"/>
        </w:rPr>
        <w:t xml:space="preserve"> </w:t>
      </w:r>
      <w:r w:rsidRPr="007625AB">
        <w:rPr>
          <w:rFonts w:ascii="Times New Roman" w:eastAsia="Times New Roman" w:hAnsi="Times New Roman" w:cs="Times New Roman"/>
          <w:color w:val="FF0000"/>
          <w:sz w:val="24"/>
          <w:szCs w:val="24"/>
          <w:u w:val="single"/>
          <w:lang w:eastAsia="es-ES"/>
        </w:rPr>
        <w:t xml:space="preserve">Por eso, para evitar que las expectativas de inflación se consoliden, el BCE se ve obligado a hundir la demanda hasta que se ajuste a la oferta, y eso será a niveles de gasto muy inferiores </w:t>
      </w:r>
      <w:r w:rsidRPr="007625AB">
        <w:rPr>
          <w:rFonts w:ascii="Times New Roman" w:eastAsia="Times New Roman" w:hAnsi="Times New Roman" w:cs="Times New Roman"/>
          <w:color w:val="FF0000"/>
          <w:sz w:val="24"/>
          <w:szCs w:val="24"/>
          <w:u w:val="single"/>
          <w:lang w:eastAsia="es-ES"/>
        </w:rPr>
        <w:lastRenderedPageBreak/>
        <w:t>a los de 2019. El segundo motivo es que, en una economía globalizada, lo que hagan los demás te afecta: el comportamiento de la Fed obliga al BCE a reaccionar.</w:t>
      </w:r>
    </w:p>
    <w:p w:rsidR="00920CDF" w:rsidRPr="007625AB" w:rsidRDefault="00920CDF" w:rsidP="00920CDF">
      <w:pPr>
        <w:shd w:val="clear" w:color="auto" w:fill="FFFFFF"/>
        <w:spacing w:line="240" w:lineRule="auto"/>
        <w:jc w:val="both"/>
        <w:textAlignment w:val="baseline"/>
        <w:rPr>
          <w:rFonts w:ascii="Times New Roman" w:eastAsia="Times New Roman" w:hAnsi="Times New Roman" w:cs="Times New Roman"/>
          <w:color w:val="FF0000"/>
          <w:sz w:val="24"/>
          <w:szCs w:val="24"/>
          <w:u w:val="single"/>
          <w:lang w:eastAsia="es-ES"/>
        </w:rPr>
      </w:pPr>
      <w:r w:rsidRPr="007625AB">
        <w:rPr>
          <w:rFonts w:ascii="Times New Roman" w:eastAsia="Times New Roman" w:hAnsi="Times New Roman" w:cs="Times New Roman"/>
          <w:color w:val="FF0000"/>
          <w:sz w:val="24"/>
          <w:szCs w:val="24"/>
          <w:u w:val="single"/>
          <w:lang w:eastAsia="es-ES"/>
        </w:rPr>
        <w:t>Ese es precisamente el tercer dilema, un dilema cambiario. La subida de tipos de la Fed (0.75 puntos) hace más atractivos los activos estadounidenses y aprecia al dólar frente al euro. En teoría, un euro depreciado no debería ser un problema (si como hemos dicho la demanda europea no está recalentada). En la práctica, sin embargo, el BCE debe subir tipos para evitar la depreciación del euro por dos motivos: porque ahora no puede permitirse estímulos adicionales y porque un euro débil encarece aún más la factura energética europea (el precio en los contratos de petróleo y gas se denomina en dólares). Es lo malo de la dependencia energética externa de la UE: una moneda débil le hace importar inflación.</w:t>
      </w:r>
    </w:p>
    <w:p w:rsidR="00920CDF" w:rsidRPr="007708CF" w:rsidRDefault="00920CDF" w:rsidP="00920CDF">
      <w:pPr>
        <w:shd w:val="clear" w:color="auto" w:fill="FFFFFF"/>
        <w:spacing w:line="240" w:lineRule="auto"/>
        <w:jc w:val="both"/>
        <w:textAlignment w:val="baseline"/>
        <w:rPr>
          <w:rFonts w:ascii="Times New Roman" w:eastAsia="Times New Roman" w:hAnsi="Times New Roman" w:cs="Times New Roman"/>
          <w:color w:val="FF0000"/>
          <w:sz w:val="24"/>
          <w:szCs w:val="24"/>
          <w:u w:val="single"/>
          <w:lang w:eastAsia="es-ES"/>
        </w:rPr>
      </w:pPr>
      <w:r w:rsidRPr="007708CF">
        <w:rPr>
          <w:rFonts w:ascii="Times New Roman" w:eastAsia="Times New Roman" w:hAnsi="Times New Roman" w:cs="Times New Roman"/>
          <w:color w:val="FF0000"/>
          <w:sz w:val="24"/>
          <w:szCs w:val="24"/>
          <w:u w:val="single"/>
          <w:lang w:eastAsia="es-ES"/>
        </w:rPr>
        <w:t>El cuarto es un dilema de sostenibilidad. Por un lado, el BCE necesita combatir la inflación y para ello es imprescindible dejar de inyectar liquidez en el mercado. Seguir comprando deuda sin límite, como hasta ahora, equivale a dejar que la política fiscal y el excesivo endeudamiento de los Estados condicionen la política monetaria (lo que se conoce como “dominancia fiscal”). Por otro, dejar de comprar deuda sin más es una invitación a que las primas de riesgo se disparen (como ya ha comenzado a ocurrir), algo peligroso por dos motivos: porque niveles demasiado elevados pueden hundir a los países y porque no puede haber una política monetaria única con 19 tipos de interés distintos.</w:t>
      </w:r>
    </w:p>
    <w:p w:rsidR="00920CDF" w:rsidRPr="007708CF" w:rsidRDefault="00920CDF" w:rsidP="00920CDF">
      <w:pPr>
        <w:shd w:val="clear" w:color="auto" w:fill="FFFFFF"/>
        <w:spacing w:line="240" w:lineRule="auto"/>
        <w:jc w:val="both"/>
        <w:textAlignment w:val="baseline"/>
        <w:rPr>
          <w:rFonts w:ascii="Times New Roman" w:eastAsia="Times New Roman" w:hAnsi="Times New Roman" w:cs="Times New Roman"/>
          <w:color w:val="FF0000"/>
          <w:sz w:val="24"/>
          <w:szCs w:val="24"/>
          <w:u w:val="single"/>
          <w:lang w:eastAsia="es-ES"/>
        </w:rPr>
      </w:pPr>
      <w:r w:rsidRPr="007708CF">
        <w:rPr>
          <w:rFonts w:ascii="Times New Roman" w:eastAsia="Times New Roman" w:hAnsi="Times New Roman" w:cs="Times New Roman"/>
          <w:color w:val="FF0000"/>
          <w:sz w:val="24"/>
          <w:szCs w:val="24"/>
          <w:u w:val="single"/>
          <w:lang w:eastAsia="es-ES"/>
        </w:rPr>
        <w:t>Esto nos conduce al quinto dilema, un dilema legal. Desde que se anunció el fin de las nuevas compras de deuda, las primas de riesgo comenzaron a subir. Para evitarlo, el BCE anunció que sería flexible en la reinversión de los reembolsos vencidos (es decir, que sin aumentar las compras netas incrementaría en su cartera la proporción de deuda de países más débiles), pero eso quizás no sea suficiente, por lo que añadió que se crearía un nuevo instrumento de compra de deuda que evite la fragmentación de los mercados (evitar compras netas de deuda y controlar las primas de riesgo no parece fácil, lo cual hace pensar en una esterilización de dichas operaciones). En cualquier caso, al comprar deuda sin límite de forma incondicional, el BCE sabe que opera en el borde de la legalidad de los tratados (que prohíbe la financiación monetaria); y sabe también que el Tribunal de Justicia europeo salvó en 2018 el programa de compra de activos del sector público (PSPP) pero recordó el principio de proporcionalidad y la necesidad de condiciones para la compra de activos. Aunque el programa de compra de deuda de la pandemia (PEPP) se hizo sin restricciones, eso se ha acabado: cualquier nuevo programa de compra de deuda va a requerir mecanismos de condicionalidad o corre el riesgo de ser anulado por la justicia europea.</w:t>
      </w:r>
    </w:p>
    <w:p w:rsidR="00920CDF" w:rsidRPr="007708CF" w:rsidRDefault="00920CDF" w:rsidP="00920CDF">
      <w:pPr>
        <w:shd w:val="clear" w:color="auto" w:fill="FFFFFF"/>
        <w:spacing w:line="240" w:lineRule="auto"/>
        <w:jc w:val="both"/>
        <w:textAlignment w:val="baseline"/>
        <w:rPr>
          <w:rFonts w:ascii="Times New Roman" w:eastAsia="Times New Roman" w:hAnsi="Times New Roman" w:cs="Times New Roman"/>
          <w:color w:val="FF0000"/>
          <w:sz w:val="24"/>
          <w:szCs w:val="24"/>
          <w:u w:val="single"/>
          <w:lang w:eastAsia="es-ES"/>
        </w:rPr>
      </w:pPr>
      <w:r w:rsidRPr="007708CF">
        <w:rPr>
          <w:rFonts w:ascii="Times New Roman" w:eastAsia="Times New Roman" w:hAnsi="Times New Roman" w:cs="Times New Roman"/>
          <w:color w:val="FF0000"/>
          <w:sz w:val="24"/>
          <w:szCs w:val="24"/>
          <w:u w:val="single"/>
          <w:lang w:eastAsia="es-ES"/>
        </w:rPr>
        <w:t>Y eso nos lleva al sexto y último dilema, un dilema político. Un mecanismo de compra de deuda con condicionalidad (como el de la OMT de Draghi, que nunca llegó a emplearse) supone meterse en un complicado berenjenal político. Si el diseño del anunciado mecanismo antifragmentación incluye, como se prevé, algún tipo de condicionalidad, lo lógico es que ésta no sea muy distinta de la establecida en los Programas de Recuperación y Resiliencia de los distintos Estados miembros. Ahora bien, si esa exigencia se convierte en “estricta”, lo que se viene a reconocer implícitamente es que los hitos fijados por la Comisión en los Planes de Recuperación y Resiliencia estaban definidos de una forma demasiado laxa, con un amplio margen de interpretación.</w:t>
      </w:r>
    </w:p>
    <w:p w:rsidR="00920CDF" w:rsidRPr="00A43094" w:rsidRDefault="00920CDF" w:rsidP="00920CDF">
      <w:pPr>
        <w:shd w:val="clear" w:color="auto" w:fill="FFFFFF"/>
        <w:spacing w:line="240" w:lineRule="auto"/>
        <w:jc w:val="both"/>
        <w:textAlignment w:val="baseline"/>
        <w:rPr>
          <w:rFonts w:ascii="Times New Roman" w:eastAsia="Times New Roman" w:hAnsi="Times New Roman" w:cs="Times New Roman"/>
          <w:color w:val="333333"/>
          <w:sz w:val="24"/>
          <w:szCs w:val="24"/>
          <w:lang w:eastAsia="es-ES"/>
        </w:rPr>
      </w:pPr>
      <w:r w:rsidRPr="00A43094">
        <w:rPr>
          <w:rFonts w:ascii="Times New Roman" w:eastAsia="Times New Roman" w:hAnsi="Times New Roman" w:cs="Times New Roman"/>
          <w:color w:val="333333"/>
          <w:sz w:val="24"/>
          <w:szCs w:val="24"/>
          <w:lang w:eastAsia="es-ES"/>
        </w:rPr>
        <w:t>Integración de políticas fiscales</w:t>
      </w:r>
    </w:p>
    <w:p w:rsidR="00920CDF" w:rsidRPr="00993847" w:rsidRDefault="00920CDF" w:rsidP="00920CDF">
      <w:pPr>
        <w:shd w:val="clear" w:color="auto" w:fill="FFFFFF"/>
        <w:spacing w:line="240" w:lineRule="auto"/>
        <w:jc w:val="both"/>
        <w:textAlignment w:val="baseline"/>
        <w:rPr>
          <w:rFonts w:ascii="Times New Roman" w:eastAsia="Times New Roman" w:hAnsi="Times New Roman" w:cs="Times New Roman"/>
          <w:b/>
          <w:color w:val="FF0000"/>
          <w:sz w:val="24"/>
          <w:szCs w:val="24"/>
          <w:u w:val="single"/>
          <w:lang w:eastAsia="es-ES"/>
        </w:rPr>
      </w:pPr>
      <w:r w:rsidRPr="007708CF">
        <w:rPr>
          <w:rFonts w:ascii="Times New Roman" w:eastAsia="Times New Roman" w:hAnsi="Times New Roman" w:cs="Times New Roman"/>
          <w:b/>
          <w:color w:val="FF0000"/>
          <w:sz w:val="24"/>
          <w:szCs w:val="24"/>
          <w:u w:val="single"/>
          <w:lang w:eastAsia="es-ES"/>
        </w:rPr>
        <w:t xml:space="preserve">Resolver estos seis dilemas no es tarea fácil, pero de su salida airosa depende el futuro de la economía y estabilidad financiera de la eurozona. El BCE debe hacer su trabajo, pero los Estados deben ayudarle. Quizá es hora de debatir de una vez una mayor </w:t>
      </w:r>
      <w:r w:rsidRPr="007708CF">
        <w:rPr>
          <w:rFonts w:ascii="Times New Roman" w:eastAsia="Times New Roman" w:hAnsi="Times New Roman" w:cs="Times New Roman"/>
          <w:b/>
          <w:color w:val="FF0000"/>
          <w:sz w:val="24"/>
          <w:szCs w:val="24"/>
          <w:u w:val="single"/>
          <w:lang w:eastAsia="es-ES"/>
        </w:rPr>
        <w:lastRenderedPageBreak/>
        <w:t>integración de las políticas fiscales, lo que implica renunciar a parte de nuestra soberanía a la hora de definir el presupuesto a cambio de un menor riesgo. Pero que nadie se engañe: el viejo debate norte-sur ha vuelto, y a partir de ahora comenzaremos a oír lo de “¿por qué tenemos que financiar nosotros vuestras políticas de gasto?”. Y cuanto más se exija que el BCE resuelva todos nuestros problemas y se invoque la solidaridad ajena, más improbable se volverá la repetición o la consolidación del salto cualitativo que supuso el Next Generation EU.</w:t>
      </w:r>
    </w:p>
    <w:p w:rsidR="00920CDF" w:rsidRPr="00CD305A" w:rsidRDefault="00920CDF" w:rsidP="00920CDF">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CD305A">
        <w:rPr>
          <w:rFonts w:ascii="Times New Roman" w:eastAsia="Times New Roman" w:hAnsi="Times New Roman" w:cs="Times New Roman"/>
          <w:sz w:val="24"/>
          <w:szCs w:val="24"/>
          <w:u w:val="single"/>
          <w:lang w:eastAsia="es-ES"/>
        </w:rPr>
        <w:t>El BCE iniciará el viernes la compra de deuda para estrechar las primas</w:t>
      </w:r>
      <w:r>
        <w:rPr>
          <w:rFonts w:ascii="Times New Roman" w:eastAsia="Times New Roman" w:hAnsi="Times New Roman" w:cs="Times New Roman"/>
          <w:sz w:val="24"/>
          <w:szCs w:val="24"/>
          <w:lang w:eastAsia="es-ES"/>
        </w:rPr>
        <w:t xml:space="preserve"> (Cinco Días - </w:t>
      </w:r>
      <w:r w:rsidRPr="00CD305A">
        <w:rPr>
          <w:rFonts w:ascii="Times New Roman" w:eastAsia="Times New Roman" w:hAnsi="Times New Roman" w:cs="Times New Roman"/>
          <w:b/>
          <w:sz w:val="24"/>
          <w:szCs w:val="24"/>
          <w:lang w:eastAsia="es-ES"/>
        </w:rPr>
        <w:t>28/6/22</w:t>
      </w:r>
      <w:r>
        <w:rPr>
          <w:rFonts w:ascii="Times New Roman" w:eastAsia="Times New Roman" w:hAnsi="Times New Roman" w:cs="Times New Roman"/>
          <w:sz w:val="24"/>
          <w:szCs w:val="24"/>
          <w:lang w:eastAsia="es-ES"/>
        </w:rPr>
        <w:t>)</w:t>
      </w:r>
    </w:p>
    <w:p w:rsidR="00920CDF" w:rsidRPr="000D4A21" w:rsidRDefault="00920CDF" w:rsidP="00920CDF">
      <w:pPr>
        <w:shd w:val="clear" w:color="auto" w:fill="FFFFFF"/>
        <w:spacing w:line="240" w:lineRule="auto"/>
        <w:jc w:val="both"/>
        <w:textAlignment w:val="baseline"/>
        <w:rPr>
          <w:rFonts w:ascii="Times New Roman" w:eastAsia="Times New Roman" w:hAnsi="Times New Roman" w:cs="Times New Roman"/>
          <w:color w:val="FF0000"/>
          <w:sz w:val="24"/>
          <w:szCs w:val="24"/>
          <w:lang w:eastAsia="es-ES"/>
        </w:rPr>
      </w:pPr>
      <w:r w:rsidRPr="000D4A21">
        <w:rPr>
          <w:rFonts w:ascii="Times New Roman" w:eastAsia="Times New Roman" w:hAnsi="Times New Roman" w:cs="Times New Roman"/>
          <w:color w:val="FF0000"/>
          <w:sz w:val="24"/>
          <w:szCs w:val="24"/>
          <w:lang w:eastAsia="es-ES"/>
        </w:rPr>
        <w:t>Lagarde abre la puerta a subir más rápido los tipos en septiembre si la inflación sigue desbocada</w:t>
      </w:r>
    </w:p>
    <w:p w:rsidR="00920CDF" w:rsidRPr="00CD305A" w:rsidRDefault="00920CDF" w:rsidP="00920CDF">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noProof/>
          <w:lang w:eastAsia="es-ES"/>
        </w:rPr>
        <w:drawing>
          <wp:inline distT="0" distB="0" distL="0" distR="0" wp14:anchorId="248D360B" wp14:editId="585F1897">
            <wp:extent cx="5727700" cy="2444750"/>
            <wp:effectExtent l="0" t="0" r="6350" b="0"/>
            <wp:docPr id="39" name="Imagen 39" descr="Bono españ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ono español"/>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731510" cy="2446376"/>
                    </a:xfrm>
                    <a:prstGeom prst="rect">
                      <a:avLst/>
                    </a:prstGeom>
                    <a:noFill/>
                    <a:ln>
                      <a:noFill/>
                    </a:ln>
                  </pic:spPr>
                </pic:pic>
              </a:graphicData>
            </a:graphic>
          </wp:inline>
        </w:drawing>
      </w:r>
    </w:p>
    <w:p w:rsidR="00920CDF" w:rsidRPr="00C544B4" w:rsidRDefault="00920CDF" w:rsidP="00920CDF">
      <w:pPr>
        <w:shd w:val="clear" w:color="auto" w:fill="FFFFFF"/>
        <w:spacing w:line="240" w:lineRule="auto"/>
        <w:jc w:val="both"/>
        <w:textAlignment w:val="baseline"/>
        <w:rPr>
          <w:rFonts w:ascii="Times New Roman" w:eastAsia="Times New Roman" w:hAnsi="Times New Roman" w:cs="Times New Roman"/>
          <w:color w:val="FF0000"/>
          <w:sz w:val="24"/>
          <w:szCs w:val="24"/>
          <w:u w:val="single"/>
          <w:lang w:eastAsia="es-ES"/>
        </w:rPr>
      </w:pPr>
      <w:r w:rsidRPr="00C544B4">
        <w:rPr>
          <w:rFonts w:ascii="Times New Roman" w:eastAsia="Times New Roman" w:hAnsi="Times New Roman" w:cs="Times New Roman"/>
          <w:sz w:val="24"/>
          <w:szCs w:val="24"/>
          <w:u w:val="single"/>
          <w:lang w:eastAsia="es-ES"/>
        </w:rPr>
        <w:t>Aplacar una inflación desbocada y evitar el riesgo de fragmentación financiera de la zona euro se han convertido en los dos mantras del Banco Central Europeo a conjugar con el proceso de normalización monetaria</w:t>
      </w:r>
      <w:r w:rsidRPr="00CD305A">
        <w:rPr>
          <w:rFonts w:ascii="Times New Roman" w:eastAsia="Times New Roman" w:hAnsi="Times New Roman" w:cs="Times New Roman"/>
          <w:sz w:val="24"/>
          <w:szCs w:val="24"/>
          <w:lang w:eastAsia="es-ES"/>
        </w:rPr>
        <w:t xml:space="preserve">. </w:t>
      </w:r>
      <w:r w:rsidRPr="00C544B4">
        <w:rPr>
          <w:rFonts w:ascii="Times New Roman" w:eastAsia="Times New Roman" w:hAnsi="Times New Roman" w:cs="Times New Roman"/>
          <w:color w:val="FF0000"/>
          <w:sz w:val="24"/>
          <w:szCs w:val="24"/>
          <w:u w:val="single"/>
          <w:lang w:eastAsia="es-ES"/>
        </w:rPr>
        <w:t>La presidenta del Banco Central Europeo, Christine Lagarde, ha puesto fecha a la activación de la primera línea de defensa por si la escalada de las primas de r</w:t>
      </w:r>
      <w:r>
        <w:rPr>
          <w:rFonts w:ascii="Times New Roman" w:eastAsia="Times New Roman" w:hAnsi="Times New Roman" w:cs="Times New Roman"/>
          <w:color w:val="FF0000"/>
          <w:sz w:val="24"/>
          <w:szCs w:val="24"/>
          <w:u w:val="single"/>
          <w:lang w:eastAsia="es-ES"/>
        </w:rPr>
        <w:t>iesgo periféricas es “rápida y desordenada”</w:t>
      </w:r>
      <w:r w:rsidRPr="00C544B4">
        <w:rPr>
          <w:rFonts w:ascii="Times New Roman" w:eastAsia="Times New Roman" w:hAnsi="Times New Roman" w:cs="Times New Roman"/>
          <w:color w:val="FF0000"/>
          <w:sz w:val="24"/>
          <w:szCs w:val="24"/>
          <w:u w:val="single"/>
          <w:lang w:eastAsia="es-ES"/>
        </w:rPr>
        <w:t>: desde este viernes 1 de julio la institución activará con la flexibilidad que sea necesaria la compra de deuda, a través de la reinversión de los vencimientos en la cartera de programa de deuda antipandemia (PEPP), que asciende a 1,7 billones de euros. Al mismo tiempo seguirá trabajando en la nueva herramienta anticrisis, de la que no dio detalles.</w:t>
      </w:r>
    </w:p>
    <w:p w:rsidR="00920CDF" w:rsidRPr="00CD305A" w:rsidRDefault="00920CDF" w:rsidP="00920CDF">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Pr="00CD305A">
        <w:rPr>
          <w:rFonts w:ascii="Times New Roman" w:eastAsia="Times New Roman" w:hAnsi="Times New Roman" w:cs="Times New Roman"/>
          <w:sz w:val="24"/>
          <w:szCs w:val="24"/>
          <w:lang w:eastAsia="es-ES"/>
        </w:rPr>
        <w:t>Utilizaremos la flexibilidad para reinvertir los reembolsos que vencen en el marco del programa de compras de emergencia por la pandemia (PEPP) para preservar el funcionamiento del mecanismo de trans</w:t>
      </w:r>
      <w:r>
        <w:rPr>
          <w:rFonts w:ascii="Times New Roman" w:eastAsia="Times New Roman" w:hAnsi="Times New Roman" w:cs="Times New Roman"/>
          <w:sz w:val="24"/>
          <w:szCs w:val="24"/>
          <w:lang w:eastAsia="es-ES"/>
        </w:rPr>
        <w:t>misión de la política monetaria”</w:t>
      </w:r>
      <w:r w:rsidRPr="00CD305A">
        <w:rPr>
          <w:rFonts w:ascii="Times New Roman" w:eastAsia="Times New Roman" w:hAnsi="Times New Roman" w:cs="Times New Roman"/>
          <w:sz w:val="24"/>
          <w:szCs w:val="24"/>
          <w:lang w:eastAsia="es-ES"/>
        </w:rPr>
        <w:t>, ha aseverado Christine Lagarde en su intervención en el retiro anual del BCE en la ciudad portuguesa de Sintra, para añadir que esos reembolsos se podrán invertir en países cuyas prim</w:t>
      </w:r>
      <w:r>
        <w:rPr>
          <w:rFonts w:ascii="Times New Roman" w:eastAsia="Times New Roman" w:hAnsi="Times New Roman" w:cs="Times New Roman"/>
          <w:sz w:val="24"/>
          <w:szCs w:val="24"/>
          <w:lang w:eastAsia="es-ES"/>
        </w:rPr>
        <w:t>as de riesgo estén “en riesgo”.</w:t>
      </w:r>
    </w:p>
    <w:p w:rsidR="00920CDF" w:rsidRPr="00C544B4" w:rsidRDefault="00920CDF" w:rsidP="00920CDF">
      <w:pPr>
        <w:shd w:val="clear" w:color="auto" w:fill="FFFFFF"/>
        <w:spacing w:line="240" w:lineRule="auto"/>
        <w:jc w:val="both"/>
        <w:textAlignment w:val="baseline"/>
        <w:rPr>
          <w:rFonts w:ascii="Times New Roman" w:eastAsia="Times New Roman" w:hAnsi="Times New Roman" w:cs="Times New Roman"/>
          <w:sz w:val="24"/>
          <w:szCs w:val="24"/>
          <w:u w:val="single"/>
          <w:lang w:eastAsia="es-ES"/>
        </w:rPr>
      </w:pPr>
      <w:r w:rsidRPr="00C544B4">
        <w:rPr>
          <w:rFonts w:ascii="Times New Roman" w:eastAsia="Times New Roman" w:hAnsi="Times New Roman" w:cs="Times New Roman"/>
          <w:sz w:val="24"/>
          <w:szCs w:val="24"/>
          <w:u w:val="single"/>
          <w:lang w:eastAsia="es-ES"/>
        </w:rPr>
        <w:t xml:space="preserve">El BCE ha optado por activar estas reinversiones el mismo día que finalizan las compras netas de deuda del programa APP, en un movimiento que busca aplacar tensiones en el mercado deuda soberana. La perspectiva de una subida de tipos y el final de las compras de deuda llevó al bono español a diez años a superar el 3% de rentabilidad a mediados de junio, máximos desde 2014. Una situación similar a la que vivió el bono italiano a una década, cuyo </w:t>
      </w:r>
      <w:r w:rsidRPr="00C544B4">
        <w:rPr>
          <w:rFonts w:ascii="Times New Roman" w:eastAsia="Times New Roman" w:hAnsi="Times New Roman" w:cs="Times New Roman"/>
          <w:sz w:val="24"/>
          <w:szCs w:val="24"/>
          <w:u w:val="single"/>
          <w:lang w:eastAsia="es-ES"/>
        </w:rPr>
        <w:lastRenderedPageBreak/>
        <w:t>interés escaló sobre el 4% y que forzó al Consejo de Gobierno del BCE a reunirse de emergencia.</w:t>
      </w:r>
    </w:p>
    <w:p w:rsidR="00920CDF" w:rsidRPr="00CD305A" w:rsidRDefault="00920CDF" w:rsidP="00920CDF">
      <w:pPr>
        <w:shd w:val="clear" w:color="auto" w:fill="FFFFFF"/>
        <w:spacing w:line="240" w:lineRule="auto"/>
        <w:jc w:val="both"/>
        <w:textAlignment w:val="baseline"/>
        <w:rPr>
          <w:rFonts w:ascii="Times New Roman" w:eastAsia="Times New Roman" w:hAnsi="Times New Roman" w:cs="Times New Roman"/>
          <w:sz w:val="24"/>
          <w:szCs w:val="24"/>
          <w:lang w:eastAsia="es-ES"/>
        </w:rPr>
      </w:pPr>
      <w:r w:rsidRPr="00C544B4">
        <w:rPr>
          <w:rFonts w:ascii="Times New Roman" w:eastAsia="Times New Roman" w:hAnsi="Times New Roman" w:cs="Times New Roman"/>
          <w:color w:val="FF0000"/>
          <w:sz w:val="24"/>
          <w:szCs w:val="24"/>
          <w:u w:val="single"/>
          <w:lang w:eastAsia="es-ES"/>
        </w:rPr>
        <w:t>Sobre la herramienta antifragmentación, Lagarde ha avanzado que permiti</w:t>
      </w:r>
      <w:r>
        <w:rPr>
          <w:rFonts w:ascii="Times New Roman" w:eastAsia="Times New Roman" w:hAnsi="Times New Roman" w:cs="Times New Roman"/>
          <w:color w:val="FF0000"/>
          <w:sz w:val="24"/>
          <w:szCs w:val="24"/>
          <w:u w:val="single"/>
          <w:lang w:eastAsia="es-ES"/>
        </w:rPr>
        <w:t>rá elevar los tipos de interés “hasta donde sea necesario”</w:t>
      </w:r>
      <w:r w:rsidRPr="00C544B4">
        <w:rPr>
          <w:rFonts w:ascii="Times New Roman" w:eastAsia="Times New Roman" w:hAnsi="Times New Roman" w:cs="Times New Roman"/>
          <w:color w:val="FF0000"/>
          <w:sz w:val="24"/>
          <w:szCs w:val="24"/>
          <w:u w:val="single"/>
          <w:lang w:eastAsia="es-ES"/>
        </w:rPr>
        <w:t xml:space="preserve">, complementando los esfuerzos para reducir la inflación hasta el objetivo del 2% desde el 8,1% de mayo, el nivel más alto desde la creación de la moneda única. </w:t>
      </w:r>
      <w:r w:rsidRPr="00C544B4">
        <w:rPr>
          <w:rFonts w:ascii="Times New Roman" w:eastAsia="Times New Roman" w:hAnsi="Times New Roman" w:cs="Times New Roman"/>
          <w:sz w:val="24"/>
          <w:szCs w:val="24"/>
          <w:u w:val="single"/>
          <w:lang w:eastAsia="es-ES"/>
        </w:rPr>
        <w:t>Además, sugirió que conte</w:t>
      </w:r>
      <w:r>
        <w:rPr>
          <w:rFonts w:ascii="Times New Roman" w:eastAsia="Times New Roman" w:hAnsi="Times New Roman" w:cs="Times New Roman"/>
          <w:sz w:val="24"/>
          <w:szCs w:val="24"/>
          <w:u w:val="single"/>
          <w:lang w:eastAsia="es-ES"/>
        </w:rPr>
        <w:t>ndrá suficientes salvaguardias “</w:t>
      </w:r>
      <w:r w:rsidRPr="00C544B4">
        <w:rPr>
          <w:rFonts w:ascii="Times New Roman" w:eastAsia="Times New Roman" w:hAnsi="Times New Roman" w:cs="Times New Roman"/>
          <w:sz w:val="24"/>
          <w:szCs w:val="24"/>
          <w:u w:val="single"/>
          <w:lang w:eastAsia="es-ES"/>
        </w:rPr>
        <w:t>para preservar el impulso de los estados miembros hacia</w:t>
      </w:r>
      <w:r>
        <w:rPr>
          <w:rFonts w:ascii="Times New Roman" w:eastAsia="Times New Roman" w:hAnsi="Times New Roman" w:cs="Times New Roman"/>
          <w:sz w:val="24"/>
          <w:szCs w:val="24"/>
          <w:u w:val="single"/>
          <w:lang w:eastAsia="es-ES"/>
        </w:rPr>
        <w:t xml:space="preserve"> una política fiscal sólida”</w:t>
      </w:r>
      <w:r w:rsidRPr="00C544B4">
        <w:rPr>
          <w:rFonts w:ascii="Times New Roman" w:eastAsia="Times New Roman" w:hAnsi="Times New Roman" w:cs="Times New Roman"/>
          <w:sz w:val="24"/>
          <w:szCs w:val="24"/>
          <w:u w:val="single"/>
          <w:lang w:eastAsia="es-ES"/>
        </w:rPr>
        <w:t>, en alusión a una posible condicionalidad. Entre esas salvaguardas podría estar el cumplimiento de las recomendaciones económicas de la Comisión Europea</w:t>
      </w:r>
      <w:r w:rsidRPr="00CD305A">
        <w:rPr>
          <w:rFonts w:ascii="Times New Roman" w:eastAsia="Times New Roman" w:hAnsi="Times New Roman" w:cs="Times New Roman"/>
          <w:sz w:val="24"/>
          <w:szCs w:val="24"/>
          <w:lang w:eastAsia="es-ES"/>
        </w:rPr>
        <w:t>. Queda por ver cómo será ese nuevo instrumento, si bien todo apunta a que incluirá la esterilización de compras de bonos para evitar que aumente la cantidad de liquidez. Miembros del Consejo de Gobierno como el belga Pierre Wunsc</w:t>
      </w:r>
      <w:r>
        <w:rPr>
          <w:rFonts w:ascii="Times New Roman" w:eastAsia="Times New Roman" w:hAnsi="Times New Roman" w:cs="Times New Roman"/>
          <w:sz w:val="24"/>
          <w:szCs w:val="24"/>
          <w:lang w:eastAsia="es-ES"/>
        </w:rPr>
        <w:t>h han pedido que sea ilimitado.</w:t>
      </w:r>
    </w:p>
    <w:p w:rsidR="00920CDF" w:rsidRPr="00920CDF" w:rsidRDefault="00920CDF" w:rsidP="00920CDF">
      <w:pPr>
        <w:shd w:val="clear" w:color="auto" w:fill="FFFFFF"/>
        <w:spacing w:line="240" w:lineRule="auto"/>
        <w:jc w:val="both"/>
        <w:textAlignment w:val="baseline"/>
        <w:rPr>
          <w:rFonts w:ascii="Times New Roman" w:eastAsia="Times New Roman" w:hAnsi="Times New Roman" w:cs="Times New Roman"/>
          <w:color w:val="FF0000"/>
          <w:sz w:val="24"/>
          <w:szCs w:val="24"/>
          <w:lang w:eastAsia="es-ES"/>
        </w:rPr>
      </w:pPr>
      <w:r w:rsidRPr="00C544B4">
        <w:rPr>
          <w:rFonts w:ascii="Times New Roman" w:eastAsia="Times New Roman" w:hAnsi="Times New Roman" w:cs="Times New Roman"/>
          <w:color w:val="FF0000"/>
          <w:sz w:val="24"/>
          <w:szCs w:val="24"/>
          <w:u w:val="single"/>
          <w:lang w:eastAsia="es-ES"/>
        </w:rPr>
        <w:t>Lagarde ha dejado por otro lado claro que en la próxima reunión del Consejo de Gobierno de la institución se elevarán los tipos de interés por primera vez en 11 años y que esa subida será de 25 puntos básicos, pese a voces que urgen para julio un alza ya de 50 puntos básicos. Pero abrió la puerta a que el incremento de septiembre sea superior en caso d</w:t>
      </w:r>
      <w:r>
        <w:rPr>
          <w:rFonts w:ascii="Times New Roman" w:eastAsia="Times New Roman" w:hAnsi="Times New Roman" w:cs="Times New Roman"/>
          <w:color w:val="FF0000"/>
          <w:sz w:val="24"/>
          <w:szCs w:val="24"/>
          <w:u w:val="single"/>
          <w:lang w:eastAsia="es-ES"/>
        </w:rPr>
        <w:t>e la inflación siga desbocada. “</w:t>
      </w:r>
      <w:r w:rsidRPr="00C544B4">
        <w:rPr>
          <w:rFonts w:ascii="Times New Roman" w:eastAsia="Times New Roman" w:hAnsi="Times New Roman" w:cs="Times New Roman"/>
          <w:color w:val="FF0000"/>
          <w:sz w:val="24"/>
          <w:szCs w:val="24"/>
          <w:u w:val="single"/>
          <w:lang w:eastAsia="es-ES"/>
        </w:rPr>
        <w:t>Si la perspectiva de inflación a mediano plazo persiste o se deteriora, será apropiado un incremento ma</w:t>
      </w:r>
      <w:r>
        <w:rPr>
          <w:rFonts w:ascii="Times New Roman" w:eastAsia="Times New Roman" w:hAnsi="Times New Roman" w:cs="Times New Roman"/>
          <w:color w:val="FF0000"/>
          <w:sz w:val="24"/>
          <w:szCs w:val="24"/>
          <w:u w:val="single"/>
          <w:lang w:eastAsia="es-ES"/>
        </w:rPr>
        <w:t>yor en la reunión de septiembre”, apuntó</w:t>
      </w:r>
      <w:r>
        <w:rPr>
          <w:rFonts w:ascii="Times New Roman" w:eastAsia="Times New Roman" w:hAnsi="Times New Roman" w:cs="Times New Roman"/>
          <w:color w:val="FF0000"/>
          <w:sz w:val="24"/>
          <w:szCs w:val="24"/>
          <w:lang w:eastAsia="es-ES"/>
        </w:rPr>
        <w:t>…</w:t>
      </w:r>
    </w:p>
    <w:p w:rsidR="00920CDF" w:rsidRDefault="00920CDF" w:rsidP="00920CDF">
      <w:pPr>
        <w:pStyle w:val="NormalWeb"/>
        <w:spacing w:after="360"/>
        <w:jc w:val="both"/>
      </w:pPr>
      <w:r>
        <w:t xml:space="preserve">- </w:t>
      </w:r>
      <w:r w:rsidRPr="002E672A">
        <w:rPr>
          <w:u w:val="single"/>
        </w:rPr>
        <w:t>Inflación: llegamos tarde a la lucha contra un enemigo letal</w:t>
      </w:r>
      <w:r>
        <w:t xml:space="preserve"> (El Economista - </w:t>
      </w:r>
      <w:r w:rsidRPr="002E672A">
        <w:rPr>
          <w:b/>
        </w:rPr>
        <w:t>30/6/22</w:t>
      </w:r>
      <w:r>
        <w:t>)</w:t>
      </w:r>
    </w:p>
    <w:p w:rsidR="00920CDF" w:rsidRPr="006B5A25" w:rsidRDefault="00920CDF" w:rsidP="00920CDF">
      <w:pPr>
        <w:pStyle w:val="NormalWeb"/>
        <w:spacing w:after="360"/>
        <w:jc w:val="both"/>
        <w:rPr>
          <w:color w:val="FF0000"/>
        </w:rPr>
      </w:pPr>
      <w:r w:rsidRPr="006B5A25">
        <w:rPr>
          <w:color w:val="FF0000"/>
        </w:rPr>
        <w:t>Como en los 70, es necesario actuar con mucha contundencia</w:t>
      </w:r>
    </w:p>
    <w:p w:rsidR="00920CDF" w:rsidRDefault="00920CDF" w:rsidP="00920CDF">
      <w:pPr>
        <w:pStyle w:val="NormalWeb"/>
        <w:spacing w:after="360"/>
        <w:jc w:val="both"/>
      </w:pPr>
      <w:r>
        <w:t>(Por Javier Santacruz Cano)</w:t>
      </w:r>
    </w:p>
    <w:p w:rsidR="00920CDF" w:rsidRPr="006B5A25" w:rsidRDefault="00920CDF" w:rsidP="00920CDF">
      <w:pPr>
        <w:pStyle w:val="NormalWeb"/>
        <w:spacing w:after="360"/>
        <w:jc w:val="both"/>
        <w:rPr>
          <w:color w:val="FF0000"/>
        </w:rPr>
      </w:pPr>
      <w:r w:rsidRPr="006B5A25">
        <w:rPr>
          <w:color w:val="FF0000"/>
        </w:rPr>
        <w:t>El dato adelantado de inflación del mes de junio es profundamente preocupante, pero al mismo tiempo poco sorprendente dada la trayectoria ascendente tanto de la inflación general como muy especialmente de la inflación subyacente.</w:t>
      </w:r>
    </w:p>
    <w:p w:rsidR="00920CDF" w:rsidRDefault="00920CDF" w:rsidP="00920CDF">
      <w:pPr>
        <w:pStyle w:val="NormalWeb"/>
        <w:spacing w:after="360"/>
        <w:jc w:val="both"/>
      </w:pPr>
      <w:r>
        <w:t>Como ya hemos subrayado en varias ocasiones en estas mismas páginas, la subyacente es un buen indicador de cómo la inflación se está extendiendo por todos los capítulos de consumo de manera acelerada (5,5% interanual).</w:t>
      </w:r>
    </w:p>
    <w:p w:rsidR="00920CDF" w:rsidRPr="006B5A25" w:rsidRDefault="00920CDF" w:rsidP="00920CDF">
      <w:pPr>
        <w:pStyle w:val="NormalWeb"/>
        <w:spacing w:after="360"/>
        <w:jc w:val="both"/>
        <w:rPr>
          <w:color w:val="FF0000"/>
          <w:u w:val="single"/>
        </w:rPr>
      </w:pPr>
      <w:r w:rsidRPr="006B5A25">
        <w:rPr>
          <w:color w:val="FF0000"/>
          <w:u w:val="single"/>
        </w:rPr>
        <w:t>Llegados a este punto, al igual que sucedió en la crisis de los 70, es necesario actuar con mucha contundencia para frenar el proceso inflacionista y, a partir de ahí, ir normalizando progresivamente la tasa de inflación hasta los niveles objetivo en torno al 2%. Para atajar la inflación, no sólo es necesario entender el origen (la combinación entre un shock de oferta duro con origen en el mercado de commodities, los cortes en las cadenas globales de suministro y combinado con la salida de la mayor parte de la liquidez embalsada durante años originada por las políticas monetarias expansivas) sino la cadena de transmisión de la inflación sobre la estructura productiva.</w:t>
      </w:r>
    </w:p>
    <w:p w:rsidR="00920CDF" w:rsidRDefault="00920CDF" w:rsidP="00920CDF">
      <w:pPr>
        <w:pStyle w:val="NormalWeb"/>
        <w:spacing w:after="360"/>
        <w:jc w:val="both"/>
      </w:pPr>
      <w:r>
        <w:t>Concretamente, es necesario identificar qué fuerzas están favoreciendo el crecimiento de los precios tanto por la vía de la oferta como por la vía de la demanda. En el caso de la oferta, la respuesta es clara: el shock negativo de oferta anteriormente mencionado es la clave.</w:t>
      </w:r>
    </w:p>
    <w:p w:rsidR="00920CDF" w:rsidRDefault="00920CDF" w:rsidP="00920CDF">
      <w:pPr>
        <w:pStyle w:val="NormalWeb"/>
        <w:spacing w:after="360"/>
        <w:jc w:val="both"/>
      </w:pPr>
      <w:r>
        <w:t xml:space="preserve">Pero en el caso de la demanda, hay que realizar un análisis más profundo. En él, encontraremos cómo las familias de renta media-alta son las que están acelerando su consumo y, con ello, estimulando la subida de precios. A pesar de que en términos agregados </w:t>
      </w:r>
      <w:r>
        <w:lastRenderedPageBreak/>
        <w:t>el consumo familiar se está reduciendo (tal como atestigua el último dato de la Contabilidad Nacional del primer trimestre, donde el gasto en consumo de las familias se redujo un 2% intertrimestral), este segmento formado por rentas familiares por encima de los 40.000 euros anuales está impulsando la subida de precios, especialmente con impulsos que les han supuesto un efecto renta como la subvención a los combustibles, el tope al precio del gas, la bajada de los impuestos indirectos y otras medidas como las que aprobó el Consejo de Ministros del pasado sábado.</w:t>
      </w:r>
    </w:p>
    <w:p w:rsidR="00920CDF" w:rsidRPr="006B5A25" w:rsidRDefault="00920CDF" w:rsidP="00920CDF">
      <w:pPr>
        <w:pStyle w:val="NormalWeb"/>
        <w:spacing w:after="360"/>
        <w:jc w:val="both"/>
        <w:rPr>
          <w:color w:val="FF0000"/>
          <w:u w:val="single"/>
        </w:rPr>
      </w:pPr>
      <w:r>
        <w:t xml:space="preserve">En este sentido, </w:t>
      </w:r>
      <w:r w:rsidRPr="006B5A25">
        <w:rPr>
          <w:color w:val="FF0000"/>
          <w:u w:val="single"/>
        </w:rPr>
        <w:t>una vez identificado el mecanismo que acelera la inflación (incluso con el riesgo de que una parte importante de estos consumidores se vean beneficiados de una subida de sus rentas a finales de año si se mantiene la indexación de pensiones al IPC), la mejor manera de enfriarlo es mediante la subida de los tipos de interés.</w:t>
      </w:r>
    </w:p>
    <w:p w:rsidR="00920CDF" w:rsidRDefault="00920CDF" w:rsidP="00920CDF">
      <w:pPr>
        <w:pStyle w:val="NormalWeb"/>
        <w:spacing w:after="360"/>
        <w:jc w:val="both"/>
      </w:pPr>
      <w:r>
        <w:t>Urge que el BCE sea contundente</w:t>
      </w:r>
    </w:p>
    <w:p w:rsidR="00920CDF" w:rsidRPr="006B5A25" w:rsidRDefault="00920CDF" w:rsidP="00920CDF">
      <w:pPr>
        <w:pStyle w:val="NormalWeb"/>
        <w:spacing w:after="360"/>
        <w:jc w:val="both"/>
        <w:rPr>
          <w:b/>
          <w:color w:val="FF0000"/>
          <w:u w:val="single"/>
        </w:rPr>
      </w:pPr>
      <w:r w:rsidRPr="006B5A25">
        <w:rPr>
          <w:b/>
          <w:color w:val="FF0000"/>
          <w:u w:val="single"/>
        </w:rPr>
        <w:t>Cuanto antes y más contundente actúe el Banco Central Europeo (BCE), más fácil será conseguir este enfriamiento. Obviamente, hay que pagar un precio que es causar una recesión. Pero si se maneja adecuadamente el timing y las expectativas de los tipos, más corta y menos intensa será esta recesión.</w:t>
      </w:r>
    </w:p>
    <w:p w:rsidR="00920CDF" w:rsidRPr="006B5A25" w:rsidRDefault="00920CDF" w:rsidP="00920CDF">
      <w:pPr>
        <w:pStyle w:val="NormalWeb"/>
        <w:spacing w:after="360"/>
        <w:jc w:val="both"/>
        <w:rPr>
          <w:color w:val="FF0000"/>
          <w:u w:val="single"/>
        </w:rPr>
      </w:pPr>
      <w:r>
        <w:t xml:space="preserve">No tener política monetaria propia hoy es un problema de primera magnitud para España en un proceso inflacionista como el actual. Es tarea de los Gobiernos europeos, dada la escasa independencia de la política fiscal y monetaria (tristemente muy deteriorada la confianza y reputación de ésta en los últimos años) </w:t>
      </w:r>
      <w:r w:rsidRPr="006B5A25">
        <w:rPr>
          <w:color w:val="FF0000"/>
          <w:u w:val="single"/>
        </w:rPr>
        <w:t>presionar para que el BCE actúe cuanto antes y de manera más intensa de lo prometido, antes de que sea demasiado tarde y se produzca otro efecto Volcker.</w:t>
      </w:r>
    </w:p>
    <w:p w:rsidR="00920CDF" w:rsidRPr="002249AA" w:rsidRDefault="00920CDF" w:rsidP="00920CDF">
      <w:pPr>
        <w:pStyle w:val="NormalWeb"/>
        <w:spacing w:after="360"/>
        <w:jc w:val="both"/>
        <w:rPr>
          <w:rFonts w:ascii="Sans" w:hAnsi="Sans"/>
          <w:color w:val="222222"/>
          <w:shd w:val="clear" w:color="auto" w:fill="FFFFFF"/>
        </w:rPr>
      </w:pPr>
      <w:r>
        <w:rPr>
          <w:rFonts w:ascii="Sans" w:hAnsi="Sans"/>
          <w:color w:val="222222"/>
          <w:shd w:val="clear" w:color="auto" w:fill="FFFFFF"/>
        </w:rPr>
        <w:t xml:space="preserve">- </w:t>
      </w:r>
      <w:r w:rsidRPr="002249AA">
        <w:rPr>
          <w:rFonts w:ascii="Sans" w:hAnsi="Sans"/>
          <w:color w:val="222222"/>
          <w:u w:val="single"/>
          <w:shd w:val="clear" w:color="auto" w:fill="FFFFFF"/>
        </w:rPr>
        <w:t>Alemania anuncia el retorno a l</w:t>
      </w:r>
      <w:r>
        <w:rPr>
          <w:rFonts w:ascii="Sans" w:hAnsi="Sans"/>
          <w:color w:val="222222"/>
          <w:u w:val="single"/>
          <w:shd w:val="clear" w:color="auto" w:fill="FFFFFF"/>
        </w:rPr>
        <w:t>a austeridad: vuelve el temido “freno de la deuda”</w:t>
      </w:r>
      <w:r>
        <w:rPr>
          <w:rFonts w:ascii="Sans" w:hAnsi="Sans"/>
          <w:color w:val="222222"/>
          <w:shd w:val="clear" w:color="auto" w:fill="FFFFFF"/>
        </w:rPr>
        <w:t xml:space="preserve"> (El Economista - </w:t>
      </w:r>
      <w:r w:rsidRPr="002249AA">
        <w:rPr>
          <w:rFonts w:ascii="Sans" w:hAnsi="Sans"/>
          <w:b/>
          <w:color w:val="222222"/>
          <w:shd w:val="clear" w:color="auto" w:fill="FFFFFF"/>
        </w:rPr>
        <w:t>1/7/22</w:t>
      </w:r>
      <w:r>
        <w:rPr>
          <w:rFonts w:ascii="Sans" w:hAnsi="Sans"/>
          <w:color w:val="222222"/>
          <w:shd w:val="clear" w:color="auto" w:fill="FFFFFF"/>
        </w:rPr>
        <w:t>)</w:t>
      </w:r>
    </w:p>
    <w:p w:rsidR="00920CDF" w:rsidRPr="00AC7B71" w:rsidRDefault="00920CDF" w:rsidP="00920CDF">
      <w:pPr>
        <w:pStyle w:val="NormalWeb"/>
        <w:spacing w:after="360"/>
        <w:jc w:val="both"/>
        <w:rPr>
          <w:rFonts w:ascii="Sans" w:hAnsi="Sans"/>
          <w:color w:val="FF0000"/>
          <w:shd w:val="clear" w:color="auto" w:fill="FFFFFF"/>
        </w:rPr>
      </w:pPr>
      <w:r w:rsidRPr="00AC7B71">
        <w:rPr>
          <w:rFonts w:ascii="Sans" w:hAnsi="Sans"/>
          <w:color w:val="FF0000"/>
          <w:shd w:val="clear" w:color="auto" w:fill="FFFFFF"/>
        </w:rPr>
        <w:t xml:space="preserve">Las pretensiones del liberal Lindner no gustan a todo el gobierno </w:t>
      </w:r>
      <w:r>
        <w:rPr>
          <w:rFonts w:ascii="Sans" w:hAnsi="Sans"/>
          <w:color w:val="FF0000"/>
          <w:shd w:val="clear" w:color="auto" w:fill="FFFFFF"/>
        </w:rPr>
        <w:t>“semáforo”</w:t>
      </w:r>
    </w:p>
    <w:p w:rsidR="00920CDF" w:rsidRPr="00AC7B71" w:rsidRDefault="00920CDF" w:rsidP="00920CDF">
      <w:pPr>
        <w:pStyle w:val="NormalWeb"/>
        <w:spacing w:after="360"/>
        <w:jc w:val="both"/>
        <w:rPr>
          <w:rFonts w:ascii="Sans" w:hAnsi="Sans"/>
          <w:color w:val="FF0000"/>
          <w:shd w:val="clear" w:color="auto" w:fill="FFFFFF"/>
        </w:rPr>
      </w:pPr>
      <w:r w:rsidRPr="00AC7B71">
        <w:rPr>
          <w:rFonts w:ascii="Sans" w:hAnsi="Sans"/>
          <w:color w:val="FF0000"/>
          <w:shd w:val="clear" w:color="auto" w:fill="FFFFFF"/>
        </w:rPr>
        <w:t>Esta vuelta a los viejos hábitos fiscales llega en el momento más difícil</w:t>
      </w:r>
    </w:p>
    <w:p w:rsidR="00920CDF" w:rsidRPr="00AC7B71" w:rsidRDefault="00920CDF" w:rsidP="00920CDF">
      <w:pPr>
        <w:pStyle w:val="NormalWeb"/>
        <w:spacing w:after="360"/>
        <w:jc w:val="both"/>
        <w:rPr>
          <w:rFonts w:ascii="Sans" w:hAnsi="Sans"/>
          <w:color w:val="222222"/>
          <w:u w:val="single"/>
          <w:shd w:val="clear" w:color="auto" w:fill="FFFFFF"/>
        </w:rPr>
      </w:pPr>
      <w:r w:rsidRPr="00AC7B71">
        <w:rPr>
          <w:rFonts w:ascii="Sans" w:hAnsi="Sans"/>
          <w:color w:val="222222"/>
          <w:u w:val="single"/>
          <w:shd w:val="clear" w:color="auto" w:fill="FFFFFF"/>
        </w:rPr>
        <w:t>El Ministerio de Finanzas alemán ha confirmado este viernes el retorno a la austeridad en los planes de presupuestos para 2023, en medio de las críticas de la oposición y de los sindicatos. El paréntesis laxo por la pandemia parece darse por concluido mientras el resto de la eurozona mira de reojo. No obstante, en el seno del tripartito gobierno alemán no todos están de acuerdo.</w:t>
      </w:r>
    </w:p>
    <w:p w:rsidR="00920CDF" w:rsidRPr="00AC7B71" w:rsidRDefault="00920CDF" w:rsidP="00920CDF">
      <w:pPr>
        <w:pStyle w:val="NormalWeb"/>
        <w:spacing w:after="360"/>
        <w:jc w:val="both"/>
        <w:rPr>
          <w:rFonts w:ascii="Sans" w:hAnsi="Sans"/>
          <w:color w:val="FF0000"/>
          <w:u w:val="single"/>
          <w:shd w:val="clear" w:color="auto" w:fill="FFFFFF"/>
        </w:rPr>
      </w:pPr>
      <w:r w:rsidRPr="00AC7B71">
        <w:rPr>
          <w:rFonts w:ascii="Sans" w:hAnsi="Sans"/>
          <w:color w:val="FF0000"/>
          <w:u w:val="single"/>
          <w:shd w:val="clear" w:color="auto" w:fill="FFFFFF"/>
        </w:rPr>
        <w:t>Los planes del ministro de Finanzas, el liberal Christian Lindner, co</w:t>
      </w:r>
      <w:r>
        <w:rPr>
          <w:rFonts w:ascii="Sans" w:hAnsi="Sans"/>
          <w:color w:val="FF0000"/>
          <w:u w:val="single"/>
          <w:shd w:val="clear" w:color="auto" w:fill="FFFFFF"/>
        </w:rPr>
        <w:t>ntemplan un retorno al llamado “freno de la deuda”</w:t>
      </w:r>
      <w:r w:rsidRPr="00AC7B71">
        <w:rPr>
          <w:rFonts w:ascii="Sans" w:hAnsi="Sans"/>
          <w:color w:val="FF0000"/>
          <w:u w:val="single"/>
          <w:shd w:val="clear" w:color="auto" w:fill="FFFFFF"/>
        </w:rPr>
        <w:t>, una norma que exige que en tiempos de normalidad económica el déficit no esté por encima del 0,35% del PIB. Este precepto ha caracterizado en las últimas décadas el dogma económico alemán, inspirando cierta angustia en otras economías, como las del sur de Europa.</w:t>
      </w:r>
    </w:p>
    <w:p w:rsidR="00920CDF" w:rsidRPr="002249AA" w:rsidRDefault="00920CDF" w:rsidP="00920CDF">
      <w:pPr>
        <w:pStyle w:val="NormalWeb"/>
        <w:spacing w:after="360"/>
        <w:jc w:val="both"/>
        <w:rPr>
          <w:rFonts w:ascii="Sans" w:hAnsi="Sans"/>
          <w:color w:val="222222"/>
          <w:shd w:val="clear" w:color="auto" w:fill="FFFFFF"/>
        </w:rPr>
      </w:pPr>
      <w:r w:rsidRPr="002249AA">
        <w:rPr>
          <w:rFonts w:ascii="Sans" w:hAnsi="Sans"/>
          <w:color w:val="222222"/>
          <w:shd w:val="clear" w:color="auto" w:fill="FFFFFF"/>
        </w:rPr>
        <w:t>La norma había sido suspendida con la pandemia, con lo que, de lograr el propósito, la norma se volvería a cumplir por primera vez desde 2019. La decisión ya había sido adelantada esta semana por medios alemanes, señala Efe.</w:t>
      </w:r>
    </w:p>
    <w:p w:rsidR="00920CDF" w:rsidRPr="00920CDF" w:rsidRDefault="00920CDF" w:rsidP="00920CDF">
      <w:pPr>
        <w:pStyle w:val="NormalWeb"/>
        <w:spacing w:after="360"/>
        <w:jc w:val="both"/>
        <w:rPr>
          <w:rFonts w:ascii="Sans" w:hAnsi="Sans"/>
          <w:color w:val="FF0000"/>
          <w:shd w:val="clear" w:color="auto" w:fill="FFFFFF"/>
        </w:rPr>
      </w:pPr>
      <w:r>
        <w:rPr>
          <w:rFonts w:ascii="Sans" w:hAnsi="Sans"/>
          <w:color w:val="FF0000"/>
          <w:u w:val="single"/>
          <w:shd w:val="clear" w:color="auto" w:fill="FFFFFF"/>
        </w:rPr>
        <w:lastRenderedPageBreak/>
        <w:t>“</w:t>
      </w:r>
      <w:r w:rsidRPr="00AC7B71">
        <w:rPr>
          <w:rFonts w:ascii="Sans" w:hAnsi="Sans"/>
          <w:color w:val="FF0000"/>
          <w:u w:val="single"/>
          <w:shd w:val="clear" w:color="auto" w:fill="FFFFFF"/>
        </w:rPr>
        <w:t xml:space="preserve">Tras tres años de excepción con altos déficits, en 2023 se deberá volver a cumplir con la regla fiscal de la Constitución. Eso aplica también para los años comprendidos hasta 2026 contemplados en el </w:t>
      </w:r>
      <w:r>
        <w:rPr>
          <w:rFonts w:ascii="Sans" w:hAnsi="Sans"/>
          <w:color w:val="FF0000"/>
          <w:u w:val="single"/>
          <w:shd w:val="clear" w:color="auto" w:fill="FFFFFF"/>
        </w:rPr>
        <w:t>plan financiero a mediano plazo”</w:t>
      </w:r>
      <w:r w:rsidRPr="00AC7B71">
        <w:rPr>
          <w:rFonts w:ascii="Sans" w:hAnsi="Sans"/>
          <w:color w:val="FF0000"/>
          <w:u w:val="single"/>
          <w:shd w:val="clear" w:color="auto" w:fill="FFFFFF"/>
        </w:rPr>
        <w:t>, di</w:t>
      </w:r>
      <w:r>
        <w:rPr>
          <w:rFonts w:ascii="Sans" w:hAnsi="Sans"/>
          <w:color w:val="FF0000"/>
          <w:u w:val="single"/>
          <w:shd w:val="clear" w:color="auto" w:fill="FFFFFF"/>
        </w:rPr>
        <w:t>ce un comunicado del ministerio</w:t>
      </w:r>
      <w:r>
        <w:rPr>
          <w:rFonts w:ascii="Sans" w:hAnsi="Sans"/>
          <w:color w:val="FF0000"/>
          <w:shd w:val="clear" w:color="auto" w:fill="FFFFFF"/>
        </w:rPr>
        <w:t>…</w:t>
      </w:r>
    </w:p>
    <w:p w:rsidR="00920CDF" w:rsidRPr="002249AA" w:rsidRDefault="00920CDF" w:rsidP="00920CDF">
      <w:pPr>
        <w:pStyle w:val="NormalWeb"/>
        <w:spacing w:after="360"/>
        <w:jc w:val="both"/>
        <w:rPr>
          <w:rFonts w:ascii="Sans" w:hAnsi="Sans"/>
          <w:color w:val="222222"/>
          <w:shd w:val="clear" w:color="auto" w:fill="FFFFFF"/>
        </w:rPr>
      </w:pPr>
      <w:r w:rsidRPr="002249AA">
        <w:rPr>
          <w:rFonts w:ascii="Sans" w:hAnsi="Sans"/>
          <w:color w:val="222222"/>
          <w:shd w:val="clear" w:color="auto" w:fill="FFFFFF"/>
        </w:rPr>
        <w:t>La CDU/CSU considera que los presupuestos se basan en datos y proyecciones que ya no tienen validez debido a las repercusiones de la guerra en U</w:t>
      </w:r>
      <w:r>
        <w:rPr>
          <w:rFonts w:ascii="Sans" w:hAnsi="Sans"/>
          <w:color w:val="222222"/>
          <w:shd w:val="clear" w:color="auto" w:fill="FFFFFF"/>
        </w:rPr>
        <w:t>crania y a la fuerte inflación.</w:t>
      </w:r>
    </w:p>
    <w:p w:rsidR="00920CDF" w:rsidRPr="00C4371A" w:rsidRDefault="00920CDF" w:rsidP="00920CDF">
      <w:pPr>
        <w:pStyle w:val="NormalWeb"/>
        <w:spacing w:after="360"/>
        <w:jc w:val="both"/>
        <w:rPr>
          <w:rFonts w:ascii="Sans" w:hAnsi="Sans"/>
          <w:color w:val="FF0000"/>
          <w:u w:val="single"/>
          <w:shd w:val="clear" w:color="auto" w:fill="FFFFFF"/>
        </w:rPr>
      </w:pPr>
      <w:r w:rsidRPr="00C4371A">
        <w:rPr>
          <w:rFonts w:ascii="Sans" w:hAnsi="Sans"/>
          <w:color w:val="FF0000"/>
          <w:u w:val="single"/>
          <w:shd w:val="clear" w:color="auto" w:fill="FFFFFF"/>
        </w:rPr>
        <w:t>La Confederación Alemana de Sindicatos (DGB) también ha criticado el plan de presupuesto y un miembro del Consejo Directivo, Stefan Kör</w:t>
      </w:r>
      <w:r>
        <w:rPr>
          <w:rFonts w:ascii="Sans" w:hAnsi="Sans"/>
          <w:color w:val="FF0000"/>
          <w:u w:val="single"/>
          <w:shd w:val="clear" w:color="auto" w:fill="FFFFFF"/>
        </w:rPr>
        <w:t>zell, advirtió que el “freno a la deuda” puede convertirse en “un freno para el futuro”</w:t>
      </w:r>
      <w:r w:rsidRPr="00C4371A">
        <w:rPr>
          <w:rFonts w:ascii="Sans" w:hAnsi="Sans"/>
          <w:color w:val="FF0000"/>
          <w:u w:val="single"/>
          <w:shd w:val="clear" w:color="auto" w:fill="FFFFFF"/>
        </w:rPr>
        <w:t xml:space="preserve"> y poner en peli</w:t>
      </w:r>
      <w:r>
        <w:rPr>
          <w:rFonts w:ascii="Sans" w:hAnsi="Sans"/>
          <w:color w:val="FF0000"/>
          <w:u w:val="single"/>
          <w:shd w:val="clear" w:color="auto" w:fill="FFFFFF"/>
        </w:rPr>
        <w:t>gro la paz social en Alemania. “</w:t>
      </w:r>
      <w:r w:rsidRPr="00C4371A">
        <w:rPr>
          <w:rFonts w:ascii="Sans" w:hAnsi="Sans"/>
          <w:color w:val="FF0000"/>
          <w:u w:val="single"/>
          <w:shd w:val="clear" w:color="auto" w:fill="FFFFFF"/>
        </w:rPr>
        <w:t>Lo que se necesita ahora son inversiones para una transición ecológica y social. Lindner, en cambio, ahoga la demanda y con ello la coyuntura con lo que Alemania caerá en otra crisis en lug</w:t>
      </w:r>
      <w:r>
        <w:rPr>
          <w:rFonts w:ascii="Sans" w:hAnsi="Sans"/>
          <w:color w:val="FF0000"/>
          <w:u w:val="single"/>
          <w:shd w:val="clear" w:color="auto" w:fill="FFFFFF"/>
        </w:rPr>
        <w:t>ar de salir de la crisis actual”</w:t>
      </w:r>
      <w:r w:rsidRPr="00C4371A">
        <w:rPr>
          <w:rFonts w:ascii="Sans" w:hAnsi="Sans"/>
          <w:color w:val="FF0000"/>
          <w:u w:val="single"/>
          <w:shd w:val="clear" w:color="auto" w:fill="FFFFFF"/>
        </w:rPr>
        <w:t>, dijo.</w:t>
      </w:r>
    </w:p>
    <w:p w:rsidR="00920CDF" w:rsidRPr="00920CDF" w:rsidRDefault="00920CDF" w:rsidP="00920CDF">
      <w:pPr>
        <w:pStyle w:val="NormalWeb"/>
        <w:spacing w:after="360"/>
        <w:jc w:val="both"/>
        <w:rPr>
          <w:rFonts w:ascii="Sans" w:hAnsi="Sans"/>
          <w:color w:val="222222"/>
          <w:shd w:val="clear" w:color="auto" w:fill="FFFFFF"/>
        </w:rPr>
      </w:pPr>
      <w:r w:rsidRPr="00C4371A">
        <w:rPr>
          <w:rFonts w:ascii="Sans" w:hAnsi="Sans"/>
          <w:color w:val="222222"/>
          <w:u w:val="single"/>
          <w:shd w:val="clear" w:color="auto" w:fill="FFFFFF"/>
        </w:rPr>
        <w:t>Körzell también dijo que los otros miembros de la coalici</w:t>
      </w:r>
      <w:r>
        <w:rPr>
          <w:rFonts w:ascii="Sans" w:hAnsi="Sans"/>
          <w:color w:val="222222"/>
          <w:u w:val="single"/>
          <w:shd w:val="clear" w:color="auto" w:fill="FFFFFF"/>
        </w:rPr>
        <w:t>ón de Gobierno debían procurar “hacer entrar en razón”</w:t>
      </w:r>
      <w:r w:rsidRPr="00C4371A">
        <w:rPr>
          <w:rFonts w:ascii="Sans" w:hAnsi="Sans"/>
          <w:color w:val="222222"/>
          <w:u w:val="single"/>
          <w:shd w:val="clear" w:color="auto" w:fill="FFFFFF"/>
        </w:rPr>
        <w:t xml:space="preserve"> a Lindner, que es presidente del Partido Liberal (FDP), el más pequeño de </w:t>
      </w:r>
      <w:r>
        <w:rPr>
          <w:rFonts w:ascii="Sans" w:hAnsi="Sans"/>
          <w:color w:val="222222"/>
          <w:u w:val="single"/>
          <w:shd w:val="clear" w:color="auto" w:fill="FFFFFF"/>
        </w:rPr>
        <w:t>la actual coalición de Gobierno</w:t>
      </w:r>
      <w:r>
        <w:rPr>
          <w:rFonts w:ascii="Sans" w:hAnsi="Sans"/>
          <w:color w:val="222222"/>
          <w:shd w:val="clear" w:color="auto" w:fill="FFFFFF"/>
        </w:rPr>
        <w:t>…</w:t>
      </w:r>
    </w:p>
    <w:p w:rsidR="00260465" w:rsidRPr="001947CC" w:rsidRDefault="00260465" w:rsidP="00260465">
      <w:pPr>
        <w:pStyle w:val="NormalWeb"/>
        <w:spacing w:after="360"/>
        <w:jc w:val="both"/>
        <w:rPr>
          <w:rFonts w:ascii="Sans" w:hAnsi="Sans"/>
          <w:color w:val="222222"/>
          <w:shd w:val="clear" w:color="auto" w:fill="FFFFFF"/>
        </w:rPr>
      </w:pPr>
      <w:r>
        <w:rPr>
          <w:rFonts w:ascii="Sans" w:hAnsi="Sans"/>
          <w:color w:val="222222"/>
          <w:shd w:val="clear" w:color="auto" w:fill="FFFFFF"/>
        </w:rPr>
        <w:t xml:space="preserve">- </w:t>
      </w:r>
      <w:r w:rsidRPr="001947CC">
        <w:rPr>
          <w:rFonts w:ascii="Sans" w:hAnsi="Sans"/>
          <w:color w:val="222222"/>
          <w:shd w:val="clear" w:color="auto" w:fill="FFFFFF"/>
        </w:rPr>
        <w:t>¿</w:t>
      </w:r>
      <w:r w:rsidRPr="001947CC">
        <w:rPr>
          <w:rFonts w:ascii="Sans" w:hAnsi="Sans"/>
          <w:color w:val="222222"/>
          <w:u w:val="single"/>
          <w:shd w:val="clear" w:color="auto" w:fill="FFFFFF"/>
        </w:rPr>
        <w:t>Amenaza autocumplida? Para la Fed de Atlanta, la recesión en EEUU ya es una realidad</w:t>
      </w:r>
      <w:r>
        <w:rPr>
          <w:rFonts w:ascii="Sans" w:hAnsi="Sans"/>
          <w:color w:val="222222"/>
          <w:shd w:val="clear" w:color="auto" w:fill="FFFFFF"/>
        </w:rPr>
        <w:t xml:space="preserve"> (El Economista - </w:t>
      </w:r>
      <w:r w:rsidRPr="001947CC">
        <w:rPr>
          <w:rFonts w:ascii="Sans" w:hAnsi="Sans"/>
          <w:b/>
          <w:color w:val="222222"/>
          <w:shd w:val="clear" w:color="auto" w:fill="FFFFFF"/>
        </w:rPr>
        <w:t>1/7/22</w:t>
      </w:r>
      <w:r>
        <w:rPr>
          <w:rFonts w:ascii="Sans" w:hAnsi="Sans"/>
          <w:color w:val="222222"/>
          <w:shd w:val="clear" w:color="auto" w:fill="FFFFFF"/>
        </w:rPr>
        <w:t>)</w:t>
      </w:r>
    </w:p>
    <w:p w:rsidR="00260465" w:rsidRPr="00260465" w:rsidRDefault="00260465" w:rsidP="00260465">
      <w:pPr>
        <w:pStyle w:val="NormalWeb"/>
        <w:spacing w:after="360"/>
        <w:jc w:val="both"/>
        <w:rPr>
          <w:rFonts w:ascii="Sans" w:hAnsi="Sans"/>
          <w:color w:val="FF0000"/>
          <w:shd w:val="clear" w:color="auto" w:fill="FFFFFF"/>
        </w:rPr>
      </w:pPr>
      <w:r w:rsidRPr="00260465">
        <w:rPr>
          <w:rFonts w:ascii="Sans" w:hAnsi="Sans"/>
          <w:color w:val="FF0000"/>
          <w:shd w:val="clear" w:color="auto" w:fill="FFFFFF"/>
        </w:rPr>
        <w:t>El modelo de la institución apunta a una caída del 1% entre abril y junio</w:t>
      </w:r>
    </w:p>
    <w:p w:rsidR="00260465" w:rsidRPr="00260465" w:rsidRDefault="00260465" w:rsidP="00260465">
      <w:pPr>
        <w:pStyle w:val="NormalWeb"/>
        <w:spacing w:after="360"/>
        <w:jc w:val="both"/>
        <w:rPr>
          <w:rFonts w:ascii="Sans" w:hAnsi="Sans"/>
          <w:color w:val="FF0000"/>
          <w:shd w:val="clear" w:color="auto" w:fill="FFFFFF"/>
        </w:rPr>
      </w:pPr>
      <w:r w:rsidRPr="00260465">
        <w:rPr>
          <w:rFonts w:ascii="Sans" w:hAnsi="Sans"/>
          <w:color w:val="FF0000"/>
          <w:shd w:val="clear" w:color="auto" w:fill="FFFFFF"/>
        </w:rPr>
        <w:t>En el primer trimestre, el PIB ya registró un descenso del 1,6%</w:t>
      </w:r>
    </w:p>
    <w:p w:rsidR="00260465" w:rsidRPr="00260465" w:rsidRDefault="00260465" w:rsidP="00260465">
      <w:pPr>
        <w:pStyle w:val="NormalWeb"/>
        <w:spacing w:after="360"/>
        <w:jc w:val="both"/>
        <w:rPr>
          <w:rFonts w:ascii="Sans" w:hAnsi="Sans"/>
          <w:color w:val="FF0000"/>
          <w:shd w:val="clear" w:color="auto" w:fill="FFFFFF"/>
        </w:rPr>
      </w:pPr>
      <w:r w:rsidRPr="00260465">
        <w:rPr>
          <w:rFonts w:ascii="Sans" w:hAnsi="Sans"/>
          <w:color w:val="FF0000"/>
          <w:shd w:val="clear" w:color="auto" w:fill="FFFFFF"/>
        </w:rPr>
        <w:t>El frenazo de la economía supondría frenar la escalada de tipos de la Fed</w:t>
      </w:r>
    </w:p>
    <w:p w:rsidR="00260465" w:rsidRPr="00C4371A" w:rsidRDefault="00260465" w:rsidP="00260465">
      <w:pPr>
        <w:pStyle w:val="NormalWeb"/>
        <w:spacing w:after="360"/>
        <w:jc w:val="both"/>
        <w:rPr>
          <w:rFonts w:ascii="Sans" w:hAnsi="Sans"/>
          <w:color w:val="FF0000"/>
          <w:u w:val="single"/>
          <w:shd w:val="clear" w:color="auto" w:fill="FFFFFF"/>
        </w:rPr>
      </w:pPr>
      <w:r w:rsidRPr="00C4371A">
        <w:rPr>
          <w:rFonts w:ascii="Sans" w:hAnsi="Sans"/>
          <w:color w:val="FF0000"/>
          <w:u w:val="single"/>
          <w:shd w:val="clear" w:color="auto" w:fill="FFFFFF"/>
        </w:rPr>
        <w:t>La Fed de Atlanta, con su modelo de PIB en tiempo real, anticipa que la economía de EEUU terminó junio con una caída del 1% interanual. Esta previsión hundiría al país en recesión técnica, que se produce cuando el PIB registra dos trimestres consecutivos de caídas. Hace tres días, el organismo mantenía a flote a la economía, hasta que se publicó la revisión del PIB del primer trimestre.</w:t>
      </w:r>
    </w:p>
    <w:p w:rsidR="00260465" w:rsidRPr="001947CC" w:rsidRDefault="00260465" w:rsidP="00260465">
      <w:pPr>
        <w:pStyle w:val="NormalWeb"/>
        <w:spacing w:after="360"/>
        <w:jc w:val="both"/>
        <w:rPr>
          <w:rFonts w:ascii="Sans" w:hAnsi="Sans"/>
          <w:color w:val="222222"/>
          <w:shd w:val="clear" w:color="auto" w:fill="FFFFFF"/>
        </w:rPr>
      </w:pPr>
      <w:r w:rsidRPr="00C4371A">
        <w:rPr>
          <w:rFonts w:ascii="Sans" w:hAnsi="Sans"/>
          <w:noProof/>
          <w:color w:val="222222"/>
          <w:shd w:val="clear" w:color="auto" w:fill="FFFFFF"/>
        </w:rPr>
        <w:drawing>
          <wp:inline distT="0" distB="0" distL="0" distR="0" wp14:anchorId="35405460" wp14:editId="7FF1C941">
            <wp:extent cx="5727700" cy="2908300"/>
            <wp:effectExtent l="0" t="0" r="6350" b="635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5731510" cy="2910235"/>
                    </a:xfrm>
                    <a:prstGeom prst="rect">
                      <a:avLst/>
                    </a:prstGeom>
                  </pic:spPr>
                </pic:pic>
              </a:graphicData>
            </a:graphic>
          </wp:inline>
        </w:drawing>
      </w:r>
    </w:p>
    <w:p w:rsidR="00260465" w:rsidRPr="00C4371A" w:rsidRDefault="00260465" w:rsidP="00260465">
      <w:pPr>
        <w:pStyle w:val="NormalWeb"/>
        <w:spacing w:after="360"/>
        <w:jc w:val="both"/>
        <w:rPr>
          <w:rFonts w:ascii="Sans" w:hAnsi="Sans"/>
          <w:color w:val="FF0000"/>
          <w:u w:val="single"/>
          <w:shd w:val="clear" w:color="auto" w:fill="FFFFFF"/>
        </w:rPr>
      </w:pPr>
      <w:r w:rsidRPr="00C4371A">
        <w:rPr>
          <w:rFonts w:ascii="Sans" w:hAnsi="Sans"/>
          <w:color w:val="FF0000"/>
          <w:u w:val="single"/>
          <w:shd w:val="clear" w:color="auto" w:fill="FFFFFF"/>
        </w:rPr>
        <w:lastRenderedPageBreak/>
        <w:t>Las esperanzas de esquivar la recesión para la economía de EEUU se esfuman, a medida que se acumulan datos económicos negativos y la Fed mantiene el pulso firme contra la inflación. La Fed de Atlanta ha sido la primera institución en pronosticar que el PIB sumará dos trimestres consecutivos de caída, a través de su modelo de PIB en tiempo real.</w:t>
      </w:r>
    </w:p>
    <w:p w:rsidR="00260465" w:rsidRPr="001947CC" w:rsidRDefault="00260465" w:rsidP="00260465">
      <w:pPr>
        <w:pStyle w:val="NormalWeb"/>
        <w:spacing w:after="360"/>
        <w:jc w:val="both"/>
        <w:rPr>
          <w:rFonts w:ascii="Sans" w:hAnsi="Sans"/>
          <w:color w:val="222222"/>
          <w:shd w:val="clear" w:color="auto" w:fill="FFFFFF"/>
        </w:rPr>
      </w:pPr>
      <w:r w:rsidRPr="001947CC">
        <w:rPr>
          <w:rFonts w:ascii="Sans" w:hAnsi="Sans"/>
          <w:color w:val="222222"/>
          <w:shd w:val="clear" w:color="auto" w:fill="FFFFFF"/>
        </w:rPr>
        <w:t>La Fed de Atlanta, como se puede apreciar en el gráfico, se sale del consenso. Su pronóstico está por debajo del consenso y muy por debajo del panel de expertos. Hace tres días por lo menos coincidía en salvar al PIB de la contracción, esperaba un crecimiento interanualizado del 0,3%, pero tras la última revisión del PIB, ha recortado su pronóstico hasta hundirlo a un -1%.</w:t>
      </w:r>
    </w:p>
    <w:p w:rsidR="00260465" w:rsidRPr="001947CC" w:rsidRDefault="00260465" w:rsidP="00260465">
      <w:pPr>
        <w:pStyle w:val="NormalWeb"/>
        <w:spacing w:after="360"/>
        <w:jc w:val="both"/>
        <w:rPr>
          <w:rFonts w:ascii="Sans" w:hAnsi="Sans"/>
          <w:color w:val="222222"/>
          <w:shd w:val="clear" w:color="auto" w:fill="FFFFFF"/>
        </w:rPr>
      </w:pPr>
      <w:r w:rsidRPr="001947CC">
        <w:rPr>
          <w:rFonts w:ascii="Sans" w:hAnsi="Sans"/>
          <w:color w:val="222222"/>
          <w:shd w:val="clear" w:color="auto" w:fill="FFFFFF"/>
        </w:rPr>
        <w:t>Junto a la caída del primer trimestre, EEUU entraría oficialmente en recesión técnica. El Departamento de Comercio revisó, el pasado miércoles, el dato de PIB del primer trimestre al -1,6%, una décima peor. Principalmente, el ajuste a la baja se debió al recorte del gasto al consumidor, explicaron desde la Oficina Económica. Los ingresos disponibles se redujeron un 7,8%. La Fed de Atlanta, con estos datos, ajusto su modelo automático. El gasto personal pasó de crecer al 2,7% al 1,7%, mientras la inversión corporativa se revisó a la</w:t>
      </w:r>
      <w:r>
        <w:rPr>
          <w:rFonts w:ascii="Sans" w:hAnsi="Sans"/>
          <w:color w:val="222222"/>
          <w:shd w:val="clear" w:color="auto" w:fill="FFFFFF"/>
        </w:rPr>
        <w:t xml:space="preserve"> baja al -13,2% desde el -8,1%...</w:t>
      </w:r>
    </w:p>
    <w:p w:rsidR="00260465" w:rsidRPr="00C4371A" w:rsidRDefault="00260465" w:rsidP="00260465">
      <w:pPr>
        <w:pStyle w:val="NormalWeb"/>
        <w:spacing w:after="360"/>
        <w:jc w:val="both"/>
        <w:rPr>
          <w:rFonts w:ascii="Sans" w:hAnsi="Sans"/>
          <w:color w:val="FF0000"/>
          <w:u w:val="single"/>
          <w:shd w:val="clear" w:color="auto" w:fill="FFFFFF"/>
        </w:rPr>
      </w:pPr>
      <w:r w:rsidRPr="00C4371A">
        <w:rPr>
          <w:rFonts w:ascii="Sans" w:hAnsi="Sans"/>
          <w:color w:val="FF0000"/>
          <w:u w:val="single"/>
          <w:shd w:val="clear" w:color="auto" w:fill="FFFFFF"/>
        </w:rPr>
        <w:t>Aunque la recesión estaba en el horizonte, el consenso todavía está agarrado que EEUU podrá esquivar la recesión. La mayoría de firmas económicas no contemplan una caída del PIB para el segundo trimestre, que acaba de terminar. Como mucho apuntaban al tercer trimestre. Goldman Sachs no contempla un descenso hasta principio de 2023, aunque aumentó las probabilidades de recesión al 30%.</w:t>
      </w:r>
    </w:p>
    <w:p w:rsidR="00260465" w:rsidRPr="00260465" w:rsidRDefault="00260465" w:rsidP="00260465">
      <w:pPr>
        <w:pStyle w:val="NormalWeb"/>
        <w:spacing w:after="360"/>
        <w:jc w:val="both"/>
        <w:rPr>
          <w:rFonts w:ascii="Sans" w:hAnsi="Sans"/>
          <w:color w:val="FF0000"/>
          <w:u w:val="single"/>
          <w:shd w:val="clear" w:color="auto" w:fill="FFFFFF"/>
        </w:rPr>
      </w:pPr>
      <w:r w:rsidRPr="00260465">
        <w:rPr>
          <w:rFonts w:ascii="Sans" w:hAnsi="Sans"/>
          <w:color w:val="FF0000"/>
          <w:u w:val="single"/>
          <w:shd w:val="clear" w:color="auto" w:fill="FFFFFF"/>
        </w:rPr>
        <w:t>Por su parte, los economistas de Morgan Stanley esperan ahora que el PIB crezca a una tasa anualizada del 0,3% en el segundo trimestre, aunque recortaron con fuerza el pronóstico. La semana pasada apostaban por un ritmo de crecimiento del 2%.</w:t>
      </w:r>
    </w:p>
    <w:p w:rsidR="00260465" w:rsidRPr="00260465" w:rsidRDefault="00260465" w:rsidP="00260465">
      <w:pPr>
        <w:pStyle w:val="NormalWeb"/>
        <w:spacing w:after="360"/>
        <w:jc w:val="both"/>
        <w:rPr>
          <w:rFonts w:ascii="Sans" w:hAnsi="Sans"/>
          <w:color w:val="222222"/>
          <w:shd w:val="clear" w:color="auto" w:fill="FFFFFF"/>
        </w:rPr>
      </w:pPr>
      <w:r w:rsidRPr="00C4371A">
        <w:rPr>
          <w:rFonts w:ascii="Sans" w:hAnsi="Sans"/>
          <w:color w:val="FF0000"/>
          <w:u w:val="single"/>
          <w:shd w:val="clear" w:color="auto" w:fill="FFFFFF"/>
        </w:rPr>
        <w:t>Lo que más preocupa es el consumo. La demanda interna aporta más del 70% y está dando señales de gran debilidad</w:t>
      </w:r>
      <w:r w:rsidRPr="001947CC">
        <w:rPr>
          <w:rFonts w:ascii="Sans" w:hAnsi="Sans"/>
          <w:color w:val="222222"/>
          <w:shd w:val="clear" w:color="auto" w:fill="FFFFFF"/>
        </w:rPr>
        <w:t xml:space="preserve">. </w:t>
      </w:r>
      <w:r w:rsidRPr="00C4371A">
        <w:rPr>
          <w:rFonts w:ascii="Sans" w:hAnsi="Sans"/>
          <w:color w:val="FF0000"/>
          <w:u w:val="single"/>
          <w:shd w:val="clear" w:color="auto" w:fill="FFFFFF"/>
        </w:rPr>
        <w:t>El problema de un escenario recesivo es que choca con los esfuerzos de la Fed de mantener el pulso firme, para contener la inflación. En plena escalada de tipos, después de subirlos 75 puntos básicos al 1,5%; la recesión complica el plan de Powell y el resto de banqueros de llegar al 4% y luego comenzar a recortar las tasas</w:t>
      </w:r>
      <w:r w:rsidRPr="00260465">
        <w:rPr>
          <w:rFonts w:ascii="Sans" w:hAnsi="Sans"/>
          <w:color w:val="FF0000"/>
          <w:shd w:val="clear" w:color="auto" w:fill="FFFFFF"/>
        </w:rPr>
        <w:t>…</w:t>
      </w:r>
    </w:p>
    <w:p w:rsidR="00260465" w:rsidRDefault="00260465" w:rsidP="00260465">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FF2469">
        <w:rPr>
          <w:rFonts w:ascii="Times New Roman" w:hAnsi="Times New Roman" w:cs="Times New Roman"/>
          <w:sz w:val="24"/>
          <w:szCs w:val="24"/>
          <w:u w:val="single"/>
        </w:rPr>
        <w:t>La Fed está cerca de cometer un error fatal para la economía: sus proyecciones desprecian la historia</w:t>
      </w:r>
      <w:r>
        <w:rPr>
          <w:rFonts w:ascii="Times New Roman" w:hAnsi="Times New Roman" w:cs="Times New Roman"/>
          <w:sz w:val="24"/>
          <w:szCs w:val="24"/>
        </w:rPr>
        <w:t xml:space="preserve"> (El Economista - </w:t>
      </w:r>
      <w:r w:rsidRPr="00FF2469">
        <w:rPr>
          <w:rFonts w:ascii="Times New Roman" w:hAnsi="Times New Roman" w:cs="Times New Roman"/>
          <w:b/>
          <w:sz w:val="24"/>
          <w:szCs w:val="24"/>
        </w:rPr>
        <w:t>4/7/22</w:t>
      </w:r>
      <w:r>
        <w:rPr>
          <w:rFonts w:ascii="Times New Roman" w:hAnsi="Times New Roman" w:cs="Times New Roman"/>
          <w:sz w:val="24"/>
          <w:szCs w:val="24"/>
        </w:rPr>
        <w:t>)</w:t>
      </w:r>
    </w:p>
    <w:p w:rsidR="00260465" w:rsidRPr="00FF2469" w:rsidRDefault="00260465" w:rsidP="00260465">
      <w:pPr>
        <w:autoSpaceDE w:val="0"/>
        <w:autoSpaceDN w:val="0"/>
        <w:adjustRightInd w:val="0"/>
        <w:spacing w:after="0" w:line="240" w:lineRule="auto"/>
        <w:jc w:val="both"/>
        <w:rPr>
          <w:rFonts w:ascii="Times New Roman" w:hAnsi="Times New Roman" w:cs="Times New Roman"/>
          <w:sz w:val="24"/>
          <w:szCs w:val="24"/>
        </w:rPr>
      </w:pPr>
    </w:p>
    <w:p w:rsidR="00260465" w:rsidRPr="0066164D" w:rsidRDefault="00260465" w:rsidP="00260465">
      <w:pPr>
        <w:autoSpaceDE w:val="0"/>
        <w:autoSpaceDN w:val="0"/>
        <w:adjustRightInd w:val="0"/>
        <w:spacing w:after="0" w:line="240" w:lineRule="auto"/>
        <w:jc w:val="both"/>
        <w:rPr>
          <w:rFonts w:ascii="Times New Roman" w:hAnsi="Times New Roman" w:cs="Times New Roman"/>
          <w:color w:val="FF0000"/>
          <w:sz w:val="24"/>
          <w:szCs w:val="24"/>
          <w:u w:val="single"/>
        </w:rPr>
      </w:pPr>
      <w:r w:rsidRPr="00FF2469">
        <w:rPr>
          <w:rFonts w:ascii="Times New Roman" w:hAnsi="Times New Roman" w:cs="Times New Roman"/>
          <w:sz w:val="24"/>
          <w:szCs w:val="24"/>
        </w:rPr>
        <w:t>La Reserva Federal presentó en su última reunión la hoja de ruta para batir a la inflación y d</w:t>
      </w:r>
      <w:r>
        <w:rPr>
          <w:rFonts w:ascii="Times New Roman" w:hAnsi="Times New Roman" w:cs="Times New Roman"/>
          <w:sz w:val="24"/>
          <w:szCs w:val="24"/>
        </w:rPr>
        <w:t>evolver los precios a la senda “sostenible”</w:t>
      </w:r>
      <w:r w:rsidRPr="00FF2469">
        <w:rPr>
          <w:rFonts w:ascii="Times New Roman" w:hAnsi="Times New Roman" w:cs="Times New Roman"/>
          <w:sz w:val="24"/>
          <w:szCs w:val="24"/>
        </w:rPr>
        <w:t xml:space="preserve">. </w:t>
      </w:r>
      <w:r w:rsidRPr="0066164D">
        <w:rPr>
          <w:rFonts w:ascii="Times New Roman" w:hAnsi="Times New Roman" w:cs="Times New Roman"/>
          <w:color w:val="FF0000"/>
          <w:sz w:val="24"/>
          <w:szCs w:val="24"/>
          <w:u w:val="single"/>
        </w:rPr>
        <w:t>Las proyecciones presentadas por la Fed devuelven la inflación (PCE subyacente) a un nivel cercano al 2% entre 2023 y 2024, mientras que la economía sigue creciendo y los tipos de interés no llegan a rebasar el 4%.</w:t>
      </w:r>
      <w:r w:rsidRPr="0066164D">
        <w:rPr>
          <w:rFonts w:ascii="Times New Roman" w:hAnsi="Times New Roman" w:cs="Times New Roman"/>
          <w:color w:val="FF0000"/>
          <w:sz w:val="24"/>
          <w:szCs w:val="24"/>
        </w:rPr>
        <w:t xml:space="preserve"> </w:t>
      </w:r>
      <w:r w:rsidRPr="0066164D">
        <w:rPr>
          <w:rFonts w:ascii="Times New Roman" w:hAnsi="Times New Roman" w:cs="Times New Roman"/>
          <w:color w:val="FF0000"/>
          <w:sz w:val="24"/>
          <w:szCs w:val="24"/>
          <w:u w:val="single"/>
        </w:rPr>
        <w:t>Todo demasiado bonito. Las voces críticas con el plan de la Fed y sus proyecciones son cada vez mayores. Los expertos creen que si los tipos de interés no suben por encima del PCE (el indicador fetiche de la Fed para medir la inflación) resultará imposible domeñar la inflación. La otra opción, que tampoco valora la Fed, para generar un periodo de desinflación es la temida recesión.</w:t>
      </w:r>
    </w:p>
    <w:p w:rsidR="00260465" w:rsidRPr="00FF2469" w:rsidRDefault="00260465" w:rsidP="00260465">
      <w:pPr>
        <w:autoSpaceDE w:val="0"/>
        <w:autoSpaceDN w:val="0"/>
        <w:adjustRightInd w:val="0"/>
        <w:spacing w:after="0" w:line="240" w:lineRule="auto"/>
        <w:jc w:val="both"/>
        <w:rPr>
          <w:rFonts w:ascii="Times New Roman" w:hAnsi="Times New Roman" w:cs="Times New Roman"/>
          <w:sz w:val="24"/>
          <w:szCs w:val="24"/>
        </w:rPr>
      </w:pPr>
    </w:p>
    <w:p w:rsidR="00260465" w:rsidRPr="0066164D" w:rsidRDefault="00260465" w:rsidP="00260465">
      <w:pPr>
        <w:autoSpaceDE w:val="0"/>
        <w:autoSpaceDN w:val="0"/>
        <w:adjustRightInd w:val="0"/>
        <w:spacing w:after="0"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El “error”</w:t>
      </w:r>
      <w:r w:rsidRPr="0066164D">
        <w:rPr>
          <w:rFonts w:ascii="Times New Roman" w:hAnsi="Times New Roman" w:cs="Times New Roman"/>
          <w:color w:val="FF0000"/>
          <w:sz w:val="24"/>
          <w:szCs w:val="24"/>
          <w:u w:val="single"/>
        </w:rPr>
        <w:t xml:space="preserve"> al que hacen referencia estos expertos gira en torno a los tipos de interés reales. La Reserva Federal p</w:t>
      </w:r>
      <w:r>
        <w:rPr>
          <w:rFonts w:ascii="Times New Roman" w:hAnsi="Times New Roman" w:cs="Times New Roman"/>
          <w:color w:val="FF0000"/>
          <w:sz w:val="24"/>
          <w:szCs w:val="24"/>
          <w:u w:val="single"/>
        </w:rPr>
        <w:t>revé que la inflación baje por “arte de magia”</w:t>
      </w:r>
      <w:r w:rsidRPr="0066164D">
        <w:rPr>
          <w:rFonts w:ascii="Times New Roman" w:hAnsi="Times New Roman" w:cs="Times New Roman"/>
          <w:color w:val="FF0000"/>
          <w:sz w:val="24"/>
          <w:szCs w:val="24"/>
          <w:u w:val="single"/>
        </w:rPr>
        <w:t xml:space="preserve">. Si los tipos de interés </w:t>
      </w:r>
      <w:r w:rsidRPr="0066164D">
        <w:rPr>
          <w:rFonts w:ascii="Times New Roman" w:hAnsi="Times New Roman" w:cs="Times New Roman"/>
          <w:color w:val="FF0000"/>
          <w:sz w:val="24"/>
          <w:szCs w:val="24"/>
          <w:u w:val="single"/>
        </w:rPr>
        <w:lastRenderedPageBreak/>
        <w:t>nominales (ahora mismo en el 1,5-1,75%) no se colocan por encima de la inflación, la política monetaria no alcanzará el tono contractivo que necesita hoy (con la consecuente destrucción de empleo y actividad) para rebajar la inflación. Por ello, varios economistas creen que o la Fed oculta algo (la previsión de una recesión), no está aportando todos los datos o, simplemente, está llegando mal y tarde</w:t>
      </w:r>
      <w:r w:rsidRPr="00260465">
        <w:rPr>
          <w:rFonts w:ascii="Times New Roman" w:hAnsi="Times New Roman" w:cs="Times New Roman"/>
          <w:color w:val="FF0000"/>
          <w:sz w:val="24"/>
          <w:szCs w:val="24"/>
        </w:rPr>
        <w:t>…</w:t>
      </w:r>
    </w:p>
    <w:p w:rsidR="00260465" w:rsidRPr="00FF2469" w:rsidRDefault="00260465" w:rsidP="00260465">
      <w:pPr>
        <w:autoSpaceDE w:val="0"/>
        <w:autoSpaceDN w:val="0"/>
        <w:adjustRightInd w:val="0"/>
        <w:spacing w:after="0" w:line="240" w:lineRule="auto"/>
        <w:jc w:val="both"/>
        <w:rPr>
          <w:rFonts w:ascii="Times New Roman" w:hAnsi="Times New Roman" w:cs="Times New Roman"/>
          <w:sz w:val="24"/>
          <w:szCs w:val="24"/>
        </w:rPr>
      </w:pPr>
    </w:p>
    <w:p w:rsidR="00260465" w:rsidRDefault="00260465" w:rsidP="00260465">
      <w:pPr>
        <w:autoSpaceDE w:val="0"/>
        <w:autoSpaceDN w:val="0"/>
        <w:adjustRightInd w:val="0"/>
        <w:spacing w:after="0" w:line="240" w:lineRule="auto"/>
        <w:jc w:val="both"/>
        <w:rPr>
          <w:rFonts w:ascii="Times New Roman" w:hAnsi="Times New Roman" w:cs="Times New Roman"/>
          <w:sz w:val="24"/>
          <w:szCs w:val="24"/>
        </w:rPr>
      </w:pPr>
      <w:r w:rsidRPr="00FF2469">
        <w:rPr>
          <w:rFonts w:ascii="Times New Roman" w:hAnsi="Times New Roman" w:cs="Times New Roman"/>
          <w:sz w:val="24"/>
          <w:szCs w:val="24"/>
        </w:rPr>
        <w:t>Destacadas personalidades del mundo económico como el exsecretario del Tesoro Larry Summers o los expertos en política monetaria y profesores de universidad Stephen G. Cecchetti y Kermit L. Schoenholtz consideran inadmisible esta estimación.</w:t>
      </w:r>
    </w:p>
    <w:p w:rsidR="00260465" w:rsidRDefault="00260465" w:rsidP="00260465">
      <w:pPr>
        <w:autoSpaceDE w:val="0"/>
        <w:autoSpaceDN w:val="0"/>
        <w:adjustRightInd w:val="0"/>
        <w:spacing w:after="0" w:line="240" w:lineRule="auto"/>
        <w:jc w:val="both"/>
        <w:rPr>
          <w:rFonts w:ascii="Times New Roman" w:hAnsi="Times New Roman" w:cs="Times New Roman"/>
          <w:sz w:val="24"/>
          <w:szCs w:val="24"/>
        </w:rPr>
      </w:pPr>
    </w:p>
    <w:p w:rsidR="00260465" w:rsidRPr="0066164D" w:rsidRDefault="00260465" w:rsidP="00260465">
      <w:pPr>
        <w:autoSpaceDE w:val="0"/>
        <w:autoSpaceDN w:val="0"/>
        <w:adjustRightInd w:val="0"/>
        <w:spacing w:after="0" w:line="240" w:lineRule="auto"/>
        <w:jc w:val="both"/>
        <w:rPr>
          <w:rFonts w:ascii="Times New Roman" w:hAnsi="Times New Roman" w:cs="Times New Roman"/>
          <w:sz w:val="24"/>
          <w:szCs w:val="24"/>
          <w:u w:val="single"/>
        </w:rPr>
      </w:pPr>
      <w:r w:rsidRPr="00FF2469">
        <w:rPr>
          <w:rFonts w:ascii="Times New Roman" w:hAnsi="Times New Roman" w:cs="Times New Roman"/>
          <w:sz w:val="24"/>
          <w:szCs w:val="24"/>
        </w:rPr>
        <w:t>Estos úl</w:t>
      </w:r>
      <w:r>
        <w:rPr>
          <w:rFonts w:ascii="Times New Roman" w:hAnsi="Times New Roman" w:cs="Times New Roman"/>
          <w:sz w:val="24"/>
          <w:szCs w:val="24"/>
        </w:rPr>
        <w:t>timos advierten en un post que “</w:t>
      </w:r>
      <w:r w:rsidRPr="00FF2469">
        <w:rPr>
          <w:rFonts w:ascii="Times New Roman" w:hAnsi="Times New Roman" w:cs="Times New Roman"/>
          <w:sz w:val="24"/>
          <w:szCs w:val="24"/>
        </w:rPr>
        <w:t xml:space="preserve">actuar muy poco y muy tarde tiene sus costes. Los empresarios pierden negocios. Los agricultores pierden cosechas. Los médicos pierden pacientes. </w:t>
      </w:r>
      <w:r w:rsidRPr="0066164D">
        <w:rPr>
          <w:rFonts w:ascii="Times New Roman" w:hAnsi="Times New Roman" w:cs="Times New Roman"/>
          <w:color w:val="FF0000"/>
          <w:sz w:val="24"/>
          <w:szCs w:val="24"/>
          <w:u w:val="single"/>
        </w:rPr>
        <w:t>Los banqueros centrales que actúan demasiado poco y demasiado tarde corren el riesgo de generar más inflación, una recesión o ambas</w:t>
      </w:r>
      <w:r w:rsidRPr="00FF2469">
        <w:rPr>
          <w:rFonts w:ascii="Times New Roman" w:hAnsi="Times New Roman" w:cs="Times New Roman"/>
          <w:sz w:val="24"/>
          <w:szCs w:val="24"/>
        </w:rPr>
        <w:t xml:space="preserve">. </w:t>
      </w:r>
      <w:r w:rsidRPr="0066164D">
        <w:rPr>
          <w:rFonts w:ascii="Times New Roman" w:hAnsi="Times New Roman" w:cs="Times New Roman"/>
          <w:sz w:val="24"/>
          <w:szCs w:val="24"/>
          <w:u w:val="single"/>
        </w:rPr>
        <w:t>Todos, incluidos los miembros del Comité Federal de Mercado Abierto, saben que el FOMC se ha retrasado en su campaña actual para rest</w:t>
      </w:r>
      <w:r>
        <w:rPr>
          <w:rFonts w:ascii="Times New Roman" w:hAnsi="Times New Roman" w:cs="Times New Roman"/>
          <w:sz w:val="24"/>
          <w:szCs w:val="24"/>
          <w:u w:val="single"/>
        </w:rPr>
        <w:t>aurar la estabilidad de precios”</w:t>
      </w:r>
      <w:r w:rsidRPr="0066164D">
        <w:rPr>
          <w:rFonts w:ascii="Times New Roman" w:hAnsi="Times New Roman" w:cs="Times New Roman"/>
          <w:sz w:val="24"/>
          <w:szCs w:val="24"/>
          <w:u w:val="single"/>
        </w:rPr>
        <w:t>.</w:t>
      </w:r>
    </w:p>
    <w:p w:rsidR="00260465" w:rsidRDefault="00260465" w:rsidP="00260465">
      <w:pPr>
        <w:autoSpaceDE w:val="0"/>
        <w:autoSpaceDN w:val="0"/>
        <w:adjustRightInd w:val="0"/>
        <w:spacing w:after="0" w:line="240" w:lineRule="auto"/>
        <w:jc w:val="both"/>
        <w:rPr>
          <w:rFonts w:ascii="Times New Roman" w:hAnsi="Times New Roman" w:cs="Times New Roman"/>
          <w:sz w:val="24"/>
          <w:szCs w:val="24"/>
        </w:rPr>
      </w:pPr>
    </w:p>
    <w:p w:rsidR="00260465" w:rsidRPr="00FF2469" w:rsidRDefault="00260465" w:rsidP="00260465">
      <w:pPr>
        <w:autoSpaceDE w:val="0"/>
        <w:autoSpaceDN w:val="0"/>
        <w:adjustRightInd w:val="0"/>
        <w:spacing w:after="0" w:line="240" w:lineRule="auto"/>
        <w:jc w:val="both"/>
        <w:rPr>
          <w:rFonts w:ascii="Times New Roman" w:hAnsi="Times New Roman" w:cs="Times New Roman"/>
          <w:sz w:val="24"/>
          <w:szCs w:val="24"/>
        </w:rPr>
      </w:pPr>
      <w:r w:rsidRPr="004906DE">
        <w:rPr>
          <w:rFonts w:ascii="Times New Roman" w:hAnsi="Times New Roman" w:cs="Times New Roman"/>
          <w:noProof/>
          <w:sz w:val="24"/>
          <w:szCs w:val="24"/>
          <w:lang w:eastAsia="es-ES"/>
        </w:rPr>
        <w:drawing>
          <wp:inline distT="0" distB="0" distL="0" distR="0" wp14:anchorId="1DAA00BF" wp14:editId="1DEB6107">
            <wp:extent cx="5727700" cy="3213100"/>
            <wp:effectExtent l="0" t="0" r="6350" b="6350"/>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5731510" cy="3215237"/>
                    </a:xfrm>
                    <a:prstGeom prst="rect">
                      <a:avLst/>
                    </a:prstGeom>
                  </pic:spPr>
                </pic:pic>
              </a:graphicData>
            </a:graphic>
          </wp:inline>
        </w:drawing>
      </w:r>
    </w:p>
    <w:p w:rsidR="00260465" w:rsidRPr="00FF2469" w:rsidRDefault="00260465" w:rsidP="00260465">
      <w:pPr>
        <w:autoSpaceDE w:val="0"/>
        <w:autoSpaceDN w:val="0"/>
        <w:adjustRightInd w:val="0"/>
        <w:spacing w:after="0" w:line="240" w:lineRule="auto"/>
        <w:jc w:val="both"/>
        <w:rPr>
          <w:rFonts w:ascii="Times New Roman" w:hAnsi="Times New Roman" w:cs="Times New Roman"/>
          <w:sz w:val="24"/>
          <w:szCs w:val="24"/>
        </w:rPr>
      </w:pPr>
    </w:p>
    <w:p w:rsidR="00260465" w:rsidRPr="00FF2469" w:rsidRDefault="00260465" w:rsidP="00260465">
      <w:pPr>
        <w:autoSpaceDE w:val="0"/>
        <w:autoSpaceDN w:val="0"/>
        <w:adjustRightInd w:val="0"/>
        <w:spacing w:after="0" w:line="240" w:lineRule="auto"/>
        <w:jc w:val="both"/>
        <w:rPr>
          <w:rFonts w:ascii="Times New Roman" w:hAnsi="Times New Roman" w:cs="Times New Roman"/>
          <w:sz w:val="24"/>
          <w:szCs w:val="24"/>
        </w:rPr>
      </w:pPr>
    </w:p>
    <w:p w:rsidR="00260465" w:rsidRPr="00FF2469" w:rsidRDefault="00260465" w:rsidP="00260465">
      <w:pPr>
        <w:autoSpaceDE w:val="0"/>
        <w:autoSpaceDN w:val="0"/>
        <w:adjustRightInd w:val="0"/>
        <w:spacing w:after="0" w:line="240" w:lineRule="auto"/>
        <w:jc w:val="both"/>
        <w:rPr>
          <w:rFonts w:ascii="Times New Roman" w:hAnsi="Times New Roman" w:cs="Times New Roman"/>
          <w:sz w:val="24"/>
          <w:szCs w:val="24"/>
        </w:rPr>
      </w:pPr>
      <w:r w:rsidRPr="0066164D">
        <w:rPr>
          <w:rFonts w:ascii="Times New Roman" w:hAnsi="Times New Roman" w:cs="Times New Roman"/>
          <w:color w:val="FF0000"/>
          <w:sz w:val="24"/>
          <w:szCs w:val="24"/>
          <w:u w:val="single"/>
        </w:rPr>
        <w:t>En ese contexto, el aumento de 75 puntos básicos, el mayor en casi 30 años, supone un giro agresivo, pero que por ahora no</w:t>
      </w:r>
      <w:r>
        <w:rPr>
          <w:rFonts w:ascii="Times New Roman" w:hAnsi="Times New Roman" w:cs="Times New Roman"/>
          <w:color w:val="FF0000"/>
          <w:sz w:val="24"/>
          <w:szCs w:val="24"/>
          <w:u w:val="single"/>
        </w:rPr>
        <w:t xml:space="preserve"> cambia la panorámica general: “</w:t>
      </w:r>
      <w:r w:rsidRPr="0066164D">
        <w:rPr>
          <w:rFonts w:ascii="Times New Roman" w:hAnsi="Times New Roman" w:cs="Times New Roman"/>
          <w:color w:val="FF0000"/>
          <w:sz w:val="24"/>
          <w:szCs w:val="24"/>
          <w:u w:val="single"/>
        </w:rPr>
        <w:t>La política en sí sigue siendo acomodaticia, estimulando la economía en lugar de frenarla</w:t>
      </w:r>
      <w:r w:rsidRPr="00FF2469">
        <w:rPr>
          <w:rFonts w:ascii="Times New Roman" w:hAnsi="Times New Roman" w:cs="Times New Roman"/>
          <w:sz w:val="24"/>
          <w:szCs w:val="24"/>
        </w:rPr>
        <w:t>. En la práctica, la inacción de las políticas (fiscal y monetaria) seguida de una gran recuperación alimenta la incertidumbre, que ahora se refleja directamente en las encuestas de inflación e indirectamente en la caída de la confianza del consumidor y las búsquedas récord en Google tanto de inflación como de recesión. Los aumentos de tipos más frecuentes y más grandes ahora son una respuesta incómoda, p</w:t>
      </w:r>
      <w:r>
        <w:rPr>
          <w:rFonts w:ascii="Times New Roman" w:hAnsi="Times New Roman" w:cs="Times New Roman"/>
          <w:sz w:val="24"/>
          <w:szCs w:val="24"/>
        </w:rPr>
        <w:t>ero necesaria para llegar tarde”</w:t>
      </w:r>
      <w:r w:rsidRPr="00FF2469">
        <w:rPr>
          <w:rFonts w:ascii="Times New Roman" w:hAnsi="Times New Roman" w:cs="Times New Roman"/>
          <w:sz w:val="24"/>
          <w:szCs w:val="24"/>
        </w:rPr>
        <w:t>, aseguran Stephen G. Cecchetti y Kermit L. Schoenholtz, dos de los grandes expertos en política monetaria de EEUU</w:t>
      </w:r>
      <w:r>
        <w:rPr>
          <w:rFonts w:ascii="Times New Roman" w:hAnsi="Times New Roman" w:cs="Times New Roman"/>
          <w:sz w:val="24"/>
          <w:szCs w:val="24"/>
        </w:rPr>
        <w:t>..</w:t>
      </w:r>
      <w:r w:rsidRPr="00FF2469">
        <w:rPr>
          <w:rFonts w:ascii="Times New Roman" w:hAnsi="Times New Roman" w:cs="Times New Roman"/>
          <w:sz w:val="24"/>
          <w:szCs w:val="24"/>
        </w:rPr>
        <w:t>.</w:t>
      </w:r>
    </w:p>
    <w:p w:rsidR="00260465" w:rsidRPr="00FF2469" w:rsidRDefault="00260465" w:rsidP="00260465">
      <w:pPr>
        <w:autoSpaceDE w:val="0"/>
        <w:autoSpaceDN w:val="0"/>
        <w:adjustRightInd w:val="0"/>
        <w:spacing w:after="0" w:line="240" w:lineRule="auto"/>
        <w:jc w:val="both"/>
        <w:rPr>
          <w:rFonts w:ascii="Times New Roman" w:hAnsi="Times New Roman" w:cs="Times New Roman"/>
          <w:sz w:val="24"/>
          <w:szCs w:val="24"/>
        </w:rPr>
      </w:pPr>
    </w:p>
    <w:p w:rsidR="00260465" w:rsidRPr="00523F20" w:rsidRDefault="00260465" w:rsidP="00260465">
      <w:pPr>
        <w:autoSpaceDE w:val="0"/>
        <w:autoSpaceDN w:val="0"/>
        <w:adjustRightInd w:val="0"/>
        <w:spacing w:after="0" w:line="240" w:lineRule="auto"/>
        <w:jc w:val="both"/>
        <w:rPr>
          <w:rFonts w:ascii="Times New Roman" w:hAnsi="Times New Roman" w:cs="Times New Roman"/>
          <w:b/>
          <w:color w:val="FF0000"/>
          <w:sz w:val="24"/>
          <w:szCs w:val="24"/>
          <w:u w:val="single"/>
        </w:rPr>
      </w:pPr>
      <w:r w:rsidRPr="00523F20">
        <w:rPr>
          <w:rFonts w:ascii="Times New Roman" w:hAnsi="Times New Roman" w:cs="Times New Roman"/>
          <w:b/>
          <w:color w:val="FF0000"/>
          <w:sz w:val="24"/>
          <w:szCs w:val="24"/>
          <w:u w:val="single"/>
        </w:rPr>
        <w:t>Estos economistas argumentan que los periodos de desinflación pasados han necesitado de políticas monetarias más duras y de recesión para reb</w:t>
      </w:r>
      <w:r>
        <w:rPr>
          <w:rFonts w:ascii="Times New Roman" w:hAnsi="Times New Roman" w:cs="Times New Roman"/>
          <w:b/>
          <w:color w:val="FF0000"/>
          <w:sz w:val="24"/>
          <w:szCs w:val="24"/>
          <w:u w:val="single"/>
        </w:rPr>
        <w:t>ajar la fuerza de los precios: “</w:t>
      </w:r>
      <w:r w:rsidRPr="00523F20">
        <w:rPr>
          <w:rFonts w:ascii="Times New Roman" w:hAnsi="Times New Roman" w:cs="Times New Roman"/>
          <w:b/>
          <w:color w:val="FF0000"/>
          <w:sz w:val="24"/>
          <w:szCs w:val="24"/>
          <w:u w:val="single"/>
        </w:rPr>
        <w:t xml:space="preserve">Nos resulta difícil cuadrar las proyecciones del FOMC sobre la inflación con solo un </w:t>
      </w:r>
      <w:r w:rsidRPr="00523F20">
        <w:rPr>
          <w:rFonts w:ascii="Times New Roman" w:hAnsi="Times New Roman" w:cs="Times New Roman"/>
          <w:b/>
          <w:color w:val="FF0000"/>
          <w:sz w:val="24"/>
          <w:szCs w:val="24"/>
          <w:u w:val="single"/>
        </w:rPr>
        <w:lastRenderedPageBreak/>
        <w:t>endurecimiento modesto de la política monetaria. En pocas palabras, dudamos que las subidas de los tipos de interés proyectados sean suficiente para reducir la inflación al</w:t>
      </w:r>
      <w:r>
        <w:rPr>
          <w:rFonts w:ascii="Times New Roman" w:hAnsi="Times New Roman" w:cs="Times New Roman"/>
          <w:b/>
          <w:color w:val="FF0000"/>
          <w:sz w:val="24"/>
          <w:szCs w:val="24"/>
          <w:u w:val="single"/>
        </w:rPr>
        <w:t xml:space="preserve"> 2% en ausencia de una recesión”</w:t>
      </w:r>
      <w:r w:rsidRPr="00523F20">
        <w:rPr>
          <w:rFonts w:ascii="Times New Roman" w:hAnsi="Times New Roman" w:cs="Times New Roman"/>
          <w:b/>
          <w:color w:val="FF0000"/>
          <w:sz w:val="24"/>
          <w:szCs w:val="24"/>
          <w:u w:val="single"/>
        </w:rPr>
        <w:t xml:space="preserve">. Estos expertos creen que los tipos tendrían que subir por encima del 5% para deshacer las fuerzas inflacionarias. Otra opción es la llegada de una recesión, que haría en parte </w:t>
      </w:r>
      <w:r>
        <w:rPr>
          <w:rFonts w:ascii="Times New Roman" w:hAnsi="Times New Roman" w:cs="Times New Roman"/>
          <w:b/>
          <w:color w:val="FF0000"/>
          <w:sz w:val="24"/>
          <w:szCs w:val="24"/>
          <w:u w:val="single"/>
        </w:rPr>
        <w:t>el trabajo “sucio”</w:t>
      </w:r>
      <w:r w:rsidRPr="00523F20">
        <w:rPr>
          <w:rFonts w:ascii="Times New Roman" w:hAnsi="Times New Roman" w:cs="Times New Roman"/>
          <w:b/>
          <w:color w:val="FF0000"/>
          <w:sz w:val="24"/>
          <w:szCs w:val="24"/>
          <w:u w:val="single"/>
        </w:rPr>
        <w:t xml:space="preserve"> a la Fed. ¿Por qué las proyecciones de la Fed parecen poco creíbles? La clave está en el mercado laboral.</w:t>
      </w:r>
    </w:p>
    <w:p w:rsidR="00260465" w:rsidRPr="00FF2469" w:rsidRDefault="00260465" w:rsidP="00260465">
      <w:pPr>
        <w:autoSpaceDE w:val="0"/>
        <w:autoSpaceDN w:val="0"/>
        <w:adjustRightInd w:val="0"/>
        <w:spacing w:after="0" w:line="240" w:lineRule="auto"/>
        <w:jc w:val="both"/>
        <w:rPr>
          <w:rFonts w:ascii="Times New Roman" w:hAnsi="Times New Roman" w:cs="Times New Roman"/>
          <w:sz w:val="24"/>
          <w:szCs w:val="24"/>
        </w:rPr>
      </w:pPr>
    </w:p>
    <w:p w:rsidR="00260465" w:rsidRPr="00FF2469" w:rsidRDefault="00260465" w:rsidP="00260465">
      <w:pPr>
        <w:autoSpaceDE w:val="0"/>
        <w:autoSpaceDN w:val="0"/>
        <w:adjustRightInd w:val="0"/>
        <w:spacing w:after="0" w:line="240" w:lineRule="auto"/>
        <w:jc w:val="both"/>
        <w:rPr>
          <w:rFonts w:ascii="Times New Roman" w:hAnsi="Times New Roman" w:cs="Times New Roman"/>
          <w:sz w:val="24"/>
          <w:szCs w:val="24"/>
        </w:rPr>
      </w:pPr>
    </w:p>
    <w:p w:rsidR="00260465" w:rsidRPr="00260465" w:rsidRDefault="00260465" w:rsidP="00260465">
      <w:pPr>
        <w:autoSpaceDE w:val="0"/>
        <w:autoSpaceDN w:val="0"/>
        <w:adjustRightInd w:val="0"/>
        <w:spacing w:after="0" w:line="240" w:lineRule="auto"/>
        <w:jc w:val="both"/>
        <w:rPr>
          <w:rFonts w:ascii="Times New Roman" w:hAnsi="Times New Roman" w:cs="Times New Roman"/>
          <w:b/>
          <w:color w:val="FF0000"/>
          <w:sz w:val="24"/>
          <w:szCs w:val="24"/>
        </w:rPr>
      </w:pPr>
      <w:r w:rsidRPr="00523F20">
        <w:rPr>
          <w:rFonts w:ascii="Times New Roman" w:hAnsi="Times New Roman" w:cs="Times New Roman"/>
          <w:b/>
          <w:color w:val="FF0000"/>
          <w:sz w:val="24"/>
          <w:szCs w:val="24"/>
          <w:u w:val="single"/>
        </w:rPr>
        <w:t>El sacrificio en el empleo sería mínimo para tan acusado descenso de la inflación. La Fed no estaría viendo la recesión. Summers planteaba que para llegar a ese obje</w:t>
      </w:r>
      <w:r>
        <w:rPr>
          <w:rFonts w:ascii="Times New Roman" w:hAnsi="Times New Roman" w:cs="Times New Roman"/>
          <w:b/>
          <w:color w:val="FF0000"/>
          <w:sz w:val="24"/>
          <w:szCs w:val="24"/>
          <w:u w:val="single"/>
        </w:rPr>
        <w:t>tivo de inflación en 2024 eran “necesarios”</w:t>
      </w:r>
      <w:r w:rsidRPr="00523F20">
        <w:rPr>
          <w:rFonts w:ascii="Times New Roman" w:hAnsi="Times New Roman" w:cs="Times New Roman"/>
          <w:b/>
          <w:color w:val="FF0000"/>
          <w:sz w:val="24"/>
          <w:szCs w:val="24"/>
          <w:u w:val="single"/>
        </w:rPr>
        <w:t xml:space="preserve"> cinco años de desempleo por encima del 5% o dos años en el 7,5% o un año en el 10%, lo que se traduciría en 10 millones de parados más (la última cifra de paro fue un 3,6% en mayo con 6 millones de parados</w:t>
      </w:r>
      <w:r w:rsidRPr="00260465">
        <w:rPr>
          <w:rFonts w:ascii="Times New Roman" w:hAnsi="Times New Roman" w:cs="Times New Roman"/>
          <w:b/>
          <w:color w:val="FF0000"/>
          <w:sz w:val="24"/>
          <w:szCs w:val="24"/>
        </w:rPr>
        <w:t>)…</w:t>
      </w:r>
    </w:p>
    <w:p w:rsidR="00260465" w:rsidRPr="00523F20" w:rsidRDefault="00260465" w:rsidP="00260465">
      <w:pPr>
        <w:autoSpaceDE w:val="0"/>
        <w:autoSpaceDN w:val="0"/>
        <w:adjustRightInd w:val="0"/>
        <w:spacing w:after="0" w:line="240" w:lineRule="auto"/>
        <w:jc w:val="both"/>
        <w:rPr>
          <w:rFonts w:ascii="Times New Roman" w:hAnsi="Times New Roman" w:cs="Times New Roman"/>
          <w:b/>
          <w:color w:val="FF0000"/>
          <w:sz w:val="24"/>
          <w:szCs w:val="24"/>
          <w:u w:val="single"/>
        </w:rPr>
      </w:pPr>
    </w:p>
    <w:p w:rsidR="00260465" w:rsidRPr="00523F20" w:rsidRDefault="00260465" w:rsidP="00260465">
      <w:pPr>
        <w:autoSpaceDE w:val="0"/>
        <w:autoSpaceDN w:val="0"/>
        <w:adjustRightInd w:val="0"/>
        <w:spacing w:after="0" w:line="240" w:lineRule="auto"/>
        <w:jc w:val="both"/>
        <w:rPr>
          <w:rFonts w:ascii="Times New Roman" w:hAnsi="Times New Roman" w:cs="Times New Roman"/>
          <w:color w:val="FF0000"/>
          <w:sz w:val="24"/>
          <w:szCs w:val="24"/>
          <w:u w:val="single"/>
        </w:rPr>
      </w:pPr>
      <w:r w:rsidRPr="00523F20">
        <w:rPr>
          <w:rFonts w:ascii="Times New Roman" w:hAnsi="Times New Roman" w:cs="Times New Roman"/>
          <w:color w:val="FF0000"/>
          <w:sz w:val="24"/>
          <w:szCs w:val="24"/>
          <w:u w:val="single"/>
        </w:rPr>
        <w:t>Traen a colación los autores aquí el concepto de tasa de sacrificio al que ya se refirió Summers: el número de puntos porcentuales de desempleo por encima de la tasa de paro natural necesarios para conseguir una caíd</w:t>
      </w:r>
      <w:r w:rsidR="00814E8D">
        <w:rPr>
          <w:rFonts w:ascii="Times New Roman" w:hAnsi="Times New Roman" w:cs="Times New Roman"/>
          <w:color w:val="FF0000"/>
          <w:sz w:val="24"/>
          <w:szCs w:val="24"/>
          <w:u w:val="single"/>
        </w:rPr>
        <w:t>a de un punto de la inflación. “</w:t>
      </w:r>
      <w:r w:rsidRPr="00523F20">
        <w:rPr>
          <w:rFonts w:ascii="Times New Roman" w:hAnsi="Times New Roman" w:cs="Times New Roman"/>
          <w:color w:val="FF0000"/>
          <w:sz w:val="24"/>
          <w:szCs w:val="24"/>
          <w:u w:val="single"/>
        </w:rPr>
        <w:t>Conviene tener en cuenta que la mediana de la tasa de sacrificio de cada desinflación asociada a la recesión es de 1,2. Esto sería coherente con un aumento de 3,6 puntos porcentuales de la tasa de desempleo para la desinflación de tres puntos porcentuales que la Fed busca actualment</w:t>
      </w:r>
      <w:r w:rsidR="00814E8D">
        <w:rPr>
          <w:rFonts w:ascii="Times New Roman" w:hAnsi="Times New Roman" w:cs="Times New Roman"/>
          <w:color w:val="FF0000"/>
          <w:sz w:val="24"/>
          <w:szCs w:val="24"/>
          <w:u w:val="single"/>
        </w:rPr>
        <w:t>e”</w:t>
      </w:r>
      <w:r w:rsidRPr="00523F20">
        <w:rPr>
          <w:rFonts w:ascii="Times New Roman" w:hAnsi="Times New Roman" w:cs="Times New Roman"/>
          <w:color w:val="FF0000"/>
          <w:sz w:val="24"/>
          <w:szCs w:val="24"/>
          <w:u w:val="single"/>
        </w:rPr>
        <w:t>, explican.</w:t>
      </w:r>
    </w:p>
    <w:p w:rsidR="00260465" w:rsidRPr="00523F20" w:rsidRDefault="00260465" w:rsidP="00260465">
      <w:pPr>
        <w:autoSpaceDE w:val="0"/>
        <w:autoSpaceDN w:val="0"/>
        <w:adjustRightInd w:val="0"/>
        <w:spacing w:after="0" w:line="240" w:lineRule="auto"/>
        <w:jc w:val="both"/>
        <w:rPr>
          <w:rFonts w:ascii="Times New Roman" w:hAnsi="Times New Roman" w:cs="Times New Roman"/>
          <w:color w:val="FF0000"/>
          <w:sz w:val="24"/>
          <w:szCs w:val="24"/>
          <w:u w:val="single"/>
        </w:rPr>
      </w:pPr>
    </w:p>
    <w:p w:rsidR="00260465" w:rsidRPr="00260465" w:rsidRDefault="00260465" w:rsidP="00260465">
      <w:pPr>
        <w:autoSpaceDE w:val="0"/>
        <w:autoSpaceDN w:val="0"/>
        <w:adjustRightInd w:val="0"/>
        <w:spacing w:after="0" w:line="240" w:lineRule="auto"/>
        <w:jc w:val="both"/>
        <w:rPr>
          <w:rFonts w:ascii="Times New Roman" w:hAnsi="Times New Roman" w:cs="Times New Roman"/>
          <w:color w:val="FF0000"/>
          <w:sz w:val="24"/>
          <w:szCs w:val="24"/>
        </w:rPr>
      </w:pPr>
      <w:r w:rsidRPr="00523F20">
        <w:rPr>
          <w:rFonts w:ascii="Times New Roman" w:hAnsi="Times New Roman" w:cs="Times New Roman"/>
          <w:color w:val="FF0000"/>
          <w:sz w:val="24"/>
          <w:szCs w:val="24"/>
          <w:u w:val="single"/>
        </w:rPr>
        <w:t>Dicho de otro modo, concluyen, la historia de las desinflaciones pasadas sugiere que volver a la inflación del 2% irá acompañado de un aumento de la tasa de desempleo (actualmente del 3,6%) hasta cerca del 7%. Algo más acorde a los postulados de Summers</w:t>
      </w:r>
      <w:r w:rsidRPr="00260465">
        <w:rPr>
          <w:rFonts w:ascii="Times New Roman" w:hAnsi="Times New Roman" w:cs="Times New Roman"/>
          <w:color w:val="FF0000"/>
          <w:sz w:val="24"/>
          <w:szCs w:val="24"/>
        </w:rPr>
        <w:t>…</w:t>
      </w:r>
    </w:p>
    <w:p w:rsidR="00260465" w:rsidRPr="00FF2469" w:rsidRDefault="00260465" w:rsidP="00260465">
      <w:pPr>
        <w:autoSpaceDE w:val="0"/>
        <w:autoSpaceDN w:val="0"/>
        <w:adjustRightInd w:val="0"/>
        <w:spacing w:after="0" w:line="240" w:lineRule="auto"/>
        <w:jc w:val="both"/>
        <w:rPr>
          <w:rFonts w:ascii="Times New Roman" w:hAnsi="Times New Roman" w:cs="Times New Roman"/>
          <w:sz w:val="24"/>
          <w:szCs w:val="24"/>
        </w:rPr>
      </w:pPr>
    </w:p>
    <w:p w:rsidR="00260465" w:rsidRPr="005A4113" w:rsidRDefault="00260465" w:rsidP="00260465">
      <w:pPr>
        <w:pStyle w:val="NormalWeb"/>
        <w:spacing w:after="360"/>
        <w:jc w:val="both"/>
        <w:rPr>
          <w:color w:val="FF0000"/>
          <w:shd w:val="clear" w:color="auto" w:fill="FFFFFF"/>
        </w:rPr>
      </w:pPr>
      <w:r w:rsidRPr="004906DE">
        <w:rPr>
          <w:noProof/>
          <w:color w:val="FF0000"/>
          <w:shd w:val="clear" w:color="auto" w:fill="FFFFFF"/>
        </w:rPr>
        <w:drawing>
          <wp:inline distT="0" distB="0" distL="0" distR="0" wp14:anchorId="69F60183" wp14:editId="1DA4F2BB">
            <wp:extent cx="5498866" cy="3257550"/>
            <wp:effectExtent l="0" t="0" r="6985" b="0"/>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5496693" cy="3256262"/>
                    </a:xfrm>
                    <a:prstGeom prst="rect">
                      <a:avLst/>
                    </a:prstGeom>
                  </pic:spPr>
                </pic:pic>
              </a:graphicData>
            </a:graphic>
          </wp:inline>
        </w:drawing>
      </w:r>
    </w:p>
    <w:p w:rsidR="00260465" w:rsidRPr="00260465" w:rsidRDefault="00260465" w:rsidP="00260465">
      <w:pPr>
        <w:pStyle w:val="NormalWeb"/>
        <w:spacing w:after="360"/>
        <w:jc w:val="both"/>
        <w:rPr>
          <w:rFonts w:ascii="Sans" w:hAnsi="Sans"/>
          <w:color w:val="222222"/>
          <w:shd w:val="clear" w:color="auto" w:fill="FFFFFF"/>
        </w:rPr>
      </w:pPr>
      <w:r w:rsidRPr="004906DE">
        <w:rPr>
          <w:rFonts w:ascii="Sans" w:hAnsi="Sans"/>
          <w:noProof/>
          <w:color w:val="222222"/>
          <w:shd w:val="clear" w:color="auto" w:fill="FFFFFF"/>
        </w:rPr>
        <w:lastRenderedPageBreak/>
        <w:drawing>
          <wp:inline distT="0" distB="0" distL="0" distR="0" wp14:anchorId="5C00B83D" wp14:editId="22A8E0DE">
            <wp:extent cx="5620535" cy="2762636"/>
            <wp:effectExtent l="0" t="0" r="0" b="0"/>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5620535" cy="2762636"/>
                    </a:xfrm>
                    <a:prstGeom prst="rect">
                      <a:avLst/>
                    </a:prstGeom>
                  </pic:spPr>
                </pic:pic>
              </a:graphicData>
            </a:graphic>
          </wp:inline>
        </w:drawing>
      </w:r>
      <w:r>
        <w:t xml:space="preserve">- </w:t>
      </w:r>
      <w:r w:rsidRPr="00DB66B1">
        <w:rPr>
          <w:u w:val="single"/>
        </w:rPr>
        <w:t>Roubini alerta de una recesión que mezclará la estanflación de los 70 y la crisis de deuda de 2008</w:t>
      </w:r>
      <w:r>
        <w:t xml:space="preserve"> (El Economista - </w:t>
      </w:r>
      <w:r w:rsidRPr="00DB66B1">
        <w:rPr>
          <w:b/>
        </w:rPr>
        <w:t>5/7/22</w:t>
      </w:r>
      <w:r>
        <w:t>)</w:t>
      </w:r>
    </w:p>
    <w:p w:rsidR="00260465" w:rsidRPr="003128F3" w:rsidRDefault="00260465" w:rsidP="00260465">
      <w:pPr>
        <w:pStyle w:val="NormalWeb"/>
        <w:spacing w:after="360"/>
        <w:jc w:val="both"/>
        <w:rPr>
          <w:color w:val="FF0000"/>
        </w:rPr>
      </w:pPr>
      <w:r w:rsidRPr="003128F3">
        <w:rPr>
          <w:color w:val="FF0000"/>
        </w:rPr>
        <w:t>Prevé que las bols</w:t>
      </w:r>
      <w:r>
        <w:rPr>
          <w:color w:val="FF0000"/>
        </w:rPr>
        <w:t>as caigan hasta un 50% en esta “</w:t>
      </w:r>
      <w:r w:rsidR="005C6BAA">
        <w:rPr>
          <w:color w:val="FF0000"/>
        </w:rPr>
        <w:t>recesión estanflacionaria”</w:t>
      </w:r>
    </w:p>
    <w:p w:rsidR="00260465" w:rsidRPr="003128F3" w:rsidRDefault="00260465" w:rsidP="00260465">
      <w:pPr>
        <w:pStyle w:val="NormalWeb"/>
        <w:spacing w:after="360"/>
        <w:jc w:val="both"/>
        <w:rPr>
          <w:color w:val="FF0000"/>
          <w:u w:val="single"/>
        </w:rPr>
      </w:pPr>
      <w:r w:rsidRPr="003128F3">
        <w:rPr>
          <w:color w:val="FF0000"/>
          <w:u w:val="single"/>
        </w:rPr>
        <w:t xml:space="preserve">Nouriel Roubini vuelve a la carga con sus previsiones más catastrofistas. El profesor de Finanzas de la Universidad de Nueva York, célebre por predecir la crisis de 2008, motivo </w:t>
      </w:r>
      <w:r w:rsidR="00814E8D">
        <w:rPr>
          <w:color w:val="FF0000"/>
          <w:u w:val="single"/>
        </w:rPr>
        <w:t>por el que se ganó el apodo de “Doctor Doom”</w:t>
      </w:r>
      <w:r w:rsidRPr="003128F3">
        <w:rPr>
          <w:color w:val="FF0000"/>
          <w:u w:val="single"/>
        </w:rPr>
        <w:t xml:space="preserve"> (Doctor Catástrofe) alerta de que en el horizonte se vislumbra un shock económico que combinará lo peor de la estanflación de los años 70 y lo peor de la crisis de deuda de 2008 que él mismo intuyó.</w:t>
      </w:r>
    </w:p>
    <w:p w:rsidR="00260465" w:rsidRPr="003128F3" w:rsidRDefault="005C6BAA" w:rsidP="00260465">
      <w:pPr>
        <w:pStyle w:val="NormalWeb"/>
        <w:spacing w:after="360"/>
        <w:jc w:val="both"/>
        <w:rPr>
          <w:b/>
          <w:color w:val="FF0000"/>
          <w:u w:val="single"/>
        </w:rPr>
      </w:pPr>
      <w:r>
        <w:rPr>
          <w:b/>
          <w:color w:val="FF0000"/>
          <w:u w:val="single"/>
        </w:rPr>
        <w:t>“</w:t>
      </w:r>
      <w:r w:rsidR="00260465" w:rsidRPr="003128F3">
        <w:rPr>
          <w:b/>
          <w:color w:val="FF0000"/>
          <w:u w:val="single"/>
        </w:rPr>
        <w:t>La próxima crisis no será como sus predecesoras. En la década de 1970, tuvimos estanflación, pero no hubo crisis de deuda masiva, porque los niveles de deuda eran bajos. Después de 2008, tuvimos una crisis de deuda seguida de baja inflación o deflación, porque la crisis crediticia había generado un choque de demanda negativo. Hoy en día, nos enfrentamos a choques de oferta en un contexto de niveles de deuda mucho más altos, lo que implica que nos dirigimos a una combinación de estanflación al estilo de los años 70 y crisis de deuda al estilo de 2008, es decir, una c</w:t>
      </w:r>
      <w:r>
        <w:rPr>
          <w:b/>
          <w:color w:val="FF0000"/>
          <w:u w:val="single"/>
        </w:rPr>
        <w:t>risis de deuda estanflacionaria”</w:t>
      </w:r>
      <w:r w:rsidR="00260465" w:rsidRPr="003128F3">
        <w:rPr>
          <w:b/>
          <w:color w:val="FF0000"/>
          <w:u w:val="single"/>
        </w:rPr>
        <w:t>, sintetiza Roubini en su último artículo en Project Syndicate.</w:t>
      </w:r>
    </w:p>
    <w:p w:rsidR="00260465" w:rsidRPr="003128F3" w:rsidRDefault="00260465" w:rsidP="00260465">
      <w:pPr>
        <w:pStyle w:val="NormalWeb"/>
        <w:spacing w:after="360"/>
        <w:jc w:val="both"/>
        <w:rPr>
          <w:color w:val="FF0000"/>
          <w:u w:val="single"/>
        </w:rPr>
      </w:pPr>
      <w:r>
        <w:t xml:space="preserve">El académico ve muchas razones para creer que la próxima recesión estará marcada por una grave crisis de deuda estanflacionaria: </w:t>
      </w:r>
      <w:r w:rsidRPr="003128F3">
        <w:rPr>
          <w:color w:val="FF0000"/>
          <w:u w:val="single"/>
        </w:rPr>
        <w:t>“En proporción al PIB mundial, los niveles de deuda privada y pública son hoy mucho más altos que en el pasado, habiendo pasado del 200% en 1999 al 350% en la actualidad (con un aumento especialmente acusado desde el inicio de la pandemia). En estas condiciones, la rápida normalización de la política monetaria y el aumento de los tipos de interés llevarán a la quiebra y al impago a hogares, empresas, instituciones financieras y gobiernos altamente apalancados”.</w:t>
      </w:r>
    </w:p>
    <w:p w:rsidR="00260465" w:rsidRPr="003128F3" w:rsidRDefault="00260465" w:rsidP="00260465">
      <w:pPr>
        <w:pStyle w:val="NormalWeb"/>
        <w:spacing w:after="360"/>
        <w:jc w:val="both"/>
        <w:rPr>
          <w:color w:val="FF0000"/>
          <w:u w:val="single"/>
        </w:rPr>
      </w:pPr>
      <w:r w:rsidRPr="003128F3">
        <w:rPr>
          <w:color w:val="FF0000"/>
          <w:u w:val="single"/>
        </w:rPr>
        <w:t>En su escrito, Roubini aprovecha para atizar a aquellos que preveían una inflación transitoria tras la pandemia frente a los que teorizaron con una persistente. En la misma línea, pone énfasis en la cantidad de “conversos” que han pasado de prever un “aterrizaje suave” de la economía a uno brusco. Siguiendo el mismo patrón, tilda de “ingenuos” a aquellos que siguen sosteniendo que cualquier recesión será superficial y breve.</w:t>
      </w:r>
    </w:p>
    <w:p w:rsidR="00260465" w:rsidRPr="0085565F" w:rsidRDefault="00260465" w:rsidP="00260465">
      <w:pPr>
        <w:pStyle w:val="NormalWeb"/>
        <w:spacing w:after="360"/>
        <w:jc w:val="both"/>
        <w:rPr>
          <w:color w:val="FF0000"/>
          <w:u w:val="single"/>
        </w:rPr>
      </w:pPr>
      <w:r w:rsidRPr="0085565F">
        <w:rPr>
          <w:color w:val="FF0000"/>
          <w:u w:val="single"/>
        </w:rPr>
        <w:lastRenderedPageBreak/>
        <w:t>En este punto, el experto apunta a los bancos centrales: “Si dejan de endurecer su política una vez que el “aterrizaje brusco” sea probable, podemos esperar un aumento persistente de la inflación y un sobrecalentamiento económico (inflación por encima del objetivo y crecimiento potencial) o estanflación (inflación por encima del objetivo y recesión), dependiendo de si dominan los choques de demanda o de oferta”.</w:t>
      </w:r>
    </w:p>
    <w:p w:rsidR="00260465" w:rsidRPr="0085565F" w:rsidRDefault="00260465" w:rsidP="00260465">
      <w:pPr>
        <w:pStyle w:val="NormalWeb"/>
        <w:spacing w:after="360"/>
        <w:jc w:val="both"/>
        <w:rPr>
          <w:color w:val="FF0000"/>
          <w:u w:val="single"/>
        </w:rPr>
      </w:pPr>
      <w:r>
        <w:t xml:space="preserve">“La mayoría de los analistas del mercado parecen pensar que los bancos centrales seguirán siendo agresivos, pero yo no estoy tan seguro”, considera. </w:t>
      </w:r>
      <w:r w:rsidRPr="0085565F">
        <w:rPr>
          <w:color w:val="FF0000"/>
          <w:u w:val="single"/>
        </w:rPr>
        <w:t>“He argumentado que acabarán cediendo y aceptando una mayor inflación -seguida de estanflación- una vez que el “aterrizaje brusco” sea inminente, porque les preocupará el daño de una recesión y una trampa de la deuda, debido a una acumulación excesiva de pasivos privados y públicos tras años de bajos tipos de interés”, añade.</w:t>
      </w:r>
    </w:p>
    <w:p w:rsidR="00260465" w:rsidRPr="0085565F" w:rsidRDefault="00260465" w:rsidP="00260465">
      <w:pPr>
        <w:pStyle w:val="NormalWeb"/>
        <w:spacing w:after="360"/>
        <w:jc w:val="both"/>
        <w:rPr>
          <w:color w:val="FF0000"/>
          <w:u w:val="single"/>
        </w:rPr>
      </w:pPr>
      <w:r>
        <w:t xml:space="preserve">Roubini pone el acento en que la situación actual es fundamentalmente diferente a la de la crisis financiera mundial o a la de los primeros meses de la pandemia, cuando los bancos centrales podían relajar la política monetaria de forma agresiva en respuesta a la caída de la demanda agregada y la presión deflacionista. </w:t>
      </w:r>
      <w:r w:rsidRPr="0085565F">
        <w:rPr>
          <w:color w:val="FF0000"/>
          <w:u w:val="single"/>
        </w:rPr>
        <w:t>“El espacio para la expansión fiscal también será más limitado esta vez. La mayor parte de la munición fiscal se ha utilizado, y las deudas públicas se están volviendo insostenibles”, explica.</w:t>
      </w:r>
    </w:p>
    <w:p w:rsidR="00260465" w:rsidRDefault="00260465" w:rsidP="00260465">
      <w:pPr>
        <w:pStyle w:val="NormalWeb"/>
        <w:spacing w:after="360"/>
        <w:jc w:val="both"/>
      </w:pPr>
      <w:r w:rsidRPr="0085565F">
        <w:rPr>
          <w:color w:val="FF0000"/>
          <w:u w:val="single"/>
        </w:rPr>
        <w:t>Además, señala, dado que el aumento de la inflación actual es un fenómeno mundial y la mayoría de los bancos centrales están endureciendo sus políticas al mismo tiempo, aumenta la probabilidad de una “recesión mundial sincronizada</w:t>
      </w:r>
      <w:r w:rsidRPr="00814E8D">
        <w:rPr>
          <w:color w:val="FF0000"/>
        </w:rPr>
        <w:t>”</w:t>
      </w:r>
      <w:r>
        <w:t>. Este endurecimiento, constata Roubini, ya está surtiendo efecto: “Las burbujas se están desinflando en todas partes, incluso en la renta variable, los bienes raíces, la vivienda, las “acciones meme”, las criptomonedas, las SPAC, los bonos y los instrumentos de crédito”.</w:t>
      </w:r>
    </w:p>
    <w:p w:rsidR="00260465" w:rsidRPr="0085565F" w:rsidRDefault="00260465" w:rsidP="00260465">
      <w:pPr>
        <w:pStyle w:val="NormalWeb"/>
        <w:spacing w:after="360"/>
        <w:jc w:val="both"/>
        <w:rPr>
          <w:color w:val="FF0000"/>
          <w:u w:val="single"/>
        </w:rPr>
      </w:pPr>
      <w:r w:rsidRPr="0085565F">
        <w:rPr>
          <w:color w:val="FF0000"/>
          <w:u w:val="single"/>
        </w:rPr>
        <w:t>Esto le lleva a lanzar una dura admonición sobre las bolsas. Si en las típicas recesiones normales, indica, la renta variable estadounidense y mundial tiende a caer alrededor de un 35%, “dado que la próxima recesión será estanflacionaria y vendrá acompañada de una crisis financiera, el desplome de los mercados de renta variable podría acercarse al 50%”.</w:t>
      </w:r>
    </w:p>
    <w:p w:rsidR="00260465" w:rsidRPr="0085565F" w:rsidRDefault="00260465" w:rsidP="00260465">
      <w:pPr>
        <w:pStyle w:val="NormalWeb"/>
        <w:spacing w:after="360"/>
        <w:jc w:val="both"/>
        <w:rPr>
          <w:b/>
          <w:color w:val="FF0000"/>
          <w:u w:val="single"/>
        </w:rPr>
      </w:pPr>
      <w:r>
        <w:t xml:space="preserve">“Independientemente de que la recesión sea leve o grave, la historia sugiere que el mercado de renta variable tiene mucho más margen de caída antes de tocar fondo”, apostilla, restando valor al rebote de las últimas semanas. </w:t>
      </w:r>
      <w:r w:rsidRPr="0085565F">
        <w:rPr>
          <w:b/>
          <w:color w:val="FF0000"/>
          <w:u w:val="single"/>
        </w:rPr>
        <w:t>“Aunque la actual situación mundial nos plantea muchos interrogantes, no hay un verdadero enigma que resolver. Las cosas empeorarán mucho antes de mejorar”, sentencia.</w:t>
      </w:r>
    </w:p>
    <w:p w:rsidR="00260465" w:rsidRDefault="00260465" w:rsidP="00260465">
      <w:pPr>
        <w:pStyle w:val="NormalWeb"/>
        <w:spacing w:after="360"/>
        <w:jc w:val="both"/>
      </w:pPr>
      <w:r>
        <w:t xml:space="preserve">- </w:t>
      </w:r>
      <w:r w:rsidR="005C6BAA">
        <w:rPr>
          <w:u w:val="single"/>
        </w:rPr>
        <w:t>La eurozona se dirige a un “declive económico”</w:t>
      </w:r>
      <w:r w:rsidRPr="00DB66B1">
        <w:rPr>
          <w:u w:val="single"/>
        </w:rPr>
        <w:t xml:space="preserve"> </w:t>
      </w:r>
      <w:r w:rsidR="005C6BAA">
        <w:rPr>
          <w:u w:val="single"/>
        </w:rPr>
        <w:t>en el tercer trimestre tras la “paralización”</w:t>
      </w:r>
      <w:r w:rsidRPr="00DB66B1">
        <w:rPr>
          <w:u w:val="single"/>
        </w:rPr>
        <w:t xml:space="preserve"> en junio</w:t>
      </w:r>
      <w:r>
        <w:t xml:space="preserve"> (El Economista - </w:t>
      </w:r>
      <w:r w:rsidRPr="00DB66B1">
        <w:rPr>
          <w:b/>
        </w:rPr>
        <w:t>5/7/22</w:t>
      </w:r>
      <w:r>
        <w:t>)</w:t>
      </w:r>
    </w:p>
    <w:p w:rsidR="00260465" w:rsidRPr="00802BD6" w:rsidRDefault="00260465" w:rsidP="00260465">
      <w:pPr>
        <w:pStyle w:val="NormalWeb"/>
        <w:spacing w:after="360"/>
        <w:jc w:val="both"/>
        <w:rPr>
          <w:u w:val="single"/>
        </w:rPr>
      </w:pPr>
      <w:r w:rsidRPr="00802BD6">
        <w:rPr>
          <w:u w:val="single"/>
        </w:rPr>
        <w:t>Los índices PMI servicios y compuesto definitivos de junio en la eurozona han confirmado lo que ya habían señalado las lecturas preliminares: la economía se frenó b</w:t>
      </w:r>
      <w:r w:rsidR="005C6BAA">
        <w:rPr>
          <w:u w:val="single"/>
        </w:rPr>
        <w:t>ruscamente el mes pasado y los “tambores”</w:t>
      </w:r>
      <w:r w:rsidRPr="00802BD6">
        <w:rPr>
          <w:u w:val="single"/>
        </w:rPr>
        <w:t xml:space="preserve"> de recesión suenan con más fuerza en la región. Una noticia que pese a ser esperada, ha provocado una fuerte caída del euro frente al dólar, llevando a la divisa única a mínimos no vistos en dos décadas.</w:t>
      </w:r>
    </w:p>
    <w:p w:rsidR="00260465" w:rsidRPr="00802BD6" w:rsidRDefault="00260465" w:rsidP="00260465">
      <w:pPr>
        <w:pStyle w:val="NormalWeb"/>
        <w:spacing w:after="360"/>
        <w:jc w:val="both"/>
        <w:rPr>
          <w:color w:val="FF0000"/>
          <w:u w:val="single"/>
        </w:rPr>
      </w:pPr>
      <w:r w:rsidRPr="00802BD6">
        <w:rPr>
          <w:color w:val="FF0000"/>
          <w:u w:val="single"/>
        </w:rPr>
        <w:t xml:space="preserve">En los PMI, elaborados por S&amp;P Global, más de 50 representa expansión de la actividad y menos, caída. En la referencia de junio el PMI compuesto (que abarca toda la actividad </w:t>
      </w:r>
      <w:r w:rsidRPr="00802BD6">
        <w:rPr>
          <w:color w:val="FF0000"/>
          <w:u w:val="single"/>
        </w:rPr>
        <w:lastRenderedPageBreak/>
        <w:t>privada) ha caído a 52, esto es, al filo de la contracción. Representa además el repunte más bajo de la economía de la zona euro en dieciséis meses.</w:t>
      </w:r>
    </w:p>
    <w:p w:rsidR="00260465" w:rsidRDefault="00260465" w:rsidP="00260465">
      <w:pPr>
        <w:pStyle w:val="NormalWeb"/>
        <w:spacing w:after="360"/>
        <w:jc w:val="both"/>
      </w:pPr>
      <w:r>
        <w:t>El subíndice PMI servicios también muestra que el sector terciario de la región (el que tiene más peso en el producto interior bruto o PIB) frenó con fuerza: descendió de los 56,1 de mayo a los 53 de junio, su nivel más bajo en cinco meses. Asimismo, la semana pasada el PMI manufacturero marcó un mínimo de 22 meses.</w:t>
      </w:r>
    </w:p>
    <w:p w:rsidR="00260465" w:rsidRPr="00802BD6" w:rsidRDefault="00260465" w:rsidP="00260465">
      <w:pPr>
        <w:pStyle w:val="NormalWeb"/>
        <w:spacing w:after="360"/>
        <w:jc w:val="both"/>
        <w:rPr>
          <w:u w:val="single"/>
        </w:rPr>
      </w:pPr>
      <w:r w:rsidRPr="00802BD6">
        <w:rPr>
          <w:u w:val="single"/>
        </w:rPr>
        <w:t>La produ</w:t>
      </w:r>
      <w:r w:rsidR="005C6BAA">
        <w:rPr>
          <w:u w:val="single"/>
        </w:rPr>
        <w:t>cción del sector manufacturero “</w:t>
      </w:r>
      <w:r w:rsidRPr="00802BD6">
        <w:rPr>
          <w:u w:val="single"/>
        </w:rPr>
        <w:t>ya está en contracción, por primera vez en dos años, y el sector servicios ha sufrido una marcada pérdida de impulso de crecimiento en medio</w:t>
      </w:r>
      <w:r w:rsidR="005C6BAA">
        <w:rPr>
          <w:u w:val="single"/>
        </w:rPr>
        <w:t xml:space="preserve"> de la crisis del coste de vida”</w:t>
      </w:r>
      <w:r w:rsidRPr="00802BD6">
        <w:rPr>
          <w:u w:val="single"/>
        </w:rPr>
        <w:t>, destaca Chris Williamson, economista jefe de S&amp;P Global Market Intelligence.</w:t>
      </w:r>
    </w:p>
    <w:p w:rsidR="00260465" w:rsidRDefault="005C6BAA" w:rsidP="00260465">
      <w:pPr>
        <w:pStyle w:val="NormalWeb"/>
        <w:spacing w:after="360"/>
        <w:jc w:val="both"/>
      </w:pPr>
      <w:r>
        <w:t>“</w:t>
      </w:r>
      <w:r w:rsidR="00260465">
        <w:t>El gasto de los hogares en productos y servicios no esenciales se ha visto especialmente bajo presión debido al aumento de los precios, pero el gasto y la inversión empresarial también están disminuyendo en respuesta a unas perspectivas más sombrías y al endurecimiento</w:t>
      </w:r>
      <w:r>
        <w:t xml:space="preserve"> de las condiciones financieras”</w:t>
      </w:r>
      <w:r w:rsidR="00260465">
        <w:t>, añade.</w:t>
      </w:r>
    </w:p>
    <w:p w:rsidR="00260465" w:rsidRDefault="00260465" w:rsidP="00260465">
      <w:pPr>
        <w:pStyle w:val="NormalWeb"/>
        <w:spacing w:after="360"/>
        <w:jc w:val="both"/>
      </w:pPr>
      <w:r>
        <w:t>En la misma línea Daniela Ordonez, economista jefe para la eurozona de Oxford Economics, e</w:t>
      </w:r>
      <w:r w:rsidR="005C6BAA">
        <w:t>xplica que el sector servicios “</w:t>
      </w:r>
      <w:r>
        <w:t xml:space="preserve">se encuentra en una encrucijada, </w:t>
      </w:r>
      <w:r w:rsidR="005C6BAA">
        <w:t>desgarrado por fuerzas opuestas”</w:t>
      </w:r>
      <w:r>
        <w:t xml:space="preserve">. Por un lado, se beneficia de la relajación y eliminación de las restricciones contra la covid en toda Europa, que tienen como consecuencia una mayor demanda, especialmente en la hostelería. De hecho, esta experta indica que "la temporada turística de verano será </w:t>
      </w:r>
      <w:r w:rsidR="005C6BAA">
        <w:t>excelente, sobre todo en España”..</w:t>
      </w:r>
      <w:r>
        <w:t>.</w:t>
      </w:r>
    </w:p>
    <w:p w:rsidR="00260465" w:rsidRPr="005C6BAA" w:rsidRDefault="00260465" w:rsidP="00260465">
      <w:pPr>
        <w:pStyle w:val="NormalWeb"/>
        <w:spacing w:after="360"/>
        <w:jc w:val="both"/>
        <w:rPr>
          <w:color w:val="FF0000"/>
        </w:rPr>
      </w:pPr>
      <w:r w:rsidRPr="00802BD6">
        <w:rPr>
          <w:color w:val="FF0000"/>
          <w:u w:val="single"/>
        </w:rPr>
        <w:t>Mirando un poco más allá, la analista de Oxford Economics prevé que l</w:t>
      </w:r>
      <w:r w:rsidR="005C6BAA">
        <w:rPr>
          <w:color w:val="FF0000"/>
          <w:u w:val="single"/>
        </w:rPr>
        <w:t>as familias de la zona euro se “aprieten el cinturón” a finales de año y sean más “cautelosos”</w:t>
      </w:r>
      <w:r w:rsidRPr="00802BD6">
        <w:rPr>
          <w:color w:val="FF0000"/>
          <w:u w:val="single"/>
        </w:rPr>
        <w:t xml:space="preserve"> con </w:t>
      </w:r>
      <w:r w:rsidR="005C6BAA">
        <w:rPr>
          <w:color w:val="FF0000"/>
          <w:u w:val="single"/>
        </w:rPr>
        <w:t>sus gastos en otoño e invierno “después de un fuerte verano”. “</w:t>
      </w:r>
      <w:r w:rsidRPr="00802BD6">
        <w:rPr>
          <w:color w:val="FF0000"/>
          <w:u w:val="single"/>
        </w:rPr>
        <w:t>La confianza de los consumidores sigue ca</w:t>
      </w:r>
      <w:r w:rsidR="005C6BAA">
        <w:rPr>
          <w:color w:val="FF0000"/>
          <w:u w:val="single"/>
        </w:rPr>
        <w:t>yendo”, argumenta</w:t>
      </w:r>
      <w:r w:rsidR="005C6BAA">
        <w:rPr>
          <w:color w:val="FF0000"/>
        </w:rPr>
        <w:t>…</w:t>
      </w:r>
    </w:p>
    <w:p w:rsidR="00260465" w:rsidRDefault="00260465" w:rsidP="00260465">
      <w:pPr>
        <w:pStyle w:val="NormalWeb"/>
        <w:spacing w:after="360"/>
        <w:jc w:val="both"/>
      </w:pPr>
      <w:r w:rsidRPr="00DB66B1">
        <w:rPr>
          <w:noProof/>
        </w:rPr>
        <w:drawing>
          <wp:inline distT="0" distB="0" distL="0" distR="0" wp14:anchorId="43C75CEB" wp14:editId="52448D05">
            <wp:extent cx="5429250" cy="3327400"/>
            <wp:effectExtent l="0" t="0" r="0" b="6350"/>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5430008" cy="3327865"/>
                    </a:xfrm>
                    <a:prstGeom prst="rect">
                      <a:avLst/>
                    </a:prstGeom>
                  </pic:spPr>
                </pic:pic>
              </a:graphicData>
            </a:graphic>
          </wp:inline>
        </w:drawing>
      </w:r>
    </w:p>
    <w:p w:rsidR="005C6BAA" w:rsidRDefault="005C6BAA" w:rsidP="005C6BAA">
      <w:pPr>
        <w:pStyle w:val="NormalWeb"/>
        <w:spacing w:after="360"/>
        <w:jc w:val="both"/>
      </w:pPr>
      <w:r>
        <w:lastRenderedPageBreak/>
        <w:t xml:space="preserve">- </w:t>
      </w:r>
      <w:r w:rsidRPr="00865BB5">
        <w:rPr>
          <w:u w:val="single"/>
        </w:rPr>
        <w:t>Recesión, ¿por qué no? Evitar la estanflación</w:t>
      </w:r>
      <w:r>
        <w:t xml:space="preserve"> (El Confidencial - </w:t>
      </w:r>
      <w:r w:rsidRPr="00865BB5">
        <w:rPr>
          <w:b/>
        </w:rPr>
        <w:t>7/7/22</w:t>
      </w:r>
      <w:r>
        <w:t>)</w:t>
      </w:r>
    </w:p>
    <w:p w:rsidR="005C6BAA" w:rsidRPr="00937D7A" w:rsidRDefault="005C6BAA" w:rsidP="005C6BAA">
      <w:pPr>
        <w:pStyle w:val="NormalWeb"/>
        <w:spacing w:after="360"/>
        <w:jc w:val="both"/>
        <w:rPr>
          <w:color w:val="FF0000"/>
        </w:rPr>
      </w:pPr>
      <w:r w:rsidRPr="00937D7A">
        <w:rPr>
          <w:color w:val="FF0000"/>
        </w:rPr>
        <w:t>Estamos en una situación ciertamente complicada, ya que el covid y la guerra de Ucrania han añadido a la corrección monetaria y fiscal una masa de ahorro récord en nuestra historia</w:t>
      </w:r>
    </w:p>
    <w:p w:rsidR="005C6BAA" w:rsidRDefault="005C6BAA" w:rsidP="005C6BAA">
      <w:pPr>
        <w:pStyle w:val="NormalWeb"/>
        <w:spacing w:after="360"/>
        <w:jc w:val="both"/>
      </w:pPr>
      <w:r>
        <w:t>(Por Juan María Nin)</w:t>
      </w:r>
    </w:p>
    <w:p w:rsidR="005C6BAA" w:rsidRPr="00937D7A" w:rsidRDefault="005C6BAA" w:rsidP="005C6BAA">
      <w:pPr>
        <w:pStyle w:val="NormalWeb"/>
        <w:spacing w:after="360"/>
        <w:jc w:val="both"/>
        <w:rPr>
          <w:color w:val="FF0000"/>
          <w:u w:val="single"/>
        </w:rPr>
      </w:pPr>
      <w:r w:rsidRPr="00937D7A">
        <w:rPr>
          <w:color w:val="FF0000"/>
          <w:u w:val="single"/>
        </w:rPr>
        <w:t xml:space="preserve">La crisis económica de 2008 se solventó con daños menores de los que podían haberse producido gracias a una decisión muy </w:t>
      </w:r>
      <w:r>
        <w:rPr>
          <w:color w:val="FF0000"/>
          <w:u w:val="single"/>
        </w:rPr>
        <w:t>estratégica de “compra de tiempo”</w:t>
      </w:r>
      <w:r w:rsidRPr="00937D7A">
        <w:rPr>
          <w:color w:val="FF0000"/>
          <w:u w:val="single"/>
        </w:rPr>
        <w:t xml:space="preserve"> para hacer las reformas estructurales que la situación exigía de manera ordenada, racional. La alternativa era una corrección brutal y un reparto de daños injusto. La política monetaria extrema, la represión financiera y una política fiscal muy agresiva rindieron los resultados esperados gracias a una excelente gestión de tipos de interés, una expansión cuantitativa monetaria de libro y una política fiscal de déficit y deuda pública y privada muy agresiva. ¡Salvados! Pero con deberes de reformas estructurales pendientes. Mucho se ha hecho, pero no de manera uniforme y, por tanto, restan desequilibrios a corregir, de manera violenta o con nuevas concesiones temporales, pero… a corregir.</w:t>
      </w:r>
    </w:p>
    <w:p w:rsidR="005C6BAA" w:rsidRDefault="005C6BAA" w:rsidP="005C6BAA">
      <w:pPr>
        <w:pStyle w:val="NormalWeb"/>
        <w:spacing w:after="360"/>
        <w:jc w:val="both"/>
      </w:pPr>
      <w:r>
        <w:t>No creo en el “decoupling”, la separación del ciclo económico USA y el de la UE, en la vida independiente del dólar USA y nuestro euro. Puede haber un lapso de tiempo que separe ambos, pero el ciclo es el mismo. También sucede entre diferentes países de la UE en cuanto a la ejecución de reformas estructurales, pero no cabe la fragmentación, un “decoupling” interno, salvo voladura del sistema, es decir, salida del euro de algún país incumplidor e insolidario.</w:t>
      </w:r>
    </w:p>
    <w:p w:rsidR="005C6BAA" w:rsidRPr="005F5526" w:rsidRDefault="005C6BAA" w:rsidP="005C6BAA">
      <w:pPr>
        <w:pStyle w:val="NormalWeb"/>
        <w:spacing w:after="360"/>
        <w:jc w:val="both"/>
        <w:rPr>
          <w:color w:val="FF0000"/>
          <w:u w:val="single"/>
        </w:rPr>
      </w:pPr>
      <w:r w:rsidRPr="005F5526">
        <w:rPr>
          <w:color w:val="FF0000"/>
          <w:u w:val="single"/>
        </w:rPr>
        <w:t>El proceso de gestión de la crisis de 2008, que he valorado positivamente por sus resultados y la corrección de la gran debacle que se hubiera producido, se ha visto alterado por el covid y ahora la guerra de Ucrania. Estas han sido noticias malas y nada merecidas para una sociedad que había superado lo peor. Efectivamente, facilidad cuantitativa (QE) y tipos de interés por debajo del natural son factores de estímulo de la demanda y así han operado, por más que en el camino desde Wall Street se haya tardado</w:t>
      </w:r>
      <w:r w:rsidR="00814E8D">
        <w:rPr>
          <w:color w:val="FF0000"/>
          <w:u w:val="single"/>
        </w:rPr>
        <w:t xml:space="preserve"> en llegar a High Street, o la “cadena de la bicicleta”</w:t>
      </w:r>
      <w:r w:rsidRPr="005F5526">
        <w:rPr>
          <w:color w:val="FF0000"/>
          <w:u w:val="single"/>
        </w:rPr>
        <w:t xml:space="preserve"> no haya traccionado hasta mucho más tarde de lo previsto. Cuando lo ha hecho y estábamos en la rampa de salida, los dos accidentes mencionados (covid y Ucrania) han llegado en el peor momento.</w:t>
      </w:r>
    </w:p>
    <w:p w:rsidR="005C6BAA" w:rsidRPr="005F5526" w:rsidRDefault="005C6BAA" w:rsidP="005C6BAA">
      <w:pPr>
        <w:pStyle w:val="NormalWeb"/>
        <w:spacing w:after="360"/>
        <w:jc w:val="both"/>
        <w:rPr>
          <w:color w:val="FF0000"/>
          <w:u w:val="single"/>
        </w:rPr>
      </w:pPr>
      <w:r w:rsidRPr="005F5526">
        <w:rPr>
          <w:u w:val="single"/>
        </w:rPr>
        <w:t>Sin espacio para continuar el QE y seguir bajando tipos de interés, sin espacio para aumentar déficits y deuda, es decir, con la munición agotada. ¿Qué hacer? Además, a esta situación se añade un ri</w:t>
      </w:r>
      <w:r>
        <w:rPr>
          <w:u w:val="single"/>
        </w:rPr>
        <w:t>esgo importante de creación de “falso capital”</w:t>
      </w:r>
      <w:r w:rsidRPr="005F5526">
        <w:rPr>
          <w:u w:val="single"/>
        </w:rPr>
        <w:t xml:space="preserve"> y liquidez debido a la expansión cuantitativa. Cuánto sector público, institución, empresa, familia ha confundido liquidez y tipos bajos con una solvencia real bien aquilatada. Nada más engañoso y tóxico. También la liquidez muy abundante generada ha creado un espejismo no solo de capital, como decimos, sino de la propia liquidez</w:t>
      </w:r>
      <w:r>
        <w:t xml:space="preserve">. </w:t>
      </w:r>
      <w:r w:rsidRPr="005F5526">
        <w:rPr>
          <w:u w:val="single"/>
        </w:rPr>
        <w:t>La corrección de este fenómeno es el riesgo más elevado, puede ser cuestión de horas y en este sentido algún susto notable ha habido en fondos a corto en EEUU hace unos trimestres y un susto reciente con la deuda soberana italiana y española hace unas semanas.</w:t>
      </w:r>
      <w:r>
        <w:t xml:space="preserve"> </w:t>
      </w:r>
      <w:r w:rsidRPr="005F5526">
        <w:rPr>
          <w:color w:val="FF0000"/>
          <w:u w:val="single"/>
        </w:rPr>
        <w:t>Las correcciones de liqu</w:t>
      </w:r>
      <w:r>
        <w:rPr>
          <w:color w:val="FF0000"/>
          <w:u w:val="single"/>
        </w:rPr>
        <w:t>idez son abruptas, de “infarto”</w:t>
      </w:r>
      <w:r w:rsidRPr="005F5526">
        <w:rPr>
          <w:color w:val="FF0000"/>
          <w:u w:val="single"/>
        </w:rPr>
        <w:t>, y las consecuencias</w:t>
      </w:r>
      <w:r>
        <w:rPr>
          <w:color w:val="FF0000"/>
          <w:u w:val="single"/>
        </w:rPr>
        <w:t xml:space="preserve"> son duras porque destruyen el “falso capital”</w:t>
      </w:r>
      <w:r w:rsidRPr="005F5526">
        <w:rPr>
          <w:color w:val="FF0000"/>
          <w:u w:val="single"/>
        </w:rPr>
        <w:t xml:space="preserve"> al que me refería antes de manera fulminante, sin tiempo de reacción.</w:t>
      </w:r>
      <w:r w:rsidRPr="005F5526">
        <w:rPr>
          <w:color w:val="FF0000"/>
        </w:rPr>
        <w:t xml:space="preserve"> </w:t>
      </w:r>
      <w:r w:rsidRPr="005F5526">
        <w:rPr>
          <w:color w:val="FF0000"/>
          <w:u w:val="single"/>
        </w:rPr>
        <w:t xml:space="preserve">¿Dónde estamos? En una situación ciertamente complicada, porque covid y Ucrania han añadido a la corrección monetaria y fiscal una masa de ahorro récord en nuestra historia, es decir, una demanda adicional a la prevista por el </w:t>
      </w:r>
      <w:r w:rsidRPr="005F5526">
        <w:rPr>
          <w:color w:val="FF0000"/>
          <w:u w:val="single"/>
        </w:rPr>
        <w:lastRenderedPageBreak/>
        <w:t>sistema y, por tanto, un empujó</w:t>
      </w:r>
      <w:r>
        <w:rPr>
          <w:color w:val="FF0000"/>
          <w:u w:val="single"/>
        </w:rPr>
        <w:t>n de consumo potenciado por la “liberación”</w:t>
      </w:r>
      <w:r w:rsidRPr="005F5526">
        <w:rPr>
          <w:color w:val="FF0000"/>
          <w:u w:val="single"/>
        </w:rPr>
        <w:t xml:space="preserve"> fin de covid, un efecto psicológico de no hay mañana...</w:t>
      </w:r>
    </w:p>
    <w:p w:rsidR="005C6BAA" w:rsidRPr="005F5526" w:rsidRDefault="005C6BAA" w:rsidP="005C6BAA">
      <w:pPr>
        <w:pStyle w:val="NormalWeb"/>
        <w:spacing w:after="360"/>
        <w:jc w:val="both"/>
        <w:rPr>
          <w:color w:val="FF0000"/>
          <w:u w:val="single"/>
        </w:rPr>
      </w:pPr>
      <w:r w:rsidRPr="005F5526">
        <w:rPr>
          <w:b/>
          <w:color w:val="FF0000"/>
          <w:u w:val="single"/>
        </w:rPr>
        <w:t>Una demanda superior a la oferta ajustada por la crisis implica inflación y, por tanto, la necesidad de corregir la misma y evitar, esta vez por la vía de una crisis de oferta, una crisis como la de 2008.</w:t>
      </w:r>
      <w:r w:rsidRPr="005F5526">
        <w:rPr>
          <w:color w:val="FF0000"/>
        </w:rPr>
        <w:t xml:space="preserve"> </w:t>
      </w:r>
      <w:r>
        <w:t xml:space="preserve">Nada más injusto que una inflación, impuesto no aprobado en vía parlamentaria, que se aplica a la destrucción de capital para todos, salvo algunos deudores, y muy especialmente a organismos públicos, instituciones, empresas y particulares más débiles. </w:t>
      </w:r>
      <w:r w:rsidRPr="005F5526">
        <w:rPr>
          <w:color w:val="FF0000"/>
          <w:u w:val="single"/>
        </w:rPr>
        <w:t>Se hace, por tanto, necesario corregir y este es el mandato de los bancos centrales</w:t>
      </w:r>
      <w:r>
        <w:t xml:space="preserve">. </w:t>
      </w:r>
      <w:r w:rsidRPr="005F5526">
        <w:rPr>
          <w:color w:val="FF0000"/>
          <w:u w:val="single"/>
        </w:rPr>
        <w:t>Hay espacio en política monetaria para subir tipos y reducir liquidez, y esto es lo que se está haciendo. Pero la gran pregunta es con qué intensidad. ¿Hasta dónde pisar el acelerador? Y la respuesta es difícil, porque en la aparición de la inflación por los factores indicados se añade un potenciador, un 2º grado de efectos difíciles de medir, que es la crisis de oferta derivada de la guerra de Ucrania: energía, materias primas, alimentos, cadenas de producción, costes de la logística…, todo inflacionario, precios disparados, abruptamente. Demanda potenciada y oferta capada es un desajuste importante. En consecuencia, hay que escoger entre dos males. Cabalgar la infla</w:t>
      </w:r>
      <w:r>
        <w:rPr>
          <w:color w:val="FF0000"/>
          <w:u w:val="single"/>
        </w:rPr>
        <w:t>ción por más injusta que sea y “confiar”</w:t>
      </w:r>
      <w:r w:rsidRPr="005F5526">
        <w:rPr>
          <w:color w:val="FF0000"/>
          <w:u w:val="single"/>
        </w:rPr>
        <w:t xml:space="preserve"> en la corrección del factor Ucrania en los próximos meses, lo que supone una aproximación conservadora que comporta un riesgo moral importante, o perseverar en política monetaria dura/muy dura, y fiscal de reconducción de déficits y deuda, y con ello aceptar la casi inevitable recesión que comportará la reducción de la demanda hasta ajustarla a la oferta disponible. Es decir, dar la cara con todos los riesgos que ello comporta.</w:t>
      </w:r>
    </w:p>
    <w:p w:rsidR="005C6BAA" w:rsidRDefault="005C6BAA" w:rsidP="005C6BAA">
      <w:pPr>
        <w:pStyle w:val="NormalWeb"/>
        <w:spacing w:after="360"/>
        <w:jc w:val="both"/>
      </w:pPr>
      <w:r w:rsidRPr="005F5526">
        <w:rPr>
          <w:b/>
          <w:color w:val="FF0000"/>
          <w:u w:val="single"/>
        </w:rPr>
        <w:t>Creo que la opción preferida en este dilem</w:t>
      </w:r>
      <w:r>
        <w:rPr>
          <w:b/>
          <w:color w:val="FF0000"/>
          <w:u w:val="single"/>
        </w:rPr>
        <w:t>a y que se está ejecutando es, “sotto voce”</w:t>
      </w:r>
      <w:r w:rsidRPr="005F5526">
        <w:rPr>
          <w:b/>
          <w:color w:val="FF0000"/>
          <w:u w:val="single"/>
        </w:rPr>
        <w:t>, aceptar la recesión como mal menor</w:t>
      </w:r>
      <w:r>
        <w:t>. No creo en las afirmaciones absolutas, y menos en economía, y, por lo tanto, me parece que una recesión, siendo un mal en nuestro actual estado de 'bienestar', es un fenómeno económico que podría incorporar valores positivos: el primero y más importante es reducir el impacto en el medio ambiente de crecimientos insostenibles hasta que no ejecutemos adecuadamente la transición energética. El reto es formidable y bajar el ritmo, aunque sea doloroso, debe ayudar. En segundo lugar, una recesión debería comportar la recuperación y actualización de valores éticos en desuso y desprestigio. Sirva de ejemplo la austeridad de nuestros mayores que puede volver. Bajar el consumo de energía, reducir el aire acondicionado o perder la iluminación en autopistas como ejemplos elementales… En tercer lugar, se puede evitar una situación de estanflación, trampa tóxica de la que es difícil salir y que corrige mal los daños estructurales. La cuestión no es la pérdida de una parte del bienestar que, además, está mal repartido, de una exuberancia irracional, obscena e insostenible, sino el nivel de equidad, de justicia con que se gestionan los efectos negativos de una recesión. Impactos positivos como los que se apuntan en medio ambiente o valores morales y evitar la estanflación, por citar algunos, deberían formar parte de las bases de decisión sobre el dilema en que nos encontramos. Parece que está decidido.</w:t>
      </w:r>
    </w:p>
    <w:p w:rsidR="005C6BAA" w:rsidRDefault="005C6BAA" w:rsidP="005C6BAA">
      <w:pPr>
        <w:pStyle w:val="NormalWeb"/>
        <w:spacing w:after="360"/>
        <w:jc w:val="both"/>
      </w:pPr>
      <w:r>
        <w:t xml:space="preserve"> (Juan María Nin es economista. </w:t>
      </w:r>
      <w:r w:rsidRPr="005C6BAA">
        <w:t>Ex Vicepresidente y Consejero Delegado de La Caixa, Banco Sabadell y Dire</w:t>
      </w:r>
      <w:r>
        <w:t>ctor General de Banco Santander)</w:t>
      </w:r>
    </w:p>
    <w:p w:rsidR="005C6BAA" w:rsidRDefault="005C6BAA" w:rsidP="005C6BAA">
      <w:pPr>
        <w:pStyle w:val="NormalWeb"/>
        <w:spacing w:after="360"/>
        <w:jc w:val="both"/>
      </w:pPr>
      <w:r>
        <w:t>- ¡</w:t>
      </w:r>
      <w:r w:rsidRPr="00992C5C">
        <w:rPr>
          <w:u w:val="single"/>
        </w:rPr>
        <w:t>Es el dinero, estúpido</w:t>
      </w:r>
      <w:r>
        <w:t xml:space="preserve">! (Vozpópuli - </w:t>
      </w:r>
      <w:r w:rsidRPr="00992C5C">
        <w:rPr>
          <w:b/>
        </w:rPr>
        <w:t>7/7/22</w:t>
      </w:r>
      <w:r>
        <w:t>)</w:t>
      </w:r>
    </w:p>
    <w:p w:rsidR="005C6BAA" w:rsidRPr="00E216E2" w:rsidRDefault="005C6BAA" w:rsidP="005C6BAA">
      <w:pPr>
        <w:pStyle w:val="NormalWeb"/>
        <w:spacing w:after="360"/>
        <w:jc w:val="both"/>
        <w:rPr>
          <w:color w:val="FF0000"/>
        </w:rPr>
      </w:pPr>
      <w:r w:rsidRPr="00E216E2">
        <w:rPr>
          <w:color w:val="FF0000"/>
        </w:rPr>
        <w:t>La inflación sólo podrá eliminarse cuando la tasa de crecimiento a largo plazo de la oferta monetaria sea aproximadamente la misma que la tasa de crecimiento a largo plazo del PIB</w:t>
      </w:r>
    </w:p>
    <w:p w:rsidR="005C6BAA" w:rsidRDefault="005C6BAA" w:rsidP="005C6BAA">
      <w:pPr>
        <w:pStyle w:val="NormalWeb"/>
        <w:spacing w:after="360"/>
        <w:jc w:val="both"/>
      </w:pPr>
      <w:r>
        <w:t>(Por Lorenzo Bernaldo De Quirós)</w:t>
      </w:r>
    </w:p>
    <w:p w:rsidR="005C6BAA" w:rsidRPr="00E216E2" w:rsidRDefault="005C6BAA" w:rsidP="005C6BAA">
      <w:pPr>
        <w:pStyle w:val="NormalWeb"/>
        <w:spacing w:after="360"/>
        <w:jc w:val="both"/>
        <w:rPr>
          <w:u w:val="single"/>
        </w:rPr>
      </w:pPr>
      <w:r w:rsidRPr="00E216E2">
        <w:rPr>
          <w:u w:val="single"/>
        </w:rPr>
        <w:lastRenderedPageBreak/>
        <w:t>Junto al binomio déficit-deuda, la inflación se ha convertido en el principal problema económico de España</w:t>
      </w:r>
      <w:r>
        <w:t xml:space="preserve">. </w:t>
      </w:r>
      <w:r w:rsidRPr="00E216E2">
        <w:rPr>
          <w:u w:val="single"/>
        </w:rPr>
        <w:t>En estos momentos, la explicación a su escalada se centra en el impacto de la guerra ruso-ucraniana sobre el coste de la energía y de otras materias primas y, también, en la persistencia de los cuellos de botella en las cadenas globales de valor que se produjeron a raíz de la pandemia. Sin embargo, estos fenómenos no explican de manera consistente el proceso inflacionario que azota a los países industrializados ni son consistentes con la teoría económica ni con la evidencia empírica acumulada a lo largo del tiempo y en muy diferentes países.</w:t>
      </w:r>
    </w:p>
    <w:p w:rsidR="005C6BAA" w:rsidRDefault="005C6BAA" w:rsidP="005C6BAA">
      <w:pPr>
        <w:pStyle w:val="NormalWeb"/>
        <w:spacing w:after="360"/>
        <w:jc w:val="both"/>
      </w:pPr>
      <w:r w:rsidRPr="00E216E2">
        <w:rPr>
          <w:u w:val="single"/>
        </w:rPr>
        <w:t>La inflación es un alza constante del nivel general de los precios de los bienes y servicios, medido a efectos prácticos por el IPC. Esto es algo muy distinto a un incremento en los precios relativos, por ejemplo, del petróleo o del gas</w:t>
      </w:r>
      <w:r>
        <w:t>. Sin duda, la elevación de éstos puede provocar un aumento de una sola vez de aquel, pero su tasa de crecimiento quedará inafectada a medida que la economía se ajusta a ese shock. Esto es, ceteris paribus</w:t>
      </w:r>
      <w:r w:rsidRPr="00E216E2">
        <w:rPr>
          <w:u w:val="single"/>
        </w:rPr>
        <w:t>, el impacto alcista sobre el IPC derivado de una perturbación externa tenderá a ser absorbido-neutralizado por el descenso de los precios de otros bienes y servicios.</w:t>
      </w:r>
      <w:r>
        <w:t xml:space="preserve"> Durante el período de transición, la inflación será superior a su tendencia, pero esa desviación no será permanente.</w:t>
      </w:r>
    </w:p>
    <w:p w:rsidR="005C6BAA" w:rsidRDefault="005C6BAA" w:rsidP="005C6BAA">
      <w:pPr>
        <w:pStyle w:val="NormalWeb"/>
        <w:spacing w:after="360"/>
        <w:jc w:val="both"/>
      </w:pPr>
      <w:r w:rsidRPr="00E216E2">
        <w:rPr>
          <w:u w:val="single"/>
        </w:rPr>
        <w:t>Esa dinámica de ajuste se producirá salvo que el encarecimiento del petróleo, del gas, de los alimentos se vea precedida, compensada o acompañada por un crecimiento excesivo de la cantidad de dinero en circulación. Si la oferta monetaria permanece constante, no existe dinero adicional para que los individuos y las empresas puedan adquirir el mismo volumen de bienes y servicios que compraban antes del shock</w:t>
      </w:r>
      <w:r>
        <w:t>. En consecuencia, para adaptar sus saldos monetarios al nuevo nivel deseado, deberán disminuir sus gastos en bienes y servicios. El aumento de los precios en A induce mayores precios en A, pero presiona a la baja sobre los de otros sectores. En consecuencia, el nivel general de precios retornará a su nivel previo al shock porque es el único al cual la cantidad de dinero ofertada iguala a la demandada.</w:t>
      </w:r>
    </w:p>
    <w:p w:rsidR="005C6BAA" w:rsidRDefault="005C6BAA" w:rsidP="005C6BAA">
      <w:pPr>
        <w:pStyle w:val="NormalWeb"/>
        <w:spacing w:after="360"/>
        <w:jc w:val="both"/>
      </w:pPr>
      <w:r>
        <w:t>Desde esta óptica, la idea según la cual empresarios sin escrúpulos o los sindicatos pueden ocasionar o, mejor desatar, una dinámica inflacionaria no es soportable ni en términos conceptuales ni empíricos. Ambos pueden inducir una contracción de la demanda agregada o un aumento del desempleo, pero no pueden impulsar un crecimiento constante del nivel general de precios. En este contexto, la política de rentas puede ser un instrumento eficaz, depende de cómo se instrumente, para paliar los costes sobre la economía real de un shock de oferta, pero es inútil para combatir la inflación. La experiencia de los años 70 del siglo pasado lo muestra con una demoledora contundencia.</w:t>
      </w:r>
    </w:p>
    <w:p w:rsidR="005C6BAA" w:rsidRPr="00E216E2" w:rsidRDefault="005C6BAA" w:rsidP="005C6BAA">
      <w:pPr>
        <w:pStyle w:val="NormalWeb"/>
        <w:spacing w:after="360"/>
        <w:jc w:val="both"/>
        <w:rPr>
          <w:u w:val="single"/>
        </w:rPr>
      </w:pPr>
      <w:r w:rsidRPr="00E216E2">
        <w:rPr>
          <w:u w:val="single"/>
        </w:rPr>
        <w:t xml:space="preserve">El haber olvidado el carácter monetario de la inflación explica la sorpresa ante su emergencia, la imputación de su carrera alcista al shock causado por el encarecimiento de las materias primas y la esperanza de que se </w:t>
      </w:r>
      <w:r w:rsidR="001D02F7" w:rsidRPr="00E216E2">
        <w:rPr>
          <w:u w:val="single"/>
        </w:rPr>
        <w:t>desacelere</w:t>
      </w:r>
      <w:r w:rsidRPr="00E216E2">
        <w:rPr>
          <w:u w:val="single"/>
        </w:rPr>
        <w:t xml:space="preserve"> cuando la guerra termine y se restauren las cadenas globales de producción y distribución</w:t>
      </w:r>
      <w:r>
        <w:t xml:space="preserve">. </w:t>
      </w:r>
      <w:r w:rsidRPr="00E216E2">
        <w:rPr>
          <w:u w:val="single"/>
        </w:rPr>
        <w:t>La ortodoxia neokeynesiana dominante</w:t>
      </w:r>
      <w:r>
        <w:t xml:space="preserve"> se suele plasmar en un modelo de tres ecuaciones sin mención alguna al sistema bancario o a la cantidad de dinero. Limita su análisis del fenómeno inflacionario al tipo de interés, entendido por tal el fijado en el mercado monetario por los bancos centrales. Este enfoque se ha convertido en la doctrina de casi todos los institutos emisores y de buena parte de los profesionales de la ciencia lúgubre. </w:t>
      </w:r>
      <w:r w:rsidRPr="00E216E2">
        <w:rPr>
          <w:u w:val="single"/>
        </w:rPr>
        <w:t>Creen posible establecer y conseguir su objetivo de inflación sin prestar atención alguna al papel de los bancos y de la cantidad de dinero.</w:t>
      </w:r>
    </w:p>
    <w:p w:rsidR="005C6BAA" w:rsidRPr="00E216E2" w:rsidRDefault="005C6BAA" w:rsidP="005C6BAA">
      <w:pPr>
        <w:pStyle w:val="NormalWeb"/>
        <w:spacing w:after="360"/>
        <w:jc w:val="both"/>
        <w:rPr>
          <w:u w:val="single"/>
        </w:rPr>
      </w:pPr>
      <w:r>
        <w:t xml:space="preserve">Sin duda cabe cuestionar la precisión de las estimaciones entre esa variable y los cambios en el nivel general de los precios de los bienes y de los servicios. La relación entre ambos puede </w:t>
      </w:r>
      <w:r>
        <w:lastRenderedPageBreak/>
        <w:t xml:space="preserve">haber sido menos cierta y de hecho lo ha sido que la dibujada en las versiones convencionales y menos sofisticadas de la Teoría Cuantitativa del Dinero, el propio Friedman advirtió de ello, pero eso no implica que ese link no exista o se haya roto. De hecho, ahora estamos asistiendo a una manifestación evidente de esa hipótesis y </w:t>
      </w:r>
      <w:r w:rsidRPr="00E216E2">
        <w:rPr>
          <w:u w:val="single"/>
        </w:rPr>
        <w:t>no es riguroso camuflar la realidad con apelaciones a que se trata de una inflación de costes, concepto falaz, de una alarmante popularidad y convertida en sabiduría convencional.</w:t>
      </w:r>
    </w:p>
    <w:p w:rsidR="005C6BAA" w:rsidRPr="00E216E2" w:rsidRDefault="005C6BAA" w:rsidP="005C6BAA">
      <w:pPr>
        <w:pStyle w:val="NormalWeb"/>
        <w:spacing w:after="360"/>
        <w:jc w:val="both"/>
        <w:rPr>
          <w:color w:val="FF0000"/>
          <w:u w:val="single"/>
        </w:rPr>
      </w:pPr>
      <w:r w:rsidRPr="00E216E2">
        <w:rPr>
          <w:color w:val="FF0000"/>
          <w:u w:val="single"/>
        </w:rPr>
        <w:t>La monetización a gran escala de los déficits públicos combinada con los gigantescos programas de transferencias de efectivo a compañías y hogares desde 2019 y, con especial virulencia, a raíz la pandemia se ha traducido en un vertiginoso crecimiento de la cantidad de dinero, a menudo a tasas de dos dígitos en EEUU, en la eurozona y en otras grandes economías desarrolladas. Además, esto se ha materializado en un contexto en el cual la política monetaria había sido muy expansiva desde la Gran Recesión (2007) y no se había vuelto a la normalidad. Se ha producido un efecto acumulativo y, por tanto, un fuerte potencial inflacionario.</w:t>
      </w:r>
    </w:p>
    <w:p w:rsidR="005C6BAA" w:rsidRDefault="005C6BAA" w:rsidP="005C6BAA">
      <w:pPr>
        <w:pStyle w:val="NormalWeb"/>
        <w:spacing w:after="360"/>
        <w:jc w:val="both"/>
      </w:pPr>
      <w:r>
        <w:t>Desde esta perspectiva, la mezcla de un shock de oferta con un exceso de dinero en la economía ha llevado como era inevitable a un escenario de estanflación, negado hasta ayer por quienes consideraban la inflación un fenómeno pasajero y rechazado aún hoy por un amplio número de economistas, bancos centrales y organismos domésticos e internacionales, públicos y privados. Guste o no, la inflación sólo podrá eliminarse cuando la tasa de crecimiento a largo plazo de la oferta monetaria sea aproximadamente la misma que la tasa de crecimiento a largo plazo del PIB. Y esto no depende ni del petróleo ni del gas ni de la guerra de Putin.</w:t>
      </w:r>
    </w:p>
    <w:p w:rsidR="005C6BAA" w:rsidRPr="005C6BAA" w:rsidRDefault="005C6BAA" w:rsidP="005C6BAA">
      <w:pPr>
        <w:pStyle w:val="NormalWeb"/>
        <w:spacing w:after="360"/>
        <w:jc w:val="both"/>
        <w:rPr>
          <w:color w:val="FF0000"/>
          <w:u w:val="single"/>
        </w:rPr>
      </w:pPr>
      <w:r w:rsidRPr="005C6BAA">
        <w:rPr>
          <w:color w:val="FF0000"/>
          <w:u w:val="single"/>
        </w:rPr>
        <w:t>Si la oferta monetaria permanece constante, no existe dinero adicional para que los individuos y las empresas puedan adquirir el mismo volumen de bienes y servicios que compraban antes del shock.</w:t>
      </w:r>
    </w:p>
    <w:p w:rsidR="005C6BAA" w:rsidRDefault="005C6BAA" w:rsidP="005C6BAA">
      <w:pPr>
        <w:pStyle w:val="NormalWeb"/>
        <w:spacing w:after="360"/>
        <w:jc w:val="both"/>
        <w:rPr>
          <w:color w:val="FF0000"/>
          <w:u w:val="single"/>
        </w:rPr>
      </w:pPr>
      <w:r w:rsidRPr="005C6BAA">
        <w:rPr>
          <w:color w:val="FF0000"/>
          <w:u w:val="single"/>
        </w:rPr>
        <w:t>El problema principal es la inflación, que afecta a todos, no una recesión que alivia la inflación y afecta principalmente a una parte.</w:t>
      </w:r>
    </w:p>
    <w:p w:rsidR="005C6BAA" w:rsidRDefault="005C6BAA" w:rsidP="005C6BAA">
      <w:pPr>
        <w:pStyle w:val="NormalWeb"/>
        <w:spacing w:after="360"/>
        <w:jc w:val="both"/>
      </w:pPr>
      <w:r>
        <w:t xml:space="preserve">- </w:t>
      </w:r>
      <w:r w:rsidRPr="00EC5426">
        <w:rPr>
          <w:u w:val="single"/>
        </w:rPr>
        <w:t>El gran halcón del BCE pide sacrificar el crecimiento</w:t>
      </w:r>
      <w:r>
        <w:t xml:space="preserve"> (El Economista - </w:t>
      </w:r>
      <w:r w:rsidRPr="00EC5426">
        <w:rPr>
          <w:b/>
        </w:rPr>
        <w:t>8/7/22</w:t>
      </w:r>
      <w:r>
        <w:t>)</w:t>
      </w:r>
    </w:p>
    <w:p w:rsidR="005C6BAA" w:rsidRDefault="005C6BAA" w:rsidP="005C6BAA">
      <w:pPr>
        <w:pStyle w:val="NormalWeb"/>
        <w:spacing w:after="360"/>
        <w:jc w:val="both"/>
      </w:pPr>
      <w:r>
        <w:t>“En un mundo ideal, querrías estimular la economía, pero al mismo tiempo reducir la inflación”, ha dicho Klaas Knot, gobernador del Banco de Países Bajos, en una entrevista en la televisión holandesa. “Desafortunadamente, eso no lo podemos hacer, tenemos que tomar una decisión y en este caso, nuestro mandato es muy claro: tenemos que elegir reducir la inflación”.</w:t>
      </w:r>
    </w:p>
    <w:p w:rsidR="005C6BAA" w:rsidRDefault="005C6BAA" w:rsidP="005C6BAA">
      <w:pPr>
        <w:pStyle w:val="NormalWeb"/>
        <w:spacing w:after="360"/>
        <w:jc w:val="both"/>
      </w:pPr>
      <w:r>
        <w:t>El banquero holandés fue el primero en abrir la puerta a que el BCE subiera tipos en 50 puntos básicos de una tacada. Ahora, ante las sombrías perspectivas de crecimiento; tiene claro que el banco central tiene que aumentar el precio del dinero, aunque haya frenazo para la economía. “Mientras la economía se desacelera en los próximos meses y trimestres, aumentaremos las tasas de interés”, ha dicho.</w:t>
      </w:r>
    </w:p>
    <w:p w:rsidR="005C6BAA" w:rsidRDefault="005C6BAA" w:rsidP="005C6BAA">
      <w:pPr>
        <w:pStyle w:val="NormalWeb"/>
        <w:spacing w:after="360"/>
        <w:jc w:val="both"/>
      </w:pPr>
      <w:r>
        <w:t xml:space="preserve">- </w:t>
      </w:r>
      <w:r w:rsidRPr="000403BA">
        <w:rPr>
          <w:u w:val="single"/>
        </w:rPr>
        <w:t>Desplome del euro: ¿qué efectos tiene una paridad con el dólar</w:t>
      </w:r>
      <w:r>
        <w:t xml:space="preserve">? (Cinco Días - </w:t>
      </w:r>
      <w:r w:rsidRPr="000403BA">
        <w:rPr>
          <w:b/>
        </w:rPr>
        <w:t>8/7/22</w:t>
      </w:r>
      <w:r>
        <w:t>)</w:t>
      </w:r>
    </w:p>
    <w:p w:rsidR="005C6BAA" w:rsidRPr="008A6143" w:rsidRDefault="005C6BAA" w:rsidP="005C6BAA">
      <w:pPr>
        <w:pStyle w:val="NormalWeb"/>
        <w:spacing w:after="360"/>
        <w:jc w:val="both"/>
        <w:rPr>
          <w:color w:val="FF0000"/>
        </w:rPr>
      </w:pPr>
      <w:r w:rsidRPr="008A6143">
        <w:rPr>
          <w:color w:val="FF0000"/>
        </w:rPr>
        <w:t>La moneda única se debilita por el temor a la recesión en Europa y el diferencial de tipos</w:t>
      </w:r>
    </w:p>
    <w:p w:rsidR="005C6BAA" w:rsidRDefault="005C6BAA" w:rsidP="005C6BAA">
      <w:pPr>
        <w:pStyle w:val="NormalWeb"/>
        <w:spacing w:after="360"/>
        <w:jc w:val="both"/>
      </w:pPr>
      <w:r>
        <w:rPr>
          <w:noProof/>
        </w:rPr>
        <w:lastRenderedPageBreak/>
        <w:drawing>
          <wp:inline distT="0" distB="0" distL="0" distR="0" wp14:anchorId="0C33E7C9" wp14:editId="3E4FCD9B">
            <wp:extent cx="5731510" cy="2718154"/>
            <wp:effectExtent l="0" t="0" r="2540" b="6350"/>
            <wp:docPr id="62" name="Imagen 62" descr="https://d500.epimg.net/descargables/2022/07/08/281e13e8dcee898117fa9801a04dec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d500.epimg.net/descargables/2022/07/08/281e13e8dcee898117fa9801a04dec38.png"/>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731510" cy="2718154"/>
                    </a:xfrm>
                    <a:prstGeom prst="rect">
                      <a:avLst/>
                    </a:prstGeom>
                    <a:noFill/>
                    <a:ln>
                      <a:noFill/>
                    </a:ln>
                  </pic:spPr>
                </pic:pic>
              </a:graphicData>
            </a:graphic>
          </wp:inline>
        </w:drawing>
      </w:r>
    </w:p>
    <w:p w:rsidR="005C6BAA" w:rsidRPr="008A6143" w:rsidRDefault="005C6BAA" w:rsidP="005C6BAA">
      <w:pPr>
        <w:pStyle w:val="NormalWeb"/>
        <w:spacing w:after="360"/>
        <w:jc w:val="both"/>
        <w:rPr>
          <w:color w:val="FF0000"/>
          <w:u w:val="single"/>
        </w:rPr>
      </w:pPr>
      <w:r w:rsidRPr="008A6143">
        <w:rPr>
          <w:color w:val="FF0000"/>
          <w:u w:val="single"/>
        </w:rPr>
        <w:t>Un euro ya casi vale lo mismo que un dólar. La divisa común se ha desplomado en los últimos días a mínimos de 20 años y a</w:t>
      </w:r>
      <w:r w:rsidR="00814E8D">
        <w:rPr>
          <w:color w:val="FF0000"/>
          <w:u w:val="single"/>
        </w:rPr>
        <w:t>yer llegó a cambiarse a 1,0072 “billetes verdes”</w:t>
      </w:r>
      <w:r w:rsidRPr="008A6143">
        <w:rPr>
          <w:color w:val="FF0000"/>
          <w:u w:val="single"/>
        </w:rPr>
        <w:t>, aunque posteriormente recuperó algo de terreno (1,0152). En lo que va de 2022 acumula una depreciación de alrededor del 10%.</w:t>
      </w:r>
    </w:p>
    <w:p w:rsidR="005C6BAA" w:rsidRPr="008A6143" w:rsidRDefault="005C6BAA" w:rsidP="005C6BAA">
      <w:pPr>
        <w:pStyle w:val="NormalWeb"/>
        <w:spacing w:after="360"/>
        <w:jc w:val="both"/>
        <w:rPr>
          <w:u w:val="single"/>
        </w:rPr>
      </w:pPr>
      <w:r w:rsidRPr="008A6143">
        <w:rPr>
          <w:u w:val="single"/>
        </w:rPr>
        <w:t>La debilidad del euro responde a varias razones. Los temores de recesión en la zona euro se han agudizado en las últimas semanas ante la reducción del suministro de gas ruso a Alemania. El mercado teme un corte total de los envíos</w:t>
      </w:r>
      <w:r>
        <w:t xml:space="preserve">, tal y como advirtió el viernes la vicepresidenta tercera y ministra para la Transición Ecológica y el Reto Demográfico, Teresa Ribera, que no descarta una situación de “máxima tensión” en las próximas semanas. </w:t>
      </w:r>
      <w:r w:rsidRPr="008A6143">
        <w:rPr>
          <w:u w:val="single"/>
        </w:rPr>
        <w:t>Esta situación provocaría energía más cara y riesgo de cortes de suministro, elementos que abren la puerta a una recesión, como apuntan los indicadores adelantados. El PMI compuesto de la actividad de la zona euro cayó a mínimos de 16 meses.</w:t>
      </w:r>
    </w:p>
    <w:p w:rsidR="005C6BAA" w:rsidRPr="008A6143" w:rsidRDefault="005C6BAA" w:rsidP="005C6BAA">
      <w:pPr>
        <w:pStyle w:val="NormalWeb"/>
        <w:spacing w:after="360"/>
        <w:jc w:val="both"/>
        <w:rPr>
          <w:u w:val="single"/>
        </w:rPr>
      </w:pPr>
      <w:r w:rsidRPr="008A6143">
        <w:rPr>
          <w:u w:val="single"/>
        </w:rPr>
        <w:t>El dólar se fortalece ante la política monetaria más agresiva de la Reserva Federal (Fed) de Estados Unidos frente al Banco Central Europeo (BCE), que aún no ha subido los tipos de interés mientras que el banco central estadounidense ya lo ha hecho en tres ocasiones. Este cóctel ha llevado a la moneda comunitaria a rozar la paridad contra el dólar, una situación que no se daba desde 2002.</w:t>
      </w:r>
    </w:p>
    <w:p w:rsidR="005C6BAA" w:rsidRDefault="005C6BAA" w:rsidP="005C6BAA">
      <w:pPr>
        <w:pStyle w:val="NormalWeb"/>
        <w:spacing w:after="360"/>
        <w:jc w:val="both"/>
      </w:pPr>
      <w:r w:rsidRPr="008A6143">
        <w:rPr>
          <w:color w:val="FF0000"/>
          <w:u w:val="single"/>
        </w:rPr>
        <w:t>Desde Monex Europe señalan que “cuanto más tiempo cotice el euro en estos niveles tan bajos, más probable será que el BCE intervenga, haciendo que se especule con un movimiento de 50 puntos básicos en su próxima reunión”.</w:t>
      </w:r>
      <w:r w:rsidRPr="008A6143">
        <w:rPr>
          <w:color w:val="FF0000"/>
        </w:rPr>
        <w:t xml:space="preserve"> </w:t>
      </w:r>
      <w:r>
        <w:t>Ahora mismo, la expectativa es una subida de 25 puntos básicos el próximo 21 de junio y un incremento incluso mayor en septiembre si la inflación sigue desbocada, algo que ha confirmado el propio BCE...</w:t>
      </w:r>
    </w:p>
    <w:p w:rsidR="005C6BAA" w:rsidRPr="008A6143" w:rsidRDefault="005C6BAA" w:rsidP="005C6BAA">
      <w:pPr>
        <w:pStyle w:val="NormalWeb"/>
        <w:spacing w:after="360"/>
        <w:jc w:val="both"/>
        <w:rPr>
          <w:u w:val="single"/>
        </w:rPr>
      </w:pPr>
      <w:r w:rsidRPr="008A6143">
        <w:rPr>
          <w:u w:val="single"/>
        </w:rPr>
        <w:t>Jordan Rochester, estratega de Nomura, ve al euro en niveles entre 0,98 y 0,96 dólares. Pero, ¿qué efectos tiene esta situación en los bolsillos? Como en las monedas, hay dos caras y los pros y los contras dependen de la divisa que se use.</w:t>
      </w:r>
    </w:p>
    <w:p w:rsidR="005C6BAA" w:rsidRDefault="005C6BAA" w:rsidP="005C6BAA">
      <w:pPr>
        <w:pStyle w:val="NormalWeb"/>
        <w:spacing w:after="360"/>
        <w:jc w:val="both"/>
      </w:pPr>
      <w:r>
        <w:t xml:space="preserve">- </w:t>
      </w:r>
      <w:r w:rsidRPr="008A6143">
        <w:rPr>
          <w:color w:val="FF0000"/>
          <w:u w:val="single"/>
        </w:rPr>
        <w:t>Comprar o vender en dólares es más caro</w:t>
      </w:r>
      <w:r>
        <w:t xml:space="preserve">. De este modo, los europeos tienen que pagar más, por ejemplo, por las materias primas, cuyo precio se fija en dólares, y en un momento en el </w:t>
      </w:r>
      <w:r>
        <w:lastRenderedPageBreak/>
        <w:t>que el petróleo y el gas están disparados. Las empresas estadounidenses pueden verse perjudicadas porque sus productos se vuelven más caros para los compradores extranjeros.</w:t>
      </w:r>
    </w:p>
    <w:p w:rsidR="005C6BAA" w:rsidRDefault="005C6BAA" w:rsidP="005C6BAA">
      <w:pPr>
        <w:pStyle w:val="NormalWeb"/>
        <w:spacing w:after="360"/>
        <w:jc w:val="both"/>
      </w:pPr>
      <w:r>
        <w:t xml:space="preserve">- </w:t>
      </w:r>
      <w:r w:rsidRPr="008A6143">
        <w:rPr>
          <w:color w:val="FF0000"/>
          <w:u w:val="single"/>
        </w:rPr>
        <w:t>Más presiones inflacionistas</w:t>
      </w:r>
      <w:r>
        <w:t>. Las personas que operen con euros tendrán una pérdida de valor en comparación con la moneda estadounidense, lo que se suma a la merma del poder adquisitivo que ya se sufre por la alta inflación, que está en máximos históricos por encima del 8% en la zona euro y del 10% en España…</w:t>
      </w:r>
    </w:p>
    <w:p w:rsidR="005C6BAA" w:rsidRDefault="005C6BAA" w:rsidP="005C6BAA">
      <w:pPr>
        <w:pStyle w:val="NormalWeb"/>
        <w:spacing w:after="360"/>
        <w:jc w:val="both"/>
      </w:pPr>
      <w:r>
        <w:t xml:space="preserve">- </w:t>
      </w:r>
      <w:r w:rsidRPr="008A6143">
        <w:rPr>
          <w:color w:val="FF0000"/>
          <w:u w:val="single"/>
        </w:rPr>
        <w:t xml:space="preserve">Trasvase </w:t>
      </w:r>
      <w:r>
        <w:rPr>
          <w:color w:val="FF0000"/>
          <w:u w:val="single"/>
        </w:rPr>
        <w:t>de capitales de Europa hacia EE</w:t>
      </w:r>
      <w:r w:rsidRPr="008A6143">
        <w:rPr>
          <w:color w:val="FF0000"/>
          <w:u w:val="single"/>
        </w:rPr>
        <w:t>UU porque el dólar remunera más</w:t>
      </w:r>
      <w:r>
        <w:t>. El alza de tipos en EEUU ha elevado las rentabilidades de la deuda estadounidense al 3%, lo que atrae a los inversores que buscan mayores rendimientos. “Un BCE menos agresivo ante una inflación que continúa su escalada en Europa ha desencadenado una huida de los inversores del euro, acomodándose en el dólar estadounidense ante la respuesta de la Reserva Federal”, señala Diego Morín, analista de IG.</w:t>
      </w:r>
    </w:p>
    <w:p w:rsidR="005C6BAA" w:rsidRDefault="005C6BAA" w:rsidP="005C6BAA">
      <w:pPr>
        <w:pStyle w:val="NormalWeb"/>
        <w:spacing w:after="360"/>
        <w:jc w:val="both"/>
      </w:pPr>
      <w:r>
        <w:t xml:space="preserve">- </w:t>
      </w:r>
      <w:r w:rsidRPr="008A6143">
        <w:rPr>
          <w:color w:val="FF0000"/>
          <w:u w:val="single"/>
        </w:rPr>
        <w:t>Exportaciones más baratas e importaciones más caras en Europa</w:t>
      </w:r>
      <w:r>
        <w:t>. Por ejemplo, una empresa francesa o española tendrá que pagar más por comprar productos de fuera, sin embargo, tradicionalmente, la debilidad del euro dinamiza las exportaciones, al resultar más atractivas para los compradores extranjeros.</w:t>
      </w:r>
    </w:p>
    <w:p w:rsidR="005C6BAA" w:rsidRDefault="005C6BAA" w:rsidP="005C6BAA">
      <w:pPr>
        <w:pStyle w:val="NormalWeb"/>
        <w:spacing w:after="360"/>
        <w:jc w:val="both"/>
      </w:pPr>
      <w:r>
        <w:t xml:space="preserve">- </w:t>
      </w:r>
      <w:r w:rsidRPr="008A6143">
        <w:rPr>
          <w:color w:val="FF0000"/>
          <w:u w:val="single"/>
        </w:rPr>
        <w:t>Turismo. Mientras que los</w:t>
      </w:r>
      <w:r w:rsidR="00A33DCF">
        <w:rPr>
          <w:color w:val="FF0000"/>
          <w:u w:val="single"/>
        </w:rPr>
        <w:t xml:space="preserve"> viajeros de EE</w:t>
      </w:r>
      <w:r w:rsidRPr="008A6143">
        <w:rPr>
          <w:color w:val="FF0000"/>
          <w:u w:val="single"/>
        </w:rPr>
        <w:t>UU que vengan a Europa podrán comprar más bara</w:t>
      </w:r>
      <w:r w:rsidR="00A33DCF">
        <w:rPr>
          <w:color w:val="FF0000"/>
          <w:u w:val="single"/>
        </w:rPr>
        <w:t>to, los europeos que vayan a EE</w:t>
      </w:r>
      <w:r w:rsidRPr="008A6143">
        <w:rPr>
          <w:color w:val="FF0000"/>
          <w:u w:val="single"/>
        </w:rPr>
        <w:t>UU tendrán que rascarse más el bolsillo</w:t>
      </w:r>
      <w:r>
        <w:t>. Puede servir de consuelo el hecho de que el euro no es la única moneda que cotiza más débil que el dólar. En comparación con el año pasado, el euro es más fuerte que la libra, el rand sudafricano, el zloty polaco, la corona sueca, el peso chileno, el forint húngaro y la lira turca”, comentan en Monex Europe.</w:t>
      </w:r>
    </w:p>
    <w:p w:rsidR="005C6BAA" w:rsidRDefault="005C6BAA" w:rsidP="005C6BAA">
      <w:pPr>
        <w:pStyle w:val="NormalWeb"/>
        <w:spacing w:after="360"/>
        <w:jc w:val="both"/>
      </w:pPr>
      <w:r w:rsidRPr="008A6143">
        <w:rPr>
          <w:u w:val="single"/>
        </w:rPr>
        <w:t>Fue en 2008, justo antes de la crisis financiera, cuando el euro tocó máximos al cambiarse a 1,58 dólares. Entonces, el BCE sacó su artillería monetaria para estimular el crecimiento y la divisa común empezó a depreciarse</w:t>
      </w:r>
      <w:r>
        <w:t xml:space="preserve">. </w:t>
      </w:r>
      <w:r w:rsidRPr="008A6143">
        <w:rPr>
          <w:color w:val="FF0000"/>
          <w:u w:val="single"/>
        </w:rPr>
        <w:t>Una subida de tipos por parte del BCE con el objetivo de ralentizar la inflación debería estimular al euro, pero el problema es que va con mucho retraso frente a la Fed.</w:t>
      </w:r>
      <w:r>
        <w:t xml:space="preserve"> De hecho, Jerome Powell comenzó el endurecimiento monetario el pasado mes de marzo, con una subida de 25 puntos básicos, a la que siguieron alzas de 50 y 75 puntos básicos, respectivamente, en las dos reuniones siguientes</w:t>
      </w:r>
      <w:r w:rsidR="00A33DCF">
        <w:t>…</w:t>
      </w:r>
    </w:p>
    <w:p w:rsidR="00A33DCF" w:rsidRDefault="00A33DCF" w:rsidP="00A33DCF">
      <w:pPr>
        <w:pStyle w:val="NormalWeb"/>
        <w:spacing w:after="360"/>
        <w:jc w:val="both"/>
      </w:pPr>
      <w:r>
        <w:t xml:space="preserve">- </w:t>
      </w:r>
      <w:r w:rsidRPr="000403BA">
        <w:rPr>
          <w:u w:val="single"/>
        </w:rPr>
        <w:t>La lucha contra la inflación, desde el lado de la oferta</w:t>
      </w:r>
      <w:r>
        <w:t xml:space="preserve"> (El Economista - </w:t>
      </w:r>
      <w:r w:rsidRPr="000403BA">
        <w:rPr>
          <w:b/>
        </w:rPr>
        <w:t>8/7/22</w:t>
      </w:r>
      <w:r>
        <w:t>)</w:t>
      </w:r>
    </w:p>
    <w:p w:rsidR="00A33DCF" w:rsidRDefault="00A33DCF" w:rsidP="00A33DCF">
      <w:pPr>
        <w:pStyle w:val="NormalWeb"/>
        <w:spacing w:after="360"/>
        <w:jc w:val="both"/>
      </w:pPr>
      <w:r>
        <w:t>(Por Michael Spence)</w:t>
      </w:r>
    </w:p>
    <w:p w:rsidR="00A33DCF" w:rsidRPr="0058531C" w:rsidRDefault="00A33DCF" w:rsidP="00A33DCF">
      <w:pPr>
        <w:pStyle w:val="NormalWeb"/>
        <w:spacing w:after="360"/>
        <w:jc w:val="both"/>
        <w:rPr>
          <w:u w:val="single"/>
        </w:rPr>
      </w:pPr>
      <w:r w:rsidRPr="0058531C">
        <w:rPr>
          <w:u w:val="single"/>
        </w:rPr>
        <w:t>Los esfuerzos de los bancos centrales por contener la alta y creciente inflación están afectando negativamente el crecimiento y amenazando con hacer que la economía global entre en recesión. Sin embargo, la causa inmediata de las presiones inflacionarias actuales es un amplio y persistente desequilibrio entre la oferta y la demanda. Las tasas de interés más elevadas reducirán la demanda, pero las medidas por el lado de la oferta también deben jugar un papel importante en las estrategias de limitación de la inflación.</w:t>
      </w:r>
    </w:p>
    <w:p w:rsidR="00A33DCF" w:rsidRDefault="00A33DCF" w:rsidP="00A33DCF">
      <w:pPr>
        <w:pStyle w:val="NormalWeb"/>
        <w:spacing w:after="360"/>
        <w:jc w:val="both"/>
      </w:pPr>
      <w:r>
        <w:t xml:space="preserve">A lo largo más o menos del año pasado, el despliegue de medidas de contención de la pandemia causó simultáneamente un alza en la demanda y una contracción de la oferta. Si bien esto era de esperarse, </w:t>
      </w:r>
      <w:r w:rsidRPr="0058531C">
        <w:rPr>
          <w:u w:val="single"/>
        </w:rPr>
        <w:t>la oferta ha demostrado ser sorprendentemente inelástica</w:t>
      </w:r>
      <w:r>
        <w:t xml:space="preserve">. Por ejemplo, en los mercados del trabajo, la escasez se ha convertido en la norma, lo que ha </w:t>
      </w:r>
      <w:r>
        <w:lastRenderedPageBreak/>
        <w:t>causado cancelaciones de vuelos, perturbaciones en las cadenas de suministro, cierres de restaurantes y retos a la prestación de cuidados de salud.</w:t>
      </w:r>
    </w:p>
    <w:p w:rsidR="00A33DCF" w:rsidRDefault="00A33DCF" w:rsidP="00A33DCF">
      <w:pPr>
        <w:pStyle w:val="NormalWeb"/>
        <w:spacing w:after="360"/>
        <w:jc w:val="both"/>
      </w:pPr>
      <w:r w:rsidRPr="0058531C">
        <w:rPr>
          <w:u w:val="single"/>
        </w:rPr>
        <w:t>En parte, esta situación parece deberse a un cambio de preferencias causado por la pandemia. Muchos tipos de trabajadores buscan una mayor flexibilidad -lo que incluye opciones de trabajo híbrido o desde el hogar-, o bien mejores condiciones laborales en general</w:t>
      </w:r>
      <w:r>
        <w:t>. En particular, los trabajadores de la salud manifiestan sentirse agotados por sus empleos.</w:t>
      </w:r>
    </w:p>
    <w:p w:rsidR="00A33DCF" w:rsidRPr="0058531C" w:rsidRDefault="00A33DCF" w:rsidP="00A33DCF">
      <w:pPr>
        <w:pStyle w:val="NormalWeb"/>
        <w:spacing w:after="360"/>
        <w:jc w:val="both"/>
        <w:rPr>
          <w:u w:val="single"/>
        </w:rPr>
      </w:pPr>
      <w:r w:rsidRPr="0058531C">
        <w:rPr>
          <w:u w:val="single"/>
        </w:rPr>
        <w:t>De ser cierto esto, el panorama de la inflación deberá incluir un ajuste de los costes relativos del empleo. Para reequilibrar los mercados serán necesarios aumentos de los salarios y los ingresos, incluso para empleos para los que antes había una amplia oferta de trabajadores.</w:t>
      </w:r>
    </w:p>
    <w:p w:rsidR="00A33DCF" w:rsidRPr="0058531C" w:rsidRDefault="00A33DCF" w:rsidP="00A33DCF">
      <w:pPr>
        <w:pStyle w:val="NormalWeb"/>
        <w:spacing w:after="360"/>
        <w:jc w:val="both"/>
        <w:rPr>
          <w:u w:val="single"/>
        </w:rPr>
      </w:pPr>
      <w:r w:rsidRPr="0058531C">
        <w:rPr>
          <w:u w:val="single"/>
        </w:rPr>
        <w:t>Esta transición generará una cierta presión inflacionaria. Sí, los precios y salarios nominales han limitado la flexibilidad a la baja. Pero en tiempos de exceso de demanda, por lo general las empresas intentan traspasar los mayores costes a un aumento de los precios, y a menudo se salieron con la suya, al menos por un tiempo.</w:t>
      </w:r>
    </w:p>
    <w:p w:rsidR="00A33DCF" w:rsidRPr="0058531C" w:rsidRDefault="00A33DCF" w:rsidP="00A33DCF">
      <w:pPr>
        <w:pStyle w:val="NormalWeb"/>
        <w:spacing w:after="360"/>
        <w:jc w:val="both"/>
        <w:rPr>
          <w:color w:val="FF0000"/>
          <w:u w:val="single"/>
        </w:rPr>
      </w:pPr>
      <w:r w:rsidRPr="0058531C">
        <w:rPr>
          <w:color w:val="FF0000"/>
          <w:u w:val="single"/>
        </w:rPr>
        <w:t>Los prolongados bloqueos asociados con la pandemia, especialmente en China, que sigue comprometida con su política de cero COVID, también son factores que elevan la inflación. Pero acabarán por ceder, así como también las limitaciones a la capacidad de corto a mediano plazo causadas por los cambios en la composición de la demanda (en cuanto a productos y zonas geográficas), aunque algunas persistirán un tiempo. La capacidad, ya sea en puertos o semiconductores, tarda en desarrollarse.</w:t>
      </w:r>
    </w:p>
    <w:p w:rsidR="00A33DCF" w:rsidRPr="0058531C" w:rsidRDefault="00A33DCF" w:rsidP="00A33DCF">
      <w:pPr>
        <w:pStyle w:val="NormalWeb"/>
        <w:spacing w:after="360"/>
        <w:jc w:val="both"/>
        <w:rPr>
          <w:color w:val="FF0000"/>
          <w:u w:val="single"/>
        </w:rPr>
      </w:pPr>
      <w:r w:rsidRPr="0058531C">
        <w:rPr>
          <w:color w:val="FF0000"/>
          <w:u w:val="single"/>
        </w:rPr>
        <w:t>Sin embargo, la inflación actual tiene raíces más profundas. A lo largo de las últimas décadas, la activación de enormes cantidades de mano de obra y capacidad productiva subutilizadas en las economías emergentes ha generado presiones deflacionarias. Hoy, cuando esos recursos ya se han utilizado en gran parte, los precios relativos de muchos bienes tendrán que aumentar.</w:t>
      </w:r>
    </w:p>
    <w:p w:rsidR="00A33DCF" w:rsidRPr="0058531C" w:rsidRDefault="00A33DCF" w:rsidP="00A33DCF">
      <w:pPr>
        <w:pStyle w:val="NormalWeb"/>
        <w:spacing w:after="360"/>
        <w:jc w:val="both"/>
        <w:rPr>
          <w:color w:val="FF0000"/>
          <w:u w:val="single"/>
        </w:rPr>
      </w:pPr>
      <w:r w:rsidRPr="0058531C">
        <w:rPr>
          <w:color w:val="FF0000"/>
          <w:u w:val="single"/>
        </w:rPr>
        <w:t>Más aún, hay un impulso global hacia la diversificación y, en algunos casos, la localización de las cadenas de demanda y oferta, como respuesta a la creciente frecuencia de crisis graves y tensiones geopolíticas.</w:t>
      </w:r>
      <w:r>
        <w:t xml:space="preserve"> </w:t>
      </w:r>
      <w:r w:rsidRPr="0058531C">
        <w:rPr>
          <w:color w:val="FF0000"/>
          <w:u w:val="single"/>
        </w:rPr>
        <w:t>Una economía global más resiliente resulta más costosa, y los precios lo reflejarán.</w:t>
      </w:r>
    </w:p>
    <w:p w:rsidR="00A33DCF" w:rsidRPr="0058531C" w:rsidRDefault="00A33DCF" w:rsidP="00A33DCF">
      <w:pPr>
        <w:pStyle w:val="NormalWeb"/>
        <w:spacing w:after="360"/>
        <w:jc w:val="both"/>
        <w:rPr>
          <w:color w:val="FF0000"/>
          <w:u w:val="single"/>
        </w:rPr>
      </w:pPr>
      <w:r w:rsidRPr="0058531C">
        <w:rPr>
          <w:color w:val="FF0000"/>
          <w:u w:val="single"/>
        </w:rPr>
        <w:t>La guerra de Ucrania no solo ha acelerado esta transformación de las cadenas de suministro, sino que además ha causado un marcado aumento de los precios de la energía y los alimentos, exacerbando más todavía la inflación, especialmente en los países de menores ingresos. En el caso de los combustibles fósiles, el problema se ha visto agravado por un patrón preexistente de subinversión en la capacidad en distintos puntos de la cadena de suministro.</w:t>
      </w:r>
    </w:p>
    <w:p w:rsidR="00A33DCF" w:rsidRPr="0058531C" w:rsidRDefault="00A33DCF" w:rsidP="00A33DCF">
      <w:pPr>
        <w:pStyle w:val="NormalWeb"/>
        <w:spacing w:after="360"/>
        <w:jc w:val="both"/>
        <w:rPr>
          <w:color w:val="FF0000"/>
          <w:u w:val="single"/>
        </w:rPr>
      </w:pPr>
      <w:r w:rsidRPr="0058531C">
        <w:rPr>
          <w:color w:val="FF0000"/>
          <w:u w:val="single"/>
        </w:rPr>
        <w:t>Pero hay más: un porcentaje superior al 75% del PIB mundial se produce en países con poblaciones que están envejeciendo. Las proporciones de dependencia de la tercera edad están en aumento, y en algunos países la fuerza de trabajo se está reduciendo. Las ganancias en la productividad pudieron contrarrestar la contracción de la oferta de mano de obra en relación con la demanda, pero tras cerca de dos décadas de caída del crecimiento de la productividad pareciera que tales ganancias no continuarán.</w:t>
      </w:r>
    </w:p>
    <w:p w:rsidR="00A33DCF" w:rsidRPr="0058531C" w:rsidRDefault="00A33DCF" w:rsidP="00A33DCF">
      <w:pPr>
        <w:pStyle w:val="NormalWeb"/>
        <w:spacing w:after="360"/>
        <w:jc w:val="both"/>
        <w:rPr>
          <w:color w:val="FF0000"/>
          <w:u w:val="single"/>
        </w:rPr>
      </w:pPr>
      <w:r w:rsidRPr="0058531C">
        <w:rPr>
          <w:color w:val="FF0000"/>
          <w:u w:val="single"/>
        </w:rPr>
        <w:t xml:space="preserve">Así las cosas, la inflación está creciendo rápidamente y los bancos centrales se encuentran bajo presión para tomar medidas drásticas, pero su única opción real es reducir la demanda </w:t>
      </w:r>
      <w:r w:rsidRPr="0058531C">
        <w:rPr>
          <w:color w:val="FF0000"/>
          <w:u w:val="single"/>
        </w:rPr>
        <w:lastRenderedPageBreak/>
        <w:t>elevando las tasas de interés y reduciendo la liquidez. Son medidas que ya han provocado un masivo reajuste al alza de los precios, incluidas las monedas nacionales, y amenazan con empujar el crecimiento global por debajo de su potencial, afectando desproporcionadamente a las economías de menores ingresos, y con reducir la inversión en la transición energética.</w:t>
      </w:r>
    </w:p>
    <w:p w:rsidR="00A33DCF" w:rsidRPr="0058531C" w:rsidRDefault="00A33DCF" w:rsidP="00A33DCF">
      <w:pPr>
        <w:pStyle w:val="NormalWeb"/>
        <w:spacing w:after="360"/>
        <w:jc w:val="both"/>
        <w:rPr>
          <w:b/>
          <w:color w:val="FF0000"/>
          <w:u w:val="single"/>
        </w:rPr>
      </w:pPr>
      <w:r w:rsidRPr="0058531C">
        <w:rPr>
          <w:b/>
          <w:color w:val="FF0000"/>
          <w:u w:val="single"/>
        </w:rPr>
        <w:t>Existe otra manera: adoptar medidas por el lado de la oferta. Por largo tiempo, el comercio y la inversión han hecho posible que la oferta se amplíe con rapidez en respuesta a la creciente demanda global. Sin embargo, en las últimas dos décadas -y especialmente en los últimos años- la proliferación de barreras al comercio han añadido fricción a este proceso. Es necesario revertir el creciente proteccionismo: el Presidente estadounidense Joe Biden debe eliminar los aranceles impuestos por su predecesor, Donald Trump, y Europa tiene que acelerar la integración de sus mercados de servicios.</w:t>
      </w:r>
    </w:p>
    <w:p w:rsidR="00A33DCF" w:rsidRPr="0058531C" w:rsidRDefault="00A33DCF" w:rsidP="00A33DCF">
      <w:pPr>
        <w:pStyle w:val="NormalWeb"/>
        <w:spacing w:after="360"/>
        <w:jc w:val="both"/>
        <w:rPr>
          <w:color w:val="FF0000"/>
          <w:u w:val="single"/>
        </w:rPr>
      </w:pPr>
      <w:r w:rsidRPr="0058531C">
        <w:rPr>
          <w:color w:val="FF0000"/>
          <w:u w:val="single"/>
        </w:rPr>
        <w:t>Al mismo tiempo, es necesario hacer esfuerzos por mejorar la productividad, para lo que las tecnologías digitales son cruciales. Si bien la pandemia ayudó a acelerar la transformación digital, hay varios sectores que están atrasados al respecto, incluido el sector público, y persiste la preocupación sobre los efectos de la automatización sobre el empleo.</w:t>
      </w:r>
    </w:p>
    <w:p w:rsidR="00A33DCF" w:rsidRDefault="00A33DCF" w:rsidP="00A33DCF">
      <w:pPr>
        <w:pStyle w:val="NormalWeb"/>
        <w:spacing w:after="360"/>
        <w:jc w:val="both"/>
      </w:pPr>
      <w:r>
        <w:t>Sin embargo, en un mundo con una oferta limitada, y caracterizado por persistentes insuficiencias de mano de obra, las tecnologías digitales que mejoran la productividad, en conjunto con mayores salarios para los trabajadores, ayudarían mucho a avanzar en el equilibrio entre la oferta y la demanda. Por ejemplo, las herramientas basadas en inteligencia artificial pueden hacerse cargo de una amplia gama de funciones, desde analizar las imágenes de las maletas en aeropuertos hasta detectar indicios de cáncer en imágenes médicas. Más allá de las tecnologías digitales, se puede agilizar y mejorar los regímenes normativos para reducir los cuellos de botella del lado de la oferta.</w:t>
      </w:r>
    </w:p>
    <w:p w:rsidR="00A33DCF" w:rsidRPr="0058531C" w:rsidRDefault="00A33DCF" w:rsidP="00A33DCF">
      <w:pPr>
        <w:pStyle w:val="NormalWeb"/>
        <w:spacing w:after="360"/>
        <w:jc w:val="both"/>
        <w:rPr>
          <w:color w:val="FF0000"/>
          <w:u w:val="single"/>
        </w:rPr>
      </w:pPr>
      <w:r w:rsidRPr="0058531C">
        <w:rPr>
          <w:color w:val="FF0000"/>
          <w:u w:val="single"/>
        </w:rPr>
        <w:t>Medidas como estas se deben aplicar a los sectores tanto públicos como privados. A nivel internacional, serán esenciales las iniciativas para facilitar el comercio, enfrentar las rigideces en las cadenas de suministro y cerrar las brechas de datos. De lo contrario, los bancos centrales tendrán que enfrentar la inflación solos, con graves consecuencias para toda la economía global.</w:t>
      </w:r>
    </w:p>
    <w:p w:rsidR="00A33DCF" w:rsidRDefault="00A33DCF" w:rsidP="005C6BAA">
      <w:pPr>
        <w:pStyle w:val="NormalWeb"/>
        <w:spacing w:after="360"/>
        <w:jc w:val="both"/>
        <w:rPr>
          <w:color w:val="FF0000"/>
          <w:u w:val="single"/>
        </w:rPr>
      </w:pPr>
      <w:r w:rsidRPr="000322B9">
        <w:rPr>
          <w:b/>
          <w:noProof/>
          <w:color w:val="FF0000"/>
        </w:rPr>
        <w:drawing>
          <wp:inline distT="0" distB="0" distL="0" distR="0" wp14:anchorId="06B38D37" wp14:editId="313D3DF0">
            <wp:extent cx="5727700" cy="2908300"/>
            <wp:effectExtent l="0" t="0" r="6350" b="6350"/>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5727700" cy="2908300"/>
                    </a:xfrm>
                    <a:prstGeom prst="rect">
                      <a:avLst/>
                    </a:prstGeom>
                  </pic:spPr>
                </pic:pic>
              </a:graphicData>
            </a:graphic>
          </wp:inline>
        </w:drawing>
      </w:r>
    </w:p>
    <w:p w:rsidR="00A33DCF" w:rsidRDefault="00A33DCF" w:rsidP="005C6BAA">
      <w:pPr>
        <w:pStyle w:val="NormalWeb"/>
        <w:spacing w:after="360"/>
        <w:jc w:val="both"/>
        <w:rPr>
          <w:color w:val="FF0000"/>
          <w:u w:val="single"/>
        </w:rPr>
      </w:pPr>
      <w:r w:rsidRPr="000322B9">
        <w:rPr>
          <w:b/>
          <w:noProof/>
          <w:color w:val="FF0000"/>
        </w:rPr>
        <w:lastRenderedPageBreak/>
        <w:drawing>
          <wp:inline distT="0" distB="0" distL="0" distR="0" wp14:anchorId="792765D4" wp14:editId="777A6415">
            <wp:extent cx="5731510" cy="2768293"/>
            <wp:effectExtent l="0" t="0" r="2540" b="0"/>
            <wp:docPr id="66" name="Imagen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5731510" cy="2768293"/>
                    </a:xfrm>
                    <a:prstGeom prst="rect">
                      <a:avLst/>
                    </a:prstGeom>
                  </pic:spPr>
                </pic:pic>
              </a:graphicData>
            </a:graphic>
          </wp:inline>
        </w:drawing>
      </w:r>
    </w:p>
    <w:p w:rsidR="00A33DCF" w:rsidRDefault="00A33DCF" w:rsidP="005C6BAA">
      <w:pPr>
        <w:pStyle w:val="NormalWeb"/>
        <w:spacing w:after="360"/>
        <w:jc w:val="both"/>
        <w:rPr>
          <w:color w:val="FF0000"/>
          <w:u w:val="single"/>
        </w:rPr>
      </w:pPr>
      <w:r w:rsidRPr="000322B9">
        <w:rPr>
          <w:b/>
          <w:noProof/>
          <w:color w:val="FF0000"/>
        </w:rPr>
        <w:drawing>
          <wp:inline distT="0" distB="0" distL="0" distR="0" wp14:anchorId="383AC363" wp14:editId="41667D37">
            <wp:extent cx="5731510" cy="5407660"/>
            <wp:effectExtent l="0" t="0" r="2540" b="2540"/>
            <wp:docPr id="67" name="Imagen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5731510" cy="5407660"/>
                    </a:xfrm>
                    <a:prstGeom prst="rect">
                      <a:avLst/>
                    </a:prstGeom>
                  </pic:spPr>
                </pic:pic>
              </a:graphicData>
            </a:graphic>
          </wp:inline>
        </w:drawing>
      </w:r>
    </w:p>
    <w:p w:rsidR="00A33DCF" w:rsidRDefault="00A33DCF" w:rsidP="00A33DCF">
      <w:pPr>
        <w:pStyle w:val="NormalWeb"/>
        <w:spacing w:after="360"/>
        <w:jc w:val="both"/>
      </w:pPr>
    </w:p>
    <w:p w:rsidR="00A33DCF" w:rsidRDefault="00A33DCF" w:rsidP="00A33DCF">
      <w:pPr>
        <w:pStyle w:val="NormalWeb"/>
        <w:spacing w:after="360"/>
        <w:jc w:val="both"/>
      </w:pPr>
      <w:r>
        <w:lastRenderedPageBreak/>
        <w:t xml:space="preserve">- </w:t>
      </w:r>
      <w:r w:rsidRPr="00E72452">
        <w:rPr>
          <w:u w:val="single"/>
        </w:rPr>
        <w:t>Un contrato social ajustado a la inflación para Europa</w:t>
      </w:r>
      <w:r>
        <w:t xml:space="preserve"> (El Economista - </w:t>
      </w:r>
      <w:r w:rsidRPr="00E72452">
        <w:rPr>
          <w:b/>
        </w:rPr>
        <w:t>12/7/22</w:t>
      </w:r>
      <w:r>
        <w:t>)</w:t>
      </w:r>
    </w:p>
    <w:p w:rsidR="00A33DCF" w:rsidRDefault="00A33DCF" w:rsidP="00A33DCF">
      <w:pPr>
        <w:pStyle w:val="NormalWeb"/>
        <w:spacing w:after="360"/>
        <w:jc w:val="both"/>
      </w:pPr>
      <w:r>
        <w:t>(Por Daniel Gros)</w:t>
      </w:r>
    </w:p>
    <w:p w:rsidR="00A33DCF" w:rsidRPr="00815F7D" w:rsidRDefault="00A33DCF" w:rsidP="00A33DCF">
      <w:pPr>
        <w:pStyle w:val="NormalWeb"/>
        <w:spacing w:after="360"/>
        <w:jc w:val="both"/>
        <w:rPr>
          <w:color w:val="FF0000"/>
          <w:u w:val="single"/>
        </w:rPr>
      </w:pPr>
      <w:r w:rsidRPr="00815F7D">
        <w:rPr>
          <w:color w:val="FF0000"/>
          <w:u w:val="single"/>
        </w:rPr>
        <w:t>Con los precios de la energía altos y al alza, y la inflación disparada, la situación empieza a parecerse de nuevo a la de finales de los años setenta. Pero las apariencias engañan.</w:t>
      </w:r>
    </w:p>
    <w:p w:rsidR="00A33DCF" w:rsidRPr="00815F7D" w:rsidRDefault="00A33DCF" w:rsidP="00A33DCF">
      <w:pPr>
        <w:pStyle w:val="NormalWeb"/>
        <w:spacing w:after="360"/>
        <w:jc w:val="both"/>
        <w:rPr>
          <w:color w:val="FF0000"/>
          <w:u w:val="single"/>
        </w:rPr>
      </w:pPr>
      <w:r>
        <w:t xml:space="preserve">Las similitudes son evidentes. En 2022, al igual que en la década de 1970, una crisis de los precios de la energía ha provocado un aumento sostenido de los precios de muchos otros bienes. </w:t>
      </w:r>
      <w:r w:rsidRPr="00815F7D">
        <w:rPr>
          <w:color w:val="FF0000"/>
          <w:u w:val="single"/>
        </w:rPr>
        <w:t>La llamada tasa de inflación subyacente, que excluye los precios volátiles de la energía y los alimentos, se acerca ahora al 6% en Estados Unidos y al 4% en la eurozona. Y se teme que, como en los años 70, esta tendencia sea persistente.</w:t>
      </w:r>
    </w:p>
    <w:p w:rsidR="00A33DCF" w:rsidRPr="00815F7D" w:rsidRDefault="00A33DCF" w:rsidP="00A33DCF">
      <w:pPr>
        <w:pStyle w:val="NormalWeb"/>
        <w:spacing w:after="360"/>
        <w:jc w:val="both"/>
        <w:rPr>
          <w:color w:val="FF0000"/>
          <w:u w:val="single"/>
        </w:rPr>
      </w:pPr>
      <w:r w:rsidRPr="00815F7D">
        <w:rPr>
          <w:color w:val="FF0000"/>
          <w:u w:val="single"/>
        </w:rPr>
        <w:t>Pero no estamos viviendo una repetición de los años 70. Una diferencia clave radica en los mercados laborales. En aquella época, la indexación salarial generalizada significaba que el aumento de los precios de la energía y de otros productos conducía automáticamente a un aumento equivalente de los salarios. Cuando la indexación salarial era menos importante, los sindicatos conseguían el mismo resultado, ya que se negaban a aceptar cualquier deterioro del nivel de vida de sus miembros.</w:t>
      </w:r>
    </w:p>
    <w:p w:rsidR="00A33DCF" w:rsidRPr="00815F7D" w:rsidRDefault="00A33DCF" w:rsidP="00A33DCF">
      <w:pPr>
        <w:pStyle w:val="NormalWeb"/>
        <w:spacing w:after="360"/>
        <w:jc w:val="both"/>
        <w:rPr>
          <w:color w:val="FF0000"/>
          <w:u w:val="single"/>
        </w:rPr>
      </w:pPr>
      <w:r w:rsidRPr="00815F7D">
        <w:rPr>
          <w:color w:val="FF0000"/>
          <w:u w:val="single"/>
        </w:rPr>
        <w:t>Este no es el caso hoy en día, al menos en la eurozona. Según el nuevo indicador salarial del Banco Central Europeo, los salarios de la eurozona sólo han aumentado un 3% hasta ahora, mucho menos que la inflación del 8,6% registrada en junio. En otras palabras, no hay señales de la espiral salarios-precios de los años 70.</w:t>
      </w:r>
    </w:p>
    <w:p w:rsidR="00A33DCF" w:rsidRDefault="00A33DCF" w:rsidP="00A33DCF">
      <w:pPr>
        <w:pStyle w:val="NormalWeb"/>
        <w:spacing w:after="360"/>
        <w:jc w:val="both"/>
      </w:pPr>
      <w:r w:rsidRPr="00815F7D">
        <w:rPr>
          <w:color w:val="FF0000"/>
          <w:u w:val="single"/>
        </w:rPr>
        <w:t>Otra diferencia actual es que los productores europeos han podido aumentar sus precios lo suficiente como para compensar una parte importante del aumento del coste de la energía.</w:t>
      </w:r>
      <w:r w:rsidRPr="00815F7D">
        <w:rPr>
          <w:color w:val="FF0000"/>
        </w:rPr>
        <w:t xml:space="preserve"> </w:t>
      </w:r>
      <w:r>
        <w:t>Sobre la base de los precios de junio de 2022, la factura de las importaciones de energía de la eurozona aumentará más del 4% del PIB este año. En el último año, el aumento de los precios de la energía ha impulsado un incremento del 24% en los precios de importación de la Unión Europea, tras más de una década de estabilidad.</w:t>
      </w:r>
    </w:p>
    <w:p w:rsidR="00A33DCF" w:rsidRPr="00815F7D" w:rsidRDefault="00A33DCF" w:rsidP="00A33DCF">
      <w:pPr>
        <w:pStyle w:val="NormalWeb"/>
        <w:spacing w:after="360"/>
        <w:jc w:val="both"/>
        <w:rPr>
          <w:color w:val="FF0000"/>
          <w:u w:val="single"/>
        </w:rPr>
      </w:pPr>
      <w:r w:rsidRPr="00815F7D">
        <w:rPr>
          <w:color w:val="FF0000"/>
          <w:u w:val="single"/>
        </w:rPr>
        <w:t>Pero los precios cobrados por los exportadores de la UE también subieron, más del 12%, y la UE exporta más de lo que importa. Así, los productores europeos han podido compensar algo más de la mitad de la pérdida de ingresos derivada del aumento de los precios de la energía, manteniéndola en algo menos del 2% del PIB. Es un precio elevado, pero también manejable.</w:t>
      </w:r>
    </w:p>
    <w:p w:rsidR="00A33DCF" w:rsidRPr="00815F7D" w:rsidRDefault="00A33DCF" w:rsidP="00A33DCF">
      <w:pPr>
        <w:pStyle w:val="NormalWeb"/>
        <w:spacing w:after="360"/>
        <w:jc w:val="both"/>
        <w:rPr>
          <w:b/>
          <w:color w:val="FF0000"/>
          <w:u w:val="single"/>
        </w:rPr>
      </w:pPr>
      <w:r w:rsidRPr="00815F7D">
        <w:rPr>
          <w:b/>
          <w:color w:val="FF0000"/>
          <w:u w:val="single"/>
        </w:rPr>
        <w:t>El reto será distribuir las pérdidas de ingresos entre los sectores económicos. Como los salarios reales han caído alrededor de un 5%, los trabajadores europeos han soportado hasta ahora todos los costes de la inflación. Dado que la parte de los salarios asciende a cerca del 62% del PIB en la eurozona, una caída del 5% de los salarios reales pondría a disposición de otros sectores cerca del 3,1% del PIB, más que la pérdida de ingresos del 2%, lo que permitiría aumentar los beneficios. Esto es más que suficiente para compensar las pérdidas de términos de intercambio sufridas hasta ahora.</w:t>
      </w:r>
    </w:p>
    <w:p w:rsidR="00A33DCF" w:rsidRPr="00815F7D" w:rsidRDefault="00A33DCF" w:rsidP="00A33DCF">
      <w:pPr>
        <w:pStyle w:val="NormalWeb"/>
        <w:spacing w:after="360"/>
        <w:jc w:val="both"/>
        <w:rPr>
          <w:color w:val="FF0000"/>
          <w:u w:val="single"/>
        </w:rPr>
      </w:pPr>
      <w:r w:rsidRPr="00815F7D">
        <w:rPr>
          <w:color w:val="FF0000"/>
          <w:u w:val="single"/>
        </w:rPr>
        <w:t xml:space="preserve">La situación es muy diferente en Estados Unidos. Como mayor productor mundial de petróleo y gas natural, exporta tanta energía como importa. Por tanto, la relación de intercambio de Estados Unidos no se ha resentido en absoluto, ya que los precios de importación y exportación han aumentado en la misma medida. Pero los salarios han aumentado más de un 6%, según el seguimiento salarial del Banco de la Reserva Federal de </w:t>
      </w:r>
      <w:r w:rsidRPr="00815F7D">
        <w:rPr>
          <w:color w:val="FF0000"/>
          <w:u w:val="single"/>
        </w:rPr>
        <w:lastRenderedPageBreak/>
        <w:t>Atlanta, lo que significa que Estados Unidos está mucho más cerca de una espiral de precios salariales que Europa.</w:t>
      </w:r>
    </w:p>
    <w:p w:rsidR="00A33DCF" w:rsidRPr="00815F7D" w:rsidRDefault="00A33DCF" w:rsidP="00A33DCF">
      <w:pPr>
        <w:pStyle w:val="NormalWeb"/>
        <w:spacing w:after="360"/>
        <w:jc w:val="both"/>
        <w:rPr>
          <w:color w:val="FF0000"/>
          <w:u w:val="single"/>
        </w:rPr>
      </w:pPr>
      <w:r w:rsidRPr="00815F7D">
        <w:rPr>
          <w:b/>
          <w:color w:val="FF0000"/>
          <w:u w:val="single"/>
        </w:rPr>
        <w:t>¿Hasta qué punto es fiable la moderación salarial en Europa? En la actualidad, la UE experimenta más inflación en los beneficios que en los salarios, a pesar de la pérdida global de ingresos. Y la caída de los salarios reales es especialmente difícil de aceptar cuando los beneficios se disparan</w:t>
      </w:r>
      <w:r>
        <w:t xml:space="preserve">. De hecho, las demandas salariales ya están aumentando en toda la eurozona. El influyente sindicato alemán IG Metall, por ejemplo, pide un aumento salarial del 8% para los trabajadores de la industria metalúrgica, que actualmente disfruta de grandes beneficios. </w:t>
      </w:r>
      <w:r w:rsidRPr="00815F7D">
        <w:rPr>
          <w:color w:val="FF0000"/>
          <w:u w:val="single"/>
        </w:rPr>
        <w:t>Para mantener la paz social, varios países, entre ellos Alemania, han introducido aumentos de dos dígitos en los salarios mínimos.</w:t>
      </w:r>
    </w:p>
    <w:p w:rsidR="00A33DCF" w:rsidRPr="00815F7D" w:rsidRDefault="00A33DCF" w:rsidP="00A33DCF">
      <w:pPr>
        <w:pStyle w:val="NormalWeb"/>
        <w:spacing w:after="360"/>
        <w:jc w:val="both"/>
        <w:rPr>
          <w:color w:val="FF0000"/>
          <w:u w:val="single"/>
        </w:rPr>
      </w:pPr>
      <w:r w:rsidRPr="00815F7D">
        <w:rPr>
          <w:color w:val="FF0000"/>
          <w:u w:val="single"/>
        </w:rPr>
        <w:t>Sin embargo, los aumentos salariales negociados han sido hasta ahora modestos, en torno al 4%, según el BCE</w:t>
      </w:r>
      <w:r>
        <w:t xml:space="preserve">. Los salarios reales podrían subir más, ya que los empresarios de los sectores que sufren escasez deciden que vale la pena pagar a los trabajadores una prima. </w:t>
      </w:r>
      <w:r w:rsidRPr="00815F7D">
        <w:rPr>
          <w:color w:val="FF0000"/>
          <w:u w:val="single"/>
        </w:rPr>
        <w:t>Sin embargo, hay pocos indicios de que los salarios vayan a alcanzar la inflación en breve.</w:t>
      </w:r>
    </w:p>
    <w:p w:rsidR="00A33DCF" w:rsidRDefault="00A33DCF" w:rsidP="00A33DCF">
      <w:pPr>
        <w:pStyle w:val="NormalWeb"/>
        <w:spacing w:after="360"/>
        <w:jc w:val="both"/>
      </w:pPr>
      <w:r w:rsidRPr="00815F7D">
        <w:rPr>
          <w:color w:val="FF0000"/>
          <w:u w:val="single"/>
        </w:rPr>
        <w:t>La razón principal es que los gobiernos de toda Europa están haciendo transferencias directas a los hogares para compensar el aumento de los costes energéticos</w:t>
      </w:r>
      <w:r>
        <w:t>. Por ejemplo, el Gobierno alemán ha presentado un paquete de ayudas que incluye un pago único para los empleados y una subvención para los gastos de calefacción de los hogares que reciben subsidios de vivienda.</w:t>
      </w:r>
    </w:p>
    <w:p w:rsidR="00A33DCF" w:rsidRDefault="00A33DCF" w:rsidP="00A33DCF">
      <w:pPr>
        <w:pStyle w:val="NormalWeb"/>
        <w:spacing w:after="360"/>
        <w:jc w:val="both"/>
      </w:pPr>
      <w:r>
        <w:t>El gobierno español, por su parte, subvenciona el coste del gas natural para los productores de electricidad. Este planteamiento para contener los precios de la electricidad es erróneo, ya que fomenta el uso del gas en un momento en que el presidente ruso Vladimir Putin amenaza con cortar el suministro. Pero estos planes reflejan un nuevo contrato social que está surgiendo en Europa: los gobiernos protegen a los trabajadores de la mayor parte de los costes energéticos, a cambio de que los trabajadores moderen sus demandas salariales.</w:t>
      </w:r>
    </w:p>
    <w:p w:rsidR="00A33DCF" w:rsidRPr="00815F7D" w:rsidRDefault="00A33DCF" w:rsidP="00A33DCF">
      <w:pPr>
        <w:pStyle w:val="NormalWeb"/>
        <w:spacing w:after="360"/>
        <w:jc w:val="both"/>
        <w:rPr>
          <w:color w:val="FF0000"/>
          <w:u w:val="single"/>
        </w:rPr>
      </w:pPr>
      <w:r>
        <w:t>Tras la crisis financiera mundial de 2008, una crítica recurrente al marco de la eurozona fue que la ausencia de una autoridad fis</w:t>
      </w:r>
      <w:r w:rsidR="00814E8D">
        <w:t>cal significaba que el BCE era “el único juego en la ciudad”</w:t>
      </w:r>
      <w:r>
        <w:t xml:space="preserve">. Esta vez parece diferente. </w:t>
      </w:r>
      <w:r w:rsidRPr="00815F7D">
        <w:rPr>
          <w:color w:val="FF0000"/>
          <w:u w:val="single"/>
        </w:rPr>
        <w:t>Al intervenir para proporcionar apoyo a los ingresos, los gobiernos están ayudando a evitar una espiral de precios salariales al estilo de los años 70, y facilitando el trabajo del BCE.</w:t>
      </w:r>
    </w:p>
    <w:p w:rsidR="00A33DCF" w:rsidRPr="00814E8D" w:rsidRDefault="00A33DCF" w:rsidP="00A33DCF">
      <w:pPr>
        <w:pStyle w:val="NormalWeb"/>
        <w:spacing w:after="360"/>
        <w:jc w:val="both"/>
        <w:rPr>
          <w:u w:val="single"/>
          <w:lang w:val="en-US"/>
        </w:rPr>
      </w:pPr>
      <w:r w:rsidRPr="00AB6298">
        <w:rPr>
          <w:noProof/>
          <w:color w:val="FF0000"/>
          <w:u w:val="single"/>
        </w:rPr>
        <w:drawing>
          <wp:inline distT="0" distB="0" distL="0" distR="0" wp14:anchorId="25AE4832" wp14:editId="2A147225">
            <wp:extent cx="5734050" cy="2089150"/>
            <wp:effectExtent l="0" t="0" r="0" b="6350"/>
            <wp:docPr id="72" name="Imagen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stretch>
                      <a:fillRect/>
                    </a:stretch>
                  </pic:blipFill>
                  <pic:spPr>
                    <a:xfrm>
                      <a:off x="0" y="0"/>
                      <a:ext cx="5734050" cy="2089150"/>
                    </a:xfrm>
                    <a:prstGeom prst="rect">
                      <a:avLst/>
                    </a:prstGeom>
                  </pic:spPr>
                </pic:pic>
              </a:graphicData>
            </a:graphic>
          </wp:inline>
        </w:drawing>
      </w:r>
      <w:r w:rsidRPr="00814E8D">
        <w:rPr>
          <w:lang w:val="en-US"/>
        </w:rPr>
        <w:t xml:space="preserve">Inflation Hits 9.1% as Prices Rise Broadly Across Economy. Gasoline costs lead biggest rise in CPI since November 1981 (WSJ - </w:t>
      </w:r>
      <w:r w:rsidRPr="00814E8D">
        <w:rPr>
          <w:b/>
          <w:lang w:val="en-US"/>
        </w:rPr>
        <w:t>14/7/22</w:t>
      </w:r>
      <w:r w:rsidRPr="00814E8D">
        <w:rPr>
          <w:lang w:val="en-US"/>
        </w:rPr>
        <w:t>)</w:t>
      </w:r>
    </w:p>
    <w:p w:rsidR="00A33DCF" w:rsidRDefault="00A33DCF" w:rsidP="00A33DCF">
      <w:pPr>
        <w:pStyle w:val="NormalWeb"/>
        <w:spacing w:after="360"/>
        <w:jc w:val="both"/>
        <w:rPr>
          <w:lang w:val="en-US"/>
        </w:rPr>
      </w:pPr>
      <w:r>
        <w:rPr>
          <w:noProof/>
        </w:rPr>
        <w:lastRenderedPageBreak/>
        <w:drawing>
          <wp:inline distT="0" distB="0" distL="0" distR="0" wp14:anchorId="6D6BAFF5" wp14:editId="574A44E3">
            <wp:extent cx="6083300" cy="2978150"/>
            <wp:effectExtent l="0" t="0" r="0" b="0"/>
            <wp:docPr id="73" name="Imagen 73" descr="Previsiones PIB e IP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revisiones PIB e IPC"/>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6088311" cy="2980603"/>
                    </a:xfrm>
                    <a:prstGeom prst="rect">
                      <a:avLst/>
                    </a:prstGeom>
                    <a:noFill/>
                    <a:ln>
                      <a:noFill/>
                    </a:ln>
                  </pic:spPr>
                </pic:pic>
              </a:graphicData>
            </a:graphic>
          </wp:inline>
        </w:drawing>
      </w:r>
    </w:p>
    <w:p w:rsidR="00A33DCF" w:rsidRDefault="00A33DCF" w:rsidP="00A33DCF">
      <w:pPr>
        <w:pStyle w:val="NormalWeb"/>
        <w:spacing w:after="360"/>
        <w:jc w:val="both"/>
      </w:pPr>
      <w:r w:rsidRPr="00814E8D">
        <w:t xml:space="preserve">Los grandes analistas ya disparan la inflación media de 2022 por encima del 8%. CaixaBank Research rebaja su estimación de alza de PIB al 4,2%. Funcas estima que el IPC mantendrá en verano subidas por encima del 10% </w:t>
      </w:r>
      <w:r>
        <w:t xml:space="preserve">(Cinco Días - </w:t>
      </w:r>
      <w:r w:rsidRPr="00AB6298">
        <w:rPr>
          <w:b/>
        </w:rPr>
        <w:t>14/7/22</w:t>
      </w:r>
      <w:r>
        <w:t>)</w:t>
      </w:r>
    </w:p>
    <w:p w:rsidR="00157808" w:rsidRDefault="00157808" w:rsidP="00157808">
      <w:pPr>
        <w:pStyle w:val="NormalWeb"/>
        <w:spacing w:after="360"/>
        <w:jc w:val="both"/>
      </w:pPr>
      <w:r>
        <w:t xml:space="preserve">- </w:t>
      </w:r>
      <w:r w:rsidRPr="009B0D8D">
        <w:rPr>
          <w:u w:val="single"/>
        </w:rPr>
        <w:t>La apatía del BCE ante la inflación: el fruto de un diagnóstico errado</w:t>
      </w:r>
      <w:r>
        <w:t xml:space="preserve"> (Cinco Días - </w:t>
      </w:r>
      <w:r w:rsidRPr="009B0D8D">
        <w:rPr>
          <w:b/>
        </w:rPr>
        <w:t>15/7/22</w:t>
      </w:r>
      <w:r>
        <w:t>)</w:t>
      </w:r>
    </w:p>
    <w:p w:rsidR="00157808" w:rsidRPr="00BF636B" w:rsidRDefault="00157808" w:rsidP="00157808">
      <w:pPr>
        <w:pStyle w:val="NormalWeb"/>
        <w:spacing w:after="360"/>
        <w:jc w:val="both"/>
        <w:rPr>
          <w:color w:val="FF0000"/>
        </w:rPr>
      </w:pPr>
      <w:r w:rsidRPr="00BF636B">
        <w:rPr>
          <w:color w:val="FF0000"/>
        </w:rPr>
        <w:t>Christine Lagarde ha anunciado tímidas alzas de tipos en julio y septiembre, pero entonces será demasiado tarde ya para lograr un aterrizaje suave</w:t>
      </w:r>
    </w:p>
    <w:p w:rsidR="00157808" w:rsidRDefault="00157808" w:rsidP="00157808">
      <w:pPr>
        <w:pStyle w:val="NormalWeb"/>
        <w:spacing w:after="360"/>
        <w:jc w:val="both"/>
      </w:pPr>
      <w:r>
        <w:t>(Por Alexandre Muns)</w:t>
      </w:r>
    </w:p>
    <w:p w:rsidR="00157808" w:rsidRDefault="00157808" w:rsidP="00157808">
      <w:pPr>
        <w:pStyle w:val="NormalWeb"/>
        <w:spacing w:after="360"/>
        <w:jc w:val="both"/>
      </w:pPr>
      <w:r w:rsidRPr="00BF636B">
        <w:rPr>
          <w:u w:val="single"/>
        </w:rPr>
        <w:t>La Reserva Federal se equivocó en 2019 cuando no elevó los tipos de interés próximos a cero ante una inflación alta que consideró transitoria. Las tasas de alzas de precios se aceleraron.</w:t>
      </w:r>
      <w:r>
        <w:t xml:space="preserve"> Hasta marzo de este año, la Fed no inició la necesaria subida de la tasa de fondos federales, que después del incremento de junio se sitúa en 1,5%-1,75%. Jerome Powell quiere reducir la inflación del 9,1% en mayo al 5,2% a finales de año. </w:t>
      </w:r>
      <w:r w:rsidRPr="000E19AE">
        <w:rPr>
          <w:u w:val="single"/>
        </w:rPr>
        <w:t>Pero el mandato de la Fed es dual. Debe controlar la inflación y promover la ocupación</w:t>
      </w:r>
      <w:r>
        <w:t>. Con empleo total, los aumentos de la tasa de fondos federales no provocarán desempleo, pero sí generarán intereses más altos en las hipotecas, préstamos de consumo, deuda de tarjetas de crédito y de pago de estudios universitarios. La Administración Biden teme que los fuertes ascensos de tipos en julio (se prevén de 1 punto) y septiembre para dejar la tasa de fondos federales en 3,25%-3,50% a finales de año produzcan una ralentización de la economía antes de las elecciones legislativas de noviembre. El FMI aún prevé un crecimientos del 2,9% para EEUU en 2022, mientras que la última proyección de la Fed es del 1,7%.</w:t>
      </w:r>
    </w:p>
    <w:p w:rsidR="00157808" w:rsidRPr="000E19AE" w:rsidRDefault="00157808" w:rsidP="00157808">
      <w:pPr>
        <w:pStyle w:val="NormalWeb"/>
        <w:spacing w:after="360"/>
        <w:jc w:val="both"/>
        <w:rPr>
          <w:u w:val="single"/>
        </w:rPr>
      </w:pPr>
      <w:r w:rsidRPr="000E19AE">
        <w:rPr>
          <w:u w:val="single"/>
        </w:rPr>
        <w:t>El Banco Central Europeo, por contra, tiene un único mandato: la estabilidad de precios.</w:t>
      </w:r>
      <w:r>
        <w:t xml:space="preserve"> En mayo, la eurozona registró una inflación del 8,6%. A diferencia de EEUU, la UE y la eurozona deben importar un porcentaje muy elevado de la energía que consumen y que se paga en dólares. </w:t>
      </w:r>
      <w:r w:rsidRPr="000E19AE">
        <w:rPr>
          <w:u w:val="single"/>
        </w:rPr>
        <w:t>Ante la negativa del BCE a subir tipos, el euro se ha depreciado un 15% en el último año frente al dólar, alcanzándose la paridad por primera vez desde 2002 y situándose puntualmente incluso por debajo de la moneda estadounidense.</w:t>
      </w:r>
    </w:p>
    <w:p w:rsidR="00157808" w:rsidRPr="000E19AE" w:rsidRDefault="00157808" w:rsidP="00157808">
      <w:pPr>
        <w:pStyle w:val="NormalWeb"/>
        <w:spacing w:after="360"/>
        <w:jc w:val="both"/>
        <w:rPr>
          <w:u w:val="single"/>
        </w:rPr>
      </w:pPr>
      <w:r w:rsidRPr="000E19AE">
        <w:rPr>
          <w:u w:val="single"/>
        </w:rPr>
        <w:lastRenderedPageBreak/>
        <w:t>Con su sede en Fráncfort y como heredero del Bundesbank, es inexplicable que la facilidad de depósito esté en el -0,5%, el tipo de refinanciación en 0% y la facilidad marginal de crédito en 0,25%.</w:t>
      </w:r>
      <w:r>
        <w:t xml:space="preserve"> Christine Lagarde insiste en anteponer las reducciones de los paquetes de compra de activos para luchar contra el Covid-19 y el que le antecede. </w:t>
      </w:r>
      <w:r w:rsidRPr="000E19AE">
        <w:rPr>
          <w:u w:val="single"/>
        </w:rPr>
        <w:t>Pero otros bancos centrales de países desarrollados y emergentes han aumentado tipos.</w:t>
      </w:r>
    </w:p>
    <w:p w:rsidR="00157808" w:rsidRPr="000E19AE" w:rsidRDefault="00157808" w:rsidP="00157808">
      <w:pPr>
        <w:pStyle w:val="NormalWeb"/>
        <w:spacing w:after="360"/>
        <w:jc w:val="both"/>
        <w:rPr>
          <w:color w:val="FF0000"/>
          <w:u w:val="single"/>
        </w:rPr>
      </w:pPr>
      <w:r w:rsidRPr="000E19AE">
        <w:rPr>
          <w:color w:val="FF0000"/>
          <w:u w:val="single"/>
        </w:rPr>
        <w:t>La depreciación del euro frente al dólar encarece las importaciones acrecentando aún más la inflación. El bono a diez años de Italia rinde el 3,38% y el de Grecia, el 3,52%. La prima de riesgo de Italia y Grecia respecto a Alemania ha subido el último año solamente en 223 y 233 puntos, respectivamente. Incluso con menor crecimiento, no habrá crisis de deuda de los periféricos. El BCE anunció tímidas alzas de tipos para julio y septiembre. Pero entonces será demasiado tarde para lograr un aterrizaje suave. La guerra de Ucrania, la carestía de la energía y alimentos y los cuellos de botella en la producción y suministro de bienes y servicios son las principales causas de la inflación. Ninguna de ellas evoluciona en sentido positivo y se escapan del control del BCE.</w:t>
      </w:r>
    </w:p>
    <w:p w:rsidR="00157808" w:rsidRDefault="00157808" w:rsidP="00157808">
      <w:pPr>
        <w:pStyle w:val="NormalWeb"/>
        <w:spacing w:after="360"/>
        <w:jc w:val="both"/>
      </w:pPr>
      <w:r w:rsidRPr="000E19AE">
        <w:rPr>
          <w:color w:val="FF0000"/>
          <w:u w:val="single"/>
        </w:rPr>
        <w:t>EE UU padece el precio global del petróleo y gas natural, pero es el primer productor mundial de ambos y líder en exportar gas natural licuado (GNL). La gasolina, (cuyo precio ha disminuido el último mes), el diésel y otras energías que consumen empresas y particulares tienen precios inferiores a las europeas</w:t>
      </w:r>
      <w:r>
        <w:t>. Alemania está a un paso de racionar la distribución de gas natural a empresas y particulares después del recorte del suministro procedente de Rusia por el gasoducto NordStream 1 al 40% y el inicio de la anual suspensión total para mantenimiento que se espera con ansiedad dure no más de los previstos diez días.</w:t>
      </w:r>
    </w:p>
    <w:p w:rsidR="00157808" w:rsidRDefault="00157808" w:rsidP="00157808">
      <w:pPr>
        <w:pStyle w:val="NormalWeb"/>
        <w:spacing w:after="360"/>
        <w:jc w:val="both"/>
      </w:pPr>
      <w:r w:rsidRPr="000E19AE">
        <w:rPr>
          <w:u w:val="single"/>
        </w:rPr>
        <w:t>El mundo occidental goza de los niveles de desempleo más bajos en cuatro o cinco décadas.</w:t>
      </w:r>
      <w:r w:rsidR="00814E8D">
        <w:t xml:space="preserve"> El paro del 3,6% en EE</w:t>
      </w:r>
      <w:r>
        <w:t>UU es solamente una décima superior al 3,5% de marzo de 2020. Dicho 3,5% era la cota más baja en 50 años. En el Reino Unido el actual desempleo del 3,7% es el más reducido en medio siglo. La eurozona también cuenta con el desempleo más bajo de su historia (6,6%). Lógicamente dicha situación fomenta el consumo, especialmente cuando en el mundo occidental por primera vez en la era Covid-19 se ha podido disfrutar y viajar desde la primavera con mínimas restricciones.</w:t>
      </w:r>
    </w:p>
    <w:p w:rsidR="00157808" w:rsidRDefault="00157808" w:rsidP="00157808">
      <w:pPr>
        <w:pStyle w:val="NormalWeb"/>
        <w:spacing w:after="360"/>
        <w:jc w:val="both"/>
      </w:pPr>
      <w:r w:rsidRPr="000E19AE">
        <w:rPr>
          <w:u w:val="single"/>
        </w:rPr>
        <w:t>Por otro lado, en Occidente padecemos la inflación más alta en 40 años</w:t>
      </w:r>
      <w:r>
        <w:t>. La mayoría de la población no vivió los ­shocks petrolíferos y estanflación de los años setenta. En mayo, la inflación alcanzó el 9,1% en el Reino Unido, 8,6% en EEUU y 8,6% en la eurozona. La calurosa primavera y verano en gran parte del hemisferio norte ha impulsado a la población a viajar y consumir por encima de sus posibilidades. La inflación también se mantiene en cotas estratosféricas porque los políticos toman o meditan medidas contraproducentes. Suspender parte del impuesto sobre la gasolina (en muchos estados de EEUU) únicamente anima a los conductores a viajar más. Se presiona al presidente Joe Biden para que elimine parte de los aranceles impuestos sobre 300.000 millones de dólares de exportaciones chinas por Donald Trump. Dicha medida alentaría más el consumo en la primera economía mundial, en la que el consumo privado aporta el 66% del PIB. Por el lado de la oferta, en EEUU y Europa persisten los obstáculos a la producción y suministro de bienes y servicios. Los muchísimos minerales y componentes necesarios para ensamblar semiconductores ya escaseaban antes de la pandemia y las cadenas de producción se han resentido mucho debido al Covid-19. Hay escasez de conductores de camiones, personal del sistema de transportes aéreo y ferroviario, descargadores en puertos y hasta personal de limpieza.</w:t>
      </w:r>
    </w:p>
    <w:p w:rsidR="00157808" w:rsidRPr="000E19AE" w:rsidRDefault="00157808" w:rsidP="00157808">
      <w:pPr>
        <w:pStyle w:val="NormalWeb"/>
        <w:spacing w:after="360"/>
        <w:jc w:val="both"/>
        <w:rPr>
          <w:color w:val="FF0000"/>
          <w:u w:val="single"/>
        </w:rPr>
      </w:pPr>
      <w:r w:rsidRPr="000E19AE">
        <w:rPr>
          <w:color w:val="FF0000"/>
          <w:u w:val="single"/>
        </w:rPr>
        <w:lastRenderedPageBreak/>
        <w:t>La alta inflación y reducido desempleo, el excesivo consumo, la depreciación del euro y la vulnerabilidad de Europa al chantaje energético de Putin exigen un alza de tipos en la eurozona. Solo así se consumirá menos, más parados trabajarán en sectores sin suficiente personal, se contendrá la inflación y se estabilizará la moneda única.</w:t>
      </w:r>
    </w:p>
    <w:p w:rsidR="00157808" w:rsidRDefault="00157808" w:rsidP="00157808">
      <w:pPr>
        <w:pStyle w:val="NormalWeb"/>
        <w:spacing w:after="360"/>
        <w:jc w:val="both"/>
      </w:pPr>
      <w:r>
        <w:t>(Alexandre Muns es Profesor de EAE Business School)</w:t>
      </w:r>
    </w:p>
    <w:p w:rsidR="00157808" w:rsidRDefault="00157808" w:rsidP="00157808">
      <w:pPr>
        <w:pStyle w:val="NormalWeb"/>
        <w:spacing w:after="360"/>
        <w:jc w:val="both"/>
      </w:pPr>
      <w:r>
        <w:rPr>
          <w:noProof/>
        </w:rPr>
        <w:drawing>
          <wp:inline distT="0" distB="0" distL="0" distR="0" wp14:anchorId="6CFBEF38" wp14:editId="18151D40">
            <wp:extent cx="5731510" cy="3587750"/>
            <wp:effectExtent l="0" t="0" r="2540" b="0"/>
            <wp:docPr id="77" name="Imagen 77" descr="condiciones-financiera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ondiciones-financieras.jpg"/>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731510" cy="3587750"/>
                    </a:xfrm>
                    <a:prstGeom prst="rect">
                      <a:avLst/>
                    </a:prstGeom>
                    <a:noFill/>
                    <a:ln>
                      <a:noFill/>
                    </a:ln>
                  </pic:spPr>
                </pic:pic>
              </a:graphicData>
            </a:graphic>
          </wp:inline>
        </w:drawing>
      </w:r>
    </w:p>
    <w:p w:rsidR="00157808" w:rsidRDefault="00157808" w:rsidP="00157808">
      <w:pPr>
        <w:pStyle w:val="NormalWeb"/>
        <w:spacing w:after="360"/>
        <w:jc w:val="both"/>
      </w:pPr>
      <w:r>
        <w:rPr>
          <w:noProof/>
        </w:rPr>
        <w:drawing>
          <wp:inline distT="0" distB="0" distL="0" distR="0" wp14:anchorId="34BEBA50" wp14:editId="13FE7139">
            <wp:extent cx="5731510" cy="2452370"/>
            <wp:effectExtent l="0" t="0" r="2540" b="5080"/>
            <wp:docPr id="89" name="Imagen 89" descr="Macro 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Macro UE"/>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731510" cy="2452370"/>
                    </a:xfrm>
                    <a:prstGeom prst="rect">
                      <a:avLst/>
                    </a:prstGeom>
                    <a:noFill/>
                    <a:ln>
                      <a:noFill/>
                    </a:ln>
                  </pic:spPr>
                </pic:pic>
              </a:graphicData>
            </a:graphic>
          </wp:inline>
        </w:drawing>
      </w:r>
    </w:p>
    <w:p w:rsidR="00157808" w:rsidRDefault="00157808" w:rsidP="00157808">
      <w:pPr>
        <w:pStyle w:val="NormalWeb"/>
        <w:spacing w:after="360"/>
        <w:jc w:val="both"/>
      </w:pPr>
      <w:r>
        <w:t xml:space="preserve">- </w:t>
      </w:r>
      <w:r w:rsidRPr="0025560C">
        <w:rPr>
          <w:u w:val="single"/>
        </w:rPr>
        <w:t>Gradualidad o contundencia: el BCE decide si modifica su rumbo en la subida de tipos</w:t>
      </w:r>
      <w:r>
        <w:t xml:space="preserve"> (El Confidencial - </w:t>
      </w:r>
      <w:r w:rsidRPr="0025560C">
        <w:rPr>
          <w:b/>
        </w:rPr>
        <w:t>21/7/22</w:t>
      </w:r>
      <w:r>
        <w:t>)</w:t>
      </w:r>
    </w:p>
    <w:p w:rsidR="00157808" w:rsidRPr="00D1658C" w:rsidRDefault="00157808" w:rsidP="00157808">
      <w:pPr>
        <w:pStyle w:val="NormalWeb"/>
        <w:spacing w:after="360"/>
        <w:jc w:val="both"/>
        <w:rPr>
          <w:color w:val="FF0000"/>
        </w:rPr>
      </w:pPr>
      <w:r w:rsidRPr="00D1658C">
        <w:rPr>
          <w:color w:val="FF0000"/>
        </w:rPr>
        <w:t>Nadie sabe exactamente qué nivel de detalle ofrecerá el BCE. No es necesario que el anuncio llegue con letra pequeña, pero sí que mande una señal contundente a los mercados</w:t>
      </w:r>
    </w:p>
    <w:p w:rsidR="00157808" w:rsidRDefault="00157808" w:rsidP="00157808">
      <w:pPr>
        <w:pStyle w:val="NormalWeb"/>
        <w:spacing w:after="360"/>
        <w:jc w:val="both"/>
      </w:pPr>
      <w:r w:rsidRPr="00D1658C">
        <w:rPr>
          <w:u w:val="single"/>
        </w:rPr>
        <w:lastRenderedPageBreak/>
        <w:t xml:space="preserve">El Consejo de Gobierno del Banco Central Europeo (BCE) debate este jueves si atenerse a la subida de 25 puntos básicos ya anunciada o si apostar por un movimiento más ambicioso y acabar de un plumazo con la era de los tipos negativos tras ocho años con una subida de medio punto que dejaría en papel mojado la llamada </w:t>
      </w:r>
      <w:r>
        <w:rPr>
          <w:b/>
          <w:color w:val="FF0000"/>
          <w:u w:val="single"/>
        </w:rPr>
        <w:t>“forward guidance”</w:t>
      </w:r>
      <w:r w:rsidRPr="00D1658C">
        <w:rPr>
          <w:u w:val="single"/>
        </w:rPr>
        <w:t>, la orientación a la que el eurobanco da mucha importancia: los avisos que la institución lanza para que los mercados sepan cuál va a ser su próximo movimiento.</w:t>
      </w:r>
      <w:r>
        <w:t xml:space="preserve"> Después de que empezara a especularse con una posible subida de 50 puntos básicos en los últimos días, el euro, que llegó a estar por debajo del dólar, rebotó y recuperó terreno, con </w:t>
      </w:r>
      <w:r w:rsidRPr="00D1658C">
        <w:rPr>
          <w:u w:val="single"/>
        </w:rPr>
        <w:t>unos mercados que consideran que el BCE está respondiendo demasiado lento,</w:t>
      </w:r>
      <w:r>
        <w:t xml:space="preserve"> lo que a su vez alimentó los rumores sobre un posible movimiento más agresivo por parte del Consejo de Gobierno, en el que algunas voces empiezan a pedir actuar con más contundencia. </w:t>
      </w:r>
      <w:r w:rsidRPr="00D1658C">
        <w:rPr>
          <w:u w:val="single"/>
        </w:rPr>
        <w:t>La inflación en junio en la eurozona ha sido del 8,6% y las previsiones de la Comisión Europea apuntan a una inflación de hasta el 17% en países muy expuestos a Rusia, como los bálticos</w:t>
      </w:r>
      <w:r>
        <w:t>…</w:t>
      </w:r>
    </w:p>
    <w:p w:rsidR="00157808" w:rsidRDefault="00157808" w:rsidP="00157808">
      <w:pPr>
        <w:pStyle w:val="NormalWeb"/>
        <w:shd w:val="clear" w:color="auto" w:fill="FFFFFF"/>
        <w:spacing w:after="360"/>
        <w:jc w:val="both"/>
      </w:pPr>
      <w:r>
        <w:t xml:space="preserve">- </w:t>
      </w:r>
      <w:r w:rsidRPr="0065188B">
        <w:rPr>
          <w:u w:val="single"/>
        </w:rPr>
        <w:t>Las claves del nuevo mecanismo del BCE para aplacar la subida de las primas de riesgo periféricas</w:t>
      </w:r>
      <w:r>
        <w:t xml:space="preserve"> (Cinco Días - </w:t>
      </w:r>
      <w:r w:rsidRPr="0065188B">
        <w:rPr>
          <w:b/>
        </w:rPr>
        <w:t>21/7/22</w:t>
      </w:r>
      <w:r>
        <w:t>)</w:t>
      </w:r>
    </w:p>
    <w:p w:rsidR="00157808" w:rsidRPr="00BE4A42" w:rsidRDefault="00157808" w:rsidP="00157808">
      <w:pPr>
        <w:pStyle w:val="NormalWeb"/>
        <w:shd w:val="clear" w:color="auto" w:fill="FFFFFF"/>
        <w:spacing w:after="360"/>
        <w:jc w:val="both"/>
        <w:rPr>
          <w:color w:val="FF0000"/>
        </w:rPr>
      </w:pPr>
      <w:r w:rsidRPr="00BE4A42">
        <w:rPr>
          <w:color w:val="FF0000"/>
        </w:rPr>
        <w:t>El Instrumento para la Protección de la Transmisión (TPI) será activado con la unanimidad del Consejo de Gobierno y podrá comprar deuda en el mercado secundario</w:t>
      </w:r>
    </w:p>
    <w:p w:rsidR="00157808" w:rsidRPr="00BE4A42" w:rsidRDefault="00157808" w:rsidP="00157808">
      <w:pPr>
        <w:pStyle w:val="NormalWeb"/>
        <w:shd w:val="clear" w:color="auto" w:fill="FFFFFF"/>
        <w:spacing w:after="360"/>
        <w:jc w:val="both"/>
        <w:rPr>
          <w:color w:val="FF0000"/>
          <w:u w:val="single"/>
        </w:rPr>
      </w:pPr>
      <w:r w:rsidRPr="00BE4A42">
        <w:rPr>
          <w:color w:val="FF0000"/>
          <w:u w:val="single"/>
        </w:rPr>
        <w:t>El BCE dio luz verde al nuevo mecanismo con el que busca atajar la fragmentación de la zona euro. El Instrumento para la Protección de la Transmisión (Transmission Protection Instrument, TPI) servirá para cumplir con mayor eficacia el mandato del Consejo de Gobierno de estabilidad de los precios.</w:t>
      </w:r>
    </w:p>
    <w:p w:rsidR="00157808" w:rsidRPr="00B26B39" w:rsidRDefault="00157808" w:rsidP="00157808">
      <w:pPr>
        <w:pStyle w:val="NormalWeb"/>
        <w:shd w:val="clear" w:color="auto" w:fill="FFFFFF"/>
        <w:spacing w:after="360"/>
        <w:jc w:val="both"/>
        <w:rPr>
          <w:u w:val="single"/>
        </w:rPr>
      </w:pPr>
      <w:r w:rsidRPr="00B26B39">
        <w:rPr>
          <w:u w:val="single"/>
        </w:rPr>
        <w:t>La herramienta, que complementa los programas ya existentes</w:t>
      </w:r>
      <w:r>
        <w:rPr>
          <w:u w:val="single"/>
        </w:rPr>
        <w:t xml:space="preserve"> -</w:t>
      </w:r>
      <w:r w:rsidRPr="00B26B39">
        <w:rPr>
          <w:u w:val="single"/>
        </w:rPr>
        <w:t>programa de compras antipandemia PEPP y el pr</w:t>
      </w:r>
      <w:r>
        <w:rPr>
          <w:u w:val="single"/>
        </w:rPr>
        <w:t>ograma de compra de activos APP-</w:t>
      </w:r>
      <w:r w:rsidRPr="00B26B39">
        <w:rPr>
          <w:u w:val="single"/>
        </w:rPr>
        <w:t>, podrá activarse para “contrarrestar dinámicas de mercado desordenadas e injustificadas que representan una seria amenaza para la transmisión de la política monetaria en toda la zona del euro”, explica el BCE. Con todo la institución seguirá utilizando la reinversión de los vencimientos del PEPP como la principal “línea de defensa” para contrarrestar el alza de las rentabilidades de la deuda soberana.</w:t>
      </w:r>
    </w:p>
    <w:p w:rsidR="00157808" w:rsidRPr="00B26B39" w:rsidRDefault="00157808" w:rsidP="00157808">
      <w:pPr>
        <w:pStyle w:val="NormalWeb"/>
        <w:shd w:val="clear" w:color="auto" w:fill="FFFFFF"/>
        <w:spacing w:after="360"/>
        <w:jc w:val="both"/>
        <w:rPr>
          <w:color w:val="FF0000"/>
          <w:u w:val="single"/>
        </w:rPr>
      </w:pPr>
      <w:r w:rsidRPr="00B26B39">
        <w:rPr>
          <w:color w:val="FF0000"/>
          <w:u w:val="single"/>
        </w:rPr>
        <w:t>Bajo el paraguas del TPI, que deberá ser activado por unanimidad por los miembros del consejo de gobierno, el BCE podrá comprar deuda tanto pública como corporativa en el mercado secundario con vencimientos de uno a 10 años. Las adquisiciones no estarán limitadas y su tamaño dependerá de la gravedad de los riesgos que enfrenta la transmisión de la política monetaria.</w:t>
      </w:r>
    </w:p>
    <w:p w:rsidR="00157808" w:rsidRPr="00B26B39" w:rsidRDefault="00157808" w:rsidP="00157808">
      <w:pPr>
        <w:pStyle w:val="NormalWeb"/>
        <w:shd w:val="clear" w:color="auto" w:fill="FFFFFF"/>
        <w:spacing w:after="360"/>
        <w:jc w:val="both"/>
        <w:rPr>
          <w:color w:val="FF0000"/>
          <w:u w:val="single"/>
        </w:rPr>
      </w:pPr>
      <w:r w:rsidRPr="00B26B39">
        <w:rPr>
          <w:color w:val="FF0000"/>
          <w:u w:val="single"/>
        </w:rPr>
        <w:t>El Consejo de Gobierno del BCE tendrá en cuenta cuatro criterios a la hora de evaluar si un estado es apto para activar este programa. En primer lugar el país miembro deberá cumplir con las normas fiscales de la UE y no estar sujeto a un procedimiento de déficit excesivo, o no haber tomado medidas tras una recomendación por parte de la Comisión Europea.</w:t>
      </w:r>
    </w:p>
    <w:p w:rsidR="00157808" w:rsidRPr="00B26B39" w:rsidRDefault="00157808" w:rsidP="00157808">
      <w:pPr>
        <w:pStyle w:val="NormalWeb"/>
        <w:shd w:val="clear" w:color="auto" w:fill="FFFFFF"/>
        <w:spacing w:after="360"/>
        <w:jc w:val="both"/>
        <w:rPr>
          <w:color w:val="FF0000"/>
          <w:u w:val="single"/>
        </w:rPr>
      </w:pPr>
      <w:r w:rsidRPr="00B26B39">
        <w:rPr>
          <w:color w:val="FF0000"/>
          <w:u w:val="single"/>
        </w:rPr>
        <w:t xml:space="preserve">En segundo lugar deberá mostrar una ausencia de desequilibrios macro severos, que implica no estar sujeto a un procedimiento de desequilibrio excesivo o no ser evaluado como que no tomó la acción correctiva tras las recomendaciones del Consejo de la UE. El Pacto de Estabilidad y Crecimiento sienta las bases de la reglas fiscales al establecer límites del 3% sobre el PIB al déficit público y del 60% del PIB en el caso de la deuda. Cuando un país miembro sobrepasa esas fronteras, por regla general, recibe un apercibimiento de Bruselas, </w:t>
      </w:r>
      <w:r w:rsidRPr="00B26B39">
        <w:rPr>
          <w:color w:val="FF0000"/>
          <w:u w:val="single"/>
        </w:rPr>
        <w:lastRenderedPageBreak/>
        <w:t>que puede traducirse en un procedimiento de desequilibrio excesivo si el desvío y el riesgo es demasiado elevado. Cabe recordar que las reglas fiscales se encuentran actualmente congeladas y que la suspensión temporal se mantendrá durante todo el año 2023. El objetivo de la Comisión y de algunos países como España es revisarlas para que los límites se personalicen y adapten a cada socio.</w:t>
      </w:r>
    </w:p>
    <w:p w:rsidR="00157808" w:rsidRPr="00157808" w:rsidRDefault="00157808" w:rsidP="00157808">
      <w:pPr>
        <w:pStyle w:val="NormalWeb"/>
        <w:shd w:val="clear" w:color="auto" w:fill="FFFFFF"/>
        <w:spacing w:after="360"/>
        <w:jc w:val="both"/>
        <w:rPr>
          <w:color w:val="FF0000"/>
        </w:rPr>
      </w:pPr>
      <w:r w:rsidRPr="00B26B39">
        <w:rPr>
          <w:color w:val="FF0000"/>
          <w:u w:val="single"/>
        </w:rPr>
        <w:t>El BCE establece como tercer criterio la sostenibilidad de su deuda, para lo que se tendrán en cuenta los análisis de sostenibilidad realizados por la Comisión Europea, el Mecanismo Europeo de Estabilidad, el Fondo Monetario Internacional y otras instituciones, junto con el estudio interno del BCE. Estos planes de consolidación fiscal suelen comprometer una senda sostenida y creíble de reducción del déficit y la deuda pública, con un control especial del gasto y una fiscalización mayor de los ingresos</w:t>
      </w:r>
      <w:r w:rsidRPr="00157808">
        <w:rPr>
          <w:color w:val="FF0000"/>
        </w:rPr>
        <w:t>…</w:t>
      </w:r>
    </w:p>
    <w:p w:rsidR="00157808" w:rsidRDefault="00157808" w:rsidP="00157808">
      <w:pPr>
        <w:pStyle w:val="NormalWeb"/>
        <w:shd w:val="clear" w:color="auto" w:fill="FFFFFF"/>
        <w:spacing w:after="360"/>
        <w:jc w:val="both"/>
      </w:pPr>
      <w:r>
        <w:t xml:space="preserve">- </w:t>
      </w:r>
      <w:r w:rsidRPr="0065188B">
        <w:rPr>
          <w:u w:val="single"/>
        </w:rPr>
        <w:t>El BCE acelera y sube los tipos hasta el 0,5% para aplacar la inflación</w:t>
      </w:r>
      <w:r>
        <w:t xml:space="preserve"> (Cinco Días - </w:t>
      </w:r>
      <w:r w:rsidRPr="0065188B">
        <w:rPr>
          <w:b/>
        </w:rPr>
        <w:t>22/7/22</w:t>
      </w:r>
      <w:r>
        <w:t>)</w:t>
      </w:r>
    </w:p>
    <w:p w:rsidR="00157808" w:rsidRPr="00BE4A42" w:rsidRDefault="00157808" w:rsidP="00157808">
      <w:pPr>
        <w:pStyle w:val="NormalWeb"/>
        <w:shd w:val="clear" w:color="auto" w:fill="FFFFFF"/>
        <w:spacing w:after="360"/>
        <w:jc w:val="both"/>
        <w:rPr>
          <w:color w:val="FF0000"/>
        </w:rPr>
      </w:pPr>
      <w:r w:rsidRPr="00BE4A42">
        <w:rPr>
          <w:color w:val="FF0000"/>
        </w:rPr>
        <w:t>El BCE eleva las tasas de interés en 50 puntos básicos, hasta el 0,5%, y pone fin a seis años de dinero gratis. Alarmado por los precios, confirma nuevas alza</w:t>
      </w:r>
    </w:p>
    <w:p w:rsidR="00157808" w:rsidRDefault="00157808" w:rsidP="00157808">
      <w:pPr>
        <w:pStyle w:val="NormalWeb"/>
        <w:shd w:val="clear" w:color="auto" w:fill="FFFFFF"/>
        <w:spacing w:after="360"/>
        <w:jc w:val="both"/>
      </w:pPr>
      <w:r w:rsidRPr="00BE4A42">
        <w:rPr>
          <w:color w:val="FF0000"/>
          <w:u w:val="single"/>
        </w:rPr>
        <w:t>El BCE ha optado por dar la sorpresa y acelerar el proceso de normalización monetaria para intentar aplacar una inflación desbocada aunque con ello se ralentice el crecimiento económico. Por primera vez en 11 años la institución presidida por Christine Lagarde ha subido los tipos y lo ha hecho en 50 puntos básicos, el mayor incremento de los últimos 22 años.</w:t>
      </w:r>
      <w:r w:rsidRPr="00BE4A42">
        <w:rPr>
          <w:color w:val="FF0000"/>
        </w:rPr>
        <w:t xml:space="preserve"> </w:t>
      </w:r>
      <w:r>
        <w:t>De esta forma, el tipo de interés en la zona euro se sitúa en el 0,5%, mientras que el tipo de interés de la facilidad marginal de crédito alcanza el 0,75% y la facilidad de depósito sale de terreno negativo -estaba en el -0,5%- y se sitúa en el 0,00%...</w:t>
      </w:r>
    </w:p>
    <w:p w:rsidR="00157808" w:rsidRDefault="00157808" w:rsidP="00157808">
      <w:pPr>
        <w:pStyle w:val="NormalWeb"/>
        <w:shd w:val="clear" w:color="auto" w:fill="FFFFFF"/>
        <w:spacing w:after="360"/>
        <w:jc w:val="both"/>
      </w:pPr>
      <w:r w:rsidRPr="00BE4A42">
        <w:rPr>
          <w:color w:val="FF0000"/>
          <w:u w:val="single"/>
        </w:rPr>
        <w:t>La institución ratificó ayer que se mantiene en su firme compromiso de recuperar la estabilidad de precios con el fin de asegurar que la inflación vuelva a situarse en su objetivo del 2% a medio plazo</w:t>
      </w:r>
      <w:r>
        <w:t>. El consejo de gobierno del BCE ve adecuado “dar un primer paso en su senda de normalización de los tipos de interés oficiales más significativo de lo indicado en su reunión anterior”.</w:t>
      </w:r>
    </w:p>
    <w:p w:rsidR="00157808" w:rsidRPr="00157808" w:rsidRDefault="00157808" w:rsidP="00157808">
      <w:pPr>
        <w:pStyle w:val="NormalWeb"/>
        <w:shd w:val="clear" w:color="auto" w:fill="FFFFFF"/>
        <w:spacing w:after="360"/>
        <w:jc w:val="both"/>
      </w:pPr>
      <w:r w:rsidRPr="00BE4A42">
        <w:rPr>
          <w:u w:val="single"/>
        </w:rPr>
        <w:t>Aseguró que “será apropiada una normalización adicional de los tipos de interés”, pero no dio ninguna pista sobre cómo serán las nuevas alzas a partir de septiembre. Una decisión con la que rompe el mantra del forward guidance vigente durante la última década y que “permite al consejo de gobierno una transición a un enfoque en el que las decisiones sobre los tipos de interés se adoptarán en cada reunión”,</w:t>
      </w:r>
      <w:r>
        <w:rPr>
          <w:u w:val="single"/>
        </w:rPr>
        <w:t xml:space="preserve"> según explicó el banco central</w:t>
      </w:r>
      <w:r>
        <w:t>…</w:t>
      </w:r>
    </w:p>
    <w:p w:rsidR="00157808" w:rsidRDefault="00157808" w:rsidP="00157808">
      <w:pPr>
        <w:pStyle w:val="NormalWeb"/>
        <w:shd w:val="clear" w:color="auto" w:fill="FFFFFF"/>
        <w:spacing w:after="360"/>
        <w:jc w:val="both"/>
      </w:pPr>
      <w:r>
        <w:t xml:space="preserve">- </w:t>
      </w:r>
      <w:r w:rsidRPr="000B18F2">
        <w:rPr>
          <w:u w:val="single"/>
        </w:rPr>
        <w:t>El-Erian señala los cuatro fallos a corre</w:t>
      </w:r>
      <w:r>
        <w:rPr>
          <w:u w:val="single"/>
        </w:rPr>
        <w:t>gir por la Fed para que no sea “</w:t>
      </w:r>
      <w:r w:rsidRPr="000B18F2">
        <w:rPr>
          <w:u w:val="single"/>
        </w:rPr>
        <w:t>el causante innecesario de una recesión</w:t>
      </w:r>
      <w:r w:rsidR="004505F4">
        <w:t>”</w:t>
      </w:r>
      <w:r>
        <w:t xml:space="preserve"> (El Economista - </w:t>
      </w:r>
      <w:r w:rsidRPr="000B18F2">
        <w:rPr>
          <w:b/>
        </w:rPr>
        <w:t>24/7/22</w:t>
      </w:r>
      <w:r>
        <w:t>)</w:t>
      </w:r>
    </w:p>
    <w:p w:rsidR="00157808" w:rsidRPr="00300C73" w:rsidRDefault="00157808" w:rsidP="00157808">
      <w:pPr>
        <w:pStyle w:val="NormalWeb"/>
        <w:shd w:val="clear" w:color="auto" w:fill="FFFFFF"/>
        <w:spacing w:after="360"/>
        <w:jc w:val="both"/>
        <w:rPr>
          <w:color w:val="FF0000"/>
          <w:u w:val="single"/>
        </w:rPr>
      </w:pPr>
      <w:r w:rsidRPr="00300C73">
        <w:rPr>
          <w:color w:val="FF0000"/>
          <w:u w:val="single"/>
        </w:rPr>
        <w:t>Mohammed El-Erian, asesor de Allianz y profesor en Wharton, ha vuelto a salir al ataque de la Reserva Federal de EEUU, señalando que el hecho de que suba los tipos de interés en 75 o 100 puntos básicos la próxima semana podría llegar a ser irrelevante si no corrige los errores que han dado al traste con su credibilidad en los últimos tiempos.</w:t>
      </w:r>
    </w:p>
    <w:p w:rsidR="00157808" w:rsidRPr="00300C73" w:rsidRDefault="00157808" w:rsidP="00157808">
      <w:pPr>
        <w:pStyle w:val="NormalWeb"/>
        <w:shd w:val="clear" w:color="auto" w:fill="FFFFFF"/>
        <w:spacing w:after="360"/>
        <w:jc w:val="both"/>
        <w:rPr>
          <w:b/>
          <w:color w:val="FF0000"/>
          <w:u w:val="single"/>
        </w:rPr>
      </w:pPr>
      <w:r w:rsidRPr="00300C73">
        <w:rPr>
          <w:color w:val="FF0000"/>
          <w:u w:val="single"/>
        </w:rPr>
        <w:t>En e</w:t>
      </w:r>
      <w:r w:rsidR="004505F4">
        <w:rPr>
          <w:color w:val="FF0000"/>
          <w:u w:val="single"/>
        </w:rPr>
        <w:t>ste sentido, El-Erian apunta a “</w:t>
      </w:r>
      <w:r w:rsidRPr="00300C73">
        <w:rPr>
          <w:color w:val="FF0000"/>
          <w:u w:val="single"/>
        </w:rPr>
        <w:t>errores de análisis, de proyección,</w:t>
      </w:r>
      <w:r w:rsidR="004505F4">
        <w:rPr>
          <w:color w:val="FF0000"/>
          <w:u w:val="single"/>
        </w:rPr>
        <w:t xml:space="preserve"> de respuesta y de comunicación”</w:t>
      </w:r>
      <w:r w:rsidRPr="00300C73">
        <w:rPr>
          <w:color w:val="FF0000"/>
          <w:u w:val="single"/>
        </w:rPr>
        <w:t xml:space="preserve"> por parte del banco central estadounidense que, si no se corrigen, harán que </w:t>
      </w:r>
      <w:r w:rsidR="004505F4">
        <w:rPr>
          <w:b/>
          <w:color w:val="FF0000"/>
          <w:u w:val="single"/>
        </w:rPr>
        <w:t>“</w:t>
      </w:r>
      <w:r w:rsidRPr="00300C73">
        <w:rPr>
          <w:b/>
          <w:color w:val="FF0000"/>
          <w:u w:val="single"/>
        </w:rPr>
        <w:t>los histori</w:t>
      </w:r>
      <w:r w:rsidR="004505F4">
        <w:rPr>
          <w:b/>
          <w:color w:val="FF0000"/>
          <w:u w:val="single"/>
        </w:rPr>
        <w:t>adores económicos lo recuerden (a la Fed)</w:t>
      </w:r>
      <w:r w:rsidRPr="00300C73">
        <w:rPr>
          <w:b/>
          <w:color w:val="FF0000"/>
          <w:u w:val="single"/>
        </w:rPr>
        <w:t xml:space="preserve"> como el causante innecesario de </w:t>
      </w:r>
      <w:r w:rsidRPr="00300C73">
        <w:rPr>
          <w:b/>
          <w:color w:val="FF0000"/>
          <w:u w:val="single"/>
        </w:rPr>
        <w:lastRenderedPageBreak/>
        <w:t>una recesión en EEUU; el responsable de haber desestabilizado una economía mundial que aún intenta recuperarse del Covid; de haber empeorado la desigualdad; de haber alimentado la inquietante inestabilidad financiera; y de haber contribuido a la tensión de la deuda en lo</w:t>
      </w:r>
      <w:r w:rsidR="004505F4">
        <w:rPr>
          <w:b/>
          <w:color w:val="FF0000"/>
          <w:u w:val="single"/>
        </w:rPr>
        <w:t>s frágiles países en desarrollo”</w:t>
      </w:r>
      <w:r w:rsidRPr="00300C73">
        <w:rPr>
          <w:b/>
          <w:color w:val="FF0000"/>
          <w:u w:val="single"/>
        </w:rPr>
        <w:t>.</w:t>
      </w:r>
    </w:p>
    <w:p w:rsidR="00157808" w:rsidRDefault="00157808" w:rsidP="00157808">
      <w:pPr>
        <w:pStyle w:val="NormalWeb"/>
        <w:shd w:val="clear" w:color="auto" w:fill="FFFFFF"/>
        <w:spacing w:after="360"/>
        <w:jc w:val="both"/>
      </w:pPr>
      <w:r>
        <w:t>Con respecto a los cuatro errores, en el artículo publicado en Bloomberg, el asesor de Allianz comienza subrayando el problema de análisis de la Fed, que insiste en no tener en cuenta que el mundo ha basculado hacia una economía donde la oferta agregada deficiente tiene un papel importante. El re</w:t>
      </w:r>
      <w:r w:rsidR="004505F4">
        <w:t>sultado, señala, es que la Fed “</w:t>
      </w:r>
      <w:r>
        <w:t xml:space="preserve">va sistemáticamente por detrás de los </w:t>
      </w:r>
      <w:r w:rsidR="004505F4">
        <w:t>mercados en lugar de liderarlos”</w:t>
      </w:r>
      <w:r>
        <w:t>.</w:t>
      </w:r>
    </w:p>
    <w:p w:rsidR="00157808" w:rsidRDefault="00157808" w:rsidP="00157808">
      <w:pPr>
        <w:pStyle w:val="NormalWeb"/>
        <w:shd w:val="clear" w:color="auto" w:fill="FFFFFF"/>
        <w:spacing w:after="360"/>
        <w:jc w:val="both"/>
      </w:pPr>
      <w:r>
        <w:t>Al no cambiar su marco de análisis, el banco central seguirá incurriendo en un error a la hora de pronosticar la inflación y el crecimiento futuros. El-Erian recuerda que las previsiones de la Fed vienen siendo sistemáticamente descartadas por la mayoría de los economistas, al ser consideradas poco realistas.</w:t>
      </w:r>
    </w:p>
    <w:p w:rsidR="00157808" w:rsidRPr="00300C73" w:rsidRDefault="00157808" w:rsidP="00157808">
      <w:pPr>
        <w:pStyle w:val="NormalWeb"/>
        <w:shd w:val="clear" w:color="auto" w:fill="FFFFFF"/>
        <w:spacing w:after="360"/>
        <w:jc w:val="both"/>
        <w:rPr>
          <w:color w:val="FF0000"/>
          <w:u w:val="single"/>
        </w:rPr>
      </w:pPr>
      <w:r>
        <w:t xml:space="preserve">Además, el profesor en Wharton pide más agilidad a la Fed en sus medidas, y que no se dejé influenciar por la posible respuesta de los mercados. En este aspecto, </w:t>
      </w:r>
      <w:r w:rsidRPr="00300C73">
        <w:rPr>
          <w:color w:val="FF0000"/>
          <w:u w:val="single"/>
        </w:rPr>
        <w:t xml:space="preserve">El-Erian pidió hace meses una subida de tipos decidida por parte del banco central para frenar una inflación que la entidad dirigida por </w:t>
      </w:r>
      <w:r w:rsidR="004505F4">
        <w:rPr>
          <w:color w:val="FF0000"/>
          <w:u w:val="single"/>
        </w:rPr>
        <w:t>Powell seguía calificando como “transitoria”</w:t>
      </w:r>
      <w:r w:rsidRPr="00300C73">
        <w:rPr>
          <w:color w:val="FF0000"/>
          <w:u w:val="single"/>
        </w:rPr>
        <w:t>, un adjetivo que tuvieron que descartar finalmente ante lo persistente de la subida de precios.</w:t>
      </w:r>
    </w:p>
    <w:p w:rsidR="00157808" w:rsidRDefault="00157808" w:rsidP="00157808">
      <w:pPr>
        <w:pStyle w:val="NormalWeb"/>
        <w:shd w:val="clear" w:color="auto" w:fill="FFFFFF"/>
        <w:spacing w:after="360"/>
        <w:jc w:val="both"/>
      </w:pPr>
      <w:r>
        <w:t>En último lugar, El-Erian p</w:t>
      </w:r>
      <w:r w:rsidR="004505F4">
        <w:t>ide que la Reserva Federal sea “más directa en su comunicación” y abandone la “economía de cuento de hadas”</w:t>
      </w:r>
      <w:r>
        <w:t>, intentando maquillar los aspectos más negativos de los datos macroeconómicos de Estados Unidos.</w:t>
      </w:r>
    </w:p>
    <w:p w:rsidR="00157808" w:rsidRDefault="00157808" w:rsidP="00157808">
      <w:pPr>
        <w:pStyle w:val="NormalWeb"/>
        <w:shd w:val="clear" w:color="auto" w:fill="FFFFFF"/>
        <w:spacing w:after="360"/>
        <w:jc w:val="both"/>
      </w:pPr>
      <w:r>
        <w:t>El Comité Federal del Mercado Abierto (FOMC, por sus siglas en inglés) se reunirá la próxima semana, y tras el encuentro del miércoles se anunciarán las nuevas medidas de política monetaria. Según datos de CME FedWatch Tool, el 79% de los expertos prevén una subida de 75 puntos básicos en los tipos de interés, mientras el 21% restante cree que el alza será de 100 puntos básicos.</w:t>
      </w:r>
    </w:p>
    <w:p w:rsidR="004505F4" w:rsidRDefault="004505F4" w:rsidP="00157808">
      <w:pPr>
        <w:pStyle w:val="NormalWeb"/>
        <w:shd w:val="clear" w:color="auto" w:fill="FFFFFF"/>
        <w:spacing w:after="360"/>
        <w:jc w:val="both"/>
      </w:pPr>
      <w:r>
        <w:rPr>
          <w:noProof/>
        </w:rPr>
        <w:drawing>
          <wp:inline distT="0" distB="0" distL="0" distR="0" wp14:anchorId="3611C896" wp14:editId="6348FF7A">
            <wp:extent cx="5734050" cy="2520950"/>
            <wp:effectExtent l="0" t="0" r="0" b="0"/>
            <wp:docPr id="79" name="Imagen 79" descr="Presión fiscal España Europ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resión fiscal España Europa"/>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731510" cy="2519833"/>
                    </a:xfrm>
                    <a:prstGeom prst="rect">
                      <a:avLst/>
                    </a:prstGeom>
                    <a:noFill/>
                    <a:ln>
                      <a:noFill/>
                    </a:ln>
                  </pic:spPr>
                </pic:pic>
              </a:graphicData>
            </a:graphic>
          </wp:inline>
        </w:drawing>
      </w:r>
    </w:p>
    <w:p w:rsidR="004505F4" w:rsidRDefault="004505F4" w:rsidP="004505F4">
      <w:pPr>
        <w:pStyle w:val="NormalWeb"/>
        <w:shd w:val="clear" w:color="auto" w:fill="FFFFFF"/>
        <w:spacing w:before="0" w:beforeAutospacing="0" w:after="360" w:afterAutospacing="0"/>
        <w:jc w:val="both"/>
      </w:pPr>
      <w:r>
        <w:t xml:space="preserve">(Cinco Días - </w:t>
      </w:r>
      <w:r w:rsidRPr="00D84F67">
        <w:rPr>
          <w:b/>
        </w:rPr>
        <w:t>26/7/22</w:t>
      </w:r>
      <w:r>
        <w:t>)</w:t>
      </w:r>
    </w:p>
    <w:p w:rsidR="004505F4" w:rsidRDefault="004505F4" w:rsidP="004505F4">
      <w:pPr>
        <w:pStyle w:val="NormalWeb"/>
        <w:spacing w:after="360"/>
        <w:jc w:val="both"/>
      </w:pPr>
      <w:r>
        <w:lastRenderedPageBreak/>
        <w:t>- ¿</w:t>
      </w:r>
      <w:r>
        <w:rPr>
          <w:u w:val="single"/>
        </w:rPr>
        <w:t>Solidaridad con los “frugales”</w:t>
      </w:r>
      <w:r w:rsidRPr="00AF42F1">
        <w:rPr>
          <w:u w:val="single"/>
        </w:rPr>
        <w:t xml:space="preserve"> de Europa? No, gracias</w:t>
      </w:r>
      <w:r>
        <w:t xml:space="preserve"> (Vozpópuli - </w:t>
      </w:r>
      <w:r w:rsidRPr="00AF42F1">
        <w:rPr>
          <w:b/>
        </w:rPr>
        <w:t>28/7/22</w:t>
      </w:r>
      <w:r>
        <w:t>)</w:t>
      </w:r>
    </w:p>
    <w:p w:rsidR="004505F4" w:rsidRPr="00503586" w:rsidRDefault="004505F4" w:rsidP="004505F4">
      <w:pPr>
        <w:pStyle w:val="NormalWeb"/>
        <w:spacing w:after="360"/>
        <w:jc w:val="both"/>
        <w:rPr>
          <w:color w:val="FF0000"/>
        </w:rPr>
      </w:pPr>
      <w:r w:rsidRPr="00503586">
        <w:rPr>
          <w:color w:val="FF0000"/>
        </w:rPr>
        <w:t>¡No!, ni los alemanes, y mucho menos los holandeses, han sido y son más austeros y frugales que los habitantes del sur de Europa. En materia energética, además, no han hecho los deberes</w:t>
      </w:r>
    </w:p>
    <w:p w:rsidR="004505F4" w:rsidRDefault="004505F4" w:rsidP="004505F4">
      <w:pPr>
        <w:pStyle w:val="NormalWeb"/>
        <w:spacing w:after="360"/>
        <w:jc w:val="both"/>
      </w:pPr>
      <w:r>
        <w:t>(Por Juan Laborda)</w:t>
      </w:r>
    </w:p>
    <w:p w:rsidR="004505F4" w:rsidRDefault="004505F4" w:rsidP="004505F4">
      <w:pPr>
        <w:pStyle w:val="NormalWeb"/>
        <w:spacing w:after="360"/>
        <w:jc w:val="both"/>
      </w:pPr>
      <w:r>
        <w:t xml:space="preserve">Determinadas aprensiones están presentes en el subconsciente de muchos ciudadanos europeos, especialmente del norte de Europa, aunque también habitan en determinados “patriotas de hojalata” patrios. </w:t>
      </w:r>
      <w:r w:rsidRPr="00503586">
        <w:rPr>
          <w:color w:val="FF0000"/>
          <w:u w:val="single"/>
        </w:rPr>
        <w:t>Como señalaba el economista Paul De Gruawe, ante la actitud de políticos alemanes, holandeses, austriacos… y de sus medios de comunicación, “todos y cada uno de estos políticos mantienen prejuicios antiespañoles, antiitalianos y, en general, contrarios a los países latinos y periféricos. Están convencidos de que con su ahorro financian la fiesta española y el desmadre italiano”</w:t>
      </w:r>
      <w:r>
        <w:t xml:space="preserve">. </w:t>
      </w:r>
      <w:r w:rsidRPr="00503586">
        <w:rPr>
          <w:u w:val="single"/>
        </w:rPr>
        <w:t>Todos ellos nos impusieron una devaluación salarial y una austeridad fiscal innecesaria por no haber hecho lo que era económicamente más justo y eficiente en su momento, en plena Gran Recesión, el rescate del sistema bancario español a costa de los acreedores, es decir, de los bancos alemanes, franceses, ingleses o estadounidenses que hicieron un mal análisis de riesgos</w:t>
      </w:r>
      <w:r>
        <w:t>. Pero no. De la mano de nuestras élites políticas y bancarias, fueron los contribuyentes españoles quienes acabamos pagando los platos rotos con más miseria, desempleo, pobreza y exilio de los mejores.</w:t>
      </w:r>
    </w:p>
    <w:p w:rsidR="004505F4" w:rsidRPr="00503586" w:rsidRDefault="004505F4" w:rsidP="004505F4">
      <w:pPr>
        <w:pStyle w:val="NormalWeb"/>
        <w:spacing w:after="360"/>
        <w:jc w:val="both"/>
        <w:rPr>
          <w:color w:val="FF0000"/>
          <w:u w:val="single"/>
        </w:rPr>
      </w:pPr>
      <w:r w:rsidRPr="00503586">
        <w:rPr>
          <w:color w:val="FF0000"/>
          <w:u w:val="single"/>
        </w:rPr>
        <w:t>Toda esta tropa ahora vuelve a la carga, y pide la solidaridad del sur de Europa ante un problema que ellos mismos se han autogenerado. De nuevo su análisis de riesgos deja mucho que desear, por no decir, que vuelven a ser unos completos inútiles. Nos referimos a la crisis energética que se avecina. Nos piden que otra vez nos ajustemos un “poquito”, y que las familias y empresas españolas reduzcan un 15% el consumo de gas para que así ellos, que han vivido energéticamente por encima de sus posibilidades, puedan continuar con su vida normal</w:t>
      </w:r>
      <w:r>
        <w:t xml:space="preserve">. </w:t>
      </w:r>
      <w:r w:rsidRPr="00503586">
        <w:rPr>
          <w:color w:val="FF0000"/>
          <w:u w:val="single"/>
        </w:rPr>
        <w:t>Lo siento, conmigo que no cuenten. No soporto lecciones de esta tropa, con una moral calvinista profundamente cínica, si no racista. En España se consume una tercera parte de lo usado en Holanda, por ejemplo, o la mitad que en Bélgica o Alemania</w:t>
      </w:r>
    </w:p>
    <w:p w:rsidR="004505F4" w:rsidRPr="00503586" w:rsidRDefault="004505F4" w:rsidP="004505F4">
      <w:pPr>
        <w:pStyle w:val="NormalWeb"/>
        <w:spacing w:after="360"/>
        <w:jc w:val="both"/>
        <w:rPr>
          <w:u w:val="single"/>
        </w:rPr>
      </w:pPr>
      <w:r w:rsidRPr="00503586">
        <w:rPr>
          <w:u w:val="single"/>
        </w:rPr>
        <w:t>Durante años, el norte de Europa bloqueó la construcción de infraestructura energética a través de los Pirineos, como una forma más de mantener la industria española menos competitiva</w:t>
      </w:r>
      <w:r>
        <w:t xml:space="preserve">. Pelillos a la mar, pretenden acceder a nuestra infraestructura de gas natural, ésa que construimos en las últimas décadas porque nos negaron el acceso al gas natural ruso. </w:t>
      </w:r>
      <w:r w:rsidRPr="00503586">
        <w:rPr>
          <w:u w:val="single"/>
        </w:rPr>
        <w:t>Ahora que su industria va a perder competitividad, y sus conciudadanos deberán bajar algún grado la temperatura de sus viviendas, braman nuestra solidaridad.</w:t>
      </w:r>
    </w:p>
    <w:p w:rsidR="004505F4" w:rsidRPr="00503586" w:rsidRDefault="004505F4" w:rsidP="004505F4">
      <w:pPr>
        <w:pStyle w:val="NormalWeb"/>
        <w:spacing w:after="360"/>
        <w:jc w:val="both"/>
        <w:rPr>
          <w:color w:val="FF0000"/>
          <w:u w:val="single"/>
        </w:rPr>
      </w:pPr>
      <w:r w:rsidRPr="00503586">
        <w:rPr>
          <w:color w:val="FF0000"/>
          <w:u w:val="single"/>
        </w:rPr>
        <w:t>Si analizamos el consumo gas per cápita, medidos en metros cúbicos, veremos que en España se consume una tercera parte de lo usado en Holanda, por ejemplo, o la mitad que en Bélgica o Alemania. Por el contrario, el porcentaje de las renovables en la producción eléctrica es del 47% en nuestro país, por encima del 41% de Italia o Alemania, y muy por encima del 32% de Holanda o el 22% en Francia, país con más centrales nucleares</w:t>
      </w:r>
      <w:r>
        <w:t xml:space="preserve">. Algún día hablaremos del mito de las nucleares de Francia, país que desde 2002 no ha enchufado a la red ningún nuevo reactor nuclear. Si se fijan en Finlandia, que tiró la toalla en la construcción de su reactor nuclear, es un tema meramente económico, no compensa. A ello añadamos otros problemas como que Francia tiene en la actualidad fuera de funcionamiento 11 reactores por corrosión. </w:t>
      </w:r>
      <w:r w:rsidRPr="00503586">
        <w:rPr>
          <w:color w:val="FF0000"/>
          <w:u w:val="single"/>
        </w:rPr>
        <w:t>En definitiva, España sí ha hecho los deberes en materia energética, y solo un sistema marginalista absurdo mantenía un precio artificialmente elevado del precio de la luz.</w:t>
      </w:r>
    </w:p>
    <w:p w:rsidR="004505F4" w:rsidRPr="00503586" w:rsidRDefault="004505F4" w:rsidP="004505F4">
      <w:pPr>
        <w:pStyle w:val="NormalWeb"/>
        <w:spacing w:after="360"/>
        <w:jc w:val="both"/>
        <w:rPr>
          <w:color w:val="FF0000"/>
          <w:u w:val="single"/>
        </w:rPr>
      </w:pPr>
      <w:r w:rsidRPr="00503586">
        <w:rPr>
          <w:color w:val="FF0000"/>
          <w:u w:val="single"/>
        </w:rPr>
        <w:lastRenderedPageBreak/>
        <w:t>Para convencernos, intentan, de nuevo, amenazarnos. Sibilinamente hablan de la creciente deuda pública española, como insinuando que el BCE pudiera dejar de refinanciar a nuestro Tesoro. Podían haber utilizado ese caudal de prejuicios y exigencias para presionar a estadounidenses e ingleses a que forzaran al gobierno ucraniano a alcanzar, en diciembre de 2022, un acuerdo de paz definitivo con Rusia, en vez de favorecer, los lobbies mandan, el actual escenario bélico que se está cebando con toda una generación de jóvenes ucranianos.</w:t>
      </w:r>
    </w:p>
    <w:p w:rsidR="004505F4" w:rsidRPr="00503586" w:rsidRDefault="004505F4" w:rsidP="004505F4">
      <w:pPr>
        <w:pStyle w:val="NormalWeb"/>
        <w:spacing w:after="360"/>
        <w:jc w:val="both"/>
        <w:rPr>
          <w:u w:val="single"/>
        </w:rPr>
      </w:pPr>
      <w:r>
        <w:t xml:space="preserve">Pero ya estamos curados de espanto. Como si no </w:t>
      </w:r>
      <w:r w:rsidRPr="00503586">
        <w:rPr>
          <w:u w:val="single"/>
        </w:rPr>
        <w:t>nos acordáramos de la austeridad presupuestaria innecesaria que nos impusieron en plena recesión de balances, aderezada con una la devaluación salarial absurda, todo ello con la ayuda entusiasta de nuestros “patriotas de hojalata”. Era curioso ver cómo nuestros trabajadores del sector de la automoción financiaban las subidas salariales que conseguía el IG Metall para sus trabajadores. Nuestros políticos nunca entendieron la importancia de que el capital de nuestra industria fuera español.</w:t>
      </w:r>
    </w:p>
    <w:p w:rsidR="004505F4" w:rsidRPr="00503586" w:rsidRDefault="004505F4" w:rsidP="004505F4">
      <w:pPr>
        <w:pStyle w:val="NormalWeb"/>
        <w:spacing w:after="360"/>
        <w:jc w:val="both"/>
        <w:rPr>
          <w:color w:val="FF0000"/>
          <w:u w:val="single"/>
        </w:rPr>
      </w:pPr>
      <w:r w:rsidRPr="00503586">
        <w:rPr>
          <w:color w:val="FF0000"/>
          <w:u w:val="single"/>
        </w:rPr>
        <w:t>Al final, detrás de todo, el erróneo diseño del euro. El norte de Europa, sobre todo Alemania, nunca ha querido reducir sus superávits por cuenta corriente mediante políticas que faciliten un mayor consumo de sus familias. Tampoco quisieron asumir las consecuencias del riesgo precio de las inversiones de sus bancos, que canalizaron el ahorro de sus conciudadanos hacia actividades y activos sin llevar a cabo el correspondiente análisis de riesgos, obligando a españoles e irlandeses, por ejemplo, a rescatarles mediante la socialización de las pérdidas bancarias. Y tampoco asumieron una unión fiscal que implicara un proceso de mutualización de las deudas dentro de Europa, y la imposición en los mecanismos de resolución en los rescates bancarios a costa de acreedores y no de contribuyentes.</w:t>
      </w:r>
    </w:p>
    <w:p w:rsidR="004505F4" w:rsidRDefault="004505F4" w:rsidP="004505F4">
      <w:pPr>
        <w:pStyle w:val="NormalWeb"/>
        <w:spacing w:after="360"/>
        <w:jc w:val="both"/>
      </w:pPr>
      <w:r>
        <w:t>Fue en realidad Mario Draghi, por su cuenta y riesgo, al margen de los estatutos del BCE, quien acabó rescatando al euro, financiando en mercado secundario a los Tesoros europeos.</w:t>
      </w:r>
    </w:p>
    <w:p w:rsidR="004505F4" w:rsidRDefault="004505F4" w:rsidP="004505F4">
      <w:pPr>
        <w:pStyle w:val="NormalWeb"/>
        <w:spacing w:after="360"/>
        <w:jc w:val="both"/>
      </w:pPr>
      <w:r>
        <w:t>El mal diseño del euro</w:t>
      </w:r>
    </w:p>
    <w:p w:rsidR="004505F4" w:rsidRDefault="004505F4" w:rsidP="004505F4">
      <w:pPr>
        <w:pStyle w:val="NormalWeb"/>
        <w:spacing w:after="360"/>
        <w:jc w:val="both"/>
      </w:pPr>
      <w:r w:rsidRPr="00503586">
        <w:rPr>
          <w:b/>
          <w:color w:val="FF0000"/>
          <w:u w:val="single"/>
        </w:rPr>
        <w:t>El euro, frente a lo generalmente asumido, ha supuesto, al final, un subsidio del sur de Europa a Alemania y, en menor medida, a Holanda, al transformarse en una mera relación acreedor-deudor</w:t>
      </w:r>
      <w:r>
        <w:t>. Para entender las cifras recomiendo el estudio que ya detallamos en estas líneas, “20 years of the Euro: Winners and losers”, realizado por economistas adscritos a un think tank alemán Centre for European Policy, sobre lo que ha supuesto el euro para los distintos países europeos que forman parte de éste, tratando de cuantificar cuáles son ganadores y quienes perdedores.</w:t>
      </w:r>
    </w:p>
    <w:p w:rsidR="004505F4" w:rsidRDefault="004505F4" w:rsidP="004505F4">
      <w:pPr>
        <w:pStyle w:val="NormalWeb"/>
        <w:spacing w:after="360"/>
        <w:jc w:val="both"/>
      </w:pPr>
      <w:r>
        <w:t>¡No!, ni los alemanes, y mucho menos los holandeses, han sido y son más austeros y frugales que los habitantes del sur de Europa. En materia energética, además, no han hecho los deberes. El problema es que el euro desde su inicio está muy mal diseñado, y al final ha acabado en una mera relación asimétrica entre acreedores y deudores. Y no salimos de ello.</w:t>
      </w:r>
    </w:p>
    <w:p w:rsidR="004505F4" w:rsidRDefault="004505F4" w:rsidP="004505F4">
      <w:pPr>
        <w:pStyle w:val="NormalWeb"/>
        <w:spacing w:after="360"/>
        <w:jc w:val="both"/>
      </w:pPr>
      <w:r w:rsidRPr="00B3031B">
        <w:rPr>
          <w:noProof/>
        </w:rPr>
        <w:lastRenderedPageBreak/>
        <w:drawing>
          <wp:inline distT="0" distB="0" distL="0" distR="0" wp14:anchorId="0D15CEC2" wp14:editId="18A9A7B8">
            <wp:extent cx="5731510" cy="3228873"/>
            <wp:effectExtent l="0" t="0" r="2540" b="0"/>
            <wp:docPr id="90" name="Imagen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5731510" cy="3228873"/>
                    </a:xfrm>
                    <a:prstGeom prst="rect">
                      <a:avLst/>
                    </a:prstGeom>
                  </pic:spPr>
                </pic:pic>
              </a:graphicData>
            </a:graphic>
          </wp:inline>
        </w:drawing>
      </w:r>
    </w:p>
    <w:p w:rsidR="004505F4" w:rsidRPr="00B3031B" w:rsidRDefault="004505F4" w:rsidP="004505F4">
      <w:pPr>
        <w:spacing w:line="240" w:lineRule="auto"/>
        <w:jc w:val="both"/>
        <w:rPr>
          <w:rFonts w:ascii="Times New Roman" w:eastAsia="Times New Roman" w:hAnsi="Times New Roman" w:cs="Times New Roman"/>
          <w:sz w:val="24"/>
          <w:szCs w:val="24"/>
          <w:lang w:eastAsia="es-ES"/>
        </w:rPr>
      </w:pPr>
      <w:r w:rsidRPr="00B3031B">
        <w:rPr>
          <w:rFonts w:ascii="Times New Roman" w:hAnsi="Times New Roman" w:cs="Times New Roman"/>
        </w:rPr>
        <w:t xml:space="preserve">(WSJ - </w:t>
      </w:r>
      <w:r w:rsidRPr="00FB6A3A">
        <w:rPr>
          <w:rFonts w:ascii="Times New Roman" w:hAnsi="Times New Roman" w:cs="Times New Roman"/>
          <w:b/>
        </w:rPr>
        <w:t>29/7/22</w:t>
      </w:r>
      <w:r w:rsidRPr="00B3031B">
        <w:rPr>
          <w:rFonts w:ascii="Times New Roman" w:hAnsi="Times New Roman" w:cs="Times New Roman"/>
        </w:rPr>
        <w:t xml:space="preserve">) Los temores de una recesión se avecinan </w:t>
      </w:r>
      <w:r>
        <w:rPr>
          <w:rFonts w:ascii="Times New Roman" w:hAnsi="Times New Roman" w:cs="Times New Roman"/>
        </w:rPr>
        <w:t>a medida que la economía de EEUU</w:t>
      </w:r>
      <w:r w:rsidRPr="00B3031B">
        <w:rPr>
          <w:rFonts w:ascii="Times New Roman" w:hAnsi="Times New Roman" w:cs="Times New Roman"/>
        </w:rPr>
        <w:t xml:space="preserve"> se contrae nuevamente. </w:t>
      </w:r>
      <w:r w:rsidRPr="00B3031B">
        <w:rPr>
          <w:rFonts w:ascii="Times New Roman" w:eastAsia="Times New Roman" w:hAnsi="Times New Roman" w:cs="Times New Roman"/>
          <w:sz w:val="24"/>
          <w:szCs w:val="24"/>
          <w:lang w:eastAsia="es-ES"/>
        </w:rPr>
        <w:t>Las empresas han estado recortando sus inventarios, el mercado de la vivienda ha cedido ante el aumento de las tasas de interés y la alta inflación ha restado impulso al gasto de los consumidores</w:t>
      </w:r>
      <w:r>
        <w:rPr>
          <w:rFonts w:ascii="Times New Roman" w:eastAsia="Times New Roman" w:hAnsi="Times New Roman" w:cs="Times New Roman"/>
          <w:sz w:val="24"/>
          <w:szCs w:val="24"/>
          <w:lang w:eastAsia="es-ES"/>
        </w:rPr>
        <w:t>…</w:t>
      </w:r>
    </w:p>
    <w:p w:rsidR="004505F4" w:rsidRDefault="004505F4" w:rsidP="004505F4">
      <w:pPr>
        <w:pStyle w:val="NormalWeb"/>
        <w:spacing w:after="360"/>
        <w:jc w:val="both"/>
      </w:pPr>
      <w:r>
        <w:t>El día anterior la Fed había subido (otra vez) las tasas un 0,75%. Y la bolsa festeja ambas noticias. ¿Qué está anticipando? ¿De qué se ríen? ¿Será porque el que viene detrás trae una sandía?... ¿Hasta dónde se puede seguir estirando la estrategia de la fe? (si todo sale bien…)</w:t>
      </w:r>
    </w:p>
    <w:p w:rsidR="004505F4" w:rsidRDefault="004505F4" w:rsidP="004505F4">
      <w:pPr>
        <w:pStyle w:val="NormalWeb"/>
        <w:spacing w:after="360"/>
        <w:jc w:val="both"/>
      </w:pPr>
      <w:r>
        <w:t xml:space="preserve">- </w:t>
      </w:r>
      <w:r w:rsidRPr="004C2490">
        <w:rPr>
          <w:u w:val="single"/>
        </w:rPr>
        <w:t>Los mercados quieren creerse que la Fed</w:t>
      </w:r>
      <w:r>
        <w:rPr>
          <w:u w:val="single"/>
        </w:rPr>
        <w:t xml:space="preserve"> ha llevado los tipos al nivel “neutral”</w:t>
      </w:r>
      <w:r w:rsidRPr="004C2490">
        <w:rPr>
          <w:u w:val="single"/>
        </w:rPr>
        <w:t>, dice El-Erian</w:t>
      </w:r>
      <w:r>
        <w:t xml:space="preserve"> (El Economista - </w:t>
      </w:r>
      <w:r w:rsidRPr="004C2490">
        <w:rPr>
          <w:b/>
        </w:rPr>
        <w:t>28/7/22</w:t>
      </w:r>
      <w:r>
        <w:t>)</w:t>
      </w:r>
    </w:p>
    <w:p w:rsidR="004505F4" w:rsidRPr="007350BC" w:rsidRDefault="004505F4" w:rsidP="004505F4">
      <w:pPr>
        <w:pStyle w:val="NormalWeb"/>
        <w:spacing w:after="360"/>
        <w:jc w:val="both"/>
        <w:rPr>
          <w:color w:val="FF0000"/>
        </w:rPr>
      </w:pPr>
      <w:r w:rsidRPr="007350BC">
        <w:rPr>
          <w:color w:val="FF0000"/>
        </w:rPr>
        <w:t>El ex de PIMCO teme que la Fed se equivoque, pero desea que Powell acierte</w:t>
      </w:r>
    </w:p>
    <w:p w:rsidR="004505F4" w:rsidRPr="007350BC" w:rsidRDefault="004505F4" w:rsidP="004505F4">
      <w:pPr>
        <w:pStyle w:val="NormalWeb"/>
        <w:spacing w:after="360"/>
        <w:jc w:val="both"/>
        <w:rPr>
          <w:color w:val="FF0000"/>
          <w:u w:val="single"/>
        </w:rPr>
      </w:pPr>
      <w:r w:rsidRPr="007350BC">
        <w:rPr>
          <w:color w:val="FF0000"/>
          <w:u w:val="single"/>
        </w:rPr>
        <w:t>Mohamed El-Erian, asesor económico jefe de Allianz, ha apuntado al motivo por el que Wall Street se disparó y los intereses de los bonos estadounidenses se frenaron después de la rueda de prensa del presidente de la Fed, Jerome Powell: su afirmación de que los tipos han alcanzado ya su nivel neutral. Un dato que el p</w:t>
      </w:r>
      <w:r>
        <w:rPr>
          <w:color w:val="FF0000"/>
          <w:u w:val="single"/>
        </w:rPr>
        <w:t>ropio El-Erian quiere creerse: “</w:t>
      </w:r>
      <w:r w:rsidRPr="007350BC">
        <w:rPr>
          <w:color w:val="FF0000"/>
          <w:u w:val="single"/>
        </w:rPr>
        <w:t>Cuéntenme entre los que esperan</w:t>
      </w:r>
      <w:r>
        <w:rPr>
          <w:color w:val="FF0000"/>
          <w:u w:val="single"/>
        </w:rPr>
        <w:t xml:space="preserve"> que Powell tenga toda la razón”</w:t>
      </w:r>
      <w:r w:rsidRPr="007350BC">
        <w:rPr>
          <w:color w:val="FF0000"/>
          <w:u w:val="single"/>
        </w:rPr>
        <w:t>, escribe hoy en un artículo de opinión para la agencia Bloomberg.</w:t>
      </w:r>
    </w:p>
    <w:p w:rsidR="004505F4" w:rsidRPr="007350BC" w:rsidRDefault="004505F4" w:rsidP="004505F4">
      <w:pPr>
        <w:pStyle w:val="NormalWeb"/>
        <w:spacing w:after="360"/>
        <w:jc w:val="both"/>
        <w:rPr>
          <w:color w:val="FF0000"/>
          <w:u w:val="single"/>
        </w:rPr>
      </w:pPr>
      <w:r w:rsidRPr="007350BC">
        <w:rPr>
          <w:color w:val="FF0000"/>
          <w:u w:val="single"/>
        </w:rPr>
        <w:t>En la rueda de prensa de ayer, tras subir los tipos 75 puntos básicos al 2,25%, Powell explicó que, en opin</w:t>
      </w:r>
      <w:r>
        <w:rPr>
          <w:color w:val="FF0000"/>
          <w:u w:val="single"/>
        </w:rPr>
        <w:t>ión de la Fed, ese nivel ya es “neutral”</w:t>
      </w:r>
      <w:r w:rsidRPr="007350BC">
        <w:rPr>
          <w:color w:val="FF0000"/>
          <w:u w:val="single"/>
        </w:rPr>
        <w:t>, es decir, que ni estimula ni enfría la economía, y que las próximas subidas llevarán los tipos a territorio restrictivo. La declaración de que este es el nivel neutral, así, indica que este es el punto al que volverán los tipos cuando la inestabilidad inflacionaria haya terminado, y abre la puerta a que las siguientes subidas no tengan que ser tan altas como se temían.</w:t>
      </w:r>
    </w:p>
    <w:p w:rsidR="004505F4" w:rsidRPr="007350BC" w:rsidRDefault="004505F4" w:rsidP="004505F4">
      <w:pPr>
        <w:pStyle w:val="NormalWeb"/>
        <w:spacing w:after="360"/>
        <w:jc w:val="both"/>
        <w:rPr>
          <w:color w:val="FF0000"/>
          <w:u w:val="single"/>
        </w:rPr>
      </w:pPr>
      <w:r w:rsidRPr="007350BC">
        <w:rPr>
          <w:color w:val="FF0000"/>
          <w:u w:val="single"/>
        </w:rPr>
        <w:t xml:space="preserve">De hecho, Powell indicó que su idea es que los tipos suban entre 75 y 125 puntos básicos más en lo que queda de año, un dato clave para animar a los mercados al quitar el pie del </w:t>
      </w:r>
      <w:r>
        <w:rPr>
          <w:color w:val="FF0000"/>
          <w:u w:val="single"/>
        </w:rPr>
        <w:t>acelerador del endurecimiento. “</w:t>
      </w:r>
      <w:r w:rsidRPr="007350BC">
        <w:rPr>
          <w:color w:val="FF0000"/>
          <w:u w:val="single"/>
        </w:rPr>
        <w:t xml:space="preserve">Los mercados traducen esto en la opinión de que la Fed </w:t>
      </w:r>
      <w:r w:rsidRPr="007350BC">
        <w:rPr>
          <w:color w:val="FF0000"/>
          <w:u w:val="single"/>
        </w:rPr>
        <w:lastRenderedPageBreak/>
        <w:t>ahora cree que ya ha hecho la mayor parte de lo que se necesita para endurecer la política monet</w:t>
      </w:r>
      <w:r>
        <w:rPr>
          <w:color w:val="FF0000"/>
          <w:u w:val="single"/>
        </w:rPr>
        <w:t>aria. Esperemos que tenga razón”</w:t>
      </w:r>
      <w:r w:rsidRPr="007350BC">
        <w:rPr>
          <w:color w:val="FF0000"/>
          <w:u w:val="single"/>
        </w:rPr>
        <w:t>, afirma El-Erian.</w:t>
      </w:r>
    </w:p>
    <w:p w:rsidR="004505F4" w:rsidRPr="007350BC" w:rsidRDefault="004505F4" w:rsidP="004505F4">
      <w:pPr>
        <w:pStyle w:val="NormalWeb"/>
        <w:spacing w:after="360"/>
        <w:jc w:val="both"/>
        <w:rPr>
          <w:color w:val="FF0000"/>
          <w:u w:val="single"/>
        </w:rPr>
      </w:pPr>
      <w:r w:rsidRPr="007350BC">
        <w:rPr>
          <w:color w:val="FF0000"/>
          <w:u w:val="single"/>
        </w:rPr>
        <w:t>Si los tipos no tiene</w:t>
      </w:r>
      <w:r>
        <w:rPr>
          <w:color w:val="FF0000"/>
          <w:u w:val="single"/>
        </w:rPr>
        <w:t>n mucho más recorrido al alza, “</w:t>
      </w:r>
      <w:r w:rsidRPr="007350BC">
        <w:rPr>
          <w:color w:val="FF0000"/>
          <w:u w:val="single"/>
        </w:rPr>
        <w:t>crecerían las posibilidades de que la Fed pueda realizar un aterrizaje suave de la economía, reduciendo así la inflación sin desencadenar una inest</w:t>
      </w:r>
      <w:r>
        <w:rPr>
          <w:color w:val="FF0000"/>
          <w:u w:val="single"/>
        </w:rPr>
        <w:t>abilidad financiera inquietante”. La idea suena tan bien que “</w:t>
      </w:r>
      <w:r w:rsidRPr="007350BC">
        <w:rPr>
          <w:color w:val="FF0000"/>
          <w:u w:val="single"/>
        </w:rPr>
        <w:t>no es de extrañar que los mercados dejen de lado o</w:t>
      </w:r>
      <w:r>
        <w:rPr>
          <w:color w:val="FF0000"/>
          <w:u w:val="single"/>
        </w:rPr>
        <w:t>tros comentarios más pesimistas”</w:t>
      </w:r>
      <w:r w:rsidRPr="007350BC">
        <w:rPr>
          <w:color w:val="FF0000"/>
          <w:u w:val="single"/>
        </w:rPr>
        <w:t xml:space="preserve"> de Powell en </w:t>
      </w:r>
      <w:r>
        <w:rPr>
          <w:color w:val="FF0000"/>
          <w:u w:val="single"/>
        </w:rPr>
        <w:t>la misma rueda de prensa, como “</w:t>
      </w:r>
      <w:r w:rsidRPr="007350BC">
        <w:rPr>
          <w:color w:val="FF0000"/>
          <w:u w:val="single"/>
        </w:rPr>
        <w:t>la probabilidad de que el desempleo se estabilice en un nivel mayor; la gran cantidad de incertidumbre económica; la necesidad de que l</w:t>
      </w:r>
      <w:r>
        <w:rPr>
          <w:color w:val="FF0000"/>
          <w:u w:val="single"/>
        </w:rPr>
        <w:t>a Fed vaya "reunión por reunión”</w:t>
      </w:r>
      <w:r w:rsidRPr="007350BC">
        <w:rPr>
          <w:color w:val="FF0000"/>
          <w:u w:val="single"/>
        </w:rPr>
        <w:t xml:space="preserve"> en sus decisiones de política monetaria; y la dificultad de proporcionar una orientación sobre sus movimientos </w:t>
      </w:r>
      <w:r>
        <w:rPr>
          <w:color w:val="FF0000"/>
          <w:u w:val="single"/>
        </w:rPr>
        <w:t>futuros”</w:t>
      </w:r>
      <w:r w:rsidRPr="007350BC">
        <w:rPr>
          <w:color w:val="FF0000"/>
          <w:u w:val="single"/>
        </w:rPr>
        <w:t>.</w:t>
      </w:r>
    </w:p>
    <w:p w:rsidR="004505F4" w:rsidRDefault="004505F4" w:rsidP="004505F4">
      <w:pPr>
        <w:pStyle w:val="NormalWeb"/>
        <w:spacing w:after="360"/>
        <w:jc w:val="both"/>
      </w:pPr>
      <w:r>
        <w:t>Aun así, el que fuera consejero delegado de PIMCO advierte de que “tengo el presentimiento, aunque estoy lejos de estar seguro, de que todavía estamos por debajo” del verdadero nivel de neutralidad monetaria. “Espero estar equivocado”, reconoce. “De lo contrario, esto significará aumentar mis miedos sobre los efectos colaterales que puede tener sobre la economía una Reserva Federal que tardó demasiado en comprender y responder adecuadamente a la inflación”.</w:t>
      </w:r>
    </w:p>
    <w:p w:rsidR="004505F4" w:rsidRDefault="004505F4" w:rsidP="004505F4">
      <w:pPr>
        <w:pStyle w:val="NormalWeb"/>
        <w:spacing w:after="360"/>
        <w:jc w:val="both"/>
      </w:pPr>
      <w:r>
        <w:t>Precisamente, El-Erian lleva meses mostrando su pesimismo ante los movimientos de la Fed, y su temor a que el aterrizaje suave termine en un desastre ante la lentitud del banco central en reaccionar.</w:t>
      </w:r>
    </w:p>
    <w:p w:rsidR="004505F4" w:rsidRDefault="004505F4" w:rsidP="004505F4">
      <w:pPr>
        <w:pStyle w:val="NormalWeb"/>
        <w:spacing w:after="360"/>
        <w:jc w:val="both"/>
      </w:pPr>
    </w:p>
    <w:p w:rsidR="004505F4" w:rsidRDefault="004505F4" w:rsidP="004505F4">
      <w:pPr>
        <w:pStyle w:val="NormalWeb"/>
        <w:spacing w:after="360"/>
        <w:jc w:val="both"/>
      </w:pPr>
      <w:r>
        <w:rPr>
          <w:noProof/>
        </w:rPr>
        <w:drawing>
          <wp:inline distT="0" distB="0" distL="0" distR="0" wp14:anchorId="79520319" wp14:editId="5A4DBD2F">
            <wp:extent cx="5731510" cy="3308349"/>
            <wp:effectExtent l="0" t="0" r="2540" b="6985"/>
            <wp:docPr id="92" name="Imagen 92" descr="prima-de-riesgo-italiana-desde-la-intervencion-de-dragh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rima-de-riesgo-italiana-desde-la-intervencion-de-draghi.jpg"/>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731510" cy="3308349"/>
                    </a:xfrm>
                    <a:prstGeom prst="rect">
                      <a:avLst/>
                    </a:prstGeom>
                    <a:noFill/>
                    <a:ln>
                      <a:noFill/>
                    </a:ln>
                  </pic:spPr>
                </pic:pic>
              </a:graphicData>
            </a:graphic>
          </wp:inline>
        </w:drawing>
      </w:r>
    </w:p>
    <w:p w:rsidR="004505F4" w:rsidRDefault="004505F4" w:rsidP="004505F4">
      <w:pPr>
        <w:pStyle w:val="NormalWeb"/>
        <w:spacing w:after="360"/>
        <w:jc w:val="both"/>
      </w:pPr>
      <w:r>
        <w:rPr>
          <w:noProof/>
        </w:rPr>
        <w:lastRenderedPageBreak/>
        <w:drawing>
          <wp:inline distT="0" distB="0" distL="0" distR="0" wp14:anchorId="735F8B83" wp14:editId="33781FD2">
            <wp:extent cx="5733463" cy="3613150"/>
            <wp:effectExtent l="0" t="0" r="635" b="6350"/>
            <wp:docPr id="91" name="Imagen 91" descr="tenencia-de-bonos-soberanos-por-parte-de-inversores-extranjer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enencia-de-bonos-soberanos-por-parte-de-inversores-extranjeros.jpg"/>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731510" cy="3611919"/>
                    </a:xfrm>
                    <a:prstGeom prst="rect">
                      <a:avLst/>
                    </a:prstGeom>
                    <a:noFill/>
                    <a:ln>
                      <a:noFill/>
                    </a:ln>
                  </pic:spPr>
                </pic:pic>
              </a:graphicData>
            </a:graphic>
          </wp:inline>
        </w:drawing>
      </w:r>
    </w:p>
    <w:p w:rsidR="004505F4" w:rsidRDefault="004505F4" w:rsidP="004505F4">
      <w:pPr>
        <w:pStyle w:val="NormalWeb"/>
        <w:spacing w:after="360"/>
        <w:jc w:val="both"/>
      </w:pPr>
      <w:r>
        <w:t xml:space="preserve">El BCE creó un monstruo: otorgó a los gobiernos la herramienta de la deuda “barata” cuasi ilimitada para su uso electoral -compra de votos-. (Libertad Digital - </w:t>
      </w:r>
      <w:r w:rsidRPr="004A74CD">
        <w:rPr>
          <w:b/>
        </w:rPr>
        <w:t>29/7/2022</w:t>
      </w:r>
      <w:r>
        <w:t>)</w:t>
      </w:r>
    </w:p>
    <w:p w:rsidR="004505F4" w:rsidRPr="00411B78" w:rsidRDefault="004505F4" w:rsidP="004505F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411B78">
        <w:rPr>
          <w:rFonts w:ascii="Times New Roman" w:hAnsi="Times New Roman" w:cs="Times New Roman"/>
          <w:sz w:val="24"/>
          <w:szCs w:val="24"/>
          <w:u w:val="single"/>
        </w:rPr>
        <w:t>De aquellas lluvias monetarias, estos lodos inflacionarios</w:t>
      </w:r>
      <w:r>
        <w:rPr>
          <w:rFonts w:ascii="Times New Roman" w:hAnsi="Times New Roman" w:cs="Times New Roman"/>
          <w:sz w:val="24"/>
          <w:szCs w:val="24"/>
        </w:rPr>
        <w:t xml:space="preserve"> (Cinco Días - </w:t>
      </w:r>
      <w:r w:rsidRPr="00411B78">
        <w:rPr>
          <w:rFonts w:ascii="Times New Roman" w:hAnsi="Times New Roman" w:cs="Times New Roman"/>
          <w:b/>
          <w:sz w:val="24"/>
          <w:szCs w:val="24"/>
        </w:rPr>
        <w:t>9/8/22</w:t>
      </w:r>
      <w:r>
        <w:rPr>
          <w:rFonts w:ascii="Times New Roman" w:hAnsi="Times New Roman" w:cs="Times New Roman"/>
          <w:sz w:val="24"/>
          <w:szCs w:val="24"/>
        </w:rPr>
        <w:t>)</w:t>
      </w:r>
    </w:p>
    <w:p w:rsidR="004505F4" w:rsidRPr="00600492" w:rsidRDefault="004505F4" w:rsidP="004505F4">
      <w:pPr>
        <w:spacing w:line="240" w:lineRule="auto"/>
        <w:jc w:val="both"/>
        <w:rPr>
          <w:rFonts w:ascii="Times New Roman" w:hAnsi="Times New Roman" w:cs="Times New Roman"/>
          <w:color w:val="FF0000"/>
          <w:sz w:val="24"/>
          <w:szCs w:val="24"/>
        </w:rPr>
      </w:pPr>
      <w:r w:rsidRPr="00600492">
        <w:rPr>
          <w:rFonts w:ascii="Times New Roman" w:hAnsi="Times New Roman" w:cs="Times New Roman"/>
          <w:color w:val="FF0000"/>
          <w:sz w:val="24"/>
          <w:szCs w:val="24"/>
        </w:rPr>
        <w:t>La inundación de euros por parte de los bancos centrales durante la pandemia es la causa principal de las subidas de precios</w:t>
      </w:r>
    </w:p>
    <w:p w:rsidR="004505F4" w:rsidRPr="00411B78" w:rsidRDefault="004505F4" w:rsidP="004505F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411B78">
        <w:rPr>
          <w:rFonts w:ascii="Times New Roman" w:hAnsi="Times New Roman" w:cs="Times New Roman"/>
          <w:sz w:val="24"/>
          <w:szCs w:val="24"/>
        </w:rPr>
        <w:t>Juan Carlos Higueras</w:t>
      </w:r>
      <w:r>
        <w:rPr>
          <w:rFonts w:ascii="Times New Roman" w:hAnsi="Times New Roman" w:cs="Times New Roman"/>
          <w:sz w:val="24"/>
          <w:szCs w:val="24"/>
        </w:rPr>
        <w:t>)</w:t>
      </w:r>
    </w:p>
    <w:p w:rsidR="004505F4" w:rsidRPr="00411B78" w:rsidRDefault="004505F4" w:rsidP="004505F4">
      <w:pPr>
        <w:spacing w:line="240" w:lineRule="auto"/>
        <w:jc w:val="both"/>
        <w:rPr>
          <w:rFonts w:ascii="Times New Roman" w:hAnsi="Times New Roman" w:cs="Times New Roman"/>
          <w:sz w:val="24"/>
          <w:szCs w:val="24"/>
        </w:rPr>
      </w:pPr>
      <w:r w:rsidRPr="00600492">
        <w:rPr>
          <w:rFonts w:ascii="Times New Roman" w:hAnsi="Times New Roman" w:cs="Times New Roman"/>
          <w:sz w:val="24"/>
          <w:szCs w:val="24"/>
          <w:u w:val="single"/>
        </w:rPr>
        <w:t>El dato del IPC adelantado del mes de julio se sitúa en el 10,8% lo que representa un incremento de 60 puntos básicos respecto al mes anterior, a pesar del mejor comportamiento de los combustibles</w:t>
      </w:r>
      <w:r w:rsidRPr="00411B78">
        <w:rPr>
          <w:rFonts w:ascii="Times New Roman" w:hAnsi="Times New Roman" w:cs="Times New Roman"/>
          <w:sz w:val="24"/>
          <w:szCs w:val="24"/>
        </w:rPr>
        <w:t>. Si observamos la inflación subyacente, que no tiene en cuenta ni la energía ni los alimentos frescos, normalmente sujetos a mayor volatilidad, vemos que ha aumentado hasta el 6,1%, lo que es una clara señal de que se está formando un suelo muy sólido en el proceso de incremento de los precios. Unos precios que no volverán a bajar, salvo que ocurra una prof</w:t>
      </w:r>
      <w:r>
        <w:rPr>
          <w:rFonts w:ascii="Times New Roman" w:hAnsi="Times New Roman" w:cs="Times New Roman"/>
          <w:sz w:val="24"/>
          <w:szCs w:val="24"/>
        </w:rPr>
        <w:t>unda recesión sin estanflación.</w:t>
      </w:r>
    </w:p>
    <w:p w:rsidR="004505F4" w:rsidRPr="00600492" w:rsidRDefault="004505F4" w:rsidP="004505F4">
      <w:pPr>
        <w:spacing w:line="240" w:lineRule="auto"/>
        <w:jc w:val="both"/>
        <w:rPr>
          <w:rFonts w:ascii="Times New Roman" w:hAnsi="Times New Roman" w:cs="Times New Roman"/>
          <w:sz w:val="24"/>
          <w:szCs w:val="24"/>
          <w:u w:val="single"/>
        </w:rPr>
      </w:pPr>
      <w:r w:rsidRPr="00600492">
        <w:rPr>
          <w:rFonts w:ascii="Times New Roman" w:hAnsi="Times New Roman" w:cs="Times New Roman"/>
          <w:sz w:val="24"/>
          <w:szCs w:val="24"/>
          <w:u w:val="single"/>
        </w:rPr>
        <w:t>Pero la inflación es un cáncer que avanza silenciosamente y que termina invadiendo todos los órganos de nuestra estructura económica, provocando, o al menos acelerando, un fallo multiorgánico que termina poniendo de relieve la vulnerabilidad de todo el organismo, que se dirige hacia un fatídico final tras el punto de no retorno.</w:t>
      </w:r>
    </w:p>
    <w:p w:rsidR="004505F4" w:rsidRPr="00600492" w:rsidRDefault="004505F4" w:rsidP="004505F4">
      <w:pPr>
        <w:spacing w:line="240" w:lineRule="auto"/>
        <w:jc w:val="both"/>
        <w:rPr>
          <w:rFonts w:ascii="Times New Roman" w:hAnsi="Times New Roman" w:cs="Times New Roman"/>
          <w:color w:val="FF0000"/>
          <w:sz w:val="24"/>
          <w:szCs w:val="24"/>
          <w:u w:val="single"/>
        </w:rPr>
      </w:pPr>
      <w:r w:rsidRPr="00600492">
        <w:rPr>
          <w:rFonts w:ascii="Times New Roman" w:hAnsi="Times New Roman" w:cs="Times New Roman"/>
          <w:color w:val="FF0000"/>
          <w:sz w:val="24"/>
          <w:szCs w:val="24"/>
          <w:u w:val="single"/>
        </w:rPr>
        <w:t>La inflación que vivimos tiene su origen en diferentes causas; la más previsible y esperada, la lluvia de billones de euros que el BCE ha puesto en circulación con la excusa de evitar el estancamiento de las economías y hacer frente a importantes desembolsos de los Estados en forma de gasto sanitario y social, a la vez que activaba la cláusula de escape del Plan de Estabilidad y Crecimiento de la eurozona. Una cantidad de dinero creado de la nada y vertida sobre la economía en un periodo de tiempo corto, como nunca se había visto en la historia, inundando el mercado de euros mediante un crecimiento explosivo del gasto público.</w:t>
      </w:r>
    </w:p>
    <w:p w:rsidR="004505F4" w:rsidRPr="00411B78" w:rsidRDefault="004505F4" w:rsidP="004505F4">
      <w:pPr>
        <w:spacing w:line="240" w:lineRule="auto"/>
        <w:jc w:val="both"/>
        <w:rPr>
          <w:rFonts w:ascii="Times New Roman" w:hAnsi="Times New Roman" w:cs="Times New Roman"/>
          <w:sz w:val="24"/>
          <w:szCs w:val="24"/>
        </w:rPr>
      </w:pPr>
      <w:r w:rsidRPr="00411B78">
        <w:rPr>
          <w:rFonts w:ascii="Times New Roman" w:hAnsi="Times New Roman" w:cs="Times New Roman"/>
          <w:sz w:val="24"/>
          <w:szCs w:val="24"/>
        </w:rPr>
        <w:lastRenderedPageBreak/>
        <w:t>Por poner un símil, la inflación desatada que nos rodea es como un volcán en erupción, donde el fuego, el humo y los sismos son los componentes más volátiles, y que se pueden apreciar de forma directa, pero lo que va asentándose sobre los terrenos y destruyendo todo lo que tiene a su alrededor es la colada, que deja un paisaje aterrador y acaba con cualquier señal de vida por donde pasa. Y esa lava que va solidificándose es la inflación subyacente. Una vez que cesa la actividad volcánica, lo que queda es lo que subyace sobre el terreno, y donde se puede valorar cuánta extensión de la economía ha quedado devastada y el tiempo que será neces</w:t>
      </w:r>
      <w:r>
        <w:rPr>
          <w:rFonts w:ascii="Times New Roman" w:hAnsi="Times New Roman" w:cs="Times New Roman"/>
          <w:sz w:val="24"/>
          <w:szCs w:val="24"/>
        </w:rPr>
        <w:t>ario para recuperar lo perdido.</w:t>
      </w:r>
    </w:p>
    <w:p w:rsidR="004505F4" w:rsidRPr="00411B78" w:rsidRDefault="004505F4" w:rsidP="004505F4">
      <w:pPr>
        <w:spacing w:line="240" w:lineRule="auto"/>
        <w:jc w:val="both"/>
        <w:rPr>
          <w:rFonts w:ascii="Times New Roman" w:hAnsi="Times New Roman" w:cs="Times New Roman"/>
          <w:sz w:val="24"/>
          <w:szCs w:val="24"/>
        </w:rPr>
      </w:pPr>
      <w:r w:rsidRPr="00411B78">
        <w:rPr>
          <w:rFonts w:ascii="Times New Roman" w:hAnsi="Times New Roman" w:cs="Times New Roman"/>
          <w:sz w:val="24"/>
          <w:szCs w:val="24"/>
        </w:rPr>
        <w:t>Si alguien sufre una parada cardiorrespiratoria, parece sensato que se le aplique un desfibrilador para reanimarlo, pero una vez que ya recupera el sentido y comienza a moverse, se dejan de aplicar descargas al paciente y se retira el equipo. Sin embargo, a día de hoy, nadie ha retirado los estímulos monetarios expansivos y se ha permitido que los países sigan endeudándos</w:t>
      </w:r>
      <w:r>
        <w:rPr>
          <w:rFonts w:ascii="Times New Roman" w:hAnsi="Times New Roman" w:cs="Times New Roman"/>
          <w:sz w:val="24"/>
          <w:szCs w:val="24"/>
        </w:rPr>
        <w:t>e a tipos de interés muy bajos.</w:t>
      </w:r>
    </w:p>
    <w:p w:rsidR="004505F4" w:rsidRPr="00411B78" w:rsidRDefault="004505F4" w:rsidP="004505F4">
      <w:pPr>
        <w:spacing w:line="240" w:lineRule="auto"/>
        <w:jc w:val="both"/>
        <w:rPr>
          <w:rFonts w:ascii="Times New Roman" w:hAnsi="Times New Roman" w:cs="Times New Roman"/>
          <w:sz w:val="24"/>
          <w:szCs w:val="24"/>
        </w:rPr>
      </w:pPr>
      <w:r w:rsidRPr="00411B78">
        <w:rPr>
          <w:rFonts w:ascii="Times New Roman" w:hAnsi="Times New Roman" w:cs="Times New Roman"/>
          <w:sz w:val="24"/>
          <w:szCs w:val="24"/>
        </w:rPr>
        <w:t>Y de aquellas lluvias, estos lodos, aunque todos somos conscientes de que las sanciones a Rusia son como los viajes, de ida y vuelta, por lo que terminan siendo un tiro en el pecho a quienes las imponen: realmente a sus ciudadanos, porque quienes toman estas decisiones viven ajenos a la realidad del pueblo y no sienten el efecto de la inflación en sus abultadas nóminas ni las restricci</w:t>
      </w:r>
      <w:r>
        <w:rPr>
          <w:rFonts w:ascii="Times New Roman" w:hAnsi="Times New Roman" w:cs="Times New Roman"/>
          <w:sz w:val="24"/>
          <w:szCs w:val="24"/>
        </w:rPr>
        <w:t>ones energéticas en su entorno.</w:t>
      </w:r>
    </w:p>
    <w:p w:rsidR="004505F4" w:rsidRPr="00600492" w:rsidRDefault="004505F4" w:rsidP="004505F4">
      <w:pPr>
        <w:spacing w:line="240" w:lineRule="auto"/>
        <w:jc w:val="both"/>
        <w:rPr>
          <w:rFonts w:ascii="Times New Roman" w:hAnsi="Times New Roman" w:cs="Times New Roman"/>
          <w:color w:val="FF0000"/>
          <w:sz w:val="24"/>
          <w:szCs w:val="24"/>
          <w:u w:val="single"/>
        </w:rPr>
      </w:pPr>
      <w:r w:rsidRPr="00411B78">
        <w:rPr>
          <w:rFonts w:ascii="Times New Roman" w:hAnsi="Times New Roman" w:cs="Times New Roman"/>
          <w:sz w:val="24"/>
          <w:szCs w:val="24"/>
        </w:rPr>
        <w:t xml:space="preserve">Independientemente de lo anterior, pueden aparecer nuevos factores que agudicen la situación de la inflación, pero ya está el caldo de cultivo necesario, y esto es lo que hay que abordar para buscar medidas eficaces contra la subida de precios. </w:t>
      </w:r>
      <w:r w:rsidRPr="00600492">
        <w:rPr>
          <w:rFonts w:ascii="Times New Roman" w:hAnsi="Times New Roman" w:cs="Times New Roman"/>
          <w:color w:val="FF0000"/>
          <w:sz w:val="24"/>
          <w:szCs w:val="24"/>
          <w:u w:val="single"/>
        </w:rPr>
        <w:t>Por ahora, aunque tarde, el BCE ha subido los tipos un 0,5%, lo que es insuficiente para poner freno, pero debería dejar de financiar a aquellos países que incumplen sistemáticamente con los criterios de déficit y deuda. El ser humano necesita, a veces, que llegue alguien de fuera y le ponga límites, y esa es la primera asignatura que hay que aprobar para finalizar, con éxito, la carrera contra la inflación, antes de que se transforme en un proceso metastásico sin solución para Europa.</w:t>
      </w:r>
    </w:p>
    <w:p w:rsidR="004505F4" w:rsidRDefault="004505F4" w:rsidP="004505F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411B78">
        <w:rPr>
          <w:rFonts w:ascii="Times New Roman" w:hAnsi="Times New Roman" w:cs="Times New Roman"/>
          <w:sz w:val="24"/>
          <w:szCs w:val="24"/>
        </w:rPr>
        <w:t>Juan Carlos Higueras es analista económico y profesor de EAE Business School</w:t>
      </w:r>
      <w:r>
        <w:rPr>
          <w:rFonts w:ascii="Times New Roman" w:hAnsi="Times New Roman" w:cs="Times New Roman"/>
          <w:sz w:val="24"/>
          <w:szCs w:val="24"/>
        </w:rPr>
        <w:t>)</w:t>
      </w:r>
    </w:p>
    <w:p w:rsidR="004505F4" w:rsidRPr="00D42BEC" w:rsidRDefault="004505F4" w:rsidP="004505F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El BCE ve “gradual”</w:t>
      </w:r>
      <w:r w:rsidR="002959D5">
        <w:rPr>
          <w:rFonts w:ascii="Times New Roman" w:hAnsi="Times New Roman" w:cs="Times New Roman"/>
          <w:sz w:val="24"/>
          <w:szCs w:val="24"/>
          <w:u w:val="single"/>
        </w:rPr>
        <w:t xml:space="preserve"> y “acomodaticia”</w:t>
      </w:r>
      <w:r w:rsidRPr="00D42BEC">
        <w:rPr>
          <w:rFonts w:ascii="Times New Roman" w:hAnsi="Times New Roman" w:cs="Times New Roman"/>
          <w:sz w:val="24"/>
          <w:szCs w:val="24"/>
          <w:u w:val="single"/>
        </w:rPr>
        <w:t xml:space="preserve"> una subida de tipos de medio punto</w:t>
      </w:r>
      <w:r>
        <w:rPr>
          <w:rFonts w:ascii="Times New Roman" w:hAnsi="Times New Roman" w:cs="Times New Roman"/>
          <w:sz w:val="24"/>
          <w:szCs w:val="24"/>
        </w:rPr>
        <w:t xml:space="preserve"> (Cinco Días - </w:t>
      </w:r>
      <w:r w:rsidRPr="00D42BEC">
        <w:rPr>
          <w:rFonts w:ascii="Times New Roman" w:hAnsi="Times New Roman" w:cs="Times New Roman"/>
          <w:b/>
          <w:sz w:val="24"/>
          <w:szCs w:val="24"/>
        </w:rPr>
        <w:t>25/8/22</w:t>
      </w:r>
      <w:r>
        <w:rPr>
          <w:rFonts w:ascii="Times New Roman" w:hAnsi="Times New Roman" w:cs="Times New Roman"/>
          <w:sz w:val="24"/>
          <w:szCs w:val="24"/>
        </w:rPr>
        <w:t>)</w:t>
      </w:r>
    </w:p>
    <w:p w:rsidR="004505F4" w:rsidRPr="00102EC3" w:rsidRDefault="004505F4" w:rsidP="004505F4">
      <w:pPr>
        <w:spacing w:line="240" w:lineRule="auto"/>
        <w:jc w:val="both"/>
        <w:rPr>
          <w:rFonts w:ascii="Times New Roman" w:hAnsi="Times New Roman" w:cs="Times New Roman"/>
          <w:color w:val="FF0000"/>
          <w:sz w:val="24"/>
          <w:szCs w:val="24"/>
        </w:rPr>
      </w:pPr>
      <w:r w:rsidRPr="00102EC3">
        <w:rPr>
          <w:rFonts w:ascii="Times New Roman" w:hAnsi="Times New Roman" w:cs="Times New Roman"/>
          <w:color w:val="FF0000"/>
          <w:sz w:val="24"/>
          <w:szCs w:val="24"/>
        </w:rPr>
        <w:t xml:space="preserve">Reconoce que la mitad de la depreciación del euro frente al dólar se debe a la divergencia </w:t>
      </w:r>
      <w:r w:rsidR="002959D5">
        <w:rPr>
          <w:rFonts w:ascii="Times New Roman" w:hAnsi="Times New Roman" w:cs="Times New Roman"/>
          <w:color w:val="FF0000"/>
          <w:sz w:val="24"/>
          <w:szCs w:val="24"/>
        </w:rPr>
        <w:t>en tipos de interés frente a EE</w:t>
      </w:r>
      <w:r w:rsidRPr="00102EC3">
        <w:rPr>
          <w:rFonts w:ascii="Times New Roman" w:hAnsi="Times New Roman" w:cs="Times New Roman"/>
          <w:color w:val="FF0000"/>
          <w:sz w:val="24"/>
          <w:szCs w:val="24"/>
        </w:rPr>
        <w:t>UU</w:t>
      </w:r>
    </w:p>
    <w:p w:rsidR="004505F4" w:rsidRPr="00D42BEC" w:rsidRDefault="004505F4" w:rsidP="004505F4">
      <w:pPr>
        <w:spacing w:line="240" w:lineRule="auto"/>
        <w:jc w:val="both"/>
        <w:rPr>
          <w:rFonts w:ascii="Times New Roman" w:hAnsi="Times New Roman" w:cs="Times New Roman"/>
          <w:sz w:val="24"/>
          <w:szCs w:val="24"/>
        </w:rPr>
      </w:pPr>
      <w:r w:rsidRPr="00102EC3">
        <w:rPr>
          <w:rFonts w:ascii="Times New Roman" w:hAnsi="Times New Roman" w:cs="Times New Roman"/>
          <w:color w:val="FF0000"/>
          <w:sz w:val="24"/>
          <w:szCs w:val="24"/>
          <w:u w:val="single"/>
        </w:rPr>
        <w:t>El mercado ya descuenta de forma rotunda que el BCE subirá los tipos en medio punto en septiembre y que en octubre llegará otro aumento de 50 puntos básicos</w:t>
      </w:r>
      <w:r w:rsidRPr="00D42BEC">
        <w:rPr>
          <w:rFonts w:ascii="Times New Roman" w:hAnsi="Times New Roman" w:cs="Times New Roman"/>
          <w:sz w:val="24"/>
          <w:szCs w:val="24"/>
        </w:rPr>
        <w:t>. Incluso da una probabilidad del 20% a un alza de 75 puntos en la cita de septiembre. Y el BCE cree que la subida de medio punto es perfectamente compatible con la normalización de su política monetaria. Un movimiento nada brusco sino “gradual y compatible con los principios de flexibilidad, opcionalidad” y de respuesta a los indicadores económicos, según revelan las actas de la pasada reunión de julio.</w:t>
      </w:r>
    </w:p>
    <w:p w:rsidR="004505F4" w:rsidRPr="00D42BEC" w:rsidRDefault="004505F4" w:rsidP="004505F4">
      <w:pPr>
        <w:spacing w:line="240" w:lineRule="auto"/>
        <w:jc w:val="both"/>
        <w:rPr>
          <w:rFonts w:ascii="Times New Roman" w:hAnsi="Times New Roman" w:cs="Times New Roman"/>
          <w:sz w:val="24"/>
          <w:szCs w:val="24"/>
        </w:rPr>
      </w:pPr>
      <w:r w:rsidRPr="00D42BEC">
        <w:rPr>
          <w:rFonts w:ascii="Times New Roman" w:hAnsi="Times New Roman" w:cs="Times New Roman"/>
          <w:sz w:val="24"/>
          <w:szCs w:val="24"/>
        </w:rPr>
        <w:t>El texto refuerza la tesis del mercado de un alza de medio punto, sugerida incluso en la última semana por el propio BCE, a través de Isabel Schnabel, miembro del comité ejecutivo. La subida de medio punto de julio, la primera subida de tipos del BCE en once años, no fue tomada por unanimidad pero sí fue consensuada ampliamente, de acuerdo a las</w:t>
      </w:r>
      <w:r>
        <w:rPr>
          <w:rFonts w:ascii="Times New Roman" w:hAnsi="Times New Roman" w:cs="Times New Roman"/>
          <w:sz w:val="24"/>
          <w:szCs w:val="24"/>
        </w:rPr>
        <w:t xml:space="preserve"> actas.</w:t>
      </w:r>
    </w:p>
    <w:p w:rsidR="004505F4" w:rsidRPr="00D42BEC" w:rsidRDefault="004505F4" w:rsidP="004505F4">
      <w:pPr>
        <w:spacing w:line="240" w:lineRule="auto"/>
        <w:jc w:val="both"/>
        <w:rPr>
          <w:rFonts w:ascii="Times New Roman" w:hAnsi="Times New Roman" w:cs="Times New Roman"/>
          <w:sz w:val="24"/>
          <w:szCs w:val="24"/>
        </w:rPr>
      </w:pPr>
      <w:r w:rsidRPr="00D42BEC">
        <w:rPr>
          <w:rFonts w:ascii="Times New Roman" w:hAnsi="Times New Roman" w:cs="Times New Roman"/>
          <w:sz w:val="24"/>
          <w:szCs w:val="24"/>
        </w:rPr>
        <w:t xml:space="preserve">El texto señala que esa subida de medio punto se encuadra en una política monetaria “acomodaticia”, incluso a pesar de ser superior a lo anticipado por el propio BCE. En ese </w:t>
      </w:r>
      <w:r w:rsidRPr="00D42BEC">
        <w:rPr>
          <w:rFonts w:ascii="Times New Roman" w:hAnsi="Times New Roman" w:cs="Times New Roman"/>
          <w:sz w:val="24"/>
          <w:szCs w:val="24"/>
        </w:rPr>
        <w:lastRenderedPageBreak/>
        <w:t>sentido, los partidarios de una subida de 25 puntos básicos argumentaban que tal incremento sería más coherente con lo comunicado previamente y estaría más en línea con una normalización gradual de la política monetaria. Pero la presión de la inflación pesó más y las alusiones a que continuará siendo elevada y con riesgo de seguir avanza</w:t>
      </w:r>
      <w:r>
        <w:rPr>
          <w:rFonts w:ascii="Times New Roman" w:hAnsi="Times New Roman" w:cs="Times New Roman"/>
          <w:sz w:val="24"/>
          <w:szCs w:val="24"/>
        </w:rPr>
        <w:t>ndo son constantes en el texto.</w:t>
      </w:r>
    </w:p>
    <w:p w:rsidR="004505F4" w:rsidRPr="00D42BEC" w:rsidRDefault="004505F4" w:rsidP="004505F4">
      <w:pPr>
        <w:spacing w:line="240" w:lineRule="auto"/>
        <w:jc w:val="both"/>
        <w:rPr>
          <w:rFonts w:ascii="Times New Roman" w:hAnsi="Times New Roman" w:cs="Times New Roman"/>
          <w:sz w:val="24"/>
          <w:szCs w:val="24"/>
        </w:rPr>
      </w:pPr>
      <w:r w:rsidRPr="00D42BEC">
        <w:rPr>
          <w:rFonts w:ascii="Times New Roman" w:hAnsi="Times New Roman" w:cs="Times New Roman"/>
          <w:sz w:val="24"/>
          <w:szCs w:val="24"/>
        </w:rPr>
        <w:t>Las actas señalan que  “los riesgos para las perspectivas de inflación a medio plazo tienden claramente al alza. Incluso una recesión no disminuiría necesariamente esos riesgos al alza, especialmente si estuvieran relacionados con un corte del suministro del gas o un shock energético de otro tipo que implicara un aumento adicional de la inflación”. El análisis del BCE concluye que los riesgos al alza para las perspectivas de inflación se han intensificado, especial</w:t>
      </w:r>
      <w:r>
        <w:rPr>
          <w:rFonts w:ascii="Times New Roman" w:hAnsi="Times New Roman" w:cs="Times New Roman"/>
          <w:sz w:val="24"/>
          <w:szCs w:val="24"/>
        </w:rPr>
        <w:t>mente en el corto plazo.</w:t>
      </w:r>
    </w:p>
    <w:p w:rsidR="004505F4" w:rsidRPr="002959D5" w:rsidRDefault="004505F4" w:rsidP="004505F4">
      <w:pPr>
        <w:spacing w:line="240" w:lineRule="auto"/>
        <w:jc w:val="both"/>
        <w:rPr>
          <w:rFonts w:ascii="Times New Roman" w:hAnsi="Times New Roman" w:cs="Times New Roman"/>
          <w:color w:val="FF0000"/>
          <w:sz w:val="24"/>
          <w:szCs w:val="24"/>
        </w:rPr>
      </w:pPr>
      <w:r w:rsidRPr="00102EC3">
        <w:rPr>
          <w:rFonts w:ascii="Times New Roman" w:hAnsi="Times New Roman" w:cs="Times New Roman"/>
          <w:color w:val="FF0000"/>
          <w:sz w:val="24"/>
          <w:szCs w:val="24"/>
          <w:u w:val="single"/>
        </w:rPr>
        <w:t>La lucha del BCE frente a la inflación se complica con la depreciación del euro. La institución reconoce en las actas que la debilidad de la divisa implica “mayores presiones inflacionistas” y señala que alrededor de la mitad de la depreciación del euro frente al dólar en lo que va de año puede atribuirse a la divergencia en la política monetaria con la Reserva Federal. En un momento en que el euro cotiza por debajo de la paridad con el dólar, ampliar aún más la brecha en l</w:t>
      </w:r>
      <w:r w:rsidR="009F5141">
        <w:rPr>
          <w:rFonts w:ascii="Times New Roman" w:hAnsi="Times New Roman" w:cs="Times New Roman"/>
          <w:color w:val="FF0000"/>
          <w:sz w:val="24"/>
          <w:szCs w:val="24"/>
          <w:u w:val="single"/>
        </w:rPr>
        <w:t>os tipos de interés frente a EE</w:t>
      </w:r>
      <w:r w:rsidRPr="00102EC3">
        <w:rPr>
          <w:rFonts w:ascii="Times New Roman" w:hAnsi="Times New Roman" w:cs="Times New Roman"/>
          <w:color w:val="FF0000"/>
          <w:sz w:val="24"/>
          <w:szCs w:val="24"/>
          <w:u w:val="single"/>
        </w:rPr>
        <w:t>UU con una subida de 25 puntos básicos en septiembre podría agravar aún más su debilidad. Especialmente si, como espera buena parte del mercado, la Fed los e</w:t>
      </w:r>
      <w:r w:rsidR="002959D5">
        <w:rPr>
          <w:rFonts w:ascii="Times New Roman" w:hAnsi="Times New Roman" w:cs="Times New Roman"/>
          <w:color w:val="FF0000"/>
          <w:sz w:val="24"/>
          <w:szCs w:val="24"/>
          <w:u w:val="single"/>
        </w:rPr>
        <w:t>leva en otros 75 puntos básicos</w:t>
      </w:r>
      <w:r w:rsidR="002959D5">
        <w:rPr>
          <w:rFonts w:ascii="Times New Roman" w:hAnsi="Times New Roman" w:cs="Times New Roman"/>
          <w:color w:val="FF0000"/>
          <w:sz w:val="24"/>
          <w:szCs w:val="24"/>
        </w:rPr>
        <w:t>…</w:t>
      </w:r>
    </w:p>
    <w:p w:rsidR="002959D5" w:rsidRPr="00E8463E" w:rsidRDefault="002959D5" w:rsidP="002959D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E8463E">
        <w:rPr>
          <w:rFonts w:ascii="Times New Roman" w:hAnsi="Times New Roman" w:cs="Times New Roman"/>
          <w:sz w:val="24"/>
          <w:szCs w:val="24"/>
          <w:u w:val="single"/>
        </w:rPr>
        <w:t>La máquina de imprimir dinero, versión 2021</w:t>
      </w:r>
      <w:r>
        <w:rPr>
          <w:rFonts w:ascii="Times New Roman" w:hAnsi="Times New Roman" w:cs="Times New Roman"/>
          <w:sz w:val="24"/>
          <w:szCs w:val="24"/>
        </w:rPr>
        <w:t xml:space="preserve"> (El Confidencial - </w:t>
      </w:r>
      <w:r w:rsidRPr="00E8463E">
        <w:rPr>
          <w:rFonts w:ascii="Times New Roman" w:hAnsi="Times New Roman" w:cs="Times New Roman"/>
          <w:b/>
          <w:sz w:val="24"/>
          <w:szCs w:val="24"/>
        </w:rPr>
        <w:t>26/8/21</w:t>
      </w:r>
      <w:r>
        <w:rPr>
          <w:rFonts w:ascii="Times New Roman" w:hAnsi="Times New Roman" w:cs="Times New Roman"/>
          <w:sz w:val="24"/>
          <w:szCs w:val="24"/>
        </w:rPr>
        <w:t>)</w:t>
      </w:r>
    </w:p>
    <w:p w:rsidR="002959D5" w:rsidRPr="00486252" w:rsidRDefault="002959D5" w:rsidP="002959D5">
      <w:pPr>
        <w:spacing w:line="240" w:lineRule="auto"/>
        <w:jc w:val="both"/>
        <w:rPr>
          <w:rFonts w:ascii="Times New Roman" w:hAnsi="Times New Roman" w:cs="Times New Roman"/>
          <w:color w:val="FF0000"/>
          <w:sz w:val="24"/>
          <w:szCs w:val="24"/>
        </w:rPr>
      </w:pPr>
      <w:r w:rsidRPr="00486252">
        <w:rPr>
          <w:rFonts w:ascii="Times New Roman" w:hAnsi="Times New Roman" w:cs="Times New Roman"/>
          <w:color w:val="FF0000"/>
          <w:sz w:val="24"/>
          <w:szCs w:val="24"/>
        </w:rPr>
        <w:t>El sistema fiduciario actual es muy diferente al de finales del siglo pasado. Hemos descubierto la fuente de la eterna riqueza, un modelo monetario que parece no tener límites</w:t>
      </w:r>
    </w:p>
    <w:p w:rsidR="002959D5" w:rsidRPr="00E8463E" w:rsidRDefault="002959D5" w:rsidP="002959D5">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E8463E">
        <w:rPr>
          <w:rFonts w:ascii="Times New Roman" w:hAnsi="Times New Roman" w:cs="Times New Roman"/>
          <w:sz w:val="24"/>
          <w:szCs w:val="24"/>
        </w:rPr>
        <w:t>Por Juan Gómez Bada</w:t>
      </w:r>
      <w:r>
        <w:rPr>
          <w:rFonts w:ascii="Times New Roman" w:hAnsi="Times New Roman" w:cs="Times New Roman"/>
          <w:sz w:val="24"/>
          <w:szCs w:val="24"/>
        </w:rPr>
        <w:t>)</w:t>
      </w:r>
    </w:p>
    <w:p w:rsidR="002959D5" w:rsidRPr="00486252" w:rsidRDefault="002959D5" w:rsidP="002959D5">
      <w:pPr>
        <w:spacing w:line="240" w:lineRule="auto"/>
        <w:jc w:val="both"/>
        <w:rPr>
          <w:rFonts w:ascii="Times New Roman" w:hAnsi="Times New Roman" w:cs="Times New Roman"/>
          <w:color w:val="FF0000"/>
          <w:sz w:val="24"/>
          <w:szCs w:val="24"/>
          <w:u w:val="single"/>
        </w:rPr>
      </w:pPr>
      <w:r w:rsidRPr="00486252">
        <w:rPr>
          <w:rFonts w:ascii="Times New Roman" w:hAnsi="Times New Roman" w:cs="Times New Roman"/>
          <w:color w:val="FF0000"/>
          <w:sz w:val="24"/>
          <w:szCs w:val="24"/>
          <w:u w:val="single"/>
        </w:rPr>
        <w:t>Han pasado 50 años desde la mayor quiebra de la historia. El 15 de agosto de 1971, Richard Nixon puso fin a la convertibilidad de los dólares en oro. Fue el mayor incumplimiento de un emisor de lo pactado con quienes compraban un determinado activo: dólares. Desde entonces, los Estados que se endeudan en sus propias divisas no pueden quebrar. Siempre podrán emitir más dólares, euros, libras o yuanes para hacer frente a los pagos. Desde entonces, quienes invierten en divisas o en bonos denominados en ellas asumen un mayor riesgo de depreciación de las monedas frente a otros activos reales.</w:t>
      </w:r>
    </w:p>
    <w:p w:rsidR="002959D5" w:rsidRPr="00486252" w:rsidRDefault="002959D5" w:rsidP="002959D5">
      <w:pPr>
        <w:spacing w:line="240" w:lineRule="auto"/>
        <w:jc w:val="both"/>
        <w:rPr>
          <w:rFonts w:ascii="Times New Roman" w:hAnsi="Times New Roman" w:cs="Times New Roman"/>
          <w:sz w:val="24"/>
          <w:szCs w:val="24"/>
          <w:u w:val="single"/>
        </w:rPr>
      </w:pPr>
      <w:r w:rsidRPr="00486252">
        <w:rPr>
          <w:rFonts w:ascii="Times New Roman" w:hAnsi="Times New Roman" w:cs="Times New Roman"/>
          <w:sz w:val="24"/>
          <w:szCs w:val="24"/>
          <w:u w:val="single"/>
        </w:rPr>
        <w:t>Medio siglo después, lejos de arrepentirnos de aquella decisión, seguimos innovando para incrementar la oferta monetaria. Los pilares que sostenían el primer sistema fiduciario están por los suelos y todavía no ha pasado nada grave. Repasemos las principal</w:t>
      </w:r>
      <w:r>
        <w:rPr>
          <w:rFonts w:ascii="Times New Roman" w:hAnsi="Times New Roman" w:cs="Times New Roman"/>
          <w:sz w:val="24"/>
          <w:szCs w:val="24"/>
          <w:u w:val="single"/>
        </w:rPr>
        <w:t>es características del sistema “</w:t>
      </w:r>
      <w:r w:rsidRPr="00486252">
        <w:rPr>
          <w:rFonts w:ascii="Times New Roman" w:hAnsi="Times New Roman" w:cs="Times New Roman"/>
          <w:sz w:val="24"/>
          <w:szCs w:val="24"/>
          <w:u w:val="single"/>
        </w:rPr>
        <w:t>fi</w:t>
      </w:r>
      <w:r>
        <w:rPr>
          <w:rFonts w:ascii="Times New Roman" w:hAnsi="Times New Roman" w:cs="Times New Roman"/>
          <w:sz w:val="24"/>
          <w:szCs w:val="24"/>
          <w:u w:val="single"/>
        </w:rPr>
        <w:t>at”</w:t>
      </w:r>
      <w:r w:rsidRPr="00486252">
        <w:rPr>
          <w:rFonts w:ascii="Times New Roman" w:hAnsi="Times New Roman" w:cs="Times New Roman"/>
          <w:sz w:val="24"/>
          <w:szCs w:val="24"/>
          <w:u w:val="single"/>
        </w:rPr>
        <w:t xml:space="preserve"> actual: </w:t>
      </w:r>
    </w:p>
    <w:p w:rsidR="002959D5" w:rsidRPr="00486252" w:rsidRDefault="002959D5" w:rsidP="002959D5">
      <w:pPr>
        <w:spacing w:line="240" w:lineRule="auto"/>
        <w:jc w:val="both"/>
        <w:rPr>
          <w:rFonts w:ascii="Times New Roman" w:hAnsi="Times New Roman" w:cs="Times New Roman"/>
          <w:color w:val="FF0000"/>
          <w:sz w:val="24"/>
          <w:szCs w:val="24"/>
        </w:rPr>
      </w:pPr>
      <w:r w:rsidRPr="00486252">
        <w:rPr>
          <w:rFonts w:ascii="Times New Roman" w:hAnsi="Times New Roman" w:cs="Times New Roman"/>
          <w:color w:val="FF0000"/>
          <w:sz w:val="24"/>
          <w:szCs w:val="24"/>
        </w:rPr>
        <w:t>1.º) Los bancos centrales ahora financian directamente los presupuestos públicos y se han convertido en los principales inversores de deuda pública. En otras palabras, hacen lo que dijeron que nunca harían.</w:t>
      </w:r>
    </w:p>
    <w:p w:rsidR="002959D5" w:rsidRPr="00486252" w:rsidRDefault="002959D5" w:rsidP="002959D5">
      <w:pPr>
        <w:spacing w:line="240" w:lineRule="auto"/>
        <w:jc w:val="both"/>
        <w:rPr>
          <w:rFonts w:ascii="Times New Roman" w:hAnsi="Times New Roman" w:cs="Times New Roman"/>
          <w:color w:val="FF0000"/>
          <w:sz w:val="24"/>
          <w:szCs w:val="24"/>
        </w:rPr>
      </w:pPr>
      <w:r w:rsidRPr="00486252">
        <w:rPr>
          <w:rFonts w:ascii="Times New Roman" w:hAnsi="Times New Roman" w:cs="Times New Roman"/>
          <w:color w:val="FF0000"/>
          <w:sz w:val="24"/>
          <w:szCs w:val="24"/>
        </w:rPr>
        <w:t xml:space="preserve"> 2.º) La autoridad monetaria ya no controla únicamente los tipos a corto plazo. A través de sus operaciones de compra de bonos, ahora decide cuál es el tipo de interés a largo plazo al que se financian Estados y muchos emisores privados. Esto lo ha conseguido desplazando a los inversores privados. Ha pasado de ser prestamista último para convertirse en prestamista único. </w:t>
      </w:r>
    </w:p>
    <w:p w:rsidR="002959D5" w:rsidRPr="00486252" w:rsidRDefault="002959D5" w:rsidP="002959D5">
      <w:pPr>
        <w:spacing w:line="240" w:lineRule="auto"/>
        <w:jc w:val="both"/>
        <w:rPr>
          <w:rFonts w:ascii="Times New Roman" w:hAnsi="Times New Roman" w:cs="Times New Roman"/>
          <w:color w:val="FF0000"/>
          <w:sz w:val="24"/>
          <w:szCs w:val="24"/>
        </w:rPr>
      </w:pPr>
      <w:r w:rsidRPr="00486252">
        <w:rPr>
          <w:rFonts w:ascii="Times New Roman" w:hAnsi="Times New Roman" w:cs="Times New Roman"/>
          <w:color w:val="FF0000"/>
          <w:sz w:val="24"/>
          <w:szCs w:val="24"/>
        </w:rPr>
        <w:lastRenderedPageBreak/>
        <w:t>3.º) Los bancos centrales ofrecen subvenciones directas al sector privado. Un ejemplo son las operaciones de financiación a plazo más largo con objetivo específico (TLTRO) que ofrece el BCE a los bancos. Les da financiación al -1% anual a tres años para que presten a empresas y consumidores. Es decir, les presta sin intereses a tres años y les regala un tres por ciento, que no tienen que devolver.</w:t>
      </w:r>
    </w:p>
    <w:p w:rsidR="002959D5" w:rsidRPr="00486252" w:rsidRDefault="002959D5" w:rsidP="002959D5">
      <w:pPr>
        <w:spacing w:line="240" w:lineRule="auto"/>
        <w:jc w:val="both"/>
        <w:rPr>
          <w:rFonts w:ascii="Times New Roman" w:hAnsi="Times New Roman" w:cs="Times New Roman"/>
          <w:color w:val="FF0000"/>
          <w:sz w:val="24"/>
          <w:szCs w:val="24"/>
        </w:rPr>
      </w:pPr>
      <w:r w:rsidRPr="00486252">
        <w:rPr>
          <w:rFonts w:ascii="Times New Roman" w:hAnsi="Times New Roman" w:cs="Times New Roman"/>
          <w:color w:val="FF0000"/>
          <w:sz w:val="24"/>
          <w:szCs w:val="24"/>
        </w:rPr>
        <w:t xml:space="preserve">4.º) La refinanciación como único medio de pago. Tal es el volumen de deuda acumulada, que la inmensa mayoría de los Estados y de las grandes empresas no pueden pagar las deudas cuando vencen sus emisiones con sus ingresos ordinarios. Para hacer frente al pago de la deuda deben refinanciarla o vender activos a otros agentes económicos. Esto es especialmente relevante para los presupuestos públicos: no necesitan que se condone la deuda porque se puede renovar indefinidamente a tipo cero y no se minora la cantidad disponible para el gasto público. </w:t>
      </w:r>
    </w:p>
    <w:p w:rsidR="002959D5" w:rsidRPr="00486252" w:rsidRDefault="002959D5" w:rsidP="002959D5">
      <w:pPr>
        <w:spacing w:line="240" w:lineRule="auto"/>
        <w:jc w:val="both"/>
        <w:rPr>
          <w:rFonts w:ascii="Times New Roman" w:hAnsi="Times New Roman" w:cs="Times New Roman"/>
          <w:color w:val="FF0000"/>
          <w:sz w:val="24"/>
          <w:szCs w:val="24"/>
        </w:rPr>
      </w:pPr>
      <w:r w:rsidRPr="00486252">
        <w:rPr>
          <w:rFonts w:ascii="Times New Roman" w:hAnsi="Times New Roman" w:cs="Times New Roman"/>
          <w:color w:val="FF0000"/>
          <w:sz w:val="24"/>
          <w:szCs w:val="24"/>
        </w:rPr>
        <w:t>5.º) Si la economía se ralentiza, se crea más dinero para impulsarla. Los mercados han aprendido cómo reaccionan los bancos centrales. Saben que ante todo tipo de dificultades se aplica el mismo remedio: más oferta monetaria. En conclusión, el sistema fiduciario actual es muy diferente al de finales del siglo pasado. Hemos descubierto la fuente de la eterna riqueza, un modelo monetario que parece no tener límites. Todo esto se sostiene mientras sigamos confia</w:t>
      </w:r>
      <w:r w:rsidR="009F5141">
        <w:rPr>
          <w:rFonts w:ascii="Times New Roman" w:hAnsi="Times New Roman" w:cs="Times New Roman"/>
          <w:color w:val="FF0000"/>
          <w:sz w:val="24"/>
          <w:szCs w:val="24"/>
        </w:rPr>
        <w:t>ndo en el valor de las divisas “fiat”</w:t>
      </w:r>
      <w:r w:rsidRPr="00486252">
        <w:rPr>
          <w:rFonts w:ascii="Times New Roman" w:hAnsi="Times New Roman" w:cs="Times New Roman"/>
          <w:color w:val="FF0000"/>
          <w:sz w:val="24"/>
          <w:szCs w:val="24"/>
        </w:rPr>
        <w:t xml:space="preserve">, esos papeles que imprimen los bancos centrales. </w:t>
      </w:r>
    </w:p>
    <w:p w:rsidR="002959D5" w:rsidRDefault="002959D5" w:rsidP="002959D5">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E8463E">
        <w:rPr>
          <w:rFonts w:ascii="Times New Roman" w:hAnsi="Times New Roman" w:cs="Times New Roman"/>
          <w:sz w:val="24"/>
          <w:szCs w:val="24"/>
        </w:rPr>
        <w:t>Juan Gómez Bada es director de Inversiones de Avantage Ca</w:t>
      </w:r>
      <w:r>
        <w:rPr>
          <w:rFonts w:ascii="Times New Roman" w:hAnsi="Times New Roman" w:cs="Times New Roman"/>
          <w:sz w:val="24"/>
          <w:szCs w:val="24"/>
        </w:rPr>
        <w:t>pital y asesor de Avantage Fund)</w:t>
      </w:r>
    </w:p>
    <w:p w:rsidR="002959D5" w:rsidRPr="00D42BEC" w:rsidRDefault="002959D5" w:rsidP="002959D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D42BEC">
        <w:rPr>
          <w:rFonts w:ascii="Times New Roman" w:hAnsi="Times New Roman" w:cs="Times New Roman"/>
          <w:sz w:val="24"/>
          <w:szCs w:val="24"/>
        </w:rPr>
        <w:t>¿</w:t>
      </w:r>
      <w:r w:rsidRPr="00D42BEC">
        <w:rPr>
          <w:rFonts w:ascii="Times New Roman" w:hAnsi="Times New Roman" w:cs="Times New Roman"/>
          <w:sz w:val="24"/>
          <w:szCs w:val="24"/>
          <w:u w:val="single"/>
        </w:rPr>
        <w:t>Las viejas falacias nunca mueren</w:t>
      </w:r>
      <w:r w:rsidRPr="00D42BEC">
        <w:rPr>
          <w:rFonts w:ascii="Times New Roman" w:hAnsi="Times New Roman" w:cs="Times New Roman"/>
          <w:sz w:val="24"/>
          <w:szCs w:val="24"/>
        </w:rPr>
        <w:t>?</w:t>
      </w:r>
      <w:r>
        <w:rPr>
          <w:rFonts w:ascii="Times New Roman" w:hAnsi="Times New Roman" w:cs="Times New Roman"/>
          <w:sz w:val="24"/>
          <w:szCs w:val="24"/>
        </w:rPr>
        <w:t xml:space="preserve"> (Cinco Días - </w:t>
      </w:r>
      <w:r w:rsidRPr="00D42BEC">
        <w:rPr>
          <w:rFonts w:ascii="Times New Roman" w:hAnsi="Times New Roman" w:cs="Times New Roman"/>
          <w:b/>
          <w:sz w:val="24"/>
          <w:szCs w:val="24"/>
        </w:rPr>
        <w:t>26/8/22</w:t>
      </w:r>
      <w:r>
        <w:rPr>
          <w:rFonts w:ascii="Times New Roman" w:hAnsi="Times New Roman" w:cs="Times New Roman"/>
          <w:sz w:val="24"/>
          <w:szCs w:val="24"/>
        </w:rPr>
        <w:t>)</w:t>
      </w:r>
    </w:p>
    <w:p w:rsidR="002959D5" w:rsidRPr="008252FE" w:rsidRDefault="002959D5" w:rsidP="002959D5">
      <w:pPr>
        <w:spacing w:line="240" w:lineRule="auto"/>
        <w:jc w:val="both"/>
        <w:rPr>
          <w:rFonts w:ascii="Times New Roman" w:hAnsi="Times New Roman" w:cs="Times New Roman"/>
          <w:color w:val="FF0000"/>
          <w:sz w:val="24"/>
          <w:szCs w:val="24"/>
        </w:rPr>
      </w:pPr>
      <w:r w:rsidRPr="008252FE">
        <w:rPr>
          <w:rFonts w:ascii="Times New Roman" w:hAnsi="Times New Roman" w:cs="Times New Roman"/>
          <w:color w:val="FF0000"/>
          <w:sz w:val="24"/>
          <w:szCs w:val="24"/>
        </w:rPr>
        <w:t>El BCE debe subir los tipos hasta el 6% para combatir la inflación con eficacia</w:t>
      </w:r>
    </w:p>
    <w:p w:rsidR="002959D5" w:rsidRPr="00D42BEC" w:rsidRDefault="002959D5" w:rsidP="002959D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D42BEC">
        <w:rPr>
          <w:rFonts w:ascii="Times New Roman" w:hAnsi="Times New Roman" w:cs="Times New Roman"/>
          <w:sz w:val="24"/>
          <w:szCs w:val="24"/>
        </w:rPr>
        <w:t>Manuel Sanchis</w:t>
      </w:r>
      <w:r>
        <w:rPr>
          <w:rFonts w:ascii="Times New Roman" w:hAnsi="Times New Roman" w:cs="Times New Roman"/>
          <w:sz w:val="24"/>
          <w:szCs w:val="24"/>
        </w:rPr>
        <w:t>)</w:t>
      </w:r>
    </w:p>
    <w:p w:rsidR="002959D5" w:rsidRPr="008252FE" w:rsidRDefault="002959D5" w:rsidP="002959D5">
      <w:pPr>
        <w:spacing w:line="240" w:lineRule="auto"/>
        <w:jc w:val="both"/>
        <w:rPr>
          <w:rFonts w:ascii="Times New Roman" w:hAnsi="Times New Roman" w:cs="Times New Roman"/>
          <w:sz w:val="24"/>
          <w:szCs w:val="24"/>
          <w:u w:val="single"/>
        </w:rPr>
      </w:pPr>
      <w:r w:rsidRPr="008252FE">
        <w:rPr>
          <w:rFonts w:ascii="Times New Roman" w:hAnsi="Times New Roman" w:cs="Times New Roman"/>
          <w:color w:val="FF0000"/>
          <w:sz w:val="24"/>
          <w:szCs w:val="24"/>
          <w:u w:val="single"/>
        </w:rPr>
        <w:t>Hace pocas semanas, el premio Nobel de Economía Paul Krugman alertaba en el NYT sobre los peligros del sadomonetarismo. Con este término pretendía satanizar a quienes reclamasen políticas monetarias más severas, haciendo creer al lector distraído que estaba del lado bueno de la historia</w:t>
      </w:r>
      <w:r w:rsidRPr="00D42BEC">
        <w:rPr>
          <w:rFonts w:ascii="Times New Roman" w:hAnsi="Times New Roman" w:cs="Times New Roman"/>
          <w:sz w:val="24"/>
          <w:szCs w:val="24"/>
        </w:rPr>
        <w:t xml:space="preserve">. </w:t>
      </w:r>
      <w:r w:rsidRPr="008252FE">
        <w:rPr>
          <w:rFonts w:ascii="Times New Roman" w:hAnsi="Times New Roman" w:cs="Times New Roman"/>
          <w:sz w:val="24"/>
          <w:szCs w:val="24"/>
          <w:u w:val="single"/>
        </w:rPr>
        <w:t>Encuentro sorprendente que este brillante economista insinúe, con un argumento falaz, que estamos ante una discusión doctrinal</w:t>
      </w:r>
      <w:r w:rsidRPr="00D42BEC">
        <w:rPr>
          <w:rFonts w:ascii="Times New Roman" w:hAnsi="Times New Roman" w:cs="Times New Roman"/>
          <w:sz w:val="24"/>
          <w:szCs w:val="24"/>
        </w:rPr>
        <w:t xml:space="preserve">. Puestos a ser falaces, podríamos hablar de psicodelia neokeynesiana: excitación sensorial de aquellos economistas que manifiestan euforia y alucinaciones tras consumir buenas intenciones, cuyas consecuencias sufren los más vulnerables. </w:t>
      </w:r>
      <w:r w:rsidRPr="008252FE">
        <w:rPr>
          <w:rFonts w:ascii="Times New Roman" w:hAnsi="Times New Roman" w:cs="Times New Roman"/>
          <w:sz w:val="24"/>
          <w:szCs w:val="24"/>
          <w:u w:val="single"/>
        </w:rPr>
        <w:t>Orillar ese falso debate es la mejor forma de desactivar esa falacia, pues solo estamos discutiendo sobre la necesidad de que los bancos centrales dobleguen las expectativas de precios. Ese es su objetivo primordial, al que, por mandato, están obligados para alcanzar la estabilidad monetaria, lo que les exige mantener su credibilidad, reflejada en el rendimiento de los bonos a largo.</w:t>
      </w:r>
    </w:p>
    <w:p w:rsidR="002959D5" w:rsidRPr="008252FE" w:rsidRDefault="002959D5" w:rsidP="002959D5">
      <w:pPr>
        <w:spacing w:line="240" w:lineRule="auto"/>
        <w:jc w:val="both"/>
        <w:rPr>
          <w:rFonts w:ascii="Times New Roman" w:hAnsi="Times New Roman" w:cs="Times New Roman"/>
          <w:sz w:val="24"/>
          <w:szCs w:val="24"/>
          <w:u w:val="single"/>
        </w:rPr>
      </w:pPr>
      <w:r w:rsidRPr="008252FE">
        <w:rPr>
          <w:rFonts w:ascii="Times New Roman" w:hAnsi="Times New Roman" w:cs="Times New Roman"/>
          <w:sz w:val="24"/>
          <w:szCs w:val="24"/>
          <w:u w:val="single"/>
        </w:rPr>
        <w:t>La guerra ha agravado las expectativas de inflación, pero, no nos engañemos, la escasez de estos recursos son la causa de los aumentos de precios y la espoleta de la guerra, no su consecuencia</w:t>
      </w:r>
      <w:r w:rsidRPr="00D42BEC">
        <w:rPr>
          <w:rFonts w:ascii="Times New Roman" w:hAnsi="Times New Roman" w:cs="Times New Roman"/>
          <w:sz w:val="24"/>
          <w:szCs w:val="24"/>
        </w:rPr>
        <w:t xml:space="preserve">. Según Krugman, la Fed no sufre pérdidas de credibilidad, porque el tipo de equilibrio a cinco años hace unas semanas era del 2,74%, por lo que las expectativas de inflación no se consolidarían a corto, y por eso aconsejaba evitar el sadomonetarismo. </w:t>
      </w:r>
      <w:r w:rsidRPr="008252FE">
        <w:rPr>
          <w:rFonts w:ascii="Times New Roman" w:hAnsi="Times New Roman" w:cs="Times New Roman"/>
          <w:sz w:val="24"/>
          <w:szCs w:val="24"/>
          <w:u w:val="single"/>
        </w:rPr>
        <w:t>Quiz</w:t>
      </w:r>
      <w:r>
        <w:rPr>
          <w:rFonts w:ascii="Times New Roman" w:hAnsi="Times New Roman" w:cs="Times New Roman"/>
          <w:sz w:val="24"/>
          <w:szCs w:val="24"/>
          <w:u w:val="single"/>
        </w:rPr>
        <w:t>ás sea cierto para EE</w:t>
      </w:r>
      <w:r w:rsidRPr="008252FE">
        <w:rPr>
          <w:rFonts w:ascii="Times New Roman" w:hAnsi="Times New Roman" w:cs="Times New Roman"/>
          <w:sz w:val="24"/>
          <w:szCs w:val="24"/>
          <w:u w:val="single"/>
        </w:rPr>
        <w:t>UU, donde la economía está un año más avanzada en el ciclo que la europea,</w:t>
      </w:r>
      <w:r w:rsidRPr="00D42BEC">
        <w:rPr>
          <w:rFonts w:ascii="Times New Roman" w:hAnsi="Times New Roman" w:cs="Times New Roman"/>
          <w:sz w:val="24"/>
          <w:szCs w:val="24"/>
        </w:rPr>
        <w:t xml:space="preserve"> pero la cifra está huérfana de abrigo empírico, solo arropada por dos sondeos y la autoridad del Nobel. </w:t>
      </w:r>
      <w:r w:rsidRPr="008252FE">
        <w:rPr>
          <w:rFonts w:ascii="Times New Roman" w:hAnsi="Times New Roman" w:cs="Times New Roman"/>
          <w:sz w:val="24"/>
          <w:szCs w:val="24"/>
          <w:u w:val="single"/>
        </w:rPr>
        <w:t>En Europa, convendría contrastarla con una amplia gama de indicadores económicos y financieros.</w:t>
      </w:r>
    </w:p>
    <w:p w:rsidR="002959D5" w:rsidRPr="008252FE" w:rsidRDefault="002959D5" w:rsidP="002959D5">
      <w:pPr>
        <w:spacing w:line="240" w:lineRule="auto"/>
        <w:jc w:val="both"/>
        <w:rPr>
          <w:rFonts w:ascii="Times New Roman" w:hAnsi="Times New Roman" w:cs="Times New Roman"/>
          <w:color w:val="FF0000"/>
          <w:sz w:val="24"/>
          <w:szCs w:val="24"/>
          <w:u w:val="single"/>
        </w:rPr>
      </w:pPr>
      <w:r w:rsidRPr="008252FE">
        <w:rPr>
          <w:rFonts w:ascii="Times New Roman" w:hAnsi="Times New Roman" w:cs="Times New Roman"/>
          <w:color w:val="FF0000"/>
          <w:sz w:val="24"/>
          <w:szCs w:val="24"/>
          <w:u w:val="single"/>
        </w:rPr>
        <w:lastRenderedPageBreak/>
        <w:t>En primer lugar, la situación actual guarda semejanzas con la infesión (no estanflación, sino inflación y estancamiento) de 1970-73: aumentos de reservas monetarias mundiales, dislocación del patrón cambios-oro, crisis del petróleo, materias primas y alimentaria, episodios inflacionistas y elevada volatilidad en precios, tipos de interés, divisas, y rendimientos de la deuda. Los Gobiernos occidentales aplicaron planes de estabilización: políticas monetarias restrictivas, ajustaron rentas y contuvieron las expectativas de inflación. La volatilidad de precios, tipos de interés y divisas se redujo, a costa de una severa recesión.</w:t>
      </w:r>
    </w:p>
    <w:p w:rsidR="002959D5" w:rsidRPr="008252FE" w:rsidRDefault="002959D5" w:rsidP="002959D5">
      <w:pPr>
        <w:spacing w:line="240" w:lineRule="auto"/>
        <w:jc w:val="both"/>
        <w:rPr>
          <w:rFonts w:ascii="Times New Roman" w:hAnsi="Times New Roman" w:cs="Times New Roman"/>
          <w:color w:val="FF0000"/>
          <w:sz w:val="24"/>
          <w:szCs w:val="24"/>
          <w:u w:val="single"/>
        </w:rPr>
      </w:pPr>
      <w:r w:rsidRPr="008252FE">
        <w:rPr>
          <w:rFonts w:ascii="Times New Roman" w:hAnsi="Times New Roman" w:cs="Times New Roman"/>
          <w:color w:val="FF0000"/>
          <w:sz w:val="24"/>
          <w:szCs w:val="24"/>
          <w:u w:val="single"/>
        </w:rPr>
        <w:t>Hoy, como entonces, el episodio inflacionista antecede a la recesión que esperamos a finales de 2023. De diciembre de 2020 a diciembre de 2021, el precio de la energía importada en la eurozona aumentó más del doble, y los precios de electricidad, gas y otros combustibles subieron un 25%. También lo hicieron algunas materias primas, y, más recientemente, los alimentos. Para 2022, la Comisión Europea espera que los precios de la electricidad sean el doble que en 2021, y casi el doble los del petróleo. Además, la pendiente de la curva del crecimiento de los precios durante las crisis de 1979 y 2021 es muy similar (BIS, Annual Economic Report, 2022).</w:t>
      </w:r>
    </w:p>
    <w:p w:rsidR="002959D5" w:rsidRPr="00D42BEC" w:rsidRDefault="002959D5" w:rsidP="002959D5">
      <w:pPr>
        <w:spacing w:line="240" w:lineRule="auto"/>
        <w:jc w:val="both"/>
        <w:rPr>
          <w:rFonts w:ascii="Times New Roman" w:hAnsi="Times New Roman" w:cs="Times New Roman"/>
          <w:sz w:val="24"/>
          <w:szCs w:val="24"/>
        </w:rPr>
      </w:pPr>
      <w:r w:rsidRPr="008252FE">
        <w:rPr>
          <w:rFonts w:ascii="Times New Roman" w:hAnsi="Times New Roman" w:cs="Times New Roman"/>
          <w:color w:val="FF0000"/>
          <w:sz w:val="24"/>
          <w:szCs w:val="24"/>
          <w:u w:val="single"/>
        </w:rPr>
        <w:t>Segundo, la curva de rendimientos de los bonos del Tesoro refleja, para bonos con idéntica calidad de riesgo, los rendimientos esperados según su vencimiento. Dicha curva es relevante para la política monetaria porque las expectativas que tiene hoy el mercado sobre el nivel que alcanzarán en el futuro los tipos de interés a corto plazo están influidas por la inflación esperada. La pendiente de la curva indica la credibilidad de los bancos centrales: a mayor pendiente, mayores expectativas de inflación y menor credibilidad</w:t>
      </w:r>
      <w:r w:rsidRPr="00D42BEC">
        <w:rPr>
          <w:rFonts w:ascii="Times New Roman" w:hAnsi="Times New Roman" w:cs="Times New Roman"/>
          <w:sz w:val="24"/>
          <w:szCs w:val="24"/>
        </w:rPr>
        <w:t xml:space="preserve">. La curva de rendimientos del Tesoro americano, que era muy positiva a principios de año, se aplanó en junio, y luego se ha invertido desde principios de julio. Ahora está en -27,8 puntos básicos: 3,374% a 2 años, y 3,096% a 10 años (a 25 de agosto). Esta dinámica significa que la política </w:t>
      </w:r>
      <w:r>
        <w:rPr>
          <w:rFonts w:ascii="Times New Roman" w:hAnsi="Times New Roman" w:cs="Times New Roman"/>
          <w:sz w:val="24"/>
          <w:szCs w:val="24"/>
        </w:rPr>
        <w:t>monetaria de la Fed es creíble.</w:t>
      </w:r>
    </w:p>
    <w:p w:rsidR="002959D5" w:rsidRPr="00D42BEC" w:rsidRDefault="002959D5" w:rsidP="002959D5">
      <w:pPr>
        <w:spacing w:line="240" w:lineRule="auto"/>
        <w:jc w:val="both"/>
        <w:rPr>
          <w:rFonts w:ascii="Times New Roman" w:hAnsi="Times New Roman" w:cs="Times New Roman"/>
          <w:sz w:val="24"/>
          <w:szCs w:val="24"/>
        </w:rPr>
      </w:pPr>
      <w:r w:rsidRPr="00D42BEC">
        <w:rPr>
          <w:rFonts w:ascii="Times New Roman" w:hAnsi="Times New Roman" w:cs="Times New Roman"/>
          <w:sz w:val="24"/>
          <w:szCs w:val="24"/>
        </w:rPr>
        <w:t>La relevancia que tienen los movimientos de la pendiente de las curvas para la política monetaria depende de que las expectativas de mayor inflación sean debidas a la presión de costes, a tipos de interés a corto bajos que reflejen una política monetaria ultraexpansiva, o a ambas cosas a la vez. Esto último es lo que estuvo ocurriendo en Europa desde principios de año, donde los movimientos de la curva presentaban pendientes cada vez mayores, reflejo de una mayor preferencia po</w:t>
      </w:r>
      <w:r>
        <w:rPr>
          <w:rFonts w:ascii="Times New Roman" w:hAnsi="Times New Roman" w:cs="Times New Roman"/>
          <w:sz w:val="24"/>
          <w:szCs w:val="24"/>
        </w:rPr>
        <w:t>r los activos líquidos a corto.</w:t>
      </w:r>
    </w:p>
    <w:p w:rsidR="002959D5" w:rsidRPr="008252FE" w:rsidRDefault="002959D5" w:rsidP="002959D5">
      <w:pPr>
        <w:spacing w:line="240" w:lineRule="auto"/>
        <w:jc w:val="both"/>
        <w:rPr>
          <w:rFonts w:ascii="Times New Roman" w:hAnsi="Times New Roman" w:cs="Times New Roman"/>
          <w:sz w:val="24"/>
          <w:szCs w:val="24"/>
          <w:u w:val="single"/>
        </w:rPr>
      </w:pPr>
      <w:r w:rsidRPr="00D42BEC">
        <w:rPr>
          <w:rFonts w:ascii="Times New Roman" w:hAnsi="Times New Roman" w:cs="Times New Roman"/>
          <w:sz w:val="24"/>
          <w:szCs w:val="24"/>
        </w:rPr>
        <w:t xml:space="preserve">Sin embargo, en las últimas semanas, ya se han invertido en países como Reino Unido, Chequia, Suecia, Noruega, Hungría y Polonia. </w:t>
      </w:r>
      <w:r w:rsidRPr="008252FE">
        <w:rPr>
          <w:rFonts w:ascii="Times New Roman" w:hAnsi="Times New Roman" w:cs="Times New Roman"/>
          <w:sz w:val="24"/>
          <w:szCs w:val="24"/>
          <w:u w:val="single"/>
        </w:rPr>
        <w:t>¿Cuál será la magnitud de la subida de tipos del BCE el 8 de septiembre? Las curvas se irán invirtiendo a medida que los mercados monetarios y de deuda anticipen subidas sustanciales de tipos. En el último siglo, las curvas invertidas han anticipado recesiones en 12 meses, y aunque aún no estemos ahí, cabe esperar curvas invertidas pronto en los restantes países de la eurozona.</w:t>
      </w:r>
    </w:p>
    <w:p w:rsidR="002959D5" w:rsidRPr="008252FE" w:rsidRDefault="002959D5" w:rsidP="002959D5">
      <w:pPr>
        <w:spacing w:line="240" w:lineRule="auto"/>
        <w:jc w:val="both"/>
        <w:rPr>
          <w:rFonts w:ascii="Times New Roman" w:hAnsi="Times New Roman" w:cs="Times New Roman"/>
          <w:sz w:val="24"/>
          <w:szCs w:val="24"/>
          <w:u w:val="single"/>
        </w:rPr>
      </w:pPr>
      <w:r w:rsidRPr="008252FE">
        <w:rPr>
          <w:rFonts w:ascii="Times New Roman" w:hAnsi="Times New Roman" w:cs="Times New Roman"/>
          <w:color w:val="FF0000"/>
          <w:sz w:val="24"/>
          <w:szCs w:val="24"/>
          <w:u w:val="single"/>
        </w:rPr>
        <w:t>En tercer lugar, los tipos de interés reales a largo plazo ex ante denotan el carácter de la política monetaria, porque reflejan el coste real de tomar prestado</w:t>
      </w:r>
      <w:r w:rsidRPr="00D42BEC">
        <w:rPr>
          <w:rFonts w:ascii="Times New Roman" w:hAnsi="Times New Roman" w:cs="Times New Roman"/>
          <w:sz w:val="24"/>
          <w:szCs w:val="24"/>
        </w:rPr>
        <w:t xml:space="preserve">. En la eurozona, los bonos a 10 años han pasado de intereses nominales negativos en enero, hasta alcanzar un 1,442% (24 de agosto). Las previsiones del BCE sitúan la inflación para 2022 en el 6,8%, lo que arroja un tipo de interés real ex ante del -5,5%. Dado que, en condiciones y países normales, suelen estar en torno al +2%, </w:t>
      </w:r>
      <w:r w:rsidRPr="008252FE">
        <w:rPr>
          <w:rFonts w:ascii="Times New Roman" w:hAnsi="Times New Roman" w:cs="Times New Roman"/>
          <w:sz w:val="24"/>
          <w:szCs w:val="24"/>
          <w:u w:val="single"/>
        </w:rPr>
        <w:t>la política monetaria del BCE es hoy ultralaxa.</w:t>
      </w:r>
    </w:p>
    <w:p w:rsidR="002959D5" w:rsidRPr="00D42BEC" w:rsidRDefault="002959D5" w:rsidP="002959D5">
      <w:pPr>
        <w:spacing w:line="240" w:lineRule="auto"/>
        <w:jc w:val="both"/>
        <w:rPr>
          <w:rFonts w:ascii="Times New Roman" w:hAnsi="Times New Roman" w:cs="Times New Roman"/>
          <w:sz w:val="24"/>
          <w:szCs w:val="24"/>
        </w:rPr>
      </w:pPr>
      <w:r w:rsidRPr="008252FE">
        <w:rPr>
          <w:rFonts w:ascii="Times New Roman" w:hAnsi="Times New Roman" w:cs="Times New Roman"/>
          <w:color w:val="FF0000"/>
          <w:sz w:val="24"/>
          <w:szCs w:val="24"/>
          <w:u w:val="single"/>
        </w:rPr>
        <w:t>En cuarto lugar, los precios de otros activos alternativos al dinero y los bonos: acciones, divisas y activos reales de propiedad e inmobiliarios. El euro está casi en mínimos históricos frente al dólar</w:t>
      </w:r>
      <w:r w:rsidRPr="00D42BEC">
        <w:rPr>
          <w:rFonts w:ascii="Times New Roman" w:hAnsi="Times New Roman" w:cs="Times New Roman"/>
          <w:sz w:val="24"/>
          <w:szCs w:val="24"/>
        </w:rPr>
        <w:t xml:space="preserve">. Las Bolsas, a pesar de las elevaciones de tipos de la Fed y del BCE, </w:t>
      </w:r>
      <w:r w:rsidRPr="00D42BEC">
        <w:rPr>
          <w:rFonts w:ascii="Times New Roman" w:hAnsi="Times New Roman" w:cs="Times New Roman"/>
          <w:sz w:val="24"/>
          <w:szCs w:val="24"/>
        </w:rPr>
        <w:lastRenderedPageBreak/>
        <w:t>mantienen el tipo. Aunqu</w:t>
      </w:r>
      <w:r>
        <w:rPr>
          <w:rFonts w:ascii="Times New Roman" w:hAnsi="Times New Roman" w:cs="Times New Roman"/>
          <w:sz w:val="24"/>
          <w:szCs w:val="24"/>
        </w:rPr>
        <w:t>e el mercado inmobiliario de EE</w:t>
      </w:r>
      <w:r w:rsidRPr="00D42BEC">
        <w:rPr>
          <w:rFonts w:ascii="Times New Roman" w:hAnsi="Times New Roman" w:cs="Times New Roman"/>
          <w:sz w:val="24"/>
          <w:szCs w:val="24"/>
        </w:rPr>
        <w:t>UU está transitando rápidamente desde la exuberancia del año pasado a cierta flacidez, en Europa los precios de</w:t>
      </w:r>
      <w:r>
        <w:rPr>
          <w:rFonts w:ascii="Times New Roman" w:hAnsi="Times New Roman" w:cs="Times New Roman"/>
          <w:sz w:val="24"/>
          <w:szCs w:val="24"/>
        </w:rPr>
        <w:t>l inmobiliario siguen boyantes.</w:t>
      </w:r>
    </w:p>
    <w:p w:rsidR="002959D5" w:rsidRPr="00102EC3" w:rsidRDefault="002959D5" w:rsidP="002959D5">
      <w:pPr>
        <w:spacing w:line="240" w:lineRule="auto"/>
        <w:jc w:val="both"/>
        <w:rPr>
          <w:rFonts w:ascii="Times New Roman" w:hAnsi="Times New Roman" w:cs="Times New Roman"/>
          <w:b/>
          <w:color w:val="FF0000"/>
          <w:sz w:val="24"/>
          <w:szCs w:val="24"/>
          <w:u w:val="single"/>
        </w:rPr>
      </w:pPr>
      <w:r w:rsidRPr="008252FE">
        <w:rPr>
          <w:rFonts w:ascii="Times New Roman" w:hAnsi="Times New Roman" w:cs="Times New Roman"/>
          <w:color w:val="FF0000"/>
          <w:sz w:val="24"/>
          <w:szCs w:val="24"/>
          <w:u w:val="single"/>
        </w:rPr>
        <w:t>Nadie nos salvará de la inflación, salvo los bancos centrales. Pero sin planes de estabilización, ajustes de rentas, y con estímulos fiscales sin precedentes históricos, les va a resultar difícil estabilizar los precios: la política monetaria está sobrecargada</w:t>
      </w:r>
      <w:r w:rsidRPr="00D42BEC">
        <w:rPr>
          <w:rFonts w:ascii="Times New Roman" w:hAnsi="Times New Roman" w:cs="Times New Roman"/>
          <w:sz w:val="24"/>
          <w:szCs w:val="24"/>
        </w:rPr>
        <w:t xml:space="preserve">. En la reunión del consejo de gobierno de julio, el BCE instauró el Instrumento Protector de la Transmisión y subió sus tres tipos directores en 50 puntos base. Esta subida moderada ha permitido al BCE recuperar parte de su credibilidad, y señala su intención de terminar el año en el 3%. Aunque así fuese, no estaríamos ante una política monetaria neutral o restrictiva. </w:t>
      </w:r>
      <w:r w:rsidRPr="00102EC3">
        <w:rPr>
          <w:rFonts w:ascii="Times New Roman" w:hAnsi="Times New Roman" w:cs="Times New Roman"/>
          <w:b/>
          <w:color w:val="FF0000"/>
          <w:sz w:val="24"/>
          <w:szCs w:val="24"/>
          <w:u w:val="single"/>
        </w:rPr>
        <w:t>Sería necesario que el BCE elevase los tipos hasta el 5%-6% para que los tipos reales alcanzasen valores positivos y yugularan las expectativas de inflación, aun a costa de una recesión a finales de 2022, mayor de la actualmente prevista.</w:t>
      </w:r>
    </w:p>
    <w:p w:rsidR="002959D5" w:rsidRPr="00D42BEC" w:rsidRDefault="002959D5" w:rsidP="002959D5">
      <w:pPr>
        <w:spacing w:line="240" w:lineRule="auto"/>
        <w:jc w:val="both"/>
        <w:rPr>
          <w:rFonts w:ascii="Times New Roman" w:hAnsi="Times New Roman" w:cs="Times New Roman"/>
          <w:sz w:val="24"/>
          <w:szCs w:val="24"/>
        </w:rPr>
      </w:pPr>
      <w:r w:rsidRPr="00102EC3">
        <w:rPr>
          <w:rFonts w:ascii="Times New Roman" w:hAnsi="Times New Roman" w:cs="Times New Roman"/>
          <w:color w:val="FF0000"/>
          <w:sz w:val="24"/>
          <w:szCs w:val="24"/>
          <w:u w:val="single"/>
        </w:rPr>
        <w:t>Acertar sobre la persistencia de la inflación y una más que probable recesión dependerá de la duración y las consecuencias de la guerra, pero no subir los tipos tanto ni tan deprisa sería un grave error por parte del BCE, porque dañaría su credibilidad, debilitaría al euro y a los más desvalidos</w:t>
      </w:r>
      <w:r w:rsidRPr="00D42BEC">
        <w:rPr>
          <w:rFonts w:ascii="Times New Roman" w:hAnsi="Times New Roman" w:cs="Times New Roman"/>
          <w:sz w:val="24"/>
          <w:szCs w:val="24"/>
        </w:rPr>
        <w:t>. En España, la recesión llegará con los turrones: entramos el año con una inercia económica (carry-over) tan fuerte que, aunque alcancemos el 4% de crecimiento que prevé la Comisión, es muy probable que no crezcamos en el segundo semestre y entremos de lleno en la recesión.</w:t>
      </w:r>
    </w:p>
    <w:p w:rsidR="002959D5" w:rsidRDefault="002959D5" w:rsidP="002959D5">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D42BEC">
        <w:rPr>
          <w:rFonts w:ascii="Times New Roman" w:hAnsi="Times New Roman" w:cs="Times New Roman"/>
          <w:sz w:val="24"/>
          <w:szCs w:val="24"/>
        </w:rPr>
        <w:t>Manuel Sanchis i Marco es profesor titular de Economía Aplicada de la Universidad de Valencia, execonomista de la Comisión Europea, y miembro de España Cívica</w:t>
      </w:r>
      <w:r>
        <w:rPr>
          <w:rFonts w:ascii="Times New Roman" w:hAnsi="Times New Roman" w:cs="Times New Roman"/>
          <w:sz w:val="24"/>
          <w:szCs w:val="24"/>
        </w:rPr>
        <w:t>)</w:t>
      </w:r>
    </w:p>
    <w:p w:rsidR="002959D5" w:rsidRPr="007947DC" w:rsidRDefault="002959D5" w:rsidP="002959D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7947DC">
        <w:rPr>
          <w:rFonts w:ascii="Times New Roman" w:hAnsi="Times New Roman" w:cs="Times New Roman"/>
          <w:sz w:val="24"/>
          <w:szCs w:val="24"/>
          <w:u w:val="single"/>
        </w:rPr>
        <w:t>Powell apunta a tipos altos durante tiempo y desinfla la complacencia del mercado</w:t>
      </w:r>
      <w:r>
        <w:rPr>
          <w:rFonts w:ascii="Times New Roman" w:hAnsi="Times New Roman" w:cs="Times New Roman"/>
          <w:sz w:val="24"/>
          <w:szCs w:val="24"/>
        </w:rPr>
        <w:t xml:space="preserve"> (Cinco Días - </w:t>
      </w:r>
      <w:r w:rsidRPr="007947DC">
        <w:rPr>
          <w:rFonts w:ascii="Times New Roman" w:hAnsi="Times New Roman" w:cs="Times New Roman"/>
          <w:b/>
          <w:sz w:val="24"/>
          <w:szCs w:val="24"/>
        </w:rPr>
        <w:t>27/8/22</w:t>
      </w:r>
      <w:r>
        <w:rPr>
          <w:rFonts w:ascii="Times New Roman" w:hAnsi="Times New Roman" w:cs="Times New Roman"/>
          <w:sz w:val="24"/>
          <w:szCs w:val="24"/>
        </w:rPr>
        <w:t>)</w:t>
      </w:r>
    </w:p>
    <w:p w:rsidR="002959D5" w:rsidRPr="002959D5" w:rsidRDefault="002959D5" w:rsidP="002959D5">
      <w:pPr>
        <w:spacing w:line="240" w:lineRule="auto"/>
        <w:jc w:val="both"/>
        <w:rPr>
          <w:rFonts w:ascii="Times New Roman" w:hAnsi="Times New Roman" w:cs="Times New Roman"/>
          <w:color w:val="FF0000"/>
          <w:sz w:val="24"/>
          <w:szCs w:val="24"/>
        </w:rPr>
      </w:pPr>
      <w:r w:rsidRPr="002959D5">
        <w:rPr>
          <w:rFonts w:ascii="Times New Roman" w:hAnsi="Times New Roman" w:cs="Times New Roman"/>
          <w:color w:val="FF0000"/>
          <w:sz w:val="24"/>
          <w:szCs w:val="24"/>
        </w:rPr>
        <w:t>Advierte que la historia “desaconseja una relajación prematura de la política económica”</w:t>
      </w:r>
    </w:p>
    <w:p w:rsidR="002959D5" w:rsidRPr="002959D5" w:rsidRDefault="002959D5" w:rsidP="002959D5">
      <w:pPr>
        <w:spacing w:line="240" w:lineRule="auto"/>
        <w:jc w:val="both"/>
        <w:rPr>
          <w:rFonts w:ascii="Times New Roman" w:hAnsi="Times New Roman" w:cs="Times New Roman"/>
          <w:color w:val="FF0000"/>
          <w:sz w:val="24"/>
          <w:szCs w:val="24"/>
        </w:rPr>
      </w:pPr>
      <w:r w:rsidRPr="002959D5">
        <w:rPr>
          <w:rFonts w:ascii="Times New Roman" w:hAnsi="Times New Roman" w:cs="Times New Roman"/>
          <w:color w:val="FF0000"/>
          <w:sz w:val="24"/>
          <w:szCs w:val="24"/>
        </w:rPr>
        <w:t>Avanza que otro alza de tipos “inusualmente grande” podría ser apropiada en septiembre</w:t>
      </w:r>
    </w:p>
    <w:p w:rsidR="002959D5" w:rsidRPr="002959D5" w:rsidRDefault="002959D5" w:rsidP="002959D5">
      <w:pPr>
        <w:spacing w:line="240" w:lineRule="auto"/>
        <w:jc w:val="both"/>
        <w:rPr>
          <w:rFonts w:ascii="Times New Roman" w:hAnsi="Times New Roman" w:cs="Times New Roman"/>
          <w:color w:val="FF0000"/>
          <w:sz w:val="24"/>
          <w:szCs w:val="24"/>
          <w:u w:val="single"/>
        </w:rPr>
      </w:pPr>
      <w:r w:rsidRPr="002959D5">
        <w:rPr>
          <w:rFonts w:ascii="Times New Roman" w:hAnsi="Times New Roman" w:cs="Times New Roman"/>
          <w:color w:val="FF0000"/>
          <w:sz w:val="24"/>
          <w:szCs w:val="24"/>
          <w:u w:val="single"/>
        </w:rPr>
        <w:t>El presidente de la Reserva Federal Jerome Powell ha apuntado directamente contra la complacencia del mercado en su esperada intervención de hoy en el simposio de banqueros centrales de Jackson Hole. Después de semanas en que los inversores se habían hecho esperanzas en que la inflación en EEUU pudiera haber tocado techo, y diera así un respiro a la Fed en las alzas de tipos, Powell ha advertido que la historia demuestra que es peligroso aflojar el paso antes de tiempo y que devolver la estabilidad de precios a la economía llevará tiempo.</w:t>
      </w:r>
    </w:p>
    <w:p w:rsidR="002959D5" w:rsidRPr="007947DC" w:rsidRDefault="002959D5" w:rsidP="002959D5">
      <w:pPr>
        <w:spacing w:line="240" w:lineRule="auto"/>
        <w:jc w:val="both"/>
        <w:rPr>
          <w:rFonts w:ascii="Times New Roman" w:hAnsi="Times New Roman" w:cs="Times New Roman"/>
          <w:sz w:val="24"/>
          <w:szCs w:val="24"/>
        </w:rPr>
      </w:pPr>
      <w:r w:rsidRPr="007947DC">
        <w:rPr>
          <w:rFonts w:ascii="Times New Roman" w:hAnsi="Times New Roman" w:cs="Times New Roman"/>
          <w:sz w:val="24"/>
          <w:szCs w:val="24"/>
        </w:rPr>
        <w:t>Su mensaje ha ampliado de forma inmediata las caídas en las Bolsas y elevado la rentabilidad de los bonos, un movimiento al que también contribuye la posibilidad de que el BCE debata un alza de 75 puntos básicos en su reunión</w:t>
      </w:r>
      <w:r>
        <w:rPr>
          <w:rFonts w:ascii="Times New Roman" w:hAnsi="Times New Roman" w:cs="Times New Roman"/>
          <w:sz w:val="24"/>
          <w:szCs w:val="24"/>
        </w:rPr>
        <w:t xml:space="preserve"> d</w:t>
      </w:r>
      <w:r w:rsidRPr="007947DC">
        <w:rPr>
          <w:rFonts w:ascii="Times New Roman" w:hAnsi="Times New Roman" w:cs="Times New Roman"/>
          <w:sz w:val="24"/>
          <w:szCs w:val="24"/>
        </w:rPr>
        <w:t>e septiembre, como defienden varios miemb</w:t>
      </w:r>
      <w:r>
        <w:rPr>
          <w:rFonts w:ascii="Times New Roman" w:hAnsi="Times New Roman" w:cs="Times New Roman"/>
          <w:sz w:val="24"/>
          <w:szCs w:val="24"/>
        </w:rPr>
        <w:t>r</w:t>
      </w:r>
      <w:r w:rsidRPr="007947DC">
        <w:rPr>
          <w:rFonts w:ascii="Times New Roman" w:hAnsi="Times New Roman" w:cs="Times New Roman"/>
          <w:sz w:val="24"/>
          <w:szCs w:val="24"/>
        </w:rPr>
        <w:t>os del Consejo de Gobierno que cita a</w:t>
      </w:r>
      <w:r>
        <w:rPr>
          <w:rFonts w:ascii="Times New Roman" w:hAnsi="Times New Roman" w:cs="Times New Roman"/>
          <w:sz w:val="24"/>
          <w:szCs w:val="24"/>
        </w:rPr>
        <w:t xml:space="preserve"> </w:t>
      </w:r>
      <w:r w:rsidRPr="007947DC">
        <w:rPr>
          <w:rFonts w:ascii="Times New Roman" w:hAnsi="Times New Roman" w:cs="Times New Roman"/>
          <w:sz w:val="24"/>
          <w:szCs w:val="24"/>
        </w:rPr>
        <w:t>la agencia Reuters.</w:t>
      </w:r>
    </w:p>
    <w:p w:rsidR="002959D5" w:rsidRPr="007947DC" w:rsidRDefault="002959D5" w:rsidP="002959D5">
      <w:pPr>
        <w:spacing w:line="240" w:lineRule="auto"/>
        <w:jc w:val="both"/>
        <w:rPr>
          <w:rFonts w:ascii="Times New Roman" w:hAnsi="Times New Roman" w:cs="Times New Roman"/>
          <w:sz w:val="24"/>
          <w:szCs w:val="24"/>
        </w:rPr>
      </w:pPr>
      <w:r w:rsidRPr="007947DC">
        <w:rPr>
          <w:rFonts w:ascii="Times New Roman" w:hAnsi="Times New Roman" w:cs="Times New Roman"/>
          <w:sz w:val="24"/>
          <w:szCs w:val="24"/>
        </w:rPr>
        <w:t>En su dis</w:t>
      </w:r>
      <w:r>
        <w:rPr>
          <w:rFonts w:ascii="Times New Roman" w:hAnsi="Times New Roman" w:cs="Times New Roman"/>
          <w:sz w:val="24"/>
          <w:szCs w:val="24"/>
        </w:rPr>
        <w:t>curso, Powell ha asegurado que “</w:t>
      </w:r>
      <w:r w:rsidRPr="007947DC">
        <w:rPr>
          <w:rFonts w:ascii="Times New Roman" w:hAnsi="Times New Roman" w:cs="Times New Roman"/>
          <w:sz w:val="24"/>
          <w:szCs w:val="24"/>
        </w:rPr>
        <w:t>el restablecimiento de la estabilidad de precios requerirá probablemente el mantenimiento de una política restrictiva durante algún tiempo.</w:t>
      </w:r>
      <w:r>
        <w:rPr>
          <w:rFonts w:ascii="Times New Roman" w:hAnsi="Times New Roman" w:cs="Times New Roman"/>
          <w:sz w:val="24"/>
          <w:szCs w:val="24"/>
        </w:rPr>
        <w:t xml:space="preserve"> </w:t>
      </w:r>
      <w:r w:rsidRPr="007947DC">
        <w:rPr>
          <w:rFonts w:ascii="Times New Roman" w:hAnsi="Times New Roman" w:cs="Times New Roman"/>
          <w:sz w:val="24"/>
          <w:szCs w:val="24"/>
        </w:rPr>
        <w:t>Los antecedentes históricos desaconsejan una relajación prematura de la política económica”. El ritmo al que e</w:t>
      </w:r>
      <w:r>
        <w:rPr>
          <w:rFonts w:ascii="Times New Roman" w:hAnsi="Times New Roman" w:cs="Times New Roman"/>
          <w:sz w:val="24"/>
          <w:szCs w:val="24"/>
        </w:rPr>
        <w:t>stán subiendo los precios en EE</w:t>
      </w:r>
      <w:r w:rsidR="009F5141">
        <w:rPr>
          <w:rFonts w:ascii="Times New Roman" w:hAnsi="Times New Roman" w:cs="Times New Roman"/>
          <w:sz w:val="24"/>
          <w:szCs w:val="24"/>
        </w:rPr>
        <w:t>UU es el mayor en más de cuar</w:t>
      </w:r>
      <w:r w:rsidRPr="007947DC">
        <w:rPr>
          <w:rFonts w:ascii="Times New Roman" w:hAnsi="Times New Roman" w:cs="Times New Roman"/>
          <w:sz w:val="24"/>
          <w:szCs w:val="24"/>
        </w:rPr>
        <w:t>enta años, cuando el precio desbocado del petróleo acabo provocando intens</w:t>
      </w:r>
      <w:r>
        <w:rPr>
          <w:rFonts w:ascii="Times New Roman" w:hAnsi="Times New Roman" w:cs="Times New Roman"/>
          <w:sz w:val="24"/>
          <w:szCs w:val="24"/>
        </w:rPr>
        <w:t>as subidas de tipos de interés…</w:t>
      </w:r>
    </w:p>
    <w:p w:rsidR="002959D5" w:rsidRPr="002959D5" w:rsidRDefault="002959D5" w:rsidP="002959D5">
      <w:pPr>
        <w:spacing w:line="240" w:lineRule="auto"/>
        <w:jc w:val="both"/>
        <w:rPr>
          <w:rFonts w:ascii="Times New Roman" w:hAnsi="Times New Roman" w:cs="Times New Roman"/>
          <w:color w:val="FF0000"/>
          <w:sz w:val="24"/>
          <w:szCs w:val="24"/>
          <w:u w:val="single"/>
        </w:rPr>
      </w:pPr>
      <w:r w:rsidRPr="002959D5">
        <w:rPr>
          <w:rFonts w:ascii="Times New Roman" w:hAnsi="Times New Roman" w:cs="Times New Roman"/>
          <w:color w:val="FF0000"/>
          <w:sz w:val="24"/>
          <w:szCs w:val="24"/>
          <w:u w:val="single"/>
        </w:rPr>
        <w:lastRenderedPageBreak/>
        <w:t>No hay duda en todo caso de la firme voluntad de la Fed de seguir elevando los tipos de interés, incluso a pesar del riesgo de frenar en exceso la economía. En ese sentido, Powell ha señalado que “la economía continúa mostrando un fuerte impulso subyacente”. Pero también ha avisado del “dolor” que van a causar la inflación y las alzas de tipos en empresas y hogares. “Reducir la inflación probablemente requiera de periodo sostenido de crecimiento por debajo de la tendencia. Además, muy probablemente haya una relajación de las condiciones del mercado laboral. Aunque los tipos de interés más altos, el menor crecimiento y la relajación de las condiciones laborales rebajen la inflación, también infligirán algo de dolor a hogares y empresas”, ha subrayado el banquero central.</w:t>
      </w:r>
    </w:p>
    <w:p w:rsidR="002959D5" w:rsidRPr="00D8168A" w:rsidRDefault="002959D5" w:rsidP="002959D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C0590C">
        <w:rPr>
          <w:rFonts w:ascii="Times New Roman" w:hAnsi="Times New Roman" w:cs="Times New Roman"/>
          <w:sz w:val="24"/>
          <w:szCs w:val="24"/>
          <w:u w:val="single"/>
        </w:rPr>
        <w:t>Imprimir riqueza</w:t>
      </w:r>
      <w:r>
        <w:rPr>
          <w:rFonts w:ascii="Times New Roman" w:hAnsi="Times New Roman" w:cs="Times New Roman"/>
          <w:sz w:val="24"/>
          <w:szCs w:val="24"/>
        </w:rPr>
        <w:t xml:space="preserve"> (Vozpópuli - </w:t>
      </w:r>
      <w:r w:rsidRPr="00C0590C">
        <w:rPr>
          <w:rFonts w:ascii="Times New Roman" w:hAnsi="Times New Roman" w:cs="Times New Roman"/>
          <w:b/>
          <w:sz w:val="24"/>
          <w:szCs w:val="24"/>
        </w:rPr>
        <w:t>29/8/22</w:t>
      </w:r>
      <w:r>
        <w:rPr>
          <w:rFonts w:ascii="Times New Roman" w:hAnsi="Times New Roman" w:cs="Times New Roman"/>
          <w:sz w:val="24"/>
          <w:szCs w:val="24"/>
        </w:rPr>
        <w:t>)</w:t>
      </w:r>
    </w:p>
    <w:p w:rsidR="002959D5" w:rsidRPr="00146415" w:rsidRDefault="002959D5" w:rsidP="002959D5">
      <w:pPr>
        <w:spacing w:line="240" w:lineRule="auto"/>
        <w:jc w:val="both"/>
        <w:rPr>
          <w:rFonts w:ascii="Times New Roman" w:hAnsi="Times New Roman" w:cs="Times New Roman"/>
          <w:color w:val="FF0000"/>
          <w:sz w:val="24"/>
          <w:szCs w:val="24"/>
        </w:rPr>
      </w:pPr>
      <w:r w:rsidRPr="00146415">
        <w:rPr>
          <w:rFonts w:ascii="Times New Roman" w:hAnsi="Times New Roman" w:cs="Times New Roman"/>
          <w:color w:val="FF0000"/>
          <w:sz w:val="24"/>
          <w:szCs w:val="24"/>
        </w:rPr>
        <w:t>Si alguien les sigue contando el cuento de la maquinita, sospechen. Es posible que solo estudiara libros de economía de hace cuarenta años y no hayan vuelto a ellos</w:t>
      </w:r>
    </w:p>
    <w:p w:rsidR="002959D5" w:rsidRDefault="002959D5" w:rsidP="002959D5">
      <w:pPr>
        <w:spacing w:line="240" w:lineRule="auto"/>
        <w:jc w:val="both"/>
        <w:rPr>
          <w:rFonts w:ascii="Times New Roman" w:hAnsi="Times New Roman" w:cs="Times New Roman"/>
          <w:sz w:val="24"/>
          <w:szCs w:val="24"/>
        </w:rPr>
      </w:pPr>
      <w:r>
        <w:rPr>
          <w:rFonts w:ascii="Times New Roman" w:hAnsi="Times New Roman" w:cs="Times New Roman"/>
          <w:sz w:val="24"/>
          <w:szCs w:val="24"/>
        </w:rPr>
        <w:t>(Por Manuel Hidalgo)</w:t>
      </w:r>
    </w:p>
    <w:p w:rsidR="002959D5" w:rsidRPr="00D8168A" w:rsidRDefault="002959D5" w:rsidP="002959D5">
      <w:pPr>
        <w:spacing w:line="240" w:lineRule="auto"/>
        <w:jc w:val="both"/>
        <w:rPr>
          <w:rFonts w:ascii="Times New Roman" w:hAnsi="Times New Roman" w:cs="Times New Roman"/>
          <w:sz w:val="24"/>
          <w:szCs w:val="24"/>
        </w:rPr>
      </w:pPr>
      <w:r w:rsidRPr="00146415">
        <w:rPr>
          <w:rFonts w:ascii="Times New Roman" w:hAnsi="Times New Roman" w:cs="Times New Roman"/>
          <w:sz w:val="24"/>
          <w:szCs w:val="24"/>
          <w:u w:val="single"/>
        </w:rPr>
        <w:t>Habrán oído decir que la inflación que experimentamos es causada por la enorme cantidad de liquidez (impresión de dinero) que los bancos centrales han generado en estos últimos años, en particular desde el inicio de la pandemia</w:t>
      </w:r>
      <w:r w:rsidRPr="00D8168A">
        <w:rPr>
          <w:rFonts w:ascii="Times New Roman" w:hAnsi="Times New Roman" w:cs="Times New Roman"/>
          <w:sz w:val="24"/>
          <w:szCs w:val="24"/>
        </w:rPr>
        <w:t>. Este hecho justificaría, según los defensores de la idea, que la inflación que sufrimos sería permanente y no temporal porque necesariamente responde a una p</w:t>
      </w:r>
      <w:r>
        <w:rPr>
          <w:rFonts w:ascii="Times New Roman" w:hAnsi="Times New Roman" w:cs="Times New Roman"/>
          <w:sz w:val="24"/>
          <w:szCs w:val="24"/>
        </w:rPr>
        <w:t>érdida de valor de las monedas.</w:t>
      </w:r>
    </w:p>
    <w:p w:rsidR="002959D5" w:rsidRPr="00146415" w:rsidRDefault="002959D5" w:rsidP="002959D5">
      <w:pPr>
        <w:spacing w:line="240" w:lineRule="auto"/>
        <w:jc w:val="both"/>
        <w:rPr>
          <w:rFonts w:ascii="Times New Roman" w:hAnsi="Times New Roman" w:cs="Times New Roman"/>
          <w:sz w:val="24"/>
          <w:szCs w:val="24"/>
          <w:u w:val="single"/>
        </w:rPr>
      </w:pPr>
      <w:r w:rsidRPr="00146415">
        <w:rPr>
          <w:rFonts w:ascii="Times New Roman" w:hAnsi="Times New Roman" w:cs="Times New Roman"/>
          <w:sz w:val="24"/>
          <w:szCs w:val="24"/>
          <w:u w:val="single"/>
        </w:rPr>
        <w:t>Sin embargo, tal idea no puede estar más desacertada y por no pocos motivos. Para explicar este error voy a repasar varias razones tanto de carácter teórico</w:t>
      </w:r>
      <w:r w:rsidRPr="00D8168A">
        <w:rPr>
          <w:rFonts w:ascii="Times New Roman" w:hAnsi="Times New Roman" w:cs="Times New Roman"/>
          <w:sz w:val="24"/>
          <w:szCs w:val="24"/>
        </w:rPr>
        <w:t>, que cualqui</w:t>
      </w:r>
      <w:r>
        <w:rPr>
          <w:rFonts w:ascii="Times New Roman" w:hAnsi="Times New Roman" w:cs="Times New Roman"/>
          <w:sz w:val="24"/>
          <w:szCs w:val="24"/>
        </w:rPr>
        <w:t>er economista debería conocer -</w:t>
      </w:r>
      <w:r w:rsidRPr="00D8168A">
        <w:rPr>
          <w:rFonts w:ascii="Times New Roman" w:hAnsi="Times New Roman" w:cs="Times New Roman"/>
          <w:sz w:val="24"/>
          <w:szCs w:val="24"/>
        </w:rPr>
        <w:t xml:space="preserve">sorprendido que se olvide por algunos de los defensores de esta idea-, </w:t>
      </w:r>
      <w:r w:rsidRPr="00146415">
        <w:rPr>
          <w:rFonts w:ascii="Times New Roman" w:hAnsi="Times New Roman" w:cs="Times New Roman"/>
          <w:sz w:val="24"/>
          <w:szCs w:val="24"/>
          <w:u w:val="single"/>
        </w:rPr>
        <w:t>así como otras de carácter práctico, es decir, evaluando en los datos por qué tal suposición no encaja con la realidad que observamos.</w:t>
      </w:r>
    </w:p>
    <w:p w:rsidR="002959D5" w:rsidRPr="00146415" w:rsidRDefault="002959D5" w:rsidP="002959D5">
      <w:pPr>
        <w:spacing w:line="240" w:lineRule="auto"/>
        <w:jc w:val="both"/>
        <w:rPr>
          <w:rFonts w:ascii="Times New Roman" w:hAnsi="Times New Roman" w:cs="Times New Roman"/>
          <w:sz w:val="24"/>
          <w:szCs w:val="24"/>
          <w:u w:val="single"/>
        </w:rPr>
      </w:pPr>
      <w:r w:rsidRPr="00146415">
        <w:rPr>
          <w:rFonts w:ascii="Times New Roman" w:hAnsi="Times New Roman" w:cs="Times New Roman"/>
          <w:sz w:val="24"/>
          <w:szCs w:val="24"/>
          <w:u w:val="single"/>
        </w:rPr>
        <w:t>Lo primero que nos dirán los defensores de la maquinita de impresión es que, en los últimos años, los bancos centrales han creado una ingente cantidad de dinero para mantener a flote economías que, quizás, deberían haberse dejado caer. Para demostrarlo, nos ofrecerán un gráfico con la evolución del balance de la FED o del BCE. Sin embargo, veamos por qué esta supuesta prueba no muestra nada y por qué, por ello, la argumentación de la maquinita comienza a debilitarse.</w:t>
      </w:r>
    </w:p>
    <w:p w:rsidR="002959D5" w:rsidRPr="00146415" w:rsidRDefault="002959D5" w:rsidP="002959D5">
      <w:pPr>
        <w:spacing w:line="240" w:lineRule="auto"/>
        <w:jc w:val="both"/>
        <w:rPr>
          <w:rFonts w:ascii="Times New Roman" w:hAnsi="Times New Roman" w:cs="Times New Roman"/>
          <w:color w:val="FF0000"/>
          <w:sz w:val="24"/>
          <w:szCs w:val="24"/>
          <w:u w:val="single"/>
        </w:rPr>
      </w:pPr>
      <w:r w:rsidRPr="00146415">
        <w:rPr>
          <w:rFonts w:ascii="Times New Roman" w:hAnsi="Times New Roman" w:cs="Times New Roman"/>
          <w:sz w:val="24"/>
          <w:szCs w:val="24"/>
          <w:u w:val="single"/>
        </w:rPr>
        <w:t>Empecemos por lo básico: cuando se muestra el balance de los bancos centrales implícitamente se está confundiendo oferta monetaria con base monetaria. La última son las reservas que los bancos comerciales tienen en el banco central más el efectivo</w:t>
      </w:r>
      <w:r w:rsidRPr="00D8168A">
        <w:rPr>
          <w:rFonts w:ascii="Times New Roman" w:hAnsi="Times New Roman" w:cs="Times New Roman"/>
          <w:sz w:val="24"/>
          <w:szCs w:val="24"/>
        </w:rPr>
        <w:t xml:space="preserve">. </w:t>
      </w:r>
      <w:r w:rsidRPr="00146415">
        <w:rPr>
          <w:rFonts w:ascii="Times New Roman" w:hAnsi="Times New Roman" w:cs="Times New Roman"/>
          <w:sz w:val="24"/>
          <w:szCs w:val="24"/>
          <w:u w:val="single"/>
        </w:rPr>
        <w:t>Este es el dinero que crea el Banco y que ha aumentado de forma significativa (diría que hasta de forma exponencial). Pero que la base monetaria haya aumentado no implica que la oferta monetaria haya aumentado en el mismo ritmo, ni siquiera que lo haya hecho (medidas amplias de dinero como puede ser la M4, allí donde se ha calculado, así nos indica).</w:t>
      </w:r>
      <w:r w:rsidRPr="00D8168A">
        <w:rPr>
          <w:rFonts w:ascii="Times New Roman" w:hAnsi="Times New Roman" w:cs="Times New Roman"/>
          <w:sz w:val="24"/>
          <w:szCs w:val="24"/>
        </w:rPr>
        <w:t xml:space="preserve"> </w:t>
      </w:r>
      <w:r w:rsidRPr="00146415">
        <w:rPr>
          <w:rFonts w:ascii="Times New Roman" w:hAnsi="Times New Roman" w:cs="Times New Roman"/>
          <w:sz w:val="24"/>
          <w:szCs w:val="24"/>
          <w:u w:val="single"/>
        </w:rPr>
        <w:t>La oferta monetaria, concepto que no deja de ser muy ambiguo, es mucho más que la base monetaria y no le corresponde al banco central su creación, sino a los bancos comerciales y entidades financieras</w:t>
      </w:r>
      <w:r w:rsidRPr="00D8168A">
        <w:rPr>
          <w:rFonts w:ascii="Times New Roman" w:hAnsi="Times New Roman" w:cs="Times New Roman"/>
          <w:sz w:val="24"/>
          <w:szCs w:val="24"/>
        </w:rPr>
        <w:t xml:space="preserve">. Hasta las empresas no financieras con emisión de activos como bonos corporativos lo hacen. </w:t>
      </w:r>
      <w:r w:rsidRPr="00146415">
        <w:rPr>
          <w:rFonts w:ascii="Times New Roman" w:hAnsi="Times New Roman" w:cs="Times New Roman"/>
          <w:color w:val="FF0000"/>
          <w:sz w:val="24"/>
          <w:szCs w:val="24"/>
          <w:u w:val="single"/>
        </w:rPr>
        <w:t>Como muy bien explicó el Banco de Inglaterra en un celebrado trabajo, la oferta se crea principalmente en operaciones de crédito de todo tipo. El dinero es eminentemente comercial, descentralizado (ahora que se habla de esto), y donde la parte que corresponde a la llamada base monetaria es un porcentaje muy bajo. Tanto que es muy muy minoritario.</w:t>
      </w:r>
    </w:p>
    <w:p w:rsidR="002959D5" w:rsidRPr="00146415" w:rsidRDefault="002959D5" w:rsidP="002959D5">
      <w:pPr>
        <w:spacing w:line="240" w:lineRule="auto"/>
        <w:jc w:val="both"/>
        <w:rPr>
          <w:rFonts w:ascii="Times New Roman" w:hAnsi="Times New Roman" w:cs="Times New Roman"/>
          <w:color w:val="FF0000"/>
          <w:sz w:val="24"/>
          <w:szCs w:val="24"/>
          <w:u w:val="single"/>
        </w:rPr>
      </w:pPr>
      <w:r w:rsidRPr="00146415">
        <w:rPr>
          <w:rFonts w:ascii="Times New Roman" w:hAnsi="Times New Roman" w:cs="Times New Roman"/>
          <w:color w:val="FF0000"/>
          <w:sz w:val="24"/>
          <w:szCs w:val="24"/>
          <w:u w:val="single"/>
        </w:rPr>
        <w:lastRenderedPageBreak/>
        <w:t>Pero sigamos. Aun así es cierto que se ha elevado la cuantía del dinero creado por el banco central. Sin embargo, este mecanismo utilizado recientemente por los bancos centrales, a través de la QE, para apaciguar al sistema financiero y a las economías tras la Gran Recesión, lo que ha hecho es sustituir un medio de pago por otro</w:t>
      </w:r>
      <w:r w:rsidRPr="00D8168A">
        <w:rPr>
          <w:rFonts w:ascii="Times New Roman" w:hAnsi="Times New Roman" w:cs="Times New Roman"/>
          <w:sz w:val="24"/>
          <w:szCs w:val="24"/>
        </w:rPr>
        <w:t xml:space="preserve">. </w:t>
      </w:r>
      <w:r w:rsidRPr="00146415">
        <w:rPr>
          <w:rFonts w:ascii="Times New Roman" w:hAnsi="Times New Roman" w:cs="Times New Roman"/>
          <w:color w:val="FF0000"/>
          <w:sz w:val="24"/>
          <w:szCs w:val="24"/>
          <w:u w:val="single"/>
        </w:rPr>
        <w:t>Dicho de otra manera, la QE ha buscado cambiar la estructura de los activos financieros de los bancos comerciales de tal modo que permitiera una mejor transmisión de la política monetaria, pero no ampliando la oferta, sino cambiándola de perfil, de estruct</w:t>
      </w:r>
      <w:r>
        <w:rPr>
          <w:rFonts w:ascii="Times New Roman" w:hAnsi="Times New Roman" w:cs="Times New Roman"/>
          <w:color w:val="FF0000"/>
          <w:sz w:val="24"/>
          <w:szCs w:val="24"/>
          <w:u w:val="single"/>
        </w:rPr>
        <w:t>ura. Ha sustituido “dinero” por “dinero”</w:t>
      </w:r>
      <w:r w:rsidRPr="00146415">
        <w:rPr>
          <w:rFonts w:ascii="Times New Roman" w:hAnsi="Times New Roman" w:cs="Times New Roman"/>
          <w:color w:val="FF0000"/>
          <w:sz w:val="24"/>
          <w:szCs w:val="24"/>
          <w:u w:val="single"/>
        </w:rPr>
        <w:t>.</w:t>
      </w:r>
      <w:r w:rsidRPr="00146415">
        <w:rPr>
          <w:rFonts w:ascii="Times New Roman" w:hAnsi="Times New Roman" w:cs="Times New Roman"/>
          <w:color w:val="FF0000"/>
          <w:sz w:val="24"/>
          <w:szCs w:val="24"/>
        </w:rPr>
        <w:t xml:space="preserve"> </w:t>
      </w:r>
      <w:r w:rsidRPr="00D8168A">
        <w:rPr>
          <w:rFonts w:ascii="Times New Roman" w:hAnsi="Times New Roman" w:cs="Times New Roman"/>
          <w:sz w:val="24"/>
          <w:szCs w:val="24"/>
        </w:rPr>
        <w:t xml:space="preserve">Si quiere saber más, este hilo de Alfonso Peccatiello lo explica muy bien. </w:t>
      </w:r>
      <w:r w:rsidRPr="00146415">
        <w:rPr>
          <w:rFonts w:ascii="Times New Roman" w:hAnsi="Times New Roman" w:cs="Times New Roman"/>
          <w:color w:val="FF0000"/>
          <w:sz w:val="24"/>
          <w:szCs w:val="24"/>
          <w:u w:val="single"/>
        </w:rPr>
        <w:t xml:space="preserve">Más aún, las reservas creadas para sustituir activos financieros en los </w:t>
      </w:r>
      <w:r>
        <w:rPr>
          <w:rFonts w:ascii="Times New Roman" w:hAnsi="Times New Roman" w:cs="Times New Roman"/>
          <w:color w:val="FF0000"/>
          <w:sz w:val="24"/>
          <w:szCs w:val="24"/>
          <w:u w:val="single"/>
        </w:rPr>
        <w:t>balances comerciales no pueden “sacarse” más allá de las “</w:t>
      </w:r>
      <w:r w:rsidRPr="00146415">
        <w:rPr>
          <w:rFonts w:ascii="Times New Roman" w:hAnsi="Times New Roman" w:cs="Times New Roman"/>
          <w:color w:val="FF0000"/>
          <w:sz w:val="24"/>
          <w:szCs w:val="24"/>
          <w:u w:val="single"/>
        </w:rPr>
        <w:t>mazmorras</w:t>
      </w:r>
      <w:r>
        <w:rPr>
          <w:rFonts w:ascii="Times New Roman" w:hAnsi="Times New Roman" w:cs="Times New Roman"/>
          <w:color w:val="FF0000"/>
          <w:sz w:val="24"/>
          <w:szCs w:val="24"/>
          <w:u w:val="single"/>
        </w:rPr>
        <w:t>”</w:t>
      </w:r>
      <w:r w:rsidRPr="00146415">
        <w:rPr>
          <w:rFonts w:ascii="Times New Roman" w:hAnsi="Times New Roman" w:cs="Times New Roman"/>
          <w:color w:val="FF0000"/>
          <w:sz w:val="24"/>
          <w:szCs w:val="24"/>
          <w:u w:val="single"/>
        </w:rPr>
        <w:t xml:space="preserve"> de los bancos centrales. Su utilidad era la de impulsar el apetito financiero de un sistema que amenazó con colapsar. El objetivo era que la política monetaria, a pesar de tener que trabajar en una zona de tipos tan baja, tuviera capacidad de acción.</w:t>
      </w:r>
    </w:p>
    <w:p w:rsidR="002959D5" w:rsidRPr="00146415" w:rsidRDefault="002959D5" w:rsidP="002959D5">
      <w:pPr>
        <w:spacing w:line="240" w:lineRule="auto"/>
        <w:jc w:val="both"/>
        <w:rPr>
          <w:rFonts w:ascii="Times New Roman" w:hAnsi="Times New Roman" w:cs="Times New Roman"/>
          <w:color w:val="FF0000"/>
          <w:sz w:val="24"/>
          <w:szCs w:val="24"/>
          <w:u w:val="single"/>
        </w:rPr>
      </w:pPr>
      <w:r w:rsidRPr="00D8168A">
        <w:rPr>
          <w:rFonts w:ascii="Times New Roman" w:hAnsi="Times New Roman" w:cs="Times New Roman"/>
          <w:sz w:val="24"/>
          <w:szCs w:val="24"/>
        </w:rPr>
        <w:t>Más cosas. Una vez que ya sabemos que no</w:t>
      </w:r>
      <w:r>
        <w:rPr>
          <w:rFonts w:ascii="Times New Roman" w:hAnsi="Times New Roman" w:cs="Times New Roman"/>
          <w:sz w:val="24"/>
          <w:szCs w:val="24"/>
        </w:rPr>
        <w:t xml:space="preserve"> ha habido impresión de dinero “adicional”</w:t>
      </w:r>
      <w:r w:rsidRPr="00D8168A">
        <w:rPr>
          <w:rFonts w:ascii="Times New Roman" w:hAnsi="Times New Roman" w:cs="Times New Roman"/>
          <w:sz w:val="24"/>
          <w:szCs w:val="24"/>
        </w:rPr>
        <w:t xml:space="preserve"> como algunos creen, debemos entender cómo se instrumenta la política monetaria. Muchos siguen creyendo que esta política se sigue instrumentalizando del mismo modo que se hacía cuando el insigne Milton Friedman campaba por las televisiones explicando sus gráficas ideas. De eso hace ya casi cincuenta años. </w:t>
      </w:r>
      <w:r w:rsidRPr="00146415">
        <w:rPr>
          <w:rFonts w:ascii="Times New Roman" w:hAnsi="Times New Roman" w:cs="Times New Roman"/>
          <w:color w:val="FF0000"/>
          <w:sz w:val="24"/>
          <w:szCs w:val="24"/>
          <w:u w:val="single"/>
        </w:rPr>
        <w:t>La política monetaria ya no va de regular la cantidad de dinero</w:t>
      </w:r>
      <w:r w:rsidRPr="00D8168A">
        <w:rPr>
          <w:rFonts w:ascii="Times New Roman" w:hAnsi="Times New Roman" w:cs="Times New Roman"/>
          <w:sz w:val="24"/>
          <w:szCs w:val="24"/>
        </w:rPr>
        <w:t xml:space="preserve">. Si ha leído atentamente los párrafos anteriores entenderá por qué. Es como si un regulador de mercado de trigo quisiera controlar el precio del mismo gestionando una minoritaria porción de un total en circulación cuya evolución corresponde a decisiones de cientos o miles de agricultores que harán lo que crean conveniente. Es imposible. </w:t>
      </w:r>
      <w:r w:rsidRPr="00146415">
        <w:rPr>
          <w:rFonts w:ascii="Times New Roman" w:hAnsi="Times New Roman" w:cs="Times New Roman"/>
          <w:color w:val="FF0000"/>
          <w:sz w:val="24"/>
          <w:szCs w:val="24"/>
          <w:u w:val="single"/>
        </w:rPr>
        <w:t>Lo que lleva a cabo el banco central desde hace más de cuatro décadas es valerse de su posición y recursos para regular la liquidez del sistema a través de los tipos de interés. Influye en el precio y luego deja que los comerciales se ajusten.</w:t>
      </w:r>
      <w:r w:rsidRPr="00D8168A">
        <w:rPr>
          <w:rFonts w:ascii="Times New Roman" w:hAnsi="Times New Roman" w:cs="Times New Roman"/>
          <w:sz w:val="24"/>
          <w:szCs w:val="24"/>
        </w:rPr>
        <w:t xml:space="preserve"> </w:t>
      </w:r>
      <w:r w:rsidRPr="00146415">
        <w:rPr>
          <w:rFonts w:ascii="Times New Roman" w:hAnsi="Times New Roman" w:cs="Times New Roman"/>
          <w:color w:val="FF0000"/>
          <w:sz w:val="24"/>
          <w:szCs w:val="24"/>
          <w:u w:val="single"/>
        </w:rPr>
        <w:t>Así pues, no existe oferta monetaria técnicamente. No existe algo que se controle con ese nombre. Lo que existe es un sistema financiero que pide (demanda) más o menos en función del precio; en función del tipo de interés. Resumiendo, es un mercado con una demanda y un precio sin oferta definida.</w:t>
      </w:r>
    </w:p>
    <w:p w:rsidR="002959D5" w:rsidRPr="00D8168A" w:rsidRDefault="002959D5" w:rsidP="002959D5">
      <w:pPr>
        <w:spacing w:line="240" w:lineRule="auto"/>
        <w:jc w:val="both"/>
        <w:rPr>
          <w:rFonts w:ascii="Times New Roman" w:hAnsi="Times New Roman" w:cs="Times New Roman"/>
          <w:sz w:val="24"/>
          <w:szCs w:val="24"/>
        </w:rPr>
      </w:pPr>
      <w:r w:rsidRPr="00146415">
        <w:rPr>
          <w:rFonts w:ascii="Times New Roman" w:hAnsi="Times New Roman" w:cs="Times New Roman"/>
          <w:sz w:val="24"/>
          <w:szCs w:val="24"/>
          <w:u w:val="single"/>
        </w:rPr>
        <w:t>Estas son las razones teóricas</w:t>
      </w:r>
      <w:r w:rsidRPr="00D8168A">
        <w:rPr>
          <w:rFonts w:ascii="Times New Roman" w:hAnsi="Times New Roman" w:cs="Times New Roman"/>
          <w:sz w:val="24"/>
          <w:szCs w:val="24"/>
        </w:rPr>
        <w:t>. Si alguien les sigue contando el cuento de la maquinita, sospechen. Es posible que solo estudiara libros de economía de hace cuarenta años y no hayan vuelto a ellos.</w:t>
      </w:r>
    </w:p>
    <w:p w:rsidR="002959D5" w:rsidRPr="00146415" w:rsidRDefault="002959D5" w:rsidP="002959D5">
      <w:pPr>
        <w:spacing w:line="240" w:lineRule="auto"/>
        <w:jc w:val="both"/>
        <w:rPr>
          <w:rFonts w:ascii="Times New Roman" w:hAnsi="Times New Roman" w:cs="Times New Roman"/>
          <w:color w:val="FF0000"/>
          <w:sz w:val="24"/>
          <w:szCs w:val="24"/>
          <w:u w:val="single"/>
        </w:rPr>
      </w:pPr>
      <w:r w:rsidRPr="00146415">
        <w:rPr>
          <w:rFonts w:ascii="Times New Roman" w:hAnsi="Times New Roman" w:cs="Times New Roman"/>
          <w:sz w:val="24"/>
          <w:szCs w:val="24"/>
          <w:u w:val="single"/>
        </w:rPr>
        <w:t>Vayamos a la segunda parte</w:t>
      </w:r>
      <w:r w:rsidRPr="00D8168A">
        <w:rPr>
          <w:rFonts w:ascii="Times New Roman" w:hAnsi="Times New Roman" w:cs="Times New Roman"/>
          <w:sz w:val="24"/>
          <w:szCs w:val="24"/>
        </w:rPr>
        <w:t xml:space="preserve">. </w:t>
      </w:r>
      <w:r w:rsidRPr="00146415">
        <w:rPr>
          <w:rFonts w:ascii="Times New Roman" w:hAnsi="Times New Roman" w:cs="Times New Roman"/>
          <w:sz w:val="24"/>
          <w:szCs w:val="24"/>
          <w:u w:val="single"/>
        </w:rPr>
        <w:t>Si la actual inflación viniera justificada por un exceso de liquidez, tendría que explicar no sólo la subida de precios, sino la actual bajada, diría que desplome, de no pocos de ellos, algo que es muy contraintuitivo</w:t>
      </w:r>
      <w:r w:rsidRPr="00D8168A">
        <w:rPr>
          <w:rFonts w:ascii="Times New Roman" w:hAnsi="Times New Roman" w:cs="Times New Roman"/>
          <w:sz w:val="24"/>
          <w:szCs w:val="24"/>
        </w:rPr>
        <w:t xml:space="preserve">. </w:t>
      </w:r>
      <w:r w:rsidRPr="00146415">
        <w:rPr>
          <w:rFonts w:ascii="Times New Roman" w:hAnsi="Times New Roman" w:cs="Times New Roman"/>
          <w:color w:val="FF0000"/>
          <w:sz w:val="24"/>
          <w:szCs w:val="24"/>
          <w:u w:val="single"/>
        </w:rPr>
        <w:t>Sabemos que el único "gran" precio que mantiene su escalada es el gas en Europa (ni siquiera el que se negocia en otros rincones del mundo), y todos sabemos muy bien las razones. Si la liquidez no ha cambiado en meses, ¿por qué muchos precios se están dando la vuelta? ¿Por qué se están desplomando los precios de los fletes, del trigo o del aceite? ¿Por qué los precios que más han subido este año, para luego bajar casi todos, son los asociados y vinculados al comercio con Rusia? ¿Por qué en EEUU las expectativas de inflación parecen retornar a la media? ¿Por qué el dólar, moneda cuya base monetaria se ha expandido a niveles exponenciales se aprecia sobre un euro que lo ha hecho con mayor precaución? Hay muchas preguntas que una explicación tan sencilla y al parecer tan obvia no sería capaz de responder.</w:t>
      </w:r>
    </w:p>
    <w:p w:rsidR="002959D5" w:rsidRPr="00FF1F4D" w:rsidRDefault="002959D5" w:rsidP="002959D5">
      <w:pPr>
        <w:spacing w:line="240" w:lineRule="auto"/>
        <w:jc w:val="both"/>
        <w:rPr>
          <w:rFonts w:ascii="Times New Roman" w:hAnsi="Times New Roman" w:cs="Times New Roman"/>
          <w:color w:val="FF0000"/>
          <w:sz w:val="24"/>
          <w:szCs w:val="24"/>
          <w:u w:val="single"/>
        </w:rPr>
      </w:pPr>
      <w:r w:rsidRPr="00FF1F4D">
        <w:rPr>
          <w:rFonts w:ascii="Times New Roman" w:hAnsi="Times New Roman" w:cs="Times New Roman"/>
          <w:color w:val="FF0000"/>
          <w:sz w:val="24"/>
          <w:szCs w:val="24"/>
          <w:u w:val="single"/>
        </w:rPr>
        <w:t xml:space="preserve">En este punto hay también una enorme confusión entre política monetaria y fiscal, algo que no es extraño pues no es difícil mezclarlas. Lo que sí ha habido en los últimos dos años, muy especialmente en EEUU, ha sido un enorme impulso fiscal. Este impulso fiscal </w:t>
      </w:r>
      <w:r>
        <w:rPr>
          <w:rFonts w:ascii="Times New Roman" w:hAnsi="Times New Roman" w:cs="Times New Roman"/>
          <w:color w:val="FF0000"/>
          <w:sz w:val="24"/>
          <w:szCs w:val="24"/>
          <w:u w:val="single"/>
        </w:rPr>
        <w:t>sí ha podido ser inflacionario -</w:t>
      </w:r>
      <w:r w:rsidRPr="00FF1F4D">
        <w:rPr>
          <w:rFonts w:ascii="Times New Roman" w:hAnsi="Times New Roman" w:cs="Times New Roman"/>
          <w:color w:val="FF0000"/>
          <w:sz w:val="24"/>
          <w:szCs w:val="24"/>
          <w:u w:val="single"/>
        </w:rPr>
        <w:t xml:space="preserve">siempre se ha señalado-, creando una buena cantidad de nueva deuda. Aquí sí es posible achacar a la FED lentitud en su reacción, pero no tanto por crear liquidez sino </w:t>
      </w:r>
      <w:r w:rsidRPr="00FF1F4D">
        <w:rPr>
          <w:rFonts w:ascii="Times New Roman" w:hAnsi="Times New Roman" w:cs="Times New Roman"/>
          <w:color w:val="FF0000"/>
          <w:sz w:val="24"/>
          <w:szCs w:val="24"/>
          <w:u w:val="single"/>
        </w:rPr>
        <w:lastRenderedPageBreak/>
        <w:t>por no subir los tipos antes. Pero nos confundimos al pensar que esto es porque la política monetaria ha creado un exceso de dinero.</w:t>
      </w:r>
    </w:p>
    <w:p w:rsidR="002959D5" w:rsidRPr="00D8168A" w:rsidRDefault="002959D5" w:rsidP="002959D5">
      <w:pPr>
        <w:spacing w:line="240" w:lineRule="auto"/>
        <w:jc w:val="both"/>
        <w:rPr>
          <w:rFonts w:ascii="Times New Roman" w:hAnsi="Times New Roman" w:cs="Times New Roman"/>
          <w:sz w:val="24"/>
          <w:szCs w:val="24"/>
        </w:rPr>
      </w:pPr>
      <w:r w:rsidRPr="00D8168A">
        <w:rPr>
          <w:rFonts w:ascii="Times New Roman" w:hAnsi="Times New Roman" w:cs="Times New Roman"/>
          <w:sz w:val="24"/>
          <w:szCs w:val="24"/>
        </w:rPr>
        <w:t>La inflación parece haber tocado techo</w:t>
      </w:r>
    </w:p>
    <w:p w:rsidR="002959D5" w:rsidRPr="00FF1F4D" w:rsidRDefault="002959D5" w:rsidP="002959D5">
      <w:pPr>
        <w:spacing w:line="240" w:lineRule="auto"/>
        <w:jc w:val="both"/>
        <w:rPr>
          <w:rFonts w:ascii="Times New Roman" w:hAnsi="Times New Roman" w:cs="Times New Roman"/>
          <w:color w:val="FF0000"/>
          <w:sz w:val="24"/>
          <w:szCs w:val="24"/>
          <w:u w:val="single"/>
        </w:rPr>
      </w:pPr>
      <w:r w:rsidRPr="00FF1F4D">
        <w:rPr>
          <w:rFonts w:ascii="Times New Roman" w:hAnsi="Times New Roman" w:cs="Times New Roman"/>
          <w:color w:val="FF0000"/>
          <w:sz w:val="24"/>
          <w:szCs w:val="24"/>
          <w:u w:val="single"/>
        </w:rPr>
        <w:t>Dicho esto, habría que explicar por qué razón esta deuda sigue siendo aceptada y adquirida cuando su aumento responde a una política monetaria que muchos creen ha sido excesivamente laxa. ¿Por qué debería ser EEUU el país más inflacionario y sin embargo es el primero en mostrar que la inflación parece haber tocado techo? ¿Por qué, a pesar de la subida de tipos, los bonos estadounidenses siguen siendo muy demandados? Muchos dirán que es la moneda de reserva, de ahí el apetito. Así es, pero estarán mencionando la importancia de la demanda en la determinación del valor del dinero, algo que suelen olvidar constantemente los defensores de la maquinita.</w:t>
      </w:r>
    </w:p>
    <w:p w:rsidR="002959D5" w:rsidRDefault="002959D5" w:rsidP="002959D5">
      <w:pPr>
        <w:spacing w:line="240" w:lineRule="auto"/>
        <w:jc w:val="both"/>
        <w:rPr>
          <w:rFonts w:ascii="Times New Roman" w:hAnsi="Times New Roman" w:cs="Times New Roman"/>
          <w:b/>
          <w:color w:val="FF0000"/>
          <w:sz w:val="24"/>
          <w:szCs w:val="24"/>
          <w:u w:val="single"/>
        </w:rPr>
      </w:pPr>
      <w:r w:rsidRPr="00D8168A">
        <w:rPr>
          <w:rFonts w:ascii="Times New Roman" w:hAnsi="Times New Roman" w:cs="Times New Roman"/>
          <w:sz w:val="24"/>
          <w:szCs w:val="24"/>
        </w:rPr>
        <w:t xml:space="preserve">En definitiva, existen muchas cuestiones que una simple explicación basada en una máquina no puede responder. Y no lo hace porque dicha argumentación necesita de bancos centrales haciendo lo que hacían en tiempos pretéritos y no con lo que hacen ahora. </w:t>
      </w:r>
      <w:r w:rsidRPr="00FF1F4D">
        <w:rPr>
          <w:rFonts w:ascii="Times New Roman" w:hAnsi="Times New Roman" w:cs="Times New Roman"/>
          <w:b/>
          <w:color w:val="FF0000"/>
          <w:sz w:val="24"/>
          <w:szCs w:val="24"/>
          <w:u w:val="single"/>
        </w:rPr>
        <w:t>Si queremos explicar la inflación, hablemos de shocks de oferta, de políticas fiscales expansionistas y de posibles efectos de segunda ronda. Hablemos de expectativas y de indiciación. Hablemos de guerra y de energía. Seremos más honestos y capaces de explicar la realidad de hoy, no la de hace cincuenta años.</w:t>
      </w:r>
    </w:p>
    <w:p w:rsidR="002959D5" w:rsidRDefault="002959D5" w:rsidP="002959D5">
      <w:pPr>
        <w:spacing w:line="240" w:lineRule="auto"/>
        <w:jc w:val="both"/>
        <w:rPr>
          <w:rFonts w:ascii="Times New Roman" w:hAnsi="Times New Roman" w:cs="Times New Roman"/>
          <w:b/>
          <w:color w:val="FF0000"/>
          <w:sz w:val="24"/>
          <w:szCs w:val="24"/>
          <w:u w:val="single"/>
        </w:rPr>
      </w:pPr>
      <w:r>
        <w:rPr>
          <w:noProof/>
          <w:lang w:eastAsia="es-ES"/>
        </w:rPr>
        <w:drawing>
          <wp:inline distT="0" distB="0" distL="0" distR="0" wp14:anchorId="1F69475D" wp14:editId="24E37D1A">
            <wp:extent cx="5731510" cy="3087370"/>
            <wp:effectExtent l="0" t="0" r="2540" b="0"/>
            <wp:docPr id="56" name="Imagen 56" descr="Eu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uro"/>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731510" cy="3087370"/>
                    </a:xfrm>
                    <a:prstGeom prst="rect">
                      <a:avLst/>
                    </a:prstGeom>
                    <a:noFill/>
                    <a:ln>
                      <a:noFill/>
                    </a:ln>
                  </pic:spPr>
                </pic:pic>
              </a:graphicData>
            </a:graphic>
          </wp:inline>
        </w:drawing>
      </w:r>
    </w:p>
    <w:p w:rsidR="002959D5" w:rsidRPr="009E2223" w:rsidRDefault="002959D5" w:rsidP="002959D5">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9E2223">
        <w:rPr>
          <w:rFonts w:ascii="Times New Roman" w:hAnsi="Times New Roman" w:cs="Times New Roman"/>
          <w:sz w:val="24"/>
          <w:szCs w:val="24"/>
          <w:u w:val="single"/>
        </w:rPr>
        <w:t>El euro seguirá valiendo menos que el dólar durante casi todo 2023</w:t>
      </w:r>
      <w:r>
        <w:rPr>
          <w:rFonts w:ascii="Times New Roman" w:hAnsi="Times New Roman" w:cs="Times New Roman"/>
          <w:sz w:val="24"/>
          <w:szCs w:val="24"/>
        </w:rPr>
        <w:t xml:space="preserve"> (Cinco Días - </w:t>
      </w:r>
      <w:r w:rsidRPr="009E2223">
        <w:rPr>
          <w:rFonts w:ascii="Times New Roman" w:hAnsi="Times New Roman" w:cs="Times New Roman"/>
          <w:b/>
          <w:sz w:val="24"/>
          <w:szCs w:val="24"/>
        </w:rPr>
        <w:t>28/9/22</w:t>
      </w:r>
      <w:r>
        <w:rPr>
          <w:rFonts w:ascii="Times New Roman" w:hAnsi="Times New Roman" w:cs="Times New Roman"/>
          <w:sz w:val="24"/>
          <w:szCs w:val="24"/>
        </w:rPr>
        <w:t>)</w:t>
      </w:r>
    </w:p>
    <w:p w:rsidR="002959D5" w:rsidRDefault="002959D5" w:rsidP="002959D5">
      <w:pPr>
        <w:autoSpaceDE w:val="0"/>
        <w:autoSpaceDN w:val="0"/>
        <w:adjustRightInd w:val="0"/>
        <w:spacing w:after="0" w:line="240" w:lineRule="auto"/>
        <w:jc w:val="both"/>
        <w:rPr>
          <w:rFonts w:ascii="Times New Roman" w:hAnsi="Times New Roman" w:cs="Times New Roman"/>
          <w:sz w:val="24"/>
          <w:szCs w:val="24"/>
        </w:rPr>
      </w:pPr>
    </w:p>
    <w:p w:rsidR="002959D5" w:rsidRPr="009E2223" w:rsidRDefault="002959D5" w:rsidP="002959D5">
      <w:pPr>
        <w:autoSpaceDE w:val="0"/>
        <w:autoSpaceDN w:val="0"/>
        <w:adjustRightInd w:val="0"/>
        <w:spacing w:after="0" w:line="240" w:lineRule="auto"/>
        <w:jc w:val="both"/>
        <w:rPr>
          <w:rFonts w:ascii="Times New Roman" w:hAnsi="Times New Roman" w:cs="Times New Roman"/>
          <w:sz w:val="24"/>
          <w:szCs w:val="24"/>
        </w:rPr>
      </w:pPr>
      <w:r w:rsidRPr="009E2223">
        <w:rPr>
          <w:rFonts w:ascii="Times New Roman" w:hAnsi="Times New Roman" w:cs="Times New Roman"/>
          <w:sz w:val="24"/>
          <w:szCs w:val="24"/>
        </w:rPr>
        <w:t>Los tipos más altos y la incertidumbre económ</w:t>
      </w:r>
      <w:r w:rsidR="009F5141">
        <w:rPr>
          <w:rFonts w:ascii="Times New Roman" w:hAnsi="Times New Roman" w:cs="Times New Roman"/>
          <w:sz w:val="24"/>
          <w:szCs w:val="24"/>
        </w:rPr>
        <w:t>ica favorecen a la divisa de EE</w:t>
      </w:r>
      <w:r w:rsidRPr="009E2223">
        <w:rPr>
          <w:rFonts w:ascii="Times New Roman" w:hAnsi="Times New Roman" w:cs="Times New Roman"/>
          <w:sz w:val="24"/>
          <w:szCs w:val="24"/>
        </w:rPr>
        <w:t>UU</w:t>
      </w:r>
    </w:p>
    <w:p w:rsidR="002959D5" w:rsidRDefault="002959D5" w:rsidP="002959D5">
      <w:pPr>
        <w:autoSpaceDE w:val="0"/>
        <w:autoSpaceDN w:val="0"/>
        <w:adjustRightInd w:val="0"/>
        <w:spacing w:after="0" w:line="240" w:lineRule="auto"/>
        <w:jc w:val="both"/>
        <w:rPr>
          <w:rFonts w:ascii="Times New Roman" w:hAnsi="Times New Roman" w:cs="Times New Roman"/>
          <w:sz w:val="24"/>
          <w:szCs w:val="24"/>
        </w:rPr>
      </w:pPr>
    </w:p>
    <w:p w:rsidR="002959D5" w:rsidRDefault="002959D5" w:rsidP="002959D5">
      <w:pPr>
        <w:autoSpaceDE w:val="0"/>
        <w:autoSpaceDN w:val="0"/>
        <w:adjustRightInd w:val="0"/>
        <w:spacing w:after="0" w:line="240" w:lineRule="auto"/>
        <w:jc w:val="both"/>
        <w:rPr>
          <w:rFonts w:ascii="Times New Roman" w:hAnsi="Times New Roman" w:cs="Times New Roman"/>
          <w:sz w:val="24"/>
          <w:szCs w:val="24"/>
        </w:rPr>
      </w:pPr>
      <w:r w:rsidRPr="009E2223">
        <w:rPr>
          <w:rFonts w:ascii="Times New Roman" w:hAnsi="Times New Roman" w:cs="Times New Roman"/>
          <w:sz w:val="24"/>
          <w:szCs w:val="24"/>
        </w:rPr>
        <w:t>La dureza del BCE no logrará reforzar al euro, según los expertos</w:t>
      </w:r>
    </w:p>
    <w:p w:rsidR="002959D5" w:rsidRDefault="002959D5" w:rsidP="002959D5">
      <w:pPr>
        <w:autoSpaceDE w:val="0"/>
        <w:autoSpaceDN w:val="0"/>
        <w:adjustRightInd w:val="0"/>
        <w:spacing w:after="0" w:line="240" w:lineRule="auto"/>
        <w:jc w:val="both"/>
        <w:rPr>
          <w:rFonts w:ascii="Times New Roman" w:hAnsi="Times New Roman" w:cs="Times New Roman"/>
          <w:sz w:val="24"/>
          <w:szCs w:val="24"/>
        </w:rPr>
      </w:pPr>
    </w:p>
    <w:p w:rsidR="002959D5" w:rsidRDefault="002959D5" w:rsidP="002959D5">
      <w:pPr>
        <w:spacing w:line="240" w:lineRule="auto"/>
        <w:jc w:val="both"/>
        <w:rPr>
          <w:rFonts w:ascii="Times New Roman" w:hAnsi="Times New Roman" w:cs="Times New Roman"/>
          <w:sz w:val="24"/>
          <w:szCs w:val="24"/>
        </w:rPr>
      </w:pPr>
      <w:r>
        <w:rPr>
          <w:noProof/>
          <w:lang w:eastAsia="es-ES"/>
        </w:rPr>
        <w:lastRenderedPageBreak/>
        <w:drawing>
          <wp:inline distT="0" distB="0" distL="0" distR="0" wp14:anchorId="5EB5F796" wp14:editId="05E81448">
            <wp:extent cx="5731510" cy="2600325"/>
            <wp:effectExtent l="0" t="0" r="2540" b="9525"/>
            <wp:docPr id="80" name="Imagen 80" descr="Recesión global 2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ecesión global 2023"/>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731510" cy="2600325"/>
                    </a:xfrm>
                    <a:prstGeom prst="rect">
                      <a:avLst/>
                    </a:prstGeom>
                    <a:noFill/>
                    <a:ln>
                      <a:noFill/>
                    </a:ln>
                  </pic:spPr>
                </pic:pic>
              </a:graphicData>
            </a:graphic>
          </wp:inline>
        </w:drawing>
      </w:r>
    </w:p>
    <w:p w:rsidR="002959D5" w:rsidRDefault="002959D5" w:rsidP="002959D5">
      <w:pPr>
        <w:spacing w:line="240" w:lineRule="auto"/>
        <w:jc w:val="both"/>
        <w:rPr>
          <w:rFonts w:ascii="Times New Roman" w:hAnsi="Times New Roman" w:cs="Times New Roman"/>
          <w:sz w:val="24"/>
          <w:szCs w:val="24"/>
        </w:rPr>
      </w:pPr>
    </w:p>
    <w:p w:rsidR="002959D5" w:rsidRPr="00ED057E" w:rsidRDefault="002959D5" w:rsidP="002959D5">
      <w:pPr>
        <w:spacing w:before="240" w:after="24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2F27CD">
        <w:rPr>
          <w:rFonts w:ascii="Times New Roman" w:eastAsia="Times New Roman" w:hAnsi="Times New Roman" w:cs="Times New Roman"/>
          <w:sz w:val="24"/>
          <w:szCs w:val="24"/>
          <w:u w:val="single"/>
          <w:lang w:eastAsia="es-ES"/>
        </w:rPr>
        <w:t>El BCE no quiere abrir la caja de los truenos: por qué hay tanto miedo al quantitative tightening</w:t>
      </w:r>
      <w:r>
        <w:rPr>
          <w:rFonts w:ascii="Times New Roman" w:eastAsia="Times New Roman" w:hAnsi="Times New Roman" w:cs="Times New Roman"/>
          <w:sz w:val="24"/>
          <w:szCs w:val="24"/>
          <w:lang w:eastAsia="es-ES"/>
        </w:rPr>
        <w:t xml:space="preserve"> (El Economista - </w:t>
      </w:r>
      <w:r w:rsidRPr="002F27CD">
        <w:rPr>
          <w:rFonts w:ascii="Times New Roman" w:eastAsia="Times New Roman" w:hAnsi="Times New Roman" w:cs="Times New Roman"/>
          <w:b/>
          <w:sz w:val="24"/>
          <w:szCs w:val="24"/>
          <w:lang w:eastAsia="es-ES"/>
        </w:rPr>
        <w:t>7/10/22</w:t>
      </w:r>
      <w:r>
        <w:rPr>
          <w:rFonts w:ascii="Times New Roman" w:eastAsia="Times New Roman" w:hAnsi="Times New Roman" w:cs="Times New Roman"/>
          <w:sz w:val="24"/>
          <w:szCs w:val="24"/>
          <w:lang w:eastAsia="es-ES"/>
        </w:rPr>
        <w:t>)</w:t>
      </w:r>
    </w:p>
    <w:p w:rsidR="002959D5" w:rsidRPr="003738C2" w:rsidRDefault="002959D5" w:rsidP="002959D5">
      <w:pPr>
        <w:spacing w:before="240" w:after="240" w:line="240" w:lineRule="auto"/>
        <w:jc w:val="both"/>
        <w:rPr>
          <w:rFonts w:ascii="Times New Roman" w:eastAsia="Times New Roman" w:hAnsi="Times New Roman" w:cs="Times New Roman"/>
          <w:sz w:val="24"/>
          <w:szCs w:val="24"/>
          <w:u w:val="single"/>
          <w:lang w:eastAsia="es-ES"/>
        </w:rPr>
      </w:pPr>
      <w:r w:rsidRPr="003738C2">
        <w:rPr>
          <w:rFonts w:ascii="Times New Roman" w:eastAsia="Times New Roman" w:hAnsi="Times New Roman" w:cs="Times New Roman"/>
          <w:color w:val="FF0000"/>
          <w:sz w:val="24"/>
          <w:szCs w:val="24"/>
          <w:u w:val="single"/>
          <w:lang w:eastAsia="es-ES"/>
        </w:rPr>
        <w:t>Todos los grandes bancos centrales de los países avanzados (salvo Japón) han comenzado a endurecer su política monetaria este año para intentar controlar la inflación. Las herramientas utilizadas son dos: las subidas de tipos y la reducción del balance (quantitative tightening o QT) para drenar liquidez del sistema.</w:t>
      </w:r>
      <w:r w:rsidRPr="00ED057E">
        <w:rPr>
          <w:rFonts w:ascii="Times New Roman" w:eastAsia="Times New Roman" w:hAnsi="Times New Roman" w:cs="Times New Roman"/>
          <w:sz w:val="24"/>
          <w:szCs w:val="24"/>
          <w:lang w:eastAsia="es-ES"/>
        </w:rPr>
        <w:t xml:space="preserve"> Sin embargo, el Banco Central Europeo está fiándolo todo a los tipos de interés y retrasando lo máximo posible el QT. Aunque las preguntas al respecto se repiten en cada reunión, </w:t>
      </w:r>
      <w:r w:rsidRPr="003738C2">
        <w:rPr>
          <w:rFonts w:ascii="Times New Roman" w:eastAsia="Times New Roman" w:hAnsi="Times New Roman" w:cs="Times New Roman"/>
          <w:sz w:val="24"/>
          <w:szCs w:val="24"/>
          <w:u w:val="single"/>
          <w:lang w:eastAsia="es-ES"/>
        </w:rPr>
        <w:t xml:space="preserve">el BCE prefiere mirar hacia otro </w:t>
      </w:r>
      <w:r w:rsidR="005E53EB">
        <w:rPr>
          <w:rFonts w:ascii="Times New Roman" w:eastAsia="Times New Roman" w:hAnsi="Times New Roman" w:cs="Times New Roman"/>
          <w:sz w:val="24"/>
          <w:szCs w:val="24"/>
          <w:u w:val="single"/>
          <w:lang w:eastAsia="es-ES"/>
        </w:rPr>
        <w:t>lado, sobre todo después de la “mini-crisis financiera”</w:t>
      </w:r>
      <w:r w:rsidRPr="003738C2">
        <w:rPr>
          <w:rFonts w:ascii="Times New Roman" w:eastAsia="Times New Roman" w:hAnsi="Times New Roman" w:cs="Times New Roman"/>
          <w:sz w:val="24"/>
          <w:szCs w:val="24"/>
          <w:u w:val="single"/>
          <w:lang w:eastAsia="es-ES"/>
        </w:rPr>
        <w:t xml:space="preserve"> que ha sufrido el Reino Unido</w:t>
      </w:r>
      <w:r w:rsidRPr="00ED057E">
        <w:rPr>
          <w:rFonts w:ascii="Times New Roman" w:eastAsia="Times New Roman" w:hAnsi="Times New Roman" w:cs="Times New Roman"/>
          <w:sz w:val="24"/>
          <w:szCs w:val="24"/>
          <w:lang w:eastAsia="es-ES"/>
        </w:rPr>
        <w:t xml:space="preserve">, obligando al Banco de Inglaterra a suspender temporalmente su QT y volver a las compras netas de bonos. </w:t>
      </w:r>
      <w:r w:rsidRPr="003738C2">
        <w:rPr>
          <w:rFonts w:ascii="Times New Roman" w:eastAsia="Times New Roman" w:hAnsi="Times New Roman" w:cs="Times New Roman"/>
          <w:sz w:val="24"/>
          <w:szCs w:val="24"/>
          <w:u w:val="single"/>
          <w:lang w:eastAsia="es-ES"/>
        </w:rPr>
        <w:t>¿Por qué hay tanto miedo al QT en la zona euro? ¿Se puede reducir la inflación fiándolo todo a las subidas de tipos?</w:t>
      </w:r>
    </w:p>
    <w:p w:rsidR="002959D5" w:rsidRPr="005E53EB" w:rsidRDefault="002959D5" w:rsidP="002959D5">
      <w:pPr>
        <w:spacing w:before="240" w:after="240" w:line="240" w:lineRule="auto"/>
        <w:jc w:val="both"/>
        <w:rPr>
          <w:rFonts w:ascii="Times New Roman" w:eastAsia="Times New Roman" w:hAnsi="Times New Roman" w:cs="Times New Roman"/>
          <w:b/>
          <w:color w:val="FF0000"/>
          <w:sz w:val="24"/>
          <w:szCs w:val="24"/>
          <w:u w:val="single"/>
          <w:lang w:eastAsia="es-ES"/>
        </w:rPr>
      </w:pPr>
      <w:r w:rsidRPr="005E53EB">
        <w:rPr>
          <w:rFonts w:ascii="Times New Roman" w:eastAsia="Times New Roman" w:hAnsi="Times New Roman" w:cs="Times New Roman"/>
          <w:b/>
          <w:color w:val="FF0000"/>
          <w:sz w:val="24"/>
          <w:szCs w:val="24"/>
          <w:u w:val="single"/>
          <w:lang w:eastAsia="es-ES"/>
        </w:rPr>
        <w:t>El Banco Central Europeo tiene uno de los balances más grandes del mundo, con más de 8 billones de euros, de los cuales 4,8 billones están formados por deuda (tanto pública como privada). Su tamaño se ha multiplicado casi por cuatro desde 2012 y desde entonces no se ha abordado una reducción real del mismo, más allá de pequeños movimientos. Ahora, parece haber llegado el momento de comenzar este proceso, pero el BCE teme que esta decisión desencadene fuertes turbulencias en los mercados.</w:t>
      </w:r>
    </w:p>
    <w:p w:rsidR="002959D5" w:rsidRPr="003738C2" w:rsidRDefault="002959D5" w:rsidP="002959D5">
      <w:pPr>
        <w:spacing w:before="240" w:after="240" w:line="240" w:lineRule="auto"/>
        <w:jc w:val="both"/>
        <w:rPr>
          <w:rFonts w:ascii="Times New Roman" w:eastAsia="Times New Roman" w:hAnsi="Times New Roman" w:cs="Times New Roman"/>
          <w:sz w:val="24"/>
          <w:szCs w:val="24"/>
          <w:u w:val="single"/>
          <w:lang w:eastAsia="es-ES"/>
        </w:rPr>
      </w:pPr>
      <w:r w:rsidRPr="00ED057E">
        <w:rPr>
          <w:rFonts w:ascii="Times New Roman" w:eastAsia="Times New Roman" w:hAnsi="Times New Roman" w:cs="Times New Roman"/>
          <w:sz w:val="24"/>
          <w:szCs w:val="24"/>
          <w:lang w:eastAsia="es-ES"/>
        </w:rPr>
        <w:t xml:space="preserve">El QT supondría que una mayor proporción de la deuda europea tuviese que ser absorbida por los mercados (unos mercados que no muestran demasiado interés en la deuda italiana o española), lo que sin duda encarecería sobremanera el coste de financiación de gobiernos y empresas. En cada reunión se pregunta a Christine Lagarde sobre este proceso (cuándo y cómo empezará), pero </w:t>
      </w:r>
      <w:r w:rsidRPr="003738C2">
        <w:rPr>
          <w:rFonts w:ascii="Times New Roman" w:eastAsia="Times New Roman" w:hAnsi="Times New Roman" w:cs="Times New Roman"/>
          <w:sz w:val="24"/>
          <w:szCs w:val="24"/>
          <w:u w:val="single"/>
          <w:lang w:eastAsia="es-ES"/>
        </w:rPr>
        <w:t>las respuestas son poco precisas: aún no lo hemos abordado, estamos cerca de dar inicio a las conversaciones sobre el QT...</w:t>
      </w:r>
    </w:p>
    <w:p w:rsidR="002959D5" w:rsidRPr="003738C2" w:rsidRDefault="002959D5" w:rsidP="002959D5">
      <w:pPr>
        <w:spacing w:before="240" w:after="240" w:line="240" w:lineRule="auto"/>
        <w:jc w:val="both"/>
        <w:rPr>
          <w:rFonts w:ascii="Times New Roman" w:eastAsia="Times New Roman" w:hAnsi="Times New Roman" w:cs="Times New Roman"/>
          <w:sz w:val="24"/>
          <w:szCs w:val="24"/>
          <w:u w:val="single"/>
          <w:lang w:eastAsia="es-ES"/>
        </w:rPr>
      </w:pPr>
      <w:r w:rsidRPr="003738C2">
        <w:rPr>
          <w:rFonts w:ascii="Times New Roman" w:eastAsia="Times New Roman" w:hAnsi="Times New Roman" w:cs="Times New Roman"/>
          <w:sz w:val="24"/>
          <w:szCs w:val="24"/>
          <w:u w:val="single"/>
          <w:lang w:eastAsia="es-ES"/>
        </w:rPr>
        <w:t xml:space="preserve">El miedo parece haberse incrementado desde que hace unas semanas los rendimientos de los bonos británicos se </w:t>
      </w:r>
      <w:r w:rsidR="005E53EB">
        <w:rPr>
          <w:rFonts w:ascii="Times New Roman" w:eastAsia="Times New Roman" w:hAnsi="Times New Roman" w:cs="Times New Roman"/>
          <w:sz w:val="24"/>
          <w:szCs w:val="24"/>
          <w:u w:val="single"/>
          <w:lang w:eastAsia="es-ES"/>
        </w:rPr>
        <w:t>dispararan tras el anuncio del “mini-presupuesto”</w:t>
      </w:r>
      <w:r w:rsidRPr="00ED057E">
        <w:rPr>
          <w:rFonts w:ascii="Times New Roman" w:eastAsia="Times New Roman" w:hAnsi="Times New Roman" w:cs="Times New Roman"/>
          <w:sz w:val="24"/>
          <w:szCs w:val="24"/>
          <w:lang w:eastAsia="es-ES"/>
        </w:rPr>
        <w:t xml:space="preserve">, un paquete de medidas (bajadas de impuestos, sobre todo) que iban a incrementar el déficit público en Reino Unido. Este anunció llegó en el peor momento posible, puesto que el Banco de Inglaterra se encuentra inmerso en su propio QT, mientras que la economía pierde impulso y la </w:t>
      </w:r>
      <w:r w:rsidRPr="00ED057E">
        <w:rPr>
          <w:rFonts w:ascii="Times New Roman" w:eastAsia="Times New Roman" w:hAnsi="Times New Roman" w:cs="Times New Roman"/>
          <w:sz w:val="24"/>
          <w:szCs w:val="24"/>
          <w:lang w:eastAsia="es-ES"/>
        </w:rPr>
        <w:lastRenderedPageBreak/>
        <w:t xml:space="preserve">incertidumbre acecha a los mercados. </w:t>
      </w:r>
      <w:r w:rsidRPr="003738C2">
        <w:rPr>
          <w:rFonts w:ascii="Times New Roman" w:eastAsia="Times New Roman" w:hAnsi="Times New Roman" w:cs="Times New Roman"/>
          <w:sz w:val="24"/>
          <w:szCs w:val="24"/>
          <w:u w:val="single"/>
          <w:lang w:eastAsia="es-ES"/>
        </w:rPr>
        <w:t>El BCE quiere evitar cualquier tipo de movimiento similar.</w:t>
      </w:r>
    </w:p>
    <w:p w:rsidR="002959D5" w:rsidRPr="00ED057E" w:rsidRDefault="002959D5" w:rsidP="002959D5">
      <w:pPr>
        <w:spacing w:before="240" w:after="240" w:line="240" w:lineRule="auto"/>
        <w:jc w:val="both"/>
        <w:rPr>
          <w:rFonts w:ascii="Times New Roman" w:eastAsia="Times New Roman" w:hAnsi="Times New Roman" w:cs="Times New Roman"/>
          <w:sz w:val="24"/>
          <w:szCs w:val="24"/>
          <w:lang w:eastAsia="es-ES"/>
        </w:rPr>
      </w:pPr>
      <w:r w:rsidRPr="003738C2">
        <w:rPr>
          <w:rFonts w:ascii="Times New Roman" w:eastAsia="Times New Roman" w:hAnsi="Times New Roman" w:cs="Times New Roman"/>
          <w:color w:val="FF0000"/>
          <w:sz w:val="24"/>
          <w:szCs w:val="24"/>
          <w:u w:val="single"/>
          <w:lang w:eastAsia="es-ES"/>
        </w:rPr>
        <w:t>Poner en marcha el QT en la Eurozona puede ser como abrir la caja de los truenos, sobre todo teniendo en cuenta que dentro del euro hay muchos países débiles y muy endeudados</w:t>
      </w:r>
      <w:r w:rsidRPr="00ED057E">
        <w:rPr>
          <w:rFonts w:ascii="Times New Roman" w:eastAsia="Times New Roman" w:hAnsi="Times New Roman" w:cs="Times New Roman"/>
          <w:sz w:val="24"/>
          <w:szCs w:val="24"/>
          <w:lang w:eastAsia="es-ES"/>
        </w:rPr>
        <w:t xml:space="preserve">. </w:t>
      </w:r>
      <w:r w:rsidRPr="003738C2">
        <w:rPr>
          <w:rFonts w:ascii="Times New Roman" w:eastAsia="Times New Roman" w:hAnsi="Times New Roman" w:cs="Times New Roman"/>
          <w:sz w:val="24"/>
          <w:szCs w:val="24"/>
          <w:u w:val="single"/>
          <w:lang w:eastAsia="es-ES"/>
        </w:rPr>
        <w:t>Desde el Instituto Internacional de Finanzas (IFF) llevan advirtiendo meses de los problemas</w:t>
      </w:r>
      <w:r w:rsidRPr="00ED057E">
        <w:rPr>
          <w:rFonts w:ascii="Times New Roman" w:eastAsia="Times New Roman" w:hAnsi="Times New Roman" w:cs="Times New Roman"/>
          <w:sz w:val="24"/>
          <w:szCs w:val="24"/>
          <w:lang w:eastAsia="es-ES"/>
        </w:rPr>
        <w:t xml:space="preserve"> a los que se enfrentarán países como España, Italia o Grecia </w:t>
      </w:r>
      <w:r w:rsidRPr="003738C2">
        <w:rPr>
          <w:rFonts w:ascii="Times New Roman" w:eastAsia="Times New Roman" w:hAnsi="Times New Roman" w:cs="Times New Roman"/>
          <w:sz w:val="24"/>
          <w:szCs w:val="24"/>
          <w:u w:val="single"/>
          <w:lang w:eastAsia="es-ES"/>
        </w:rPr>
        <w:t>si el BCE retira la respiración asistida</w:t>
      </w:r>
      <w:r w:rsidRPr="00ED057E">
        <w:rPr>
          <w:rFonts w:ascii="Times New Roman" w:eastAsia="Times New Roman" w:hAnsi="Times New Roman" w:cs="Times New Roman"/>
          <w:sz w:val="24"/>
          <w:szCs w:val="24"/>
          <w:lang w:eastAsia="es-ES"/>
        </w:rPr>
        <w:t>. Salvo que se diseñe un QT muy descafeinado o parcial, la deuda estas economías podría sufrir turbulencias intensas como ha sucedido con la británica. Los planes fiscales de estos países siguen siendo muy expansivos, lo que augura un déficit público notable que obligará a emitir más</w:t>
      </w:r>
      <w:r w:rsidR="005E53EB">
        <w:rPr>
          <w:rFonts w:ascii="Times New Roman" w:eastAsia="Times New Roman" w:hAnsi="Times New Roman" w:cs="Times New Roman"/>
          <w:sz w:val="24"/>
          <w:szCs w:val="24"/>
          <w:lang w:eastAsia="es-ES"/>
        </w:rPr>
        <w:t xml:space="preserve"> deuda. El problema es que los “halcones”</w:t>
      </w:r>
      <w:r w:rsidRPr="00ED057E">
        <w:rPr>
          <w:rFonts w:ascii="Times New Roman" w:eastAsia="Times New Roman" w:hAnsi="Times New Roman" w:cs="Times New Roman"/>
          <w:sz w:val="24"/>
          <w:szCs w:val="24"/>
          <w:lang w:eastAsia="es-ES"/>
        </w:rPr>
        <w:t xml:space="preserve"> (defienden una política monetaria más restrictiva) llevan meses pidiendo abrir el melón del QT y algún día llegará ese momento, sobre todo si la inflación no termina de moderarse.</w:t>
      </w:r>
    </w:p>
    <w:p w:rsidR="002959D5" w:rsidRPr="00ED057E" w:rsidRDefault="005E53EB" w:rsidP="002959D5">
      <w:pPr>
        <w:spacing w:before="240" w:after="24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Por ahora, las “palomas”</w:t>
      </w:r>
      <w:r w:rsidR="002959D5" w:rsidRPr="00ED057E">
        <w:rPr>
          <w:rFonts w:ascii="Times New Roman" w:eastAsia="Times New Roman" w:hAnsi="Times New Roman" w:cs="Times New Roman"/>
          <w:sz w:val="24"/>
          <w:szCs w:val="24"/>
          <w:lang w:eastAsia="es-ES"/>
        </w:rPr>
        <w:t xml:space="preserve"> (defienden una política monetaria más expansiva) han conseguido dar una patada hacia delante. En las actas de la última reunión que se publicaron este jueves no se hace ni alusión al QT. Por otro lado, Christine Lagarde respondió en la reunión de septiembre a la pregunta de cuándo comenzarí</w:t>
      </w:r>
      <w:r>
        <w:rPr>
          <w:rFonts w:ascii="Times New Roman" w:eastAsia="Times New Roman" w:hAnsi="Times New Roman" w:cs="Times New Roman"/>
          <w:sz w:val="24"/>
          <w:szCs w:val="24"/>
          <w:lang w:eastAsia="es-ES"/>
        </w:rPr>
        <w:t>a el QT de la siguiente forma: “</w:t>
      </w:r>
      <w:r w:rsidR="002959D5" w:rsidRPr="00ED057E">
        <w:rPr>
          <w:rFonts w:ascii="Times New Roman" w:eastAsia="Times New Roman" w:hAnsi="Times New Roman" w:cs="Times New Roman"/>
          <w:sz w:val="24"/>
          <w:szCs w:val="24"/>
          <w:lang w:eastAsia="es-ES"/>
        </w:rPr>
        <w:t>En cuanto a la cuestión del ajuste cuantitativo (QT): en este momento estamos usando el instrumento de política monetaria más eficaz, más proporcionado y más adecuado que podemos utilizar (subidas de tipos). Creemos, por el momento, que esta es los tipos de interés. Así que estamos usando los tipos, continuaremos usando los tipos en las próximas reuniones, como he dicho, y por supuesto veremos otros instrumentos de política monetaria. Pero en este momento, todavía es prema</w:t>
      </w:r>
      <w:r>
        <w:rPr>
          <w:rFonts w:ascii="Times New Roman" w:eastAsia="Times New Roman" w:hAnsi="Times New Roman" w:cs="Times New Roman"/>
          <w:sz w:val="24"/>
          <w:szCs w:val="24"/>
          <w:lang w:eastAsia="es-ES"/>
        </w:rPr>
        <w:t>turo”</w:t>
      </w:r>
      <w:r w:rsidR="002959D5">
        <w:rPr>
          <w:rFonts w:ascii="Times New Roman" w:eastAsia="Times New Roman" w:hAnsi="Times New Roman" w:cs="Times New Roman"/>
          <w:sz w:val="24"/>
          <w:szCs w:val="24"/>
          <w:lang w:eastAsia="es-ES"/>
        </w:rPr>
        <w:t>, sentenció la presidenta.</w:t>
      </w:r>
    </w:p>
    <w:p w:rsidR="002959D5" w:rsidRPr="00ED057E" w:rsidRDefault="002959D5" w:rsidP="002959D5">
      <w:pPr>
        <w:spacing w:before="240" w:after="240" w:line="240" w:lineRule="auto"/>
        <w:jc w:val="both"/>
        <w:rPr>
          <w:rFonts w:ascii="Times New Roman" w:eastAsia="Times New Roman" w:hAnsi="Times New Roman" w:cs="Times New Roman"/>
          <w:sz w:val="24"/>
          <w:szCs w:val="24"/>
          <w:lang w:eastAsia="es-ES"/>
        </w:rPr>
      </w:pPr>
      <w:r w:rsidRPr="00ED057E">
        <w:rPr>
          <w:rFonts w:ascii="Times New Roman" w:eastAsia="Times New Roman" w:hAnsi="Times New Roman" w:cs="Times New Roman"/>
          <w:sz w:val="24"/>
          <w:szCs w:val="24"/>
          <w:lang w:eastAsia="es-ES"/>
        </w:rPr>
        <w:t>¿Por qué hay tanto miedo al QT?</w:t>
      </w:r>
    </w:p>
    <w:p w:rsidR="002959D5" w:rsidRPr="003738C2" w:rsidRDefault="002959D5" w:rsidP="002959D5">
      <w:pPr>
        <w:spacing w:before="240" w:after="240" w:line="240" w:lineRule="auto"/>
        <w:jc w:val="both"/>
        <w:rPr>
          <w:rFonts w:ascii="Times New Roman" w:eastAsia="Times New Roman" w:hAnsi="Times New Roman" w:cs="Times New Roman"/>
          <w:sz w:val="24"/>
          <w:szCs w:val="24"/>
          <w:u w:val="single"/>
          <w:lang w:eastAsia="es-ES"/>
        </w:rPr>
      </w:pPr>
      <w:r w:rsidRPr="00ED057E">
        <w:rPr>
          <w:rFonts w:ascii="Times New Roman" w:eastAsia="Times New Roman" w:hAnsi="Times New Roman" w:cs="Times New Roman"/>
          <w:sz w:val="24"/>
          <w:szCs w:val="24"/>
          <w:lang w:eastAsia="es-ES"/>
        </w:rPr>
        <w:t xml:space="preserve">Aunque los rodeos y las explicaciones son muchas para evitar poner en marcha el QT, la más profunda y más técnica ha sido made in Spain. Pablo Hernández de Cos, gobernador del Banco de España, dedicó buena parte de uno de sus últimos discursos a explicar los peligros del QT y por qué el BCE aún no ha apostado por esta herramienta para reconducir la inflación. </w:t>
      </w:r>
      <w:r w:rsidR="005E53EB">
        <w:rPr>
          <w:rFonts w:ascii="Times New Roman" w:eastAsia="Times New Roman" w:hAnsi="Times New Roman" w:cs="Times New Roman"/>
          <w:sz w:val="24"/>
          <w:szCs w:val="24"/>
          <w:u w:val="single"/>
          <w:lang w:eastAsia="es-ES"/>
        </w:rPr>
        <w:t>“</w:t>
      </w:r>
      <w:r w:rsidRPr="003738C2">
        <w:rPr>
          <w:rFonts w:ascii="Times New Roman" w:eastAsia="Times New Roman" w:hAnsi="Times New Roman" w:cs="Times New Roman"/>
          <w:sz w:val="24"/>
          <w:szCs w:val="24"/>
          <w:u w:val="single"/>
          <w:lang w:eastAsia="es-ES"/>
        </w:rPr>
        <w:t xml:space="preserve">Decidimos iniciar la normalización de nuestra política monetaria subiendo los tipos de interés, en lugar de hacerlo reduciendo el tamaño de nuestro balance (lo que se conoce </w:t>
      </w:r>
      <w:r w:rsidR="005E53EB">
        <w:rPr>
          <w:rFonts w:ascii="Times New Roman" w:eastAsia="Times New Roman" w:hAnsi="Times New Roman" w:cs="Times New Roman"/>
          <w:sz w:val="24"/>
          <w:szCs w:val="24"/>
          <w:u w:val="single"/>
          <w:lang w:eastAsia="es-ES"/>
        </w:rPr>
        <w:t>como quantitative tightening o “</w:t>
      </w:r>
      <w:r w:rsidRPr="003738C2">
        <w:rPr>
          <w:rFonts w:ascii="Times New Roman" w:eastAsia="Times New Roman" w:hAnsi="Times New Roman" w:cs="Times New Roman"/>
          <w:sz w:val="24"/>
          <w:szCs w:val="24"/>
          <w:u w:val="single"/>
          <w:lang w:eastAsia="es-ES"/>
        </w:rPr>
        <w:t>endurecimi</w:t>
      </w:r>
      <w:r w:rsidR="005E53EB">
        <w:rPr>
          <w:rFonts w:ascii="Times New Roman" w:eastAsia="Times New Roman" w:hAnsi="Times New Roman" w:cs="Times New Roman"/>
          <w:sz w:val="24"/>
          <w:szCs w:val="24"/>
          <w:u w:val="single"/>
          <w:lang w:eastAsia="es-ES"/>
        </w:rPr>
        <w:t>ento cuantitativo”</w:t>
      </w:r>
      <w:r w:rsidRPr="003738C2">
        <w:rPr>
          <w:rFonts w:ascii="Times New Roman" w:eastAsia="Times New Roman" w:hAnsi="Times New Roman" w:cs="Times New Roman"/>
          <w:sz w:val="24"/>
          <w:szCs w:val="24"/>
          <w:u w:val="single"/>
          <w:lang w:eastAsia="es-ES"/>
        </w:rPr>
        <w:t>). ¿Por qué optamos por las subidas de tipos de interés y no por reduci</w:t>
      </w:r>
      <w:r w:rsidR="005E53EB">
        <w:rPr>
          <w:rFonts w:ascii="Times New Roman" w:eastAsia="Times New Roman" w:hAnsi="Times New Roman" w:cs="Times New Roman"/>
          <w:sz w:val="24"/>
          <w:szCs w:val="24"/>
          <w:u w:val="single"/>
          <w:lang w:eastAsia="es-ES"/>
        </w:rPr>
        <w:t>r el tamaño de nuestro balance?”</w:t>
      </w:r>
      <w:r w:rsidRPr="003738C2">
        <w:rPr>
          <w:rFonts w:ascii="Times New Roman" w:eastAsia="Times New Roman" w:hAnsi="Times New Roman" w:cs="Times New Roman"/>
          <w:sz w:val="24"/>
          <w:szCs w:val="24"/>
          <w:u w:val="single"/>
          <w:lang w:eastAsia="es-ES"/>
        </w:rPr>
        <w:t>, se pregunta Hernández de Cos. El banquero español ve hasta tres razones por las que el BCE ha hecho bien eligiendo este camino frente a otros bancos centrales.</w:t>
      </w:r>
    </w:p>
    <w:p w:rsidR="002959D5" w:rsidRPr="003738C2" w:rsidRDefault="005E53EB" w:rsidP="002959D5">
      <w:pPr>
        <w:spacing w:before="240" w:after="240" w:line="240" w:lineRule="auto"/>
        <w:jc w:val="both"/>
        <w:rPr>
          <w:rFonts w:ascii="Times New Roman" w:eastAsia="Times New Roman" w:hAnsi="Times New Roman" w:cs="Times New Roman"/>
          <w:color w:val="FF0000"/>
          <w:sz w:val="24"/>
          <w:szCs w:val="24"/>
          <w:u w:val="single"/>
          <w:lang w:eastAsia="es-ES"/>
        </w:rPr>
      </w:pPr>
      <w:r>
        <w:rPr>
          <w:rFonts w:ascii="Times New Roman" w:eastAsia="Times New Roman" w:hAnsi="Times New Roman" w:cs="Times New Roman"/>
          <w:color w:val="FF0000"/>
          <w:sz w:val="24"/>
          <w:szCs w:val="24"/>
          <w:u w:val="single"/>
          <w:lang w:eastAsia="es-ES"/>
        </w:rPr>
        <w:t>“</w:t>
      </w:r>
      <w:r w:rsidR="002959D5" w:rsidRPr="003738C2">
        <w:rPr>
          <w:rFonts w:ascii="Times New Roman" w:eastAsia="Times New Roman" w:hAnsi="Times New Roman" w:cs="Times New Roman"/>
          <w:color w:val="FF0000"/>
          <w:sz w:val="24"/>
          <w:szCs w:val="24"/>
          <w:u w:val="single"/>
          <w:lang w:eastAsia="es-ES"/>
        </w:rPr>
        <w:t>En primer lugar, entendemos mejor el mecanismo de transmisión de las alzas de los tipos de interés que el del endurecimiento cuantitativo. Tenemos décadas de experiencia con el primero, mientras que nunca hemos reducido el tamaño de nuestro balance pa</w:t>
      </w:r>
      <w:r>
        <w:rPr>
          <w:rFonts w:ascii="Times New Roman" w:eastAsia="Times New Roman" w:hAnsi="Times New Roman" w:cs="Times New Roman"/>
          <w:color w:val="FF0000"/>
          <w:sz w:val="24"/>
          <w:szCs w:val="24"/>
          <w:u w:val="single"/>
          <w:lang w:eastAsia="es-ES"/>
        </w:rPr>
        <w:t>rtiendo de niveles tan elevados”</w:t>
      </w:r>
      <w:r w:rsidR="002959D5" w:rsidRPr="003738C2">
        <w:rPr>
          <w:rFonts w:ascii="Times New Roman" w:eastAsia="Times New Roman" w:hAnsi="Times New Roman" w:cs="Times New Roman"/>
          <w:color w:val="FF0000"/>
          <w:sz w:val="24"/>
          <w:szCs w:val="24"/>
          <w:u w:val="single"/>
          <w:lang w:eastAsia="es-ES"/>
        </w:rPr>
        <w:t>. El BCE nunca ha puesto en marcha un QT real frente a otros bancos centrales como la Fed que ya tienen experiencia con este proceso de reducción del balance.</w:t>
      </w:r>
    </w:p>
    <w:p w:rsidR="002959D5" w:rsidRPr="003738C2" w:rsidRDefault="005E53EB" w:rsidP="002959D5">
      <w:pPr>
        <w:spacing w:before="240" w:after="240" w:line="240" w:lineRule="auto"/>
        <w:jc w:val="both"/>
        <w:rPr>
          <w:rFonts w:ascii="Times New Roman" w:eastAsia="Times New Roman" w:hAnsi="Times New Roman" w:cs="Times New Roman"/>
          <w:color w:val="FF0000"/>
          <w:sz w:val="24"/>
          <w:szCs w:val="24"/>
          <w:u w:val="single"/>
          <w:lang w:eastAsia="es-ES"/>
        </w:rPr>
      </w:pPr>
      <w:r>
        <w:rPr>
          <w:rFonts w:ascii="Times New Roman" w:eastAsia="Times New Roman" w:hAnsi="Times New Roman" w:cs="Times New Roman"/>
          <w:color w:val="FF0000"/>
          <w:sz w:val="24"/>
          <w:szCs w:val="24"/>
          <w:u w:val="single"/>
          <w:lang w:eastAsia="es-ES"/>
        </w:rPr>
        <w:t>“</w:t>
      </w:r>
      <w:r w:rsidR="002959D5" w:rsidRPr="003738C2">
        <w:rPr>
          <w:rFonts w:ascii="Times New Roman" w:eastAsia="Times New Roman" w:hAnsi="Times New Roman" w:cs="Times New Roman"/>
          <w:color w:val="FF0000"/>
          <w:sz w:val="24"/>
          <w:szCs w:val="24"/>
          <w:u w:val="single"/>
          <w:lang w:eastAsia="es-ES"/>
        </w:rPr>
        <w:t>En segundo lugar, el endurecimiento cuantitativo (QT) podría causar turbulencias en determinados segmentos de los mercados, ya que la oferta podría superar a la demanda y la liquidez podría evaporarse. Esto podría poner en peligro la senda de normalización monetaria en un momento en el que todos nuestros esfuerzos deb</w:t>
      </w:r>
      <w:r>
        <w:rPr>
          <w:rFonts w:ascii="Times New Roman" w:eastAsia="Times New Roman" w:hAnsi="Times New Roman" w:cs="Times New Roman"/>
          <w:color w:val="FF0000"/>
          <w:sz w:val="24"/>
          <w:szCs w:val="24"/>
          <w:u w:val="single"/>
          <w:lang w:eastAsia="es-ES"/>
        </w:rPr>
        <w:t>erían centrarse en ese objetivo”</w:t>
      </w:r>
      <w:r w:rsidR="002959D5" w:rsidRPr="003738C2">
        <w:rPr>
          <w:rFonts w:ascii="Times New Roman" w:eastAsia="Times New Roman" w:hAnsi="Times New Roman" w:cs="Times New Roman"/>
          <w:color w:val="FF0000"/>
          <w:sz w:val="24"/>
          <w:szCs w:val="24"/>
          <w:u w:val="single"/>
          <w:lang w:eastAsia="es-ES"/>
        </w:rPr>
        <w:t>, advierte el banquero español.</w:t>
      </w:r>
    </w:p>
    <w:p w:rsidR="002959D5" w:rsidRPr="003738C2" w:rsidRDefault="005E53EB" w:rsidP="002959D5">
      <w:pPr>
        <w:spacing w:before="240" w:after="240" w:line="240" w:lineRule="auto"/>
        <w:jc w:val="both"/>
        <w:rPr>
          <w:rFonts w:ascii="Times New Roman" w:eastAsia="Times New Roman" w:hAnsi="Times New Roman" w:cs="Times New Roman"/>
          <w:color w:val="FF0000"/>
          <w:sz w:val="24"/>
          <w:szCs w:val="24"/>
          <w:u w:val="single"/>
          <w:lang w:eastAsia="es-ES"/>
        </w:rPr>
      </w:pPr>
      <w:r>
        <w:rPr>
          <w:rFonts w:ascii="Times New Roman" w:eastAsia="Times New Roman" w:hAnsi="Times New Roman" w:cs="Times New Roman"/>
          <w:color w:val="FF0000"/>
          <w:sz w:val="24"/>
          <w:szCs w:val="24"/>
          <w:u w:val="single"/>
          <w:lang w:eastAsia="es-ES"/>
        </w:rPr>
        <w:lastRenderedPageBreak/>
        <w:t>“</w:t>
      </w:r>
      <w:r w:rsidR="002959D5" w:rsidRPr="003738C2">
        <w:rPr>
          <w:rFonts w:ascii="Times New Roman" w:eastAsia="Times New Roman" w:hAnsi="Times New Roman" w:cs="Times New Roman"/>
          <w:color w:val="FF0000"/>
          <w:sz w:val="24"/>
          <w:szCs w:val="24"/>
          <w:u w:val="single"/>
          <w:lang w:eastAsia="es-ES"/>
        </w:rPr>
        <w:t xml:space="preserve">En tercer lugar, la transmisión de la política monetaria en el área del euro depende mucho del crédito bancario. Los precios de los préstamos suelen estar referenciados a los tipos de interés a corto y a medio plazo. Por lo tanto, los tipos de interés oficiales son un instrumento más eficaz para </w:t>
      </w:r>
      <w:r>
        <w:rPr>
          <w:rFonts w:ascii="Times New Roman" w:eastAsia="Times New Roman" w:hAnsi="Times New Roman" w:cs="Times New Roman"/>
          <w:color w:val="FF0000"/>
          <w:sz w:val="24"/>
          <w:szCs w:val="24"/>
          <w:u w:val="single"/>
          <w:lang w:eastAsia="es-ES"/>
        </w:rPr>
        <w:t>endurecer la política monetaria”</w:t>
      </w:r>
      <w:r w:rsidR="002959D5" w:rsidRPr="003738C2">
        <w:rPr>
          <w:rFonts w:ascii="Times New Roman" w:eastAsia="Times New Roman" w:hAnsi="Times New Roman" w:cs="Times New Roman"/>
          <w:color w:val="FF0000"/>
          <w:sz w:val="24"/>
          <w:szCs w:val="24"/>
          <w:u w:val="single"/>
          <w:lang w:eastAsia="es-ES"/>
        </w:rPr>
        <w:t>, culmina Hernández de Cos.</w:t>
      </w:r>
    </w:p>
    <w:p w:rsidR="002959D5" w:rsidRDefault="002959D5" w:rsidP="002959D5">
      <w:pPr>
        <w:spacing w:before="240" w:after="240" w:line="240" w:lineRule="auto"/>
        <w:jc w:val="both"/>
        <w:rPr>
          <w:rFonts w:ascii="Times New Roman" w:eastAsia="Times New Roman" w:hAnsi="Times New Roman" w:cs="Times New Roman"/>
          <w:sz w:val="24"/>
          <w:szCs w:val="24"/>
          <w:u w:val="single"/>
          <w:lang w:eastAsia="es-ES"/>
        </w:rPr>
      </w:pPr>
      <w:r w:rsidRPr="003738C2">
        <w:rPr>
          <w:rFonts w:ascii="Times New Roman" w:eastAsia="Times New Roman" w:hAnsi="Times New Roman" w:cs="Times New Roman"/>
          <w:sz w:val="24"/>
          <w:szCs w:val="24"/>
          <w:u w:val="single"/>
          <w:lang w:eastAsia="es-ES"/>
        </w:rPr>
        <w:t>Por todo ello, el BCE parece decidido a retrasar todo lo posible la llegada del QT. Una reducción del balance ayudaría probablemente a reducir la inflación, pero la presión del mercado sobre la deuda de ciertos países puede generar turbulencias que destrocen la tensa estabilidad financiera que por ahora reina en la Eurozona, sobre todo después de la puesta en marcha del escudo ITP (herramienta para mantener estables las primas de riesgo). Se puede concluir que el BCE está dispuesto a llegar tan lejos como sea necesario con las subidas de tipos, pero la puesta en marcha del QT está por ahora en el aire.</w:t>
      </w:r>
    </w:p>
    <w:p w:rsidR="005E53EB" w:rsidRPr="004F4B81" w:rsidRDefault="005E53EB" w:rsidP="005E53EB">
      <w:pPr>
        <w:spacing w:line="240" w:lineRule="auto"/>
        <w:jc w:val="both"/>
        <w:rPr>
          <w:rFonts w:ascii="Times New Roman" w:hAnsi="Times New Roman" w:cs="Times New Roman"/>
          <w:sz w:val="24"/>
          <w:szCs w:val="24"/>
        </w:rPr>
      </w:pPr>
      <w:r>
        <w:rPr>
          <w:rFonts w:ascii="Times New Roman" w:hAnsi="Times New Roman" w:cs="Times New Roman"/>
          <w:sz w:val="24"/>
          <w:szCs w:val="24"/>
          <w:u w:val="single"/>
        </w:rPr>
        <w:t xml:space="preserve">- </w:t>
      </w:r>
      <w:r w:rsidRPr="004F4B81">
        <w:rPr>
          <w:rFonts w:ascii="Times New Roman" w:hAnsi="Times New Roman" w:cs="Times New Roman"/>
          <w:sz w:val="24"/>
          <w:szCs w:val="24"/>
          <w:u w:val="single"/>
        </w:rPr>
        <w:t>Deutsche Bank avisa: los mercados subestiman lo que está por venir y hay seis razones que lo demuestran</w:t>
      </w:r>
      <w:r w:rsidRPr="004F4B81">
        <w:rPr>
          <w:rFonts w:ascii="Times New Roman" w:hAnsi="Times New Roman" w:cs="Times New Roman"/>
          <w:sz w:val="24"/>
          <w:szCs w:val="24"/>
        </w:rPr>
        <w:t xml:space="preserve"> (El Economista - </w:t>
      </w:r>
      <w:r w:rsidRPr="004F4B81">
        <w:rPr>
          <w:rFonts w:ascii="Times New Roman" w:hAnsi="Times New Roman" w:cs="Times New Roman"/>
          <w:b/>
          <w:sz w:val="24"/>
          <w:szCs w:val="24"/>
        </w:rPr>
        <w:t>18/10/22</w:t>
      </w:r>
      <w:r w:rsidRPr="004F4B81">
        <w:rPr>
          <w:rFonts w:ascii="Times New Roman" w:hAnsi="Times New Roman" w:cs="Times New Roman"/>
          <w:sz w:val="24"/>
          <w:szCs w:val="24"/>
        </w:rPr>
        <w:t>)</w:t>
      </w:r>
    </w:p>
    <w:p w:rsidR="005E53EB" w:rsidRPr="007D4355" w:rsidRDefault="005E53EB" w:rsidP="005E53EB">
      <w:pPr>
        <w:spacing w:line="240" w:lineRule="auto"/>
        <w:jc w:val="both"/>
        <w:rPr>
          <w:rFonts w:ascii="Times New Roman" w:hAnsi="Times New Roman" w:cs="Times New Roman"/>
          <w:sz w:val="24"/>
          <w:szCs w:val="24"/>
          <w:u w:val="single"/>
        </w:rPr>
      </w:pPr>
      <w:r w:rsidRPr="006C4350">
        <w:rPr>
          <w:rFonts w:ascii="Times New Roman" w:hAnsi="Times New Roman" w:cs="Times New Roman"/>
          <w:sz w:val="24"/>
          <w:szCs w:val="24"/>
        </w:rPr>
        <w:t xml:space="preserve">Pese a que el último dato inflación de EEUU confirmó que la subida de los precios sigue bien viva, los mercados miraron hacia otro lado y terminaron la semana pasada con un tono relativamente positivo. Esta semana, la situación no parece muy diferente. El lunes, las bolsas subieron con fuerza al compás de los bonos (sube su precio y cae su rentabilidad). </w:t>
      </w:r>
      <w:r w:rsidRPr="007D4355">
        <w:rPr>
          <w:rFonts w:ascii="Times New Roman" w:hAnsi="Times New Roman" w:cs="Times New Roman"/>
          <w:sz w:val="24"/>
          <w:szCs w:val="24"/>
          <w:u w:val="single"/>
        </w:rPr>
        <w:t>Parece que existe cierto optimismo en algunos segmentos del mundo de la inversión pese la lista de interminables riesgos que acosan a la economía y que pueden complicar sobremanera el escenario de un día para otro (la opción nuclear de Rusia sigue siendo un riesgo). ¿Están subestimando los mercados lo que puede estar por venir?</w:t>
      </w:r>
    </w:p>
    <w:p w:rsidR="005E53EB" w:rsidRPr="007D4355" w:rsidRDefault="005E53EB" w:rsidP="005E53EB">
      <w:pPr>
        <w:spacing w:line="240" w:lineRule="auto"/>
        <w:jc w:val="both"/>
        <w:rPr>
          <w:rFonts w:ascii="Times New Roman" w:hAnsi="Times New Roman" w:cs="Times New Roman"/>
          <w:color w:val="FF0000"/>
          <w:sz w:val="24"/>
          <w:szCs w:val="24"/>
          <w:u w:val="single"/>
        </w:rPr>
      </w:pPr>
      <w:r w:rsidRPr="007D4355">
        <w:rPr>
          <w:rFonts w:ascii="Times New Roman" w:hAnsi="Times New Roman" w:cs="Times New Roman"/>
          <w:color w:val="FF0000"/>
          <w:sz w:val="24"/>
          <w:szCs w:val="24"/>
          <w:u w:val="single"/>
        </w:rPr>
        <w:t>Los economistas de Deutsche Bank lo tienen muy claro: los mercados están ignorando el shock inflacionario y el impacto que, probablemente, tendrá sobre el rendimiento real de las acciones y los bonos. Los expertos del banco alemán creen que los inversores se pueden enfrentar a años rendimientos reales negativos (represión financiera) y, sin embargo, siguen invertidos o buscando oportunidades para entrar y salir en un entorno que no presagia nada bueno.</w:t>
      </w:r>
    </w:p>
    <w:p w:rsidR="005E53EB" w:rsidRPr="007D4355" w:rsidRDefault="005E53EB" w:rsidP="005E53EB">
      <w:pPr>
        <w:spacing w:line="240" w:lineRule="auto"/>
        <w:jc w:val="both"/>
        <w:rPr>
          <w:rFonts w:ascii="Times New Roman" w:hAnsi="Times New Roman" w:cs="Times New Roman"/>
          <w:sz w:val="24"/>
          <w:szCs w:val="24"/>
          <w:u w:val="single"/>
        </w:rPr>
      </w:pPr>
      <w:r w:rsidRPr="007D4355">
        <w:rPr>
          <w:rFonts w:ascii="Times New Roman" w:hAnsi="Times New Roman" w:cs="Times New Roman"/>
          <w:sz w:val="24"/>
          <w:szCs w:val="24"/>
          <w:u w:val="single"/>
        </w:rPr>
        <w:t>Los mercados suelen cotizar los riesgos con claridad, pero a día de hoy no parece que estén cotizando la posibilidad de que un Putin acorralado pueda recurrir a las armas nucleares o a otras opciones desesperadas. Es cierto que las bolsas han caído y que el rendimiento de los bonos se ha incrementado, pero estos movimientos no parecen demasiado acordes para lo que podría ser el comienzo de una guerra global o de una estanflación con crecimiento negativo (recesión) y tipos de interés al alza.</w:t>
      </w:r>
    </w:p>
    <w:p w:rsidR="005E53EB" w:rsidRPr="007D4355" w:rsidRDefault="005E53EB" w:rsidP="005E53EB">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w:t>
      </w:r>
      <w:r w:rsidRPr="007D4355">
        <w:rPr>
          <w:rFonts w:ascii="Times New Roman" w:hAnsi="Times New Roman" w:cs="Times New Roman"/>
          <w:color w:val="FF0000"/>
          <w:sz w:val="24"/>
          <w:szCs w:val="24"/>
          <w:u w:val="single"/>
        </w:rPr>
        <w:t>Los mercados están ignorando el hecho de que corremos un riesgo cada vez mayor de volver a una dinámica estanflacionaria prolongada al estilo de la década de 1970, lo que requeriría una respuesta de los tipos de interés aún mayor. Si se repite la experiencia de la década de 1970, los inversores se encontrarán con un período prolongado de rendimientos reales negativos tanto para l</w:t>
      </w:r>
      <w:r>
        <w:rPr>
          <w:rFonts w:ascii="Times New Roman" w:hAnsi="Times New Roman" w:cs="Times New Roman"/>
          <w:color w:val="FF0000"/>
          <w:sz w:val="24"/>
          <w:szCs w:val="24"/>
          <w:u w:val="single"/>
        </w:rPr>
        <w:t>os bonos como para las acciones”</w:t>
      </w:r>
      <w:r w:rsidRPr="007D4355">
        <w:rPr>
          <w:rFonts w:ascii="Times New Roman" w:hAnsi="Times New Roman" w:cs="Times New Roman"/>
          <w:color w:val="FF0000"/>
          <w:sz w:val="24"/>
          <w:szCs w:val="24"/>
          <w:u w:val="single"/>
        </w:rPr>
        <w:t>, según Henry Allen, investigador y analista en Deutsche Bank.</w:t>
      </w:r>
    </w:p>
    <w:p w:rsidR="005E53EB" w:rsidRPr="005E53EB" w:rsidRDefault="005E53EB" w:rsidP="005E53EB">
      <w:pPr>
        <w:spacing w:line="240" w:lineRule="auto"/>
        <w:jc w:val="both"/>
        <w:rPr>
          <w:rFonts w:ascii="Times New Roman" w:hAnsi="Times New Roman" w:cs="Times New Roman"/>
          <w:color w:val="FF0000"/>
          <w:sz w:val="24"/>
          <w:szCs w:val="24"/>
          <w:u w:val="single"/>
        </w:rPr>
      </w:pPr>
      <w:r w:rsidRPr="005E53EB">
        <w:rPr>
          <w:rFonts w:ascii="Times New Roman" w:hAnsi="Times New Roman" w:cs="Times New Roman"/>
          <w:color w:val="FF0000"/>
          <w:sz w:val="24"/>
          <w:szCs w:val="24"/>
          <w:u w:val="single"/>
        </w:rPr>
        <w:t>Este experto destaca que “esta no es una advertencia sin más (sin fundamento). La inflación se ha vuelto cada vez más amplia y persistente. Los tipos de interés que maneja el banco central siguen siendo profundamente negativos en términos reales, incluso después de todo el ajuste realizado hasta ahora. Y los paquetes de estímulo fiscal para hacer frente al shock energético están ejerciendo una mayor presión alcista sobre la inflación a medio plazo”.</w:t>
      </w:r>
    </w:p>
    <w:p w:rsidR="005E53EB" w:rsidRPr="006C4350" w:rsidRDefault="005E53EB" w:rsidP="005E53EB">
      <w:pPr>
        <w:spacing w:line="240" w:lineRule="auto"/>
        <w:jc w:val="both"/>
        <w:rPr>
          <w:rFonts w:ascii="Times New Roman" w:hAnsi="Times New Roman" w:cs="Times New Roman"/>
          <w:sz w:val="24"/>
          <w:szCs w:val="24"/>
        </w:rPr>
      </w:pPr>
      <w:r w:rsidRPr="006C4350">
        <w:rPr>
          <w:rFonts w:ascii="Times New Roman" w:hAnsi="Times New Roman" w:cs="Times New Roman"/>
          <w:sz w:val="24"/>
          <w:szCs w:val="24"/>
        </w:rPr>
        <w:lastRenderedPageBreak/>
        <w:t>Dos trenes a toda velocidad</w:t>
      </w:r>
    </w:p>
    <w:p w:rsidR="005E53EB" w:rsidRPr="003E0A1E" w:rsidRDefault="005E53EB" w:rsidP="005E53EB">
      <w:pPr>
        <w:spacing w:line="240" w:lineRule="auto"/>
        <w:jc w:val="both"/>
        <w:rPr>
          <w:rFonts w:ascii="Times New Roman" w:hAnsi="Times New Roman" w:cs="Times New Roman"/>
          <w:color w:val="FF0000"/>
          <w:sz w:val="24"/>
          <w:szCs w:val="24"/>
          <w:u w:val="single"/>
        </w:rPr>
      </w:pPr>
      <w:r w:rsidRPr="003E0A1E">
        <w:rPr>
          <w:rFonts w:ascii="Times New Roman" w:hAnsi="Times New Roman" w:cs="Times New Roman"/>
          <w:color w:val="FF0000"/>
          <w:sz w:val="24"/>
          <w:szCs w:val="24"/>
          <w:u w:val="single"/>
        </w:rPr>
        <w:t>Allen cree que estas fuerzas son como trenes que van a colisionar. Por un lado, el tren de la inflación coge velocidad con las políticas fiscales coordinadas a nivel mundial (más gasto, ayudas, algunas rebajadas de impuestos...), mientras que las subidas de tipos de interés son otro tren que viene de frente para intentar frenar la inflación</w:t>
      </w:r>
      <w:r w:rsidRPr="006C4350">
        <w:rPr>
          <w:rFonts w:ascii="Times New Roman" w:hAnsi="Times New Roman" w:cs="Times New Roman"/>
          <w:sz w:val="24"/>
          <w:szCs w:val="24"/>
        </w:rPr>
        <w:t xml:space="preserve">. </w:t>
      </w:r>
      <w:r w:rsidRPr="003E0A1E">
        <w:rPr>
          <w:rFonts w:ascii="Times New Roman" w:hAnsi="Times New Roman" w:cs="Times New Roman"/>
          <w:sz w:val="24"/>
          <w:szCs w:val="24"/>
          <w:u w:val="single"/>
        </w:rPr>
        <w:t>Además, el problema de las subidas de tipos es que su impacto real en la economía tarda en percibirse a veces hasta un año, de modo que, quizá, las subidas de tipos ya han hecho mucho daño, pero como aún no se ha podido ver de forma clara, los bancos centrales seguirán subiendo los tipos de interés (en economías muy endeudadas, con empresas poco productivas y vulnerables).</w:t>
      </w:r>
      <w:r w:rsidRPr="006C4350">
        <w:rPr>
          <w:rFonts w:ascii="Times New Roman" w:hAnsi="Times New Roman" w:cs="Times New Roman"/>
          <w:sz w:val="24"/>
          <w:szCs w:val="24"/>
        </w:rPr>
        <w:t xml:space="preserve"> </w:t>
      </w:r>
      <w:r w:rsidRPr="003E0A1E">
        <w:rPr>
          <w:rFonts w:ascii="Times New Roman" w:hAnsi="Times New Roman" w:cs="Times New Roman"/>
          <w:color w:val="FF0000"/>
          <w:sz w:val="24"/>
          <w:szCs w:val="24"/>
          <w:u w:val="single"/>
        </w:rPr>
        <w:t>El choque de trenes puede terminar en una recesión poco corriente.</w:t>
      </w:r>
    </w:p>
    <w:p w:rsidR="005E53EB" w:rsidRPr="003E0A1E" w:rsidRDefault="005E53EB" w:rsidP="005E53EB">
      <w:pPr>
        <w:spacing w:line="240" w:lineRule="auto"/>
        <w:jc w:val="both"/>
        <w:rPr>
          <w:rFonts w:ascii="Times New Roman" w:hAnsi="Times New Roman" w:cs="Times New Roman"/>
          <w:sz w:val="24"/>
          <w:szCs w:val="24"/>
          <w:u w:val="single"/>
        </w:rPr>
      </w:pPr>
      <w:r w:rsidRPr="003E0A1E">
        <w:rPr>
          <w:rFonts w:ascii="Times New Roman" w:hAnsi="Times New Roman" w:cs="Times New Roman"/>
          <w:sz w:val="24"/>
          <w:szCs w:val="24"/>
          <w:u w:val="single"/>
        </w:rPr>
        <w:t>Seis razones para creer que los mercados se equivocan</w:t>
      </w:r>
    </w:p>
    <w:p w:rsidR="005E53EB" w:rsidRPr="006C4350" w:rsidRDefault="005E53EB" w:rsidP="005E53EB">
      <w:pPr>
        <w:spacing w:line="240" w:lineRule="auto"/>
        <w:jc w:val="both"/>
        <w:rPr>
          <w:rFonts w:ascii="Times New Roman" w:hAnsi="Times New Roman" w:cs="Times New Roman"/>
          <w:sz w:val="24"/>
          <w:szCs w:val="24"/>
        </w:rPr>
      </w:pPr>
      <w:r w:rsidRPr="006C4350">
        <w:rPr>
          <w:rFonts w:ascii="Times New Roman" w:hAnsi="Times New Roman" w:cs="Times New Roman"/>
          <w:sz w:val="24"/>
          <w:szCs w:val="24"/>
        </w:rPr>
        <w:t>A la luz de esta preocupante dinámica de inflación, Allen y sus colegas de Deutsche Bank describen las razones por las que los mercados deberían estar mucho más preocupados por la inflación de lo que están</w:t>
      </w:r>
    </w:p>
    <w:p w:rsidR="005E53EB" w:rsidRPr="006C4350" w:rsidRDefault="005E53EB" w:rsidP="005E53EB">
      <w:pPr>
        <w:spacing w:line="240" w:lineRule="auto"/>
        <w:jc w:val="both"/>
        <w:rPr>
          <w:rFonts w:ascii="Times New Roman" w:hAnsi="Times New Roman" w:cs="Times New Roman"/>
          <w:sz w:val="24"/>
          <w:szCs w:val="24"/>
        </w:rPr>
      </w:pPr>
      <w:r w:rsidRPr="006C4350">
        <w:rPr>
          <w:rFonts w:ascii="Times New Roman" w:hAnsi="Times New Roman" w:cs="Times New Roman"/>
          <w:sz w:val="24"/>
          <w:szCs w:val="24"/>
        </w:rPr>
        <w:t xml:space="preserve">1. </w:t>
      </w:r>
      <w:r w:rsidRPr="003E0A1E">
        <w:rPr>
          <w:rFonts w:ascii="Times New Roman" w:hAnsi="Times New Roman" w:cs="Times New Roman"/>
          <w:color w:val="FF0000"/>
          <w:sz w:val="24"/>
          <w:szCs w:val="24"/>
          <w:u w:val="single"/>
        </w:rPr>
        <w:t>El riesgo de que las expectativas de inflación se desanclen está seriamente subestimado.</w:t>
      </w:r>
      <w:r w:rsidRPr="003E0A1E">
        <w:rPr>
          <w:rFonts w:ascii="Times New Roman" w:hAnsi="Times New Roman" w:cs="Times New Roman"/>
          <w:color w:val="FF0000"/>
          <w:sz w:val="24"/>
          <w:szCs w:val="24"/>
        </w:rPr>
        <w:t xml:space="preserve"> </w:t>
      </w:r>
      <w:r w:rsidRPr="006C4350">
        <w:rPr>
          <w:rFonts w:ascii="Times New Roman" w:hAnsi="Times New Roman" w:cs="Times New Roman"/>
          <w:sz w:val="24"/>
          <w:szCs w:val="24"/>
        </w:rPr>
        <w:t>Uno de los mayores determinantes de las expectativas de inflación es dónde se encuentra la inflación en este momento. Entonces, cuanto más tiempo permanezca alta la inflación, mayor será el riesgo de que las expectativas de inflación también aumenten. Por el momento, las expectativas se han mantenido relativamente, pero hay signos preocupantes de que esto podría estar revirtiéndose, asegu</w:t>
      </w:r>
      <w:r>
        <w:rPr>
          <w:rFonts w:ascii="Times New Roman" w:hAnsi="Times New Roman" w:cs="Times New Roman"/>
          <w:sz w:val="24"/>
          <w:szCs w:val="24"/>
        </w:rPr>
        <w:t>ra el informe de Deutsche Bank.</w:t>
      </w:r>
    </w:p>
    <w:p w:rsidR="005E53EB" w:rsidRPr="006C4350" w:rsidRDefault="005E53EB" w:rsidP="005E53EB">
      <w:pPr>
        <w:spacing w:line="240" w:lineRule="auto"/>
        <w:jc w:val="both"/>
        <w:rPr>
          <w:rFonts w:ascii="Times New Roman" w:hAnsi="Times New Roman" w:cs="Times New Roman"/>
          <w:sz w:val="24"/>
          <w:szCs w:val="24"/>
        </w:rPr>
      </w:pPr>
      <w:r w:rsidRPr="006C4350">
        <w:rPr>
          <w:rFonts w:ascii="Times New Roman" w:hAnsi="Times New Roman" w:cs="Times New Roman"/>
          <w:sz w:val="24"/>
          <w:szCs w:val="24"/>
        </w:rPr>
        <w:t xml:space="preserve">2. </w:t>
      </w:r>
      <w:r w:rsidRPr="003E0A1E">
        <w:rPr>
          <w:rFonts w:ascii="Times New Roman" w:hAnsi="Times New Roman" w:cs="Times New Roman"/>
          <w:color w:val="FF0000"/>
          <w:sz w:val="24"/>
          <w:szCs w:val="24"/>
          <w:u w:val="single"/>
        </w:rPr>
        <w:t>Los tipos de interés que manejan los bancos centrales siguen siendo profundamente negativos en términos reales</w:t>
      </w:r>
      <w:r>
        <w:rPr>
          <w:rFonts w:ascii="Times New Roman" w:hAnsi="Times New Roman" w:cs="Times New Roman"/>
          <w:sz w:val="24"/>
          <w:szCs w:val="24"/>
        </w:rPr>
        <w:t xml:space="preserve">. </w:t>
      </w:r>
      <w:r w:rsidRPr="006C4350">
        <w:rPr>
          <w:rFonts w:ascii="Times New Roman" w:hAnsi="Times New Roman" w:cs="Times New Roman"/>
          <w:sz w:val="24"/>
          <w:szCs w:val="24"/>
        </w:rPr>
        <w:t>Tanto la Fed como el BCE se han embarcado en ciclos de endurecimiento rápido y se mueven a un ritmo de 75 pb por reunión, la inflación persistente significa que sus tasas de política siguen siendo profundamente negativas en términos reales. De hecho, en septiembre, la tasa real al contado de los fondos federales todavía estaba por debajo del -5%, lo que supone que aún está muy lejos de los niveles que alcanzó durante l</w:t>
      </w:r>
      <w:r>
        <w:rPr>
          <w:rFonts w:ascii="Times New Roman" w:hAnsi="Times New Roman" w:cs="Times New Roman"/>
          <w:sz w:val="24"/>
          <w:szCs w:val="24"/>
        </w:rPr>
        <w:t>a década inflacionaria de 1970.</w:t>
      </w:r>
    </w:p>
    <w:p w:rsidR="005E53EB" w:rsidRPr="003E0A1E" w:rsidRDefault="005E53EB" w:rsidP="005E53EB">
      <w:pPr>
        <w:spacing w:line="240" w:lineRule="auto"/>
        <w:jc w:val="both"/>
        <w:rPr>
          <w:rFonts w:ascii="Times New Roman" w:hAnsi="Times New Roman" w:cs="Times New Roman"/>
          <w:sz w:val="24"/>
          <w:szCs w:val="24"/>
          <w:u w:val="single"/>
        </w:rPr>
      </w:pPr>
      <w:r w:rsidRPr="006C4350">
        <w:rPr>
          <w:rFonts w:ascii="Times New Roman" w:hAnsi="Times New Roman" w:cs="Times New Roman"/>
          <w:sz w:val="24"/>
          <w:szCs w:val="24"/>
        </w:rPr>
        <w:t xml:space="preserve">Por su parte, en la Eurozona, el tipo real del BCE (tipo de interés menos inflación) tocó un mínimo histórico en septiembre, a pesar de los 125 pb de aumentos en los tipos que se ha visto hasta ahora, porque la inflación ha seguido incrementándose. Es más, </w:t>
      </w:r>
      <w:r w:rsidRPr="003E0A1E">
        <w:rPr>
          <w:rFonts w:ascii="Times New Roman" w:hAnsi="Times New Roman" w:cs="Times New Roman"/>
          <w:sz w:val="24"/>
          <w:szCs w:val="24"/>
          <w:u w:val="single"/>
        </w:rPr>
        <w:t>aunque el BCE solo quisiese llevar los tipos hasta la zona neutral (el entorno del 2%), aunque le quedarían varias alzas del precio del dinero, eso en el escenario más conservador de subidas de tipos, puesto que para detener a la inflación, probablemente, el BCE se tendrá que adentrar en el terreno contractivo de la política monetaria, como han comenzado a señalar varios miembros del Consejo de Gobierno.</w:t>
      </w:r>
    </w:p>
    <w:p w:rsidR="005E53EB" w:rsidRPr="003E0A1E" w:rsidRDefault="005E53EB" w:rsidP="005E53EB">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w:t>
      </w:r>
      <w:r w:rsidRPr="003E0A1E">
        <w:rPr>
          <w:rFonts w:ascii="Times New Roman" w:hAnsi="Times New Roman" w:cs="Times New Roman"/>
          <w:color w:val="FF0000"/>
          <w:sz w:val="24"/>
          <w:szCs w:val="24"/>
          <w:u w:val="single"/>
        </w:rPr>
        <w:t>Todo esto se encuentra aún muy lejos de las tasas reales fuertemente positivas que se utilizaron para controlar la inflación bajo el mandato de Paul Volcker como presidente de la Fed, y se suma a la posibilidad de que las presiones inflacionarias sean más fuertes de lo</w:t>
      </w:r>
      <w:r>
        <w:rPr>
          <w:rFonts w:ascii="Times New Roman" w:hAnsi="Times New Roman" w:cs="Times New Roman"/>
          <w:color w:val="FF0000"/>
          <w:sz w:val="24"/>
          <w:szCs w:val="24"/>
          <w:u w:val="single"/>
        </w:rPr>
        <w:t xml:space="preserve"> esperado en los próximos meses”</w:t>
      </w:r>
      <w:r w:rsidRPr="003E0A1E">
        <w:rPr>
          <w:rFonts w:ascii="Times New Roman" w:hAnsi="Times New Roman" w:cs="Times New Roman"/>
          <w:color w:val="FF0000"/>
          <w:sz w:val="24"/>
          <w:szCs w:val="24"/>
          <w:u w:val="single"/>
        </w:rPr>
        <w:t>, advierte el economista de Deutsche Bank.</w:t>
      </w:r>
    </w:p>
    <w:p w:rsidR="005E53EB" w:rsidRPr="006C4350" w:rsidRDefault="005E53EB" w:rsidP="005E53EB">
      <w:pPr>
        <w:spacing w:line="240" w:lineRule="auto"/>
        <w:jc w:val="both"/>
        <w:rPr>
          <w:rFonts w:ascii="Times New Roman" w:hAnsi="Times New Roman" w:cs="Times New Roman"/>
          <w:sz w:val="24"/>
          <w:szCs w:val="24"/>
        </w:rPr>
      </w:pPr>
      <w:r w:rsidRPr="006C4350">
        <w:rPr>
          <w:rFonts w:ascii="Times New Roman" w:hAnsi="Times New Roman" w:cs="Times New Roman"/>
          <w:sz w:val="24"/>
          <w:szCs w:val="24"/>
        </w:rPr>
        <w:t xml:space="preserve">3. </w:t>
      </w:r>
      <w:r w:rsidRPr="003E0A1E">
        <w:rPr>
          <w:rFonts w:ascii="Times New Roman" w:hAnsi="Times New Roman" w:cs="Times New Roman"/>
          <w:color w:val="FF0000"/>
          <w:sz w:val="24"/>
          <w:szCs w:val="24"/>
          <w:u w:val="single"/>
        </w:rPr>
        <w:t>Las políticas gubernamentales siguen sirviendo para impulsar las presiones inflacionarias a medio plazo</w:t>
      </w:r>
      <w:r>
        <w:rPr>
          <w:rFonts w:ascii="Times New Roman" w:hAnsi="Times New Roman" w:cs="Times New Roman"/>
          <w:sz w:val="24"/>
          <w:szCs w:val="24"/>
        </w:rPr>
        <w:t>. “</w:t>
      </w:r>
      <w:r w:rsidRPr="003E0A1E">
        <w:rPr>
          <w:rFonts w:ascii="Times New Roman" w:hAnsi="Times New Roman" w:cs="Times New Roman"/>
          <w:sz w:val="24"/>
          <w:szCs w:val="24"/>
          <w:u w:val="single"/>
        </w:rPr>
        <w:t>Actualmente, estamos experimentando un ciclo globalmente sincronizado de subidas de tipos. Pero la política fiscal está empujando en la otra dirección</w:t>
      </w:r>
      <w:r w:rsidRPr="006C4350">
        <w:rPr>
          <w:rFonts w:ascii="Times New Roman" w:hAnsi="Times New Roman" w:cs="Times New Roman"/>
          <w:sz w:val="24"/>
          <w:szCs w:val="24"/>
        </w:rPr>
        <w:t xml:space="preserve">. Por ejemplo, Alemania anunció un importante paquete fiscal a finales de septiembre para limitar los precios de la gasolina, que fue uno de los factores que llevaron a nuestros economistas </w:t>
      </w:r>
      <w:r w:rsidRPr="006C4350">
        <w:rPr>
          <w:rFonts w:ascii="Times New Roman" w:hAnsi="Times New Roman" w:cs="Times New Roman"/>
          <w:sz w:val="24"/>
          <w:szCs w:val="24"/>
        </w:rPr>
        <w:lastRenderedPageBreak/>
        <w:t>europeos a elevar sus expectativas de referenci</w:t>
      </w:r>
      <w:r>
        <w:rPr>
          <w:rFonts w:ascii="Times New Roman" w:hAnsi="Times New Roman" w:cs="Times New Roman"/>
          <w:sz w:val="24"/>
          <w:szCs w:val="24"/>
        </w:rPr>
        <w:t>a para la tasa terminal del BCE”</w:t>
      </w:r>
      <w:r w:rsidRPr="006C4350">
        <w:rPr>
          <w:rFonts w:ascii="Times New Roman" w:hAnsi="Times New Roman" w:cs="Times New Roman"/>
          <w:sz w:val="24"/>
          <w:szCs w:val="24"/>
        </w:rPr>
        <w:t>, seña</w:t>
      </w:r>
      <w:r>
        <w:rPr>
          <w:rFonts w:ascii="Times New Roman" w:hAnsi="Times New Roman" w:cs="Times New Roman"/>
          <w:sz w:val="24"/>
          <w:szCs w:val="24"/>
        </w:rPr>
        <w:t>la el informe del banco alemán.</w:t>
      </w:r>
    </w:p>
    <w:p w:rsidR="005E53EB" w:rsidRPr="006C4350" w:rsidRDefault="005E53EB" w:rsidP="005E53EB">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3E0A1E">
        <w:rPr>
          <w:rFonts w:ascii="Times New Roman" w:hAnsi="Times New Roman" w:cs="Times New Roman"/>
          <w:sz w:val="24"/>
          <w:szCs w:val="24"/>
          <w:u w:val="single"/>
        </w:rPr>
        <w:t>El impacto colectivo de estas políticas está presionando al alza la inflación</w:t>
      </w:r>
      <w:r w:rsidRPr="006C4350">
        <w:rPr>
          <w:rFonts w:ascii="Times New Roman" w:hAnsi="Times New Roman" w:cs="Times New Roman"/>
          <w:sz w:val="24"/>
          <w:szCs w:val="24"/>
        </w:rPr>
        <w:t>. Además, los incentivos políticos siguen estando a favor de nuevas intervenciones, dada la reducción inusualmente grande del coste de vida a la que se enfrentan los consumidores, por lo que existe un riesgo subestimado de que las medidas de política fiscal ayuden a que la inflación se mante</w:t>
      </w:r>
      <w:r>
        <w:rPr>
          <w:rFonts w:ascii="Times New Roman" w:hAnsi="Times New Roman" w:cs="Times New Roman"/>
          <w:sz w:val="24"/>
          <w:szCs w:val="24"/>
        </w:rPr>
        <w:t>nga estructuralmente más alta”.</w:t>
      </w:r>
    </w:p>
    <w:p w:rsidR="005E53EB" w:rsidRPr="006C4350" w:rsidRDefault="005E53EB" w:rsidP="005E53EB">
      <w:pPr>
        <w:spacing w:line="240" w:lineRule="auto"/>
        <w:jc w:val="both"/>
        <w:rPr>
          <w:rFonts w:ascii="Times New Roman" w:hAnsi="Times New Roman" w:cs="Times New Roman"/>
          <w:sz w:val="24"/>
          <w:szCs w:val="24"/>
        </w:rPr>
      </w:pPr>
      <w:r w:rsidRPr="006C4350">
        <w:rPr>
          <w:rFonts w:ascii="Times New Roman" w:hAnsi="Times New Roman" w:cs="Times New Roman"/>
          <w:sz w:val="24"/>
          <w:szCs w:val="24"/>
        </w:rPr>
        <w:t xml:space="preserve">4. </w:t>
      </w:r>
      <w:r w:rsidRPr="003E0A1E">
        <w:rPr>
          <w:rFonts w:ascii="Times New Roman" w:hAnsi="Times New Roman" w:cs="Times New Roman"/>
          <w:color w:val="FF0000"/>
          <w:sz w:val="24"/>
          <w:szCs w:val="24"/>
          <w:u w:val="single"/>
        </w:rPr>
        <w:t>La inflación (y la inflación subyacente) sigue siendo generalizada en toda la cesta de precios al consumidor</w:t>
      </w:r>
      <w:r>
        <w:rPr>
          <w:rFonts w:ascii="Times New Roman" w:hAnsi="Times New Roman" w:cs="Times New Roman"/>
          <w:sz w:val="24"/>
          <w:szCs w:val="24"/>
        </w:rPr>
        <w:t>. “</w:t>
      </w:r>
      <w:r w:rsidRPr="006C4350">
        <w:rPr>
          <w:rFonts w:ascii="Times New Roman" w:hAnsi="Times New Roman" w:cs="Times New Roman"/>
          <w:sz w:val="24"/>
          <w:szCs w:val="24"/>
        </w:rPr>
        <w:t>Cuando comenzó el aumento de la inflación en 2021, podría atribuirse razonablemente a algunos factores idiosincrásicos, como el aumento de los precios de la energía, los coches de segundo mano... Pero los últimos meses, la explicac</w:t>
      </w:r>
      <w:r>
        <w:rPr>
          <w:rFonts w:ascii="Times New Roman" w:hAnsi="Times New Roman" w:cs="Times New Roman"/>
          <w:sz w:val="24"/>
          <w:szCs w:val="24"/>
        </w:rPr>
        <w:t>ión de la inflación ha cambiado”</w:t>
      </w:r>
      <w:r w:rsidRPr="006C4350">
        <w:rPr>
          <w:rFonts w:ascii="Times New Roman" w:hAnsi="Times New Roman" w:cs="Times New Roman"/>
          <w:sz w:val="24"/>
          <w:szCs w:val="24"/>
        </w:rPr>
        <w:t>. En el caso de la Eurozona, buena parte sigue siendo culpa de la</w:t>
      </w:r>
      <w:r>
        <w:rPr>
          <w:rFonts w:ascii="Times New Roman" w:hAnsi="Times New Roman" w:cs="Times New Roman"/>
          <w:sz w:val="24"/>
          <w:szCs w:val="24"/>
        </w:rPr>
        <w:t xml:space="preserve"> energía, la cuestión es que aunque</w:t>
      </w:r>
      <w:r w:rsidRPr="006C4350">
        <w:rPr>
          <w:rFonts w:ascii="Times New Roman" w:hAnsi="Times New Roman" w:cs="Times New Roman"/>
          <w:sz w:val="24"/>
          <w:szCs w:val="24"/>
        </w:rPr>
        <w:t xml:space="preserve"> sea la energía, este componente no parece que vaya a dar respiro al Viejo Continente, más bien al revés, la energía se podría convertir en un factor estructural de la elevada inflación en la Eurozona.</w:t>
      </w:r>
    </w:p>
    <w:p w:rsidR="005E53EB" w:rsidRPr="006C4350" w:rsidRDefault="005E53EB" w:rsidP="005E53EB">
      <w:pPr>
        <w:spacing w:line="240" w:lineRule="auto"/>
        <w:jc w:val="both"/>
        <w:rPr>
          <w:rFonts w:ascii="Times New Roman" w:hAnsi="Times New Roman" w:cs="Times New Roman"/>
          <w:sz w:val="24"/>
          <w:szCs w:val="24"/>
        </w:rPr>
      </w:pPr>
      <w:r w:rsidRPr="006C4350">
        <w:rPr>
          <w:rFonts w:ascii="Times New Roman" w:hAnsi="Times New Roman" w:cs="Times New Roman"/>
          <w:sz w:val="24"/>
          <w:szCs w:val="24"/>
        </w:rPr>
        <w:t>En EEUU, la inflación también es reflejo del impacto de la vivienda, que es una variable rezagada. Pero incluso si observa el IPC subyacente, excluyendo la vivienda, entonces la inflación mensual en septiembre presentó el crecimiento elevadí</w:t>
      </w:r>
      <w:r>
        <w:rPr>
          <w:rFonts w:ascii="Times New Roman" w:hAnsi="Times New Roman" w:cs="Times New Roman"/>
          <w:sz w:val="24"/>
          <w:szCs w:val="24"/>
        </w:rPr>
        <w:t>simo (+0,45%). Mientras tanto, “</w:t>
      </w:r>
      <w:r w:rsidRPr="006C4350">
        <w:rPr>
          <w:rFonts w:ascii="Times New Roman" w:hAnsi="Times New Roman" w:cs="Times New Roman"/>
          <w:sz w:val="24"/>
          <w:szCs w:val="24"/>
        </w:rPr>
        <w:t>los indicadores de inflación subyacente, como la media recortada, alcanzan máximos de varias décadas tanto en EEUU como en la zona del euro. Por lo tanto, ya no podemos depender solo de precios específicos para normalizar la inflación para que baje, puesto que se ha extend</w:t>
      </w:r>
      <w:r>
        <w:rPr>
          <w:rFonts w:ascii="Times New Roman" w:hAnsi="Times New Roman" w:cs="Times New Roman"/>
          <w:sz w:val="24"/>
          <w:szCs w:val="24"/>
        </w:rPr>
        <w:t>ido mucho más”, sostiene Allen.</w:t>
      </w:r>
    </w:p>
    <w:p w:rsidR="005E53EB" w:rsidRPr="006C4350" w:rsidRDefault="005E53EB" w:rsidP="005E53EB">
      <w:pPr>
        <w:spacing w:line="240" w:lineRule="auto"/>
        <w:jc w:val="both"/>
        <w:rPr>
          <w:rFonts w:ascii="Times New Roman" w:hAnsi="Times New Roman" w:cs="Times New Roman"/>
          <w:sz w:val="24"/>
          <w:szCs w:val="24"/>
        </w:rPr>
      </w:pPr>
      <w:r w:rsidRPr="006C4350">
        <w:rPr>
          <w:rFonts w:ascii="Times New Roman" w:hAnsi="Times New Roman" w:cs="Times New Roman"/>
          <w:sz w:val="24"/>
          <w:szCs w:val="24"/>
        </w:rPr>
        <w:t xml:space="preserve">5. </w:t>
      </w:r>
      <w:r>
        <w:rPr>
          <w:rFonts w:ascii="Times New Roman" w:hAnsi="Times New Roman" w:cs="Times New Roman"/>
          <w:color w:val="FF0000"/>
          <w:sz w:val="24"/>
          <w:szCs w:val="24"/>
          <w:u w:val="single"/>
        </w:rPr>
        <w:t>Son los llamados precios “pegajosos”</w:t>
      </w:r>
      <w:r w:rsidRPr="003E0A1E">
        <w:rPr>
          <w:rFonts w:ascii="Times New Roman" w:hAnsi="Times New Roman" w:cs="Times New Roman"/>
          <w:color w:val="FF0000"/>
          <w:sz w:val="24"/>
          <w:szCs w:val="24"/>
          <w:u w:val="single"/>
        </w:rPr>
        <w:t xml:space="preserve"> son los que todavía están acelerando</w:t>
      </w:r>
      <w:r w:rsidRPr="006C4350">
        <w:rPr>
          <w:rFonts w:ascii="Times New Roman" w:hAnsi="Times New Roman" w:cs="Times New Roman"/>
          <w:sz w:val="24"/>
          <w:szCs w:val="24"/>
        </w:rPr>
        <w:t>. Uno de los detalles más preocupantes del informe de inflación de EEUU de la semana pasada fue que el crecimiento mensual en la serie del IPC subyacente alcanzó su nivel más alt</w:t>
      </w:r>
      <w:r>
        <w:rPr>
          <w:rFonts w:ascii="Times New Roman" w:hAnsi="Times New Roman" w:cs="Times New Roman"/>
          <w:sz w:val="24"/>
          <w:szCs w:val="24"/>
        </w:rPr>
        <w:t>o desde 1982, con un +0,68%... “</w:t>
      </w:r>
      <w:r w:rsidRPr="006C4350">
        <w:rPr>
          <w:rFonts w:ascii="Times New Roman" w:hAnsi="Times New Roman" w:cs="Times New Roman"/>
          <w:sz w:val="24"/>
          <w:szCs w:val="24"/>
        </w:rPr>
        <w:t>El hecho de que esta serie ni siquiera se estabilice, sino que se acelere, es una mala noticia y aumenta la posibilidad de que la inflación no disminuya tan rápidamente como esperan los inv</w:t>
      </w:r>
      <w:r>
        <w:rPr>
          <w:rFonts w:ascii="Times New Roman" w:hAnsi="Times New Roman" w:cs="Times New Roman"/>
          <w:sz w:val="24"/>
          <w:szCs w:val="24"/>
        </w:rPr>
        <w:t>ersores en los próximos meses”.</w:t>
      </w:r>
    </w:p>
    <w:p w:rsidR="005E53EB" w:rsidRPr="006C4350" w:rsidRDefault="005E53EB" w:rsidP="005E53EB">
      <w:pPr>
        <w:spacing w:line="240" w:lineRule="auto"/>
        <w:jc w:val="both"/>
        <w:rPr>
          <w:rFonts w:ascii="Times New Roman" w:hAnsi="Times New Roman" w:cs="Times New Roman"/>
          <w:sz w:val="24"/>
          <w:szCs w:val="24"/>
        </w:rPr>
      </w:pPr>
      <w:r w:rsidRPr="006C4350">
        <w:rPr>
          <w:rFonts w:ascii="Times New Roman" w:hAnsi="Times New Roman" w:cs="Times New Roman"/>
          <w:sz w:val="24"/>
          <w:szCs w:val="24"/>
        </w:rPr>
        <w:t xml:space="preserve">6. </w:t>
      </w:r>
      <w:r w:rsidRPr="003E0A1E">
        <w:rPr>
          <w:rFonts w:ascii="Times New Roman" w:hAnsi="Times New Roman" w:cs="Times New Roman"/>
          <w:color w:val="FF0000"/>
          <w:sz w:val="24"/>
          <w:szCs w:val="24"/>
          <w:u w:val="single"/>
        </w:rPr>
        <w:t>Al igual que en la década de 1970, choques aparentemente transitorios se han fusionado para mantener alta la inflación</w:t>
      </w:r>
      <w:r w:rsidRPr="006C4350">
        <w:rPr>
          <w:rFonts w:ascii="Times New Roman" w:hAnsi="Times New Roman" w:cs="Times New Roman"/>
          <w:sz w:val="24"/>
          <w:szCs w:val="24"/>
        </w:rPr>
        <w:t>. No podemos descartar que ocurran más. Al igual que el año pasado, las expectativas de consenso son que la inflación retrocederá en los siguientes 12 meses. Pero, ¿qué pasaría si un nuevo shock se suma al proceso de desanclaje de las expectativas de inflación?</w:t>
      </w:r>
    </w:p>
    <w:p w:rsidR="007157B1" w:rsidRPr="006C4350" w:rsidRDefault="007157B1" w:rsidP="007157B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El fiasco del Reino Unido “entierra”</w:t>
      </w:r>
      <w:r w:rsidRPr="006C4350">
        <w:rPr>
          <w:rFonts w:ascii="Times New Roman" w:hAnsi="Times New Roman" w:cs="Times New Roman"/>
          <w:sz w:val="24"/>
          <w:szCs w:val="24"/>
          <w:u w:val="single"/>
        </w:rPr>
        <w:t xml:space="preserve"> la Teoría </w:t>
      </w:r>
      <w:r>
        <w:rPr>
          <w:rFonts w:ascii="Times New Roman" w:hAnsi="Times New Roman" w:cs="Times New Roman"/>
          <w:sz w:val="24"/>
          <w:szCs w:val="24"/>
          <w:u w:val="single"/>
        </w:rPr>
        <w:t>Monetaria Moderna: en economía “nada es gratis”</w:t>
      </w:r>
      <w:r>
        <w:rPr>
          <w:rFonts w:ascii="Times New Roman" w:hAnsi="Times New Roman" w:cs="Times New Roman"/>
          <w:sz w:val="24"/>
          <w:szCs w:val="24"/>
        </w:rPr>
        <w:t xml:space="preserve"> (El Economista - </w:t>
      </w:r>
      <w:r w:rsidRPr="006C4350">
        <w:rPr>
          <w:rFonts w:ascii="Times New Roman" w:hAnsi="Times New Roman" w:cs="Times New Roman"/>
          <w:b/>
          <w:sz w:val="24"/>
          <w:szCs w:val="24"/>
        </w:rPr>
        <w:t>18/10/22</w:t>
      </w:r>
      <w:r>
        <w:rPr>
          <w:rFonts w:ascii="Times New Roman" w:hAnsi="Times New Roman" w:cs="Times New Roman"/>
          <w:sz w:val="24"/>
          <w:szCs w:val="24"/>
        </w:rPr>
        <w:t>)</w:t>
      </w:r>
    </w:p>
    <w:p w:rsidR="007157B1" w:rsidRPr="003E0A1E" w:rsidRDefault="007157B1" w:rsidP="007157B1">
      <w:pPr>
        <w:spacing w:line="240" w:lineRule="auto"/>
        <w:jc w:val="both"/>
        <w:rPr>
          <w:rFonts w:ascii="Times New Roman" w:hAnsi="Times New Roman" w:cs="Times New Roman"/>
          <w:sz w:val="24"/>
          <w:szCs w:val="24"/>
          <w:u w:val="single"/>
        </w:rPr>
      </w:pPr>
      <w:r w:rsidRPr="003E0A1E">
        <w:rPr>
          <w:rFonts w:ascii="Times New Roman" w:hAnsi="Times New Roman" w:cs="Times New Roman"/>
          <w:sz w:val="24"/>
          <w:szCs w:val="24"/>
          <w:u w:val="single"/>
        </w:rPr>
        <w:t>Las políticas implementadas durante la crisis del covid han sido como una suerte de experimento que ha servido para demostrar que en esta vida nada es gratis.</w:t>
      </w:r>
      <w:r w:rsidRPr="006C4350">
        <w:rPr>
          <w:rFonts w:ascii="Times New Roman" w:hAnsi="Times New Roman" w:cs="Times New Roman"/>
          <w:sz w:val="24"/>
          <w:szCs w:val="24"/>
        </w:rPr>
        <w:t xml:space="preserve"> </w:t>
      </w:r>
      <w:r w:rsidRPr="003E0A1E">
        <w:rPr>
          <w:rFonts w:ascii="Times New Roman" w:hAnsi="Times New Roman" w:cs="Times New Roman"/>
          <w:sz w:val="24"/>
          <w:szCs w:val="24"/>
          <w:u w:val="single"/>
        </w:rPr>
        <w:t>Parafraseando a Mark Twain, los rumores sobre la muerte de la inflación habían sido exagerados.</w:t>
      </w:r>
      <w:r w:rsidRPr="006C4350">
        <w:rPr>
          <w:rFonts w:ascii="Times New Roman" w:hAnsi="Times New Roman" w:cs="Times New Roman"/>
          <w:sz w:val="24"/>
          <w:szCs w:val="24"/>
        </w:rPr>
        <w:t xml:space="preserve"> </w:t>
      </w:r>
      <w:r w:rsidRPr="003E0A1E">
        <w:rPr>
          <w:rFonts w:ascii="Times New Roman" w:hAnsi="Times New Roman" w:cs="Times New Roman"/>
          <w:sz w:val="24"/>
          <w:szCs w:val="24"/>
          <w:u w:val="single"/>
        </w:rPr>
        <w:t>La puesta en marcha de políticas fiscales ultra-expansivas, financiadas por unos bancos centrales que hundieron los tipos de interés y se lanzaron a comprar toda la deuda que los gobiernos emitían para disparar su gasto público muestra ahora su coste. La inflación ha vuelto a la vida y lo ha hecho con la mayor fuerza en 50 años.</w:t>
      </w:r>
    </w:p>
    <w:p w:rsidR="007157B1" w:rsidRPr="007157B1" w:rsidRDefault="007157B1" w:rsidP="007157B1">
      <w:pPr>
        <w:spacing w:line="240" w:lineRule="auto"/>
        <w:jc w:val="both"/>
        <w:rPr>
          <w:rFonts w:ascii="Times New Roman" w:hAnsi="Times New Roman" w:cs="Times New Roman"/>
          <w:color w:val="FF0000"/>
          <w:sz w:val="24"/>
          <w:szCs w:val="24"/>
          <w:u w:val="single"/>
        </w:rPr>
      </w:pPr>
      <w:r w:rsidRPr="007157B1">
        <w:rPr>
          <w:rFonts w:ascii="Times New Roman" w:hAnsi="Times New Roman" w:cs="Times New Roman"/>
          <w:color w:val="FF0000"/>
          <w:sz w:val="24"/>
          <w:szCs w:val="24"/>
          <w:u w:val="single"/>
        </w:rPr>
        <w:t xml:space="preserve">Una de las lecturas que va arrojando este experimento fiscal-monetario es lo “tocada” que queda la popular Teoría Monetaria Moderna (TMM, conocida por las siglas MMT en inglés) </w:t>
      </w:r>
      <w:r w:rsidRPr="007157B1">
        <w:rPr>
          <w:rFonts w:ascii="Times New Roman" w:hAnsi="Times New Roman" w:cs="Times New Roman"/>
          <w:color w:val="FF0000"/>
          <w:sz w:val="24"/>
          <w:szCs w:val="24"/>
          <w:u w:val="single"/>
        </w:rPr>
        <w:lastRenderedPageBreak/>
        <w:t>y el elevado coste para la sociedad que tienen algunos de sus parámetros. Famosa antes del covid y muy defendida en plena pandemia, con los bancos lanzando estímulos, esta teoría defiende, en palabras del econo</w:t>
      </w:r>
      <w:r w:rsidR="009F5141">
        <w:rPr>
          <w:rFonts w:ascii="Times New Roman" w:hAnsi="Times New Roman" w:cs="Times New Roman"/>
          <w:color w:val="FF0000"/>
          <w:sz w:val="24"/>
          <w:szCs w:val="24"/>
          <w:u w:val="single"/>
        </w:rPr>
        <w:t>mista Juan Ignacio Crespo, que “</w:t>
      </w:r>
      <w:r w:rsidRPr="007157B1">
        <w:rPr>
          <w:rFonts w:ascii="Times New Roman" w:hAnsi="Times New Roman" w:cs="Times New Roman"/>
          <w:color w:val="FF0000"/>
          <w:sz w:val="24"/>
          <w:szCs w:val="24"/>
          <w:u w:val="single"/>
        </w:rPr>
        <w:t>un país que es soberano monetariamente y tiene una moneda fiduciaria, también tiene una capacidad ilimitada de pago, porque siempre pu</w:t>
      </w:r>
      <w:r w:rsidR="009F5141">
        <w:rPr>
          <w:rFonts w:ascii="Times New Roman" w:hAnsi="Times New Roman" w:cs="Times New Roman"/>
          <w:color w:val="FF0000"/>
          <w:sz w:val="24"/>
          <w:szCs w:val="24"/>
          <w:u w:val="single"/>
        </w:rPr>
        <w:t>ede emitir más moneda para ello”</w:t>
      </w:r>
      <w:r w:rsidRPr="007157B1">
        <w:rPr>
          <w:rFonts w:ascii="Times New Roman" w:hAnsi="Times New Roman" w:cs="Times New Roman"/>
          <w:color w:val="FF0000"/>
          <w:sz w:val="24"/>
          <w:szCs w:val="24"/>
          <w:u w:val="single"/>
        </w:rPr>
        <w:t>. En plata, que un país con estas características no podría quebrar.</w:t>
      </w:r>
    </w:p>
    <w:p w:rsidR="007157B1" w:rsidRPr="006C4350" w:rsidRDefault="007157B1" w:rsidP="007157B1">
      <w:pPr>
        <w:spacing w:line="240" w:lineRule="auto"/>
        <w:jc w:val="both"/>
        <w:rPr>
          <w:rFonts w:ascii="Times New Roman" w:hAnsi="Times New Roman" w:cs="Times New Roman"/>
          <w:sz w:val="24"/>
          <w:szCs w:val="24"/>
        </w:rPr>
      </w:pPr>
      <w:r w:rsidRPr="007157B1">
        <w:rPr>
          <w:rFonts w:ascii="Times New Roman" w:hAnsi="Times New Roman" w:cs="Times New Roman"/>
          <w:color w:val="FF0000"/>
          <w:sz w:val="24"/>
          <w:szCs w:val="24"/>
          <w:u w:val="single"/>
        </w:rPr>
        <w:t>Sin embargo, las lagunas de la teoría de las que algunos ya avisaban hace tiempo -entre ellos el Nobel de Economía Paul Krugman- se están haciendo evidentes ahora. El gasto masivo genera inflación, cuando la inflación aparece suben los tipos de interés y entonces la devolución de la deuda se convierte en un problema</w:t>
      </w:r>
      <w:r w:rsidRPr="006C4350">
        <w:rPr>
          <w:rFonts w:ascii="Times New Roman" w:hAnsi="Times New Roman" w:cs="Times New Roman"/>
          <w:sz w:val="24"/>
          <w:szCs w:val="24"/>
        </w:rPr>
        <w:t>. Los defensores de la TMM dirían que ahora habría que seguir gastando, que la deuda no hay que devolverla, solo refinanciarla, pero entonces el resultado sería más inflación o incluso la quiebra de los países, como se ha podido ver en las últimas semanas en Reino Unido.</w:t>
      </w:r>
    </w:p>
    <w:p w:rsidR="007157B1" w:rsidRPr="007157B1" w:rsidRDefault="007157B1" w:rsidP="007157B1">
      <w:pPr>
        <w:spacing w:line="240" w:lineRule="auto"/>
        <w:jc w:val="both"/>
        <w:rPr>
          <w:rFonts w:ascii="Times New Roman" w:hAnsi="Times New Roman" w:cs="Times New Roman"/>
          <w:color w:val="FF0000"/>
          <w:sz w:val="24"/>
          <w:szCs w:val="24"/>
          <w:u w:val="single"/>
        </w:rPr>
      </w:pPr>
      <w:r w:rsidRPr="007157B1">
        <w:rPr>
          <w:rFonts w:ascii="Times New Roman" w:hAnsi="Times New Roman" w:cs="Times New Roman"/>
          <w:color w:val="FF0000"/>
          <w:sz w:val="24"/>
          <w:szCs w:val="24"/>
          <w:u w:val="single"/>
        </w:rPr>
        <w:t>Precisamente el caso británico le sirve a Paul Donovan, estratega jefe en UBS, para dar por “enterrada” a la TMM. “El lunes, el canciller británico Jeremy Hunt enterró la teoría monetaria moderna. Acabar con la TMM es la lección internacional de la debacle del Reino Unido: cualquier populista que venda sueños fiscales se enfrentará al precedente británico. En el país ahora mismo los tipos de interés de las hipotecas son más altos de lo necesario, el déficit es mayor de lo necesario y el crecimiento es menor de lo necesario. Parece que la coalición anti-crecimiento tenía un quintacolumnista escondido bajo un escritorio en el 10 de Downing Street todo el tiempo”, escribe en su último comentario diario.</w:t>
      </w:r>
    </w:p>
    <w:p w:rsidR="007157B1" w:rsidRPr="00750B28" w:rsidRDefault="007157B1" w:rsidP="007157B1">
      <w:pPr>
        <w:spacing w:line="240" w:lineRule="auto"/>
        <w:jc w:val="both"/>
        <w:rPr>
          <w:rFonts w:ascii="Times New Roman" w:hAnsi="Times New Roman" w:cs="Times New Roman"/>
          <w:sz w:val="24"/>
          <w:szCs w:val="24"/>
          <w:u w:val="single"/>
        </w:rPr>
      </w:pPr>
      <w:r w:rsidRPr="00750B28">
        <w:rPr>
          <w:rFonts w:ascii="Times New Roman" w:hAnsi="Times New Roman" w:cs="Times New Roman"/>
          <w:sz w:val="24"/>
          <w:szCs w:val="24"/>
          <w:u w:val="single"/>
        </w:rPr>
        <w:t>Lo cierto es que las pretensiones fiscales iniciales de la primera ministra Liz Truss iban en esa línea. Unos recortes de impuestos de hasta 45.000 millones de libras al año sin un plan de financiación claro y con cargo mayoritariamente a la emisión de deuda ponía en un brete a un Banco de Inglaterra (BoE) volcado, como la mayoría de sus pares, en la lucha contra la inflación. De hecho, la reacción en el mercado de estos planes, con los rendimientos de los bonos disparándose, obligó al organismo a retrasar sus ventas planificadas de bonos, poniéndose, por contra, a comprarlos otra vez en un programa de emergencia de dos semanas.</w:t>
      </w:r>
    </w:p>
    <w:p w:rsidR="007157B1" w:rsidRPr="006C4350" w:rsidRDefault="007157B1" w:rsidP="007157B1">
      <w:pPr>
        <w:spacing w:line="240" w:lineRule="auto"/>
        <w:jc w:val="both"/>
        <w:rPr>
          <w:rFonts w:ascii="Times New Roman" w:hAnsi="Times New Roman" w:cs="Times New Roman"/>
          <w:sz w:val="24"/>
          <w:szCs w:val="24"/>
        </w:rPr>
      </w:pPr>
      <w:r w:rsidRPr="006C4350">
        <w:rPr>
          <w:rFonts w:ascii="Times New Roman" w:hAnsi="Times New Roman" w:cs="Times New Roman"/>
          <w:sz w:val="24"/>
          <w:szCs w:val="24"/>
        </w:rPr>
        <w:t>Aunque el giro de 180 grados del gobierno británico quedó constatado este lunes con la eliminación casi total de su plan de recorte de impuestos, el daño ya está hecho y la propia inestabilidad del mercado de bonos ha</w:t>
      </w:r>
      <w:r>
        <w:rPr>
          <w:rFonts w:ascii="Times New Roman" w:hAnsi="Times New Roman" w:cs="Times New Roman"/>
          <w:sz w:val="24"/>
          <w:szCs w:val="24"/>
        </w:rPr>
        <w:t>ce que el banco central quede “prisionero”</w:t>
      </w:r>
      <w:r w:rsidRPr="006C4350">
        <w:rPr>
          <w:rFonts w:ascii="Times New Roman" w:hAnsi="Times New Roman" w:cs="Times New Roman"/>
          <w:sz w:val="24"/>
          <w:szCs w:val="24"/>
        </w:rPr>
        <w:t xml:space="preserve"> y tenga que, por ejemplo, volver a retrasar la venta de bonos, posibilidad con la que se especulaba este martes en el circuito financiero tras una información del FT que luego se ha querido desmentir. Se daría un claro cas</w:t>
      </w:r>
      <w:r>
        <w:rPr>
          <w:rFonts w:ascii="Times New Roman" w:hAnsi="Times New Roman" w:cs="Times New Roman"/>
          <w:sz w:val="24"/>
          <w:szCs w:val="24"/>
        </w:rPr>
        <w:t>o de dominio fiscal, es decir, “</w:t>
      </w:r>
      <w:r w:rsidRPr="006C4350">
        <w:rPr>
          <w:rFonts w:ascii="Times New Roman" w:hAnsi="Times New Roman" w:cs="Times New Roman"/>
          <w:sz w:val="24"/>
          <w:szCs w:val="24"/>
        </w:rPr>
        <w:t>el riesgo de que la situación fiscal de las economías presione para que el banco central se desvíe de sus objetivos, lo que pondría en pe</w:t>
      </w:r>
      <w:r>
        <w:rPr>
          <w:rFonts w:ascii="Times New Roman" w:hAnsi="Times New Roman" w:cs="Times New Roman"/>
          <w:sz w:val="24"/>
          <w:szCs w:val="24"/>
        </w:rPr>
        <w:t>ligro la estabilidad de precios”</w:t>
      </w:r>
      <w:r w:rsidRPr="006C4350">
        <w:rPr>
          <w:rFonts w:ascii="Times New Roman" w:hAnsi="Times New Roman" w:cs="Times New Roman"/>
          <w:sz w:val="24"/>
          <w:szCs w:val="24"/>
        </w:rPr>
        <w:t xml:space="preserve">, explican desde el servicio de </w:t>
      </w:r>
      <w:r>
        <w:rPr>
          <w:rFonts w:ascii="Times New Roman" w:hAnsi="Times New Roman" w:cs="Times New Roman"/>
          <w:sz w:val="24"/>
          <w:szCs w:val="24"/>
        </w:rPr>
        <w:t>estudios de CaixaBank Research.</w:t>
      </w:r>
    </w:p>
    <w:p w:rsidR="007157B1" w:rsidRPr="00750B28" w:rsidRDefault="007157B1" w:rsidP="007157B1">
      <w:pPr>
        <w:spacing w:line="240" w:lineRule="auto"/>
        <w:jc w:val="both"/>
        <w:rPr>
          <w:rFonts w:ascii="Times New Roman" w:hAnsi="Times New Roman" w:cs="Times New Roman"/>
          <w:sz w:val="24"/>
          <w:szCs w:val="24"/>
          <w:u w:val="single"/>
        </w:rPr>
      </w:pPr>
      <w:r w:rsidRPr="00750B28">
        <w:rPr>
          <w:rFonts w:ascii="Times New Roman" w:hAnsi="Times New Roman" w:cs="Times New Roman"/>
          <w:sz w:val="24"/>
          <w:szCs w:val="24"/>
          <w:u w:val="single"/>
        </w:rPr>
        <w:t>¿Se suponía que el BoE tenía que se</w:t>
      </w:r>
      <w:r>
        <w:rPr>
          <w:rFonts w:ascii="Times New Roman" w:hAnsi="Times New Roman" w:cs="Times New Roman"/>
          <w:sz w:val="24"/>
          <w:szCs w:val="24"/>
          <w:u w:val="single"/>
        </w:rPr>
        <w:t>guir arrojando dinero desde el “helicóptero”</w:t>
      </w:r>
      <w:r w:rsidRPr="00750B28">
        <w:rPr>
          <w:rFonts w:ascii="Times New Roman" w:hAnsi="Times New Roman" w:cs="Times New Roman"/>
          <w:sz w:val="24"/>
          <w:szCs w:val="24"/>
          <w:u w:val="single"/>
        </w:rPr>
        <w:t xml:space="preserve"> para financiar los ambiciosos planes de Truss? Esta es la gran pregunta detrás de la TMM. Que la teoría ganase mucha popularidad durante el covid-19 no es casualidad. Sucedió porque todo lo que la TMM predijo durante la década anterior a la pandemia fue correcto, mientras que la economía ortodoxa falló con estrépito (austeridad, disciplina y control monetario). La TMM diagnosticó correctamente las causas profundas y las soluciones a la crisis del euro. Argumentó correctamente que el QE (compra de bonos) no sería inflacionario (no venía acompañado de un programa de expansión fiscal importante). Y se mostró en contra de la </w:t>
      </w:r>
      <w:r w:rsidRPr="00750B28">
        <w:rPr>
          <w:rFonts w:ascii="Times New Roman" w:hAnsi="Times New Roman" w:cs="Times New Roman"/>
          <w:sz w:val="24"/>
          <w:szCs w:val="24"/>
          <w:u w:val="single"/>
        </w:rPr>
        <w:lastRenderedPageBreak/>
        <w:t>austeridad, asegurando que los gobiernos tenían mucha más capacidad fiscal de lo que pensaban.</w:t>
      </w:r>
    </w:p>
    <w:p w:rsidR="007157B1" w:rsidRDefault="007157B1" w:rsidP="007157B1">
      <w:pPr>
        <w:spacing w:line="240" w:lineRule="auto"/>
        <w:jc w:val="both"/>
        <w:rPr>
          <w:rFonts w:ascii="Times New Roman" w:hAnsi="Times New Roman" w:cs="Times New Roman"/>
          <w:sz w:val="24"/>
          <w:szCs w:val="24"/>
        </w:rPr>
      </w:pPr>
      <w:r>
        <w:rPr>
          <w:rFonts w:ascii="Times New Roman" w:hAnsi="Times New Roman" w:cs="Times New Roman"/>
          <w:sz w:val="24"/>
          <w:szCs w:val="24"/>
          <w:u w:val="single"/>
        </w:rPr>
        <w:t>“</w:t>
      </w:r>
      <w:r w:rsidRPr="00750B28">
        <w:rPr>
          <w:rFonts w:ascii="Times New Roman" w:hAnsi="Times New Roman" w:cs="Times New Roman"/>
          <w:sz w:val="24"/>
          <w:szCs w:val="24"/>
          <w:u w:val="single"/>
        </w:rPr>
        <w:t>Cuando llegó el covid, el mensaje de la TMM se había entendido y expandido por completo. Los gobiernos implementaron su mayor programa de apoyo fiscal desde la Segunda Guerra Mundial, y nadie hacía pre</w:t>
      </w:r>
      <w:r>
        <w:rPr>
          <w:rFonts w:ascii="Times New Roman" w:hAnsi="Times New Roman" w:cs="Times New Roman"/>
          <w:sz w:val="24"/>
          <w:szCs w:val="24"/>
          <w:u w:val="single"/>
        </w:rPr>
        <w:t>guntas como “¿podemos pagarlo?” o “¿cómo lo pagaremos?”</w:t>
      </w:r>
      <w:r w:rsidRPr="00750B28">
        <w:rPr>
          <w:rFonts w:ascii="Times New Roman" w:hAnsi="Times New Roman" w:cs="Times New Roman"/>
          <w:sz w:val="24"/>
          <w:szCs w:val="24"/>
          <w:u w:val="single"/>
        </w:rPr>
        <w:t xml:space="preserve"> Se creía que los bancos centrales siempre podían limitar los rendimientos de los bonos.</w:t>
      </w:r>
      <w:r w:rsidRPr="006C4350">
        <w:rPr>
          <w:rFonts w:ascii="Times New Roman" w:hAnsi="Times New Roman" w:cs="Times New Roman"/>
          <w:sz w:val="24"/>
          <w:szCs w:val="24"/>
        </w:rPr>
        <w:t xml:space="preserve"> Incluso teníamos un mundo en el que los mercados de divisas parecían menos relevantes y aterradores, ya que todos los países seguían las mismas políticas macro básicas: estímulo monetario al máximo con ti</w:t>
      </w:r>
      <w:r>
        <w:rPr>
          <w:rFonts w:ascii="Times New Roman" w:hAnsi="Times New Roman" w:cs="Times New Roman"/>
          <w:sz w:val="24"/>
          <w:szCs w:val="24"/>
        </w:rPr>
        <w:t>pos de interés permanente bajos”</w:t>
      </w:r>
      <w:r w:rsidRPr="006C4350">
        <w:rPr>
          <w:rFonts w:ascii="Times New Roman" w:hAnsi="Times New Roman" w:cs="Times New Roman"/>
          <w:sz w:val="24"/>
          <w:szCs w:val="24"/>
        </w:rPr>
        <w:t>, sostenía Dario Perkins, economista de TS Lombard.</w:t>
      </w:r>
    </w:p>
    <w:p w:rsidR="007157B1" w:rsidRPr="006C4350" w:rsidRDefault="007157B1" w:rsidP="007157B1">
      <w:pPr>
        <w:spacing w:line="240" w:lineRule="auto"/>
        <w:jc w:val="both"/>
        <w:rPr>
          <w:rFonts w:ascii="Times New Roman" w:hAnsi="Times New Roman" w:cs="Times New Roman"/>
          <w:sz w:val="24"/>
          <w:szCs w:val="24"/>
        </w:rPr>
      </w:pPr>
      <w:r w:rsidRPr="00EA6E35">
        <w:rPr>
          <w:rFonts w:ascii="Times New Roman" w:hAnsi="Times New Roman" w:cs="Times New Roman"/>
          <w:noProof/>
          <w:sz w:val="24"/>
          <w:szCs w:val="24"/>
          <w:lang w:eastAsia="es-ES"/>
        </w:rPr>
        <w:drawing>
          <wp:inline distT="0" distB="0" distL="0" distR="0" wp14:anchorId="62D426CF" wp14:editId="7FE1BF2B">
            <wp:extent cx="5731510" cy="3838152"/>
            <wp:effectExtent l="0" t="0" r="2540" b="0"/>
            <wp:docPr id="57"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stretch>
                      <a:fillRect/>
                    </a:stretch>
                  </pic:blipFill>
                  <pic:spPr>
                    <a:xfrm>
                      <a:off x="0" y="0"/>
                      <a:ext cx="5731510" cy="3838152"/>
                    </a:xfrm>
                    <a:prstGeom prst="rect">
                      <a:avLst/>
                    </a:prstGeom>
                  </pic:spPr>
                </pic:pic>
              </a:graphicData>
            </a:graphic>
          </wp:inline>
        </w:drawing>
      </w:r>
    </w:p>
    <w:p w:rsidR="007157B1" w:rsidRPr="00750B28" w:rsidRDefault="007157B1" w:rsidP="007157B1">
      <w:pPr>
        <w:spacing w:line="240" w:lineRule="auto"/>
        <w:jc w:val="both"/>
        <w:rPr>
          <w:rFonts w:ascii="Times New Roman" w:hAnsi="Times New Roman" w:cs="Times New Roman"/>
          <w:color w:val="FF0000"/>
          <w:sz w:val="24"/>
          <w:szCs w:val="24"/>
          <w:u w:val="single"/>
        </w:rPr>
      </w:pPr>
      <w:r w:rsidRPr="00750B28">
        <w:rPr>
          <w:rFonts w:ascii="Times New Roman" w:hAnsi="Times New Roman" w:cs="Times New Roman"/>
          <w:color w:val="FF0000"/>
          <w:sz w:val="24"/>
          <w:szCs w:val="24"/>
          <w:u w:val="single"/>
        </w:rPr>
        <w:t>El problema es que la inflación ha vuelto y los tipos de interés han comenzado</w:t>
      </w:r>
      <w:r>
        <w:rPr>
          <w:rFonts w:ascii="Times New Roman" w:hAnsi="Times New Roman" w:cs="Times New Roman"/>
          <w:color w:val="FF0000"/>
          <w:sz w:val="24"/>
          <w:szCs w:val="24"/>
          <w:u w:val="single"/>
        </w:rPr>
        <w:t xml:space="preserve"> a subir de forma drástica. “</w:t>
      </w:r>
      <w:r w:rsidRPr="00750B28">
        <w:rPr>
          <w:rFonts w:ascii="Times New Roman" w:hAnsi="Times New Roman" w:cs="Times New Roman"/>
          <w:color w:val="FF0000"/>
          <w:sz w:val="24"/>
          <w:szCs w:val="24"/>
          <w:u w:val="single"/>
        </w:rPr>
        <w:t>Cuando los tipos de interés suben significativamente por encima de cero, algunos de los principios más importantes de la TMM tienden a romperse. Los defensores de la TMM se dan cuenta de esto, por eso defienden que los tipos de interés nunca deberían aumentar: cuando se enfrentan a un problema de inflación, los defensores de la TMM siempre gravitarán hacia intervenciones específicas del lado de la oferta, ajuste fiscal (recorte del gasto, aunque en la práctica esto nunca ocurre) e inclus</w:t>
      </w:r>
      <w:r>
        <w:rPr>
          <w:rFonts w:ascii="Times New Roman" w:hAnsi="Times New Roman" w:cs="Times New Roman"/>
          <w:color w:val="FF0000"/>
          <w:sz w:val="24"/>
          <w:szCs w:val="24"/>
          <w:u w:val="single"/>
        </w:rPr>
        <w:t>o controles directos de precios”</w:t>
      </w:r>
      <w:r w:rsidRPr="00750B28">
        <w:rPr>
          <w:rFonts w:ascii="Times New Roman" w:hAnsi="Times New Roman" w:cs="Times New Roman"/>
          <w:color w:val="FF0000"/>
          <w:sz w:val="24"/>
          <w:szCs w:val="24"/>
          <w:u w:val="single"/>
        </w:rPr>
        <w:t>, explica el experto de TS Lombard.</w:t>
      </w:r>
    </w:p>
    <w:p w:rsidR="007157B1" w:rsidRPr="007157B1" w:rsidRDefault="007157B1" w:rsidP="007157B1">
      <w:pPr>
        <w:spacing w:line="240" w:lineRule="auto"/>
        <w:jc w:val="both"/>
        <w:rPr>
          <w:rFonts w:ascii="Times New Roman" w:hAnsi="Times New Roman" w:cs="Times New Roman"/>
          <w:color w:val="FF0000"/>
          <w:sz w:val="24"/>
          <w:szCs w:val="24"/>
        </w:rPr>
      </w:pPr>
      <w:r w:rsidRPr="00750B28">
        <w:rPr>
          <w:rFonts w:ascii="Times New Roman" w:hAnsi="Times New Roman" w:cs="Times New Roman"/>
          <w:color w:val="FF0000"/>
          <w:sz w:val="24"/>
          <w:szCs w:val="24"/>
          <w:u w:val="single"/>
        </w:rPr>
        <w:t>En un sistema como el actual en el que los bancos centrales son todavía independientes, la TMM no tiene sentido, es imposible que funcione y esto es algo que deberían tener en cuenta los inversores. Las advertencias del BoE, precisamente, son el mejor ejemplo de que la TMM no va a funcionar. Si el gobierno sigue gastando, los bancos centrales subirán aún más los tipos de interés, generando un círculo vicioso que solo cond</w:t>
      </w:r>
      <w:r>
        <w:rPr>
          <w:rFonts w:ascii="Times New Roman" w:hAnsi="Times New Roman" w:cs="Times New Roman"/>
          <w:color w:val="FF0000"/>
          <w:sz w:val="24"/>
          <w:szCs w:val="24"/>
          <w:u w:val="single"/>
        </w:rPr>
        <w:t>uce a la quiebra de los Estados</w:t>
      </w:r>
      <w:r>
        <w:rPr>
          <w:rFonts w:ascii="Times New Roman" w:hAnsi="Times New Roman" w:cs="Times New Roman"/>
          <w:color w:val="FF0000"/>
          <w:sz w:val="24"/>
          <w:szCs w:val="24"/>
        </w:rPr>
        <w:t>…</w:t>
      </w:r>
    </w:p>
    <w:p w:rsidR="007157B1" w:rsidRPr="007157B1" w:rsidRDefault="007157B1" w:rsidP="007157B1">
      <w:pPr>
        <w:spacing w:line="240" w:lineRule="auto"/>
        <w:jc w:val="both"/>
        <w:rPr>
          <w:rFonts w:ascii="Times New Roman" w:hAnsi="Times New Roman" w:cs="Times New Roman"/>
          <w:color w:val="FF0000"/>
          <w:sz w:val="24"/>
          <w:szCs w:val="24"/>
        </w:rPr>
      </w:pPr>
      <w:r w:rsidRPr="00750B28">
        <w:rPr>
          <w:rFonts w:ascii="Times New Roman" w:hAnsi="Times New Roman" w:cs="Times New Roman"/>
          <w:color w:val="FF0000"/>
          <w:sz w:val="24"/>
          <w:szCs w:val="24"/>
          <w:u w:val="single"/>
        </w:rPr>
        <w:t xml:space="preserve">Aunque ahora queda claro que aplicar algunos de los paradigmas de la TTM fue un error, hubo un economista que se adelantó y vaticinó un escenario como el actual allá por abril de </w:t>
      </w:r>
      <w:r w:rsidRPr="00750B28">
        <w:rPr>
          <w:rFonts w:ascii="Times New Roman" w:hAnsi="Times New Roman" w:cs="Times New Roman"/>
          <w:color w:val="FF0000"/>
          <w:sz w:val="24"/>
          <w:szCs w:val="24"/>
          <w:u w:val="single"/>
        </w:rPr>
        <w:lastRenderedPageBreak/>
        <w:t>2021, cuando la inflación aún no había aparecido, pero las políticas fiscales y monetarias se estaban poniendo en marcha. Benjamin Melman, CIO de Edmon Roths</w:t>
      </w:r>
      <w:r>
        <w:rPr>
          <w:rFonts w:ascii="Times New Roman" w:hAnsi="Times New Roman" w:cs="Times New Roman"/>
          <w:color w:val="FF0000"/>
          <w:sz w:val="24"/>
          <w:szCs w:val="24"/>
          <w:u w:val="single"/>
        </w:rPr>
        <w:t>child AM, aseguró entonces que “</w:t>
      </w:r>
      <w:r w:rsidRPr="00750B28">
        <w:rPr>
          <w:rFonts w:ascii="Times New Roman" w:hAnsi="Times New Roman" w:cs="Times New Roman"/>
          <w:color w:val="FF0000"/>
          <w:sz w:val="24"/>
          <w:szCs w:val="24"/>
          <w:u w:val="single"/>
        </w:rPr>
        <w:t>lo que estaba claro es que la TMM comenzaba siendo casi una comida gratis. La reflación se financiaba con deuda que no cuesta casi nada gracias a una política monetaria ultra-expansiva y, termina con una inflación seguida de subidas de impuestos (o recortes del gasto público) cuando la reflación ha ido más allá del objetivo deseado de conseguir que un país alcance el pleno empleo. No hace falta decir que los inversores encuentran atractivo el perfil de riesgo/beneficios de los activos en la primera fase, pero mucho menos en la segunda. El mercado se encuentra</w:t>
      </w:r>
      <w:r>
        <w:rPr>
          <w:rFonts w:ascii="Times New Roman" w:hAnsi="Times New Roman" w:cs="Times New Roman"/>
          <w:color w:val="FF0000"/>
          <w:sz w:val="24"/>
          <w:szCs w:val="24"/>
          <w:u w:val="single"/>
        </w:rPr>
        <w:t xml:space="preserve"> actualmente en la primera fase”</w:t>
      </w:r>
      <w:r w:rsidRPr="00750B28">
        <w:rPr>
          <w:rFonts w:ascii="Times New Roman" w:hAnsi="Times New Roman" w:cs="Times New Roman"/>
          <w:color w:val="FF0000"/>
          <w:sz w:val="24"/>
          <w:szCs w:val="24"/>
          <w:u w:val="single"/>
        </w:rPr>
        <w:t>, aseguraba Melman</w:t>
      </w:r>
      <w:r w:rsidRPr="007157B1">
        <w:rPr>
          <w:rFonts w:ascii="Times New Roman" w:hAnsi="Times New Roman" w:cs="Times New Roman"/>
          <w:color w:val="FF0000"/>
          <w:sz w:val="24"/>
          <w:szCs w:val="24"/>
        </w:rPr>
        <w:t>...</w:t>
      </w:r>
    </w:p>
    <w:p w:rsidR="007157B1" w:rsidRDefault="007157B1" w:rsidP="007157B1">
      <w:pPr>
        <w:pStyle w:val="NormalWeb"/>
        <w:spacing w:after="0"/>
        <w:jc w:val="both"/>
      </w:pPr>
      <w:r>
        <w:t>- ¿</w:t>
      </w:r>
      <w:r w:rsidRPr="00FF610F">
        <w:rPr>
          <w:u w:val="single"/>
        </w:rPr>
        <w:t>Por qué en Suiza la inflación es del 3,3%? Seis lecciones que la zona euro debería aprender</w:t>
      </w:r>
      <w:r>
        <w:t xml:space="preserve"> (Libertad Digital - </w:t>
      </w:r>
      <w:r w:rsidRPr="00FF610F">
        <w:rPr>
          <w:b/>
        </w:rPr>
        <w:t>20/10/22</w:t>
      </w:r>
      <w:r>
        <w:t>)</w:t>
      </w:r>
    </w:p>
    <w:p w:rsidR="007157B1" w:rsidRDefault="007157B1" w:rsidP="007157B1">
      <w:pPr>
        <w:pStyle w:val="NormalWeb"/>
        <w:spacing w:after="0"/>
        <w:jc w:val="both"/>
      </w:pPr>
      <w:r>
        <w:t>(Por Diego Barceló Larran)</w:t>
      </w:r>
    </w:p>
    <w:p w:rsidR="007157B1" w:rsidRPr="00736C3B" w:rsidRDefault="007157B1" w:rsidP="007157B1">
      <w:pPr>
        <w:pStyle w:val="NormalWeb"/>
        <w:spacing w:after="0"/>
        <w:jc w:val="both"/>
        <w:rPr>
          <w:color w:val="FF0000"/>
          <w:u w:val="single"/>
        </w:rPr>
      </w:pPr>
      <w:r w:rsidRPr="00736C3B">
        <w:rPr>
          <w:color w:val="FF0000"/>
          <w:u w:val="single"/>
        </w:rPr>
        <w:t>Empecemos por lo obvio: Suiza está en Europa y sufre, exactamente igual que sus vecinos, el aumento de los precios del petróleo y el gas, los cuellos de botella en las cadenas de producción internacionales y la incertidumbre por la guerra en Ucrania. Sin embargo, hay un dato que está pasando inadvertido: mientas en la Eurozona la inflación interanual a septiembre es del 10%, en Suiza es apenas del 3,3%.</w:t>
      </w:r>
    </w:p>
    <w:p w:rsidR="007157B1" w:rsidRPr="00736C3B" w:rsidRDefault="007157B1" w:rsidP="007157B1">
      <w:pPr>
        <w:pStyle w:val="NormalWeb"/>
        <w:spacing w:after="0"/>
        <w:jc w:val="both"/>
        <w:rPr>
          <w:color w:val="FF0000"/>
          <w:u w:val="single"/>
        </w:rPr>
      </w:pPr>
      <w:r w:rsidRPr="00736C3B">
        <w:rPr>
          <w:color w:val="FF0000"/>
          <w:u w:val="single"/>
        </w:rPr>
        <w:t>La inflación es un fenómeno monetario. Cuando hay diferencias tan sustanciales en la inflación, lo primero que hay que mirar es la emisión monetaria</w:t>
      </w:r>
      <w:r>
        <w:t xml:space="preserve">. </w:t>
      </w:r>
      <w:r w:rsidRPr="00736C3B">
        <w:rPr>
          <w:color w:val="FF0000"/>
          <w:u w:val="single"/>
        </w:rPr>
        <w:t>Entre 2018 y agosto último, los activos del Banco Nacional Suizo (el banco central helvético) aumentaron un 18%, lo que conlleva una emisión media anual del 4,5% (muy cerca del 4% que proponía Milton Friedman como regla de emisión permanente). Al mismo tiempo, el Banco Central Europeo aumentó su balance un 89%, del que surge un ritmo medio de emisión del 18,5% anual. Un ritmo razonable si lo que quieres es tener una inflación del 12% o 15%, pero no una del 2%.</w:t>
      </w:r>
    </w:p>
    <w:p w:rsidR="007157B1" w:rsidRPr="00736C3B" w:rsidRDefault="007157B1" w:rsidP="007157B1">
      <w:pPr>
        <w:pStyle w:val="NormalWeb"/>
        <w:spacing w:after="0"/>
        <w:jc w:val="both"/>
        <w:rPr>
          <w:color w:val="FF0000"/>
        </w:rPr>
      </w:pPr>
      <w:r>
        <w:t xml:space="preserve">1- </w:t>
      </w:r>
      <w:r w:rsidRPr="00736C3B">
        <w:rPr>
          <w:color w:val="FF0000"/>
        </w:rPr>
        <w:t>La culpa de la inflación europea es del BCE</w:t>
      </w:r>
    </w:p>
    <w:p w:rsidR="007157B1" w:rsidRDefault="007157B1" w:rsidP="007157B1">
      <w:pPr>
        <w:pStyle w:val="NormalWeb"/>
        <w:spacing w:after="0"/>
        <w:jc w:val="both"/>
      </w:pPr>
      <w:r w:rsidRPr="00736C3B">
        <w:rPr>
          <w:u w:val="single"/>
        </w:rPr>
        <w:t>Suiza demuestra que se puede tener una inflación bajo control con una política monetaria responsable</w:t>
      </w:r>
      <w:r>
        <w:t xml:space="preserve">. </w:t>
      </w:r>
      <w:r w:rsidRPr="00736C3B">
        <w:rPr>
          <w:u w:val="single"/>
        </w:rPr>
        <w:t>La emisión descontrolada del BCE no solo nos empobrece porque carcome el poder de compra del euro. También nos empobrece frente al resto del mundo</w:t>
      </w:r>
      <w:r>
        <w:t>: ahora, una misma cantidad de euros sirve para comprar un 15% menos de dólares que en 2018. En cambio, el valor del franco suizo frente al dólar es ahora igual que entonces.</w:t>
      </w:r>
    </w:p>
    <w:p w:rsidR="007157B1" w:rsidRPr="00736C3B" w:rsidRDefault="007157B1" w:rsidP="007157B1">
      <w:pPr>
        <w:pStyle w:val="NormalWeb"/>
        <w:spacing w:after="0"/>
        <w:jc w:val="both"/>
        <w:rPr>
          <w:color w:val="FF0000"/>
        </w:rPr>
      </w:pPr>
      <w:r>
        <w:t xml:space="preserve">2- </w:t>
      </w:r>
      <w:r w:rsidRPr="00736C3B">
        <w:rPr>
          <w:color w:val="FF0000"/>
        </w:rPr>
        <w:t>La depreciación del euro provocada por el BCE no nos hace más "competitivos", sino que nos hace más pobres</w:t>
      </w:r>
    </w:p>
    <w:p w:rsidR="007157B1" w:rsidRPr="00736C3B" w:rsidRDefault="007157B1" w:rsidP="007157B1">
      <w:pPr>
        <w:pStyle w:val="NormalWeb"/>
        <w:spacing w:after="0"/>
        <w:jc w:val="both"/>
        <w:rPr>
          <w:color w:val="FF0000"/>
          <w:u w:val="single"/>
        </w:rPr>
      </w:pPr>
      <w:r w:rsidRPr="00736C3B">
        <w:rPr>
          <w:color w:val="FF0000"/>
          <w:u w:val="single"/>
        </w:rPr>
        <w:t>Entre 2015 y 2019, Suiza tuvo superávit fiscal, por un total acumulado equivalente al 4,4% de su PIB. En cambio, el conjunto de la Eurozona tiene déficit fiscal, al menos, desde 1995. En 2020, en plena pandemia, Suiza tuvo un déficit fiscal de 3,2% del PIB, que rápidamente corrigió en 2021, con un desequilibrio de apenas 0,7%. En la Eurozona, el déficit fiscal fue 7,1% y 5,1%, respectivamente, en 2020 y 2021.</w:t>
      </w:r>
    </w:p>
    <w:p w:rsidR="007157B1" w:rsidRPr="00736C3B" w:rsidRDefault="007157B1" w:rsidP="007157B1">
      <w:pPr>
        <w:pStyle w:val="NormalWeb"/>
        <w:spacing w:after="0"/>
        <w:jc w:val="both"/>
        <w:rPr>
          <w:color w:val="FF0000"/>
        </w:rPr>
      </w:pPr>
      <w:r>
        <w:t xml:space="preserve">3- </w:t>
      </w:r>
      <w:r w:rsidRPr="00736C3B">
        <w:rPr>
          <w:color w:val="FF0000"/>
        </w:rPr>
        <w:t>Un gobierno responsable no necesita suspender las reglas fiscales</w:t>
      </w:r>
    </w:p>
    <w:p w:rsidR="007157B1" w:rsidRPr="00736C3B" w:rsidRDefault="007157B1" w:rsidP="007157B1">
      <w:pPr>
        <w:pStyle w:val="NormalWeb"/>
        <w:spacing w:after="0"/>
        <w:jc w:val="both"/>
        <w:rPr>
          <w:color w:val="FF0000"/>
          <w:u w:val="single"/>
        </w:rPr>
      </w:pPr>
      <w:r w:rsidRPr="00736C3B">
        <w:rPr>
          <w:color w:val="FF0000"/>
          <w:u w:val="single"/>
        </w:rPr>
        <w:t xml:space="preserve">Suiza no es un país que sablee a sus ciudadanos: el IVA es 7,7% (21% en España), su tipo máximo de IRPF es 40% (54% en nuestro país), el tipo de Sociedades es del 15% (25% en la </w:t>
      </w:r>
      <w:r w:rsidRPr="00736C3B">
        <w:rPr>
          <w:color w:val="FF0000"/>
          <w:u w:val="single"/>
        </w:rPr>
        <w:lastRenderedPageBreak/>
        <w:t>tierra de Pedro Sánchez) y las cotizaciones sociales (sumando las partes correspondientes al empleado y al empleador) se llevan el 12,8% del salario (36% en España, a lo que hay que añadir la cotización por accidentes de trabajo y el 0,6% extra que, desde 2023, se cobrará gracias al ministro Escrivá).</w:t>
      </w:r>
    </w:p>
    <w:p w:rsidR="007157B1" w:rsidRPr="00736C3B" w:rsidRDefault="007157B1" w:rsidP="007157B1">
      <w:pPr>
        <w:pStyle w:val="NormalWeb"/>
        <w:spacing w:after="0"/>
        <w:jc w:val="both"/>
        <w:rPr>
          <w:color w:val="FF0000"/>
        </w:rPr>
      </w:pPr>
      <w:r>
        <w:t xml:space="preserve">4- </w:t>
      </w:r>
      <w:r w:rsidRPr="00736C3B">
        <w:rPr>
          <w:color w:val="FF0000"/>
        </w:rPr>
        <w:t>Es falso que en España haya dé</w:t>
      </w:r>
      <w:r>
        <w:rPr>
          <w:color w:val="FF0000"/>
        </w:rPr>
        <w:t>ficit porque los impuestos son “bajos”</w:t>
      </w:r>
    </w:p>
    <w:p w:rsidR="007157B1" w:rsidRDefault="007157B1" w:rsidP="007157B1">
      <w:pPr>
        <w:pStyle w:val="NormalWeb"/>
        <w:spacing w:after="0"/>
        <w:jc w:val="both"/>
      </w:pPr>
      <w:r w:rsidRPr="00736C3B">
        <w:rPr>
          <w:u w:val="single"/>
        </w:rPr>
        <w:t>Lo habrá y lo seguirá habiendo mientras el gobierno esté ocupado por demagogos manirrotos.</w:t>
      </w:r>
      <w:r>
        <w:t xml:space="preserve"> Pese a la ausencia de “estímulos” monetarios y de “planes de recuperación”, Suiza acumula un crecimiento del PIB del 7% entre 2017 y 2022, prácticamente lo mismo que la media de la Eurozona, que creció 8%.</w:t>
      </w:r>
    </w:p>
    <w:p w:rsidR="007157B1" w:rsidRPr="00736C3B" w:rsidRDefault="007157B1" w:rsidP="007157B1">
      <w:pPr>
        <w:pStyle w:val="NormalWeb"/>
        <w:spacing w:after="0"/>
        <w:jc w:val="both"/>
        <w:rPr>
          <w:color w:val="FF0000"/>
        </w:rPr>
      </w:pPr>
      <w:r>
        <w:t xml:space="preserve">5- </w:t>
      </w:r>
      <w:r>
        <w:rPr>
          <w:color w:val="FF0000"/>
        </w:rPr>
        <w:t>Los “estímulos”</w:t>
      </w:r>
      <w:r w:rsidRPr="00736C3B">
        <w:rPr>
          <w:color w:val="FF0000"/>
        </w:rPr>
        <w:t xml:space="preserve"> keynesianos distorsionan la economía, la hacen más volátil y no impulsan el crecimiento</w:t>
      </w:r>
    </w:p>
    <w:p w:rsidR="007157B1" w:rsidRDefault="007157B1" w:rsidP="007157B1">
      <w:pPr>
        <w:pStyle w:val="NormalWeb"/>
        <w:spacing w:after="0"/>
        <w:jc w:val="both"/>
      </w:pPr>
      <w:r>
        <w:t>Como resultado de una economía bien gestionada, Suiza tiene una tasa de paro de 4,3% (prácticamente pleno empleo), mientras que la media de la Eurozona es de 6,6%.</w:t>
      </w:r>
    </w:p>
    <w:p w:rsidR="007157B1" w:rsidRPr="00736C3B" w:rsidRDefault="007157B1" w:rsidP="007157B1">
      <w:pPr>
        <w:pStyle w:val="NormalWeb"/>
        <w:spacing w:after="0"/>
        <w:jc w:val="both"/>
        <w:rPr>
          <w:color w:val="FF0000"/>
        </w:rPr>
      </w:pPr>
      <w:r>
        <w:t xml:space="preserve">6- </w:t>
      </w:r>
      <w:r w:rsidRPr="00736C3B">
        <w:rPr>
          <w:color w:val="FF0000"/>
        </w:rPr>
        <w:t>La prudencia fiscal y monetaria y los bajos impuestos favorecen a los más humildes</w:t>
      </w:r>
    </w:p>
    <w:p w:rsidR="007157B1" w:rsidRDefault="007157B1" w:rsidP="007157B1">
      <w:pPr>
        <w:pStyle w:val="NormalWeb"/>
        <w:spacing w:before="0" w:beforeAutospacing="0" w:after="0" w:afterAutospacing="0"/>
        <w:jc w:val="both"/>
      </w:pPr>
      <w:r w:rsidRPr="00736C3B">
        <w:rPr>
          <w:u w:val="single"/>
        </w:rPr>
        <w:t>Frente a esta evidencia abrumadora, es difícil que los socialistas de todos los partidos reconozcan el daño que provoca el intervencionismo que defienden; preferirán retener el poder que les da un creciente gasto público, aunque a la larga resulte empobrecedor</w:t>
      </w:r>
      <w:r>
        <w:t>. En cambio, a la cúpula del BCE se la supone más “técnica”. Por eso, como mínimo, deberían pedir perdón. Y si tuvieran algo de vergüenza, dimitir.</w:t>
      </w:r>
    </w:p>
    <w:p w:rsidR="007157B1" w:rsidRDefault="007157B1" w:rsidP="007157B1">
      <w:pPr>
        <w:pStyle w:val="NormalWeb"/>
        <w:spacing w:before="0" w:beforeAutospacing="0" w:after="0" w:afterAutospacing="0"/>
        <w:jc w:val="both"/>
      </w:pPr>
    </w:p>
    <w:p w:rsidR="00164D6E" w:rsidRDefault="00164D6E" w:rsidP="00164D6E">
      <w:pPr>
        <w:spacing w:after="45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9E6224">
        <w:rPr>
          <w:rFonts w:ascii="Times New Roman" w:eastAsia="Times New Roman" w:hAnsi="Times New Roman" w:cs="Times New Roman"/>
          <w:sz w:val="24"/>
          <w:szCs w:val="24"/>
          <w:u w:val="single"/>
          <w:lang w:eastAsia="es-ES"/>
        </w:rPr>
        <w:t>El inversor que anticipó la vuelta de la inflación avista ahora un cambio de paradigma en la economía</w:t>
      </w:r>
      <w:r>
        <w:rPr>
          <w:rFonts w:ascii="Times New Roman" w:eastAsia="Times New Roman" w:hAnsi="Times New Roman" w:cs="Times New Roman"/>
          <w:sz w:val="24"/>
          <w:szCs w:val="24"/>
          <w:lang w:eastAsia="es-ES"/>
        </w:rPr>
        <w:t xml:space="preserve"> (El Economista - </w:t>
      </w:r>
      <w:r w:rsidRPr="009E6224">
        <w:rPr>
          <w:rFonts w:ascii="Times New Roman" w:eastAsia="Times New Roman" w:hAnsi="Times New Roman" w:cs="Times New Roman"/>
          <w:b/>
          <w:sz w:val="24"/>
          <w:szCs w:val="24"/>
          <w:lang w:eastAsia="es-ES"/>
        </w:rPr>
        <w:t>20/10/22</w:t>
      </w:r>
      <w:r>
        <w:rPr>
          <w:rFonts w:ascii="Times New Roman" w:eastAsia="Times New Roman" w:hAnsi="Times New Roman" w:cs="Times New Roman"/>
          <w:sz w:val="24"/>
          <w:szCs w:val="24"/>
          <w:lang w:eastAsia="es-ES"/>
        </w:rPr>
        <w:t>)</w:t>
      </w:r>
    </w:p>
    <w:p w:rsidR="00164D6E" w:rsidRPr="00164D6E" w:rsidRDefault="00164D6E" w:rsidP="00164D6E">
      <w:pPr>
        <w:spacing w:after="450" w:line="240" w:lineRule="auto"/>
        <w:jc w:val="both"/>
        <w:textAlignment w:val="baseline"/>
        <w:rPr>
          <w:rFonts w:ascii="Times New Roman" w:eastAsia="Times New Roman" w:hAnsi="Times New Roman" w:cs="Times New Roman"/>
          <w:sz w:val="24"/>
          <w:szCs w:val="24"/>
          <w:lang w:eastAsia="es-ES"/>
        </w:rPr>
      </w:pPr>
      <w:r w:rsidRPr="00736C3B">
        <w:rPr>
          <w:rFonts w:ascii="Times New Roman" w:eastAsia="Times New Roman" w:hAnsi="Times New Roman" w:cs="Times New Roman"/>
          <w:sz w:val="24"/>
          <w:szCs w:val="24"/>
          <w:u w:val="single"/>
          <w:lang w:eastAsia="es-ES"/>
        </w:rPr>
        <w:t>Tras años (décadas) de estabilidad de precios y pocas alteraciones en las tendencias predominantes en la economía y los mercados, todo parece estar cambiando en un espacio muy corto de tiempo. Russell Napier, cofundador de la firma de investigación financiera Eric y profesor honorario de la Universidad de Stirling, vaticinó este giro dramático de los acontecimientos en verano de 2020 (buena parte del mundo luchaba aún contra la deflación) a tra</w:t>
      </w:r>
      <w:r>
        <w:rPr>
          <w:rFonts w:ascii="Times New Roman" w:eastAsia="Times New Roman" w:hAnsi="Times New Roman" w:cs="Times New Roman"/>
          <w:sz w:val="24"/>
          <w:szCs w:val="24"/>
          <w:u w:val="single"/>
          <w:lang w:eastAsia="es-ES"/>
        </w:rPr>
        <w:t>vés de su newsletter periódica “The Solid Ground”</w:t>
      </w:r>
      <w:r w:rsidRPr="009E6224">
        <w:rPr>
          <w:rFonts w:ascii="Times New Roman" w:eastAsia="Times New Roman" w:hAnsi="Times New Roman" w:cs="Times New Roman"/>
          <w:sz w:val="24"/>
          <w:szCs w:val="24"/>
          <w:lang w:eastAsia="es-ES"/>
        </w:rPr>
        <w:t xml:space="preserve">. Este experto en finanzas no es conocido por lanzar decenas de previsiones catastrofistas cada año, más bien es conocido en el mundo de la inversión por su cautela. Pero ahora, </w:t>
      </w:r>
      <w:r w:rsidRPr="00736C3B">
        <w:rPr>
          <w:rFonts w:ascii="Times New Roman" w:eastAsia="Times New Roman" w:hAnsi="Times New Roman" w:cs="Times New Roman"/>
          <w:color w:val="FF0000"/>
          <w:sz w:val="24"/>
          <w:szCs w:val="24"/>
          <w:u w:val="single"/>
          <w:lang w:eastAsia="es-ES"/>
        </w:rPr>
        <w:t>Napier cree que el cambio que se está produciendo a nivel global es visible y evidente, el mundo desarrollado está virando hacia un nuevo orden en el que el gobierno tiene un mayor control de la economía e incluso de la creación del dinero. Este cambio tendrá consecuencias.</w:t>
      </w:r>
    </w:p>
    <w:p w:rsidR="00164D6E" w:rsidRPr="00736C3B" w:rsidRDefault="00164D6E" w:rsidP="00164D6E">
      <w:pPr>
        <w:spacing w:after="450" w:line="240" w:lineRule="auto"/>
        <w:jc w:val="both"/>
        <w:textAlignment w:val="baseline"/>
        <w:rPr>
          <w:rFonts w:ascii="Times New Roman" w:eastAsia="Times New Roman" w:hAnsi="Times New Roman" w:cs="Times New Roman"/>
          <w:sz w:val="24"/>
          <w:szCs w:val="24"/>
          <w:u w:val="single"/>
          <w:lang w:eastAsia="es-ES"/>
        </w:rPr>
      </w:pPr>
      <w:r w:rsidRPr="009E6224">
        <w:rPr>
          <w:rFonts w:ascii="Times New Roman" w:eastAsia="Times New Roman" w:hAnsi="Times New Roman" w:cs="Times New Roman"/>
          <w:sz w:val="24"/>
          <w:szCs w:val="24"/>
          <w:lang w:eastAsia="es-ES"/>
        </w:rPr>
        <w:t xml:space="preserve">En una entrevista concedida al medio suizo the market, Napier hace </w:t>
      </w:r>
      <w:r w:rsidRPr="00736C3B">
        <w:rPr>
          <w:rFonts w:ascii="Times New Roman" w:eastAsia="Times New Roman" w:hAnsi="Times New Roman" w:cs="Times New Roman"/>
          <w:sz w:val="24"/>
          <w:szCs w:val="24"/>
          <w:u w:val="single"/>
          <w:lang w:eastAsia="es-ES"/>
        </w:rPr>
        <w:t>una revisión general a la situación en la que se encuentran las economías avanzadas y los mercados. Estos países se enfrentan a un cambio de paradigma que se está adentrando poco a poco y sin que la mayoría de la población se cerciore de ello.</w:t>
      </w:r>
    </w:p>
    <w:p w:rsidR="00164D6E" w:rsidRPr="00736C3B" w:rsidRDefault="00164D6E" w:rsidP="00164D6E">
      <w:pPr>
        <w:spacing w:after="450" w:line="240" w:lineRule="auto"/>
        <w:jc w:val="both"/>
        <w:textAlignment w:val="baseline"/>
        <w:rPr>
          <w:rFonts w:ascii="Times New Roman" w:eastAsia="Times New Roman" w:hAnsi="Times New Roman" w:cs="Times New Roman"/>
          <w:sz w:val="24"/>
          <w:szCs w:val="24"/>
          <w:u w:val="single"/>
          <w:lang w:eastAsia="es-ES"/>
        </w:rPr>
      </w:pPr>
      <w:r w:rsidRPr="00736C3B">
        <w:rPr>
          <w:rFonts w:ascii="Times New Roman" w:eastAsia="Times New Roman" w:hAnsi="Times New Roman" w:cs="Times New Roman"/>
          <w:sz w:val="24"/>
          <w:szCs w:val="24"/>
          <w:u w:val="single"/>
          <w:lang w:eastAsia="es-ES"/>
        </w:rPr>
        <w:t>En las últimas cuatro décadas el mundo occidental ha tenido la idea de que las economías estaban guiad</w:t>
      </w:r>
      <w:r>
        <w:rPr>
          <w:rFonts w:ascii="Times New Roman" w:eastAsia="Times New Roman" w:hAnsi="Times New Roman" w:cs="Times New Roman"/>
          <w:sz w:val="24"/>
          <w:szCs w:val="24"/>
          <w:u w:val="single"/>
          <w:lang w:eastAsia="es-ES"/>
        </w:rPr>
        <w:t>as por mercados libres. Ahora, “</w:t>
      </w:r>
      <w:r w:rsidRPr="00736C3B">
        <w:rPr>
          <w:rFonts w:ascii="Times New Roman" w:eastAsia="Times New Roman" w:hAnsi="Times New Roman" w:cs="Times New Roman"/>
          <w:sz w:val="24"/>
          <w:szCs w:val="24"/>
          <w:u w:val="single"/>
          <w:lang w:eastAsia="es-ES"/>
        </w:rPr>
        <w:t xml:space="preserve">estamos en un sistema en el que una gran parte </w:t>
      </w:r>
      <w:r w:rsidRPr="00736C3B">
        <w:rPr>
          <w:rFonts w:ascii="Times New Roman" w:eastAsia="Times New Roman" w:hAnsi="Times New Roman" w:cs="Times New Roman"/>
          <w:sz w:val="24"/>
          <w:szCs w:val="24"/>
          <w:u w:val="single"/>
          <w:lang w:eastAsia="es-ES"/>
        </w:rPr>
        <w:lastRenderedPageBreak/>
        <w:t>de la asignación de recursos ya no se deja en manos de los mercados. Eso sí, no estoy hablando de una economía dirigida o del marxismo, sino de una economía donde el gobierno juega un papel importa</w:t>
      </w:r>
      <w:r>
        <w:rPr>
          <w:rFonts w:ascii="Times New Roman" w:eastAsia="Times New Roman" w:hAnsi="Times New Roman" w:cs="Times New Roman"/>
          <w:sz w:val="24"/>
          <w:szCs w:val="24"/>
          <w:u w:val="single"/>
          <w:lang w:eastAsia="es-ES"/>
        </w:rPr>
        <w:t>nte en la asignación de capital”</w:t>
      </w:r>
      <w:r w:rsidRPr="00736C3B">
        <w:rPr>
          <w:rFonts w:ascii="Times New Roman" w:eastAsia="Times New Roman" w:hAnsi="Times New Roman" w:cs="Times New Roman"/>
          <w:sz w:val="24"/>
          <w:szCs w:val="24"/>
          <w:u w:val="single"/>
          <w:lang w:eastAsia="es-ES"/>
        </w:rPr>
        <w:t>, asegura.</w:t>
      </w:r>
    </w:p>
    <w:p w:rsidR="00164D6E" w:rsidRPr="00A532FA" w:rsidRDefault="00164D6E" w:rsidP="00164D6E">
      <w:pPr>
        <w:spacing w:after="450" w:line="240" w:lineRule="auto"/>
        <w:jc w:val="both"/>
        <w:textAlignment w:val="baseline"/>
        <w:rPr>
          <w:rFonts w:ascii="Times New Roman" w:eastAsia="Times New Roman" w:hAnsi="Times New Roman" w:cs="Times New Roman"/>
          <w:color w:val="FF0000"/>
          <w:sz w:val="24"/>
          <w:szCs w:val="24"/>
          <w:u w:val="single"/>
          <w:lang w:eastAsia="es-ES"/>
        </w:rPr>
      </w:pPr>
      <w:r w:rsidRPr="00A532FA">
        <w:rPr>
          <w:rFonts w:ascii="Times New Roman" w:eastAsia="Times New Roman" w:hAnsi="Times New Roman" w:cs="Times New Roman"/>
          <w:color w:val="FF0000"/>
          <w:sz w:val="24"/>
          <w:szCs w:val="24"/>
          <w:u w:val="single"/>
          <w:lang w:eastAsia="es-ES"/>
        </w:rPr>
        <w:t>¿Por qué sucede esto? Los gobiernos necesitan controlar el dinero y la economía para mantenerse a flote con una</w:t>
      </w:r>
      <w:r>
        <w:rPr>
          <w:rFonts w:ascii="Times New Roman" w:eastAsia="Times New Roman" w:hAnsi="Times New Roman" w:cs="Times New Roman"/>
          <w:color w:val="FF0000"/>
          <w:sz w:val="24"/>
          <w:szCs w:val="24"/>
          <w:u w:val="single"/>
          <w:lang w:eastAsia="es-ES"/>
        </w:rPr>
        <w:t xml:space="preserve"> deuda históricamente elevada. “</w:t>
      </w:r>
      <w:r w:rsidRPr="00A532FA">
        <w:rPr>
          <w:rFonts w:ascii="Times New Roman" w:eastAsia="Times New Roman" w:hAnsi="Times New Roman" w:cs="Times New Roman"/>
          <w:color w:val="FF0000"/>
          <w:sz w:val="24"/>
          <w:szCs w:val="24"/>
          <w:u w:val="single"/>
          <w:lang w:eastAsia="es-ES"/>
        </w:rPr>
        <w:t>La razón principal es que nuestros niveles de deuda simplemente han crecido demasiado. La deuda total del sector público y privado en EEUU es del 290% del PIB. Está en la friolera de 371% en Francia y por encima del 250% en muchas otras economías occidentales, incluido Japón. La Gran Recesión de 2008 ya nos dejó claro que este ni</w:t>
      </w:r>
      <w:r>
        <w:rPr>
          <w:rFonts w:ascii="Times New Roman" w:eastAsia="Times New Roman" w:hAnsi="Times New Roman" w:cs="Times New Roman"/>
          <w:color w:val="FF0000"/>
          <w:sz w:val="24"/>
          <w:szCs w:val="24"/>
          <w:u w:val="single"/>
          <w:lang w:eastAsia="es-ES"/>
        </w:rPr>
        <w:t>vel de deuda era demasiado alto”</w:t>
      </w:r>
      <w:r w:rsidRPr="00A532FA">
        <w:rPr>
          <w:rFonts w:ascii="Times New Roman" w:eastAsia="Times New Roman" w:hAnsi="Times New Roman" w:cs="Times New Roman"/>
          <w:color w:val="FF0000"/>
          <w:sz w:val="24"/>
          <w:szCs w:val="24"/>
          <w:u w:val="single"/>
          <w:lang w:eastAsia="es-ES"/>
        </w:rPr>
        <w:t>.</w:t>
      </w:r>
    </w:p>
    <w:p w:rsidR="00164D6E" w:rsidRPr="009E6224" w:rsidRDefault="00164D6E" w:rsidP="00164D6E">
      <w:pPr>
        <w:spacing w:after="450" w:line="240" w:lineRule="auto"/>
        <w:jc w:val="both"/>
        <w:textAlignment w:val="baseline"/>
        <w:rPr>
          <w:rFonts w:ascii="Times New Roman" w:eastAsia="Times New Roman" w:hAnsi="Times New Roman" w:cs="Times New Roman"/>
          <w:sz w:val="24"/>
          <w:szCs w:val="24"/>
          <w:lang w:eastAsia="es-ES"/>
        </w:rPr>
      </w:pPr>
      <w:r w:rsidRPr="009E6224">
        <w:rPr>
          <w:rFonts w:ascii="Times New Roman" w:eastAsia="Times New Roman" w:hAnsi="Times New Roman" w:cs="Times New Roman"/>
          <w:sz w:val="24"/>
          <w:szCs w:val="24"/>
          <w:lang w:eastAsia="es-ES"/>
        </w:rPr>
        <w:t>El control del dinero</w:t>
      </w:r>
    </w:p>
    <w:p w:rsidR="00164D6E" w:rsidRPr="00A532FA" w:rsidRDefault="00164D6E" w:rsidP="00164D6E">
      <w:pPr>
        <w:spacing w:after="450" w:line="240" w:lineRule="auto"/>
        <w:jc w:val="both"/>
        <w:textAlignment w:val="baseline"/>
        <w:rPr>
          <w:rFonts w:ascii="Times New Roman" w:eastAsia="Times New Roman" w:hAnsi="Times New Roman" w:cs="Times New Roman"/>
          <w:color w:val="FF0000"/>
          <w:sz w:val="24"/>
          <w:szCs w:val="24"/>
          <w:u w:val="single"/>
          <w:lang w:eastAsia="es-ES"/>
        </w:rPr>
      </w:pPr>
      <w:r>
        <w:rPr>
          <w:rFonts w:ascii="Times New Roman" w:eastAsia="Times New Roman" w:hAnsi="Times New Roman" w:cs="Times New Roman"/>
          <w:color w:val="FF0000"/>
          <w:sz w:val="24"/>
          <w:szCs w:val="24"/>
          <w:u w:val="single"/>
          <w:lang w:eastAsia="es-ES"/>
        </w:rPr>
        <w:t>“</w:t>
      </w:r>
      <w:r w:rsidRPr="00A532FA">
        <w:rPr>
          <w:rFonts w:ascii="Times New Roman" w:eastAsia="Times New Roman" w:hAnsi="Times New Roman" w:cs="Times New Roman"/>
          <w:color w:val="FF0000"/>
          <w:sz w:val="24"/>
          <w:szCs w:val="24"/>
          <w:u w:val="single"/>
          <w:lang w:eastAsia="es-ES"/>
        </w:rPr>
        <w:t>Mi argumento estructural es que el poder de controlar la creación de dinero se ha trasladado de los bancos centrales a los gobiernos. Al emitir garantías estatales sobre el crédito bancario durante la crisis de covid, los gobiernos se han hecho cargo de manera efectiva de las palancas para controlar la creación de dinero (antes en manos de la banca privada y la banca central). Por supuesto, el rechazo a esta predicción es que esto era solo una medida de emergencia temporal para combatir los efectos de la pandemia. Pero ahora tenemos otra emergencia, con la guerra en Ucrania y la cr</w:t>
      </w:r>
      <w:r>
        <w:rPr>
          <w:rFonts w:ascii="Times New Roman" w:eastAsia="Times New Roman" w:hAnsi="Times New Roman" w:cs="Times New Roman"/>
          <w:color w:val="FF0000"/>
          <w:sz w:val="24"/>
          <w:szCs w:val="24"/>
          <w:u w:val="single"/>
          <w:lang w:eastAsia="es-ES"/>
        </w:rPr>
        <w:t>isis energética que la acompaña”</w:t>
      </w:r>
      <w:r w:rsidRPr="00A532FA">
        <w:rPr>
          <w:rFonts w:ascii="Times New Roman" w:eastAsia="Times New Roman" w:hAnsi="Times New Roman" w:cs="Times New Roman"/>
          <w:color w:val="FF0000"/>
          <w:sz w:val="24"/>
          <w:szCs w:val="24"/>
          <w:u w:val="single"/>
          <w:lang w:eastAsia="es-ES"/>
        </w:rPr>
        <w:t>, asegura experto. Una emergencia tras otra, esto es lo que nos espera.</w:t>
      </w:r>
    </w:p>
    <w:p w:rsidR="00164D6E" w:rsidRPr="00A532FA" w:rsidRDefault="00164D6E" w:rsidP="00164D6E">
      <w:pPr>
        <w:spacing w:after="450" w:line="240" w:lineRule="auto"/>
        <w:jc w:val="both"/>
        <w:textAlignment w:val="baseline"/>
        <w:rPr>
          <w:rFonts w:ascii="Times New Roman" w:eastAsia="Times New Roman" w:hAnsi="Times New Roman" w:cs="Times New Roman"/>
          <w:color w:val="FF0000"/>
          <w:sz w:val="24"/>
          <w:szCs w:val="24"/>
          <w:u w:val="single"/>
          <w:lang w:eastAsia="es-ES"/>
        </w:rPr>
      </w:pPr>
      <w:r>
        <w:rPr>
          <w:rFonts w:ascii="Times New Roman" w:eastAsia="Times New Roman" w:hAnsi="Times New Roman" w:cs="Times New Roman"/>
          <w:color w:val="FF0000"/>
          <w:sz w:val="24"/>
          <w:szCs w:val="24"/>
          <w:u w:val="single"/>
          <w:lang w:eastAsia="es-ES"/>
        </w:rPr>
        <w:t>“</w:t>
      </w:r>
      <w:r w:rsidRPr="00A532FA">
        <w:rPr>
          <w:rFonts w:ascii="Times New Roman" w:eastAsia="Times New Roman" w:hAnsi="Times New Roman" w:cs="Times New Roman"/>
          <w:color w:val="FF0000"/>
          <w:sz w:val="24"/>
          <w:szCs w:val="24"/>
          <w:u w:val="single"/>
          <w:lang w:eastAsia="es-ES"/>
        </w:rPr>
        <w:t>Esto significa que los gobiernos no se retirarán de estas políticas. Solo para darle algunas estadísticas sobre préstamos bancarios a empresas dentro de la Unión Europea desde febrero de 2020: de todos los nuevos préstamos en Alemania, el 40% está garantizado por el gobierno. En Francia, es el 70% de todos los préstamos nuevos, y en Italia es más del 100%, porque están refinanciando el crédito antiguo que vence a nuevos esquemas garantizados por el gobierno. Recientemente, Alemania ha presentado un nuevo y enorme plan de garantía para cubrir los efectos de la crisis energética. Esta es la nueva normalidad. Para el gobierno, las garantías de crédito son como el árbol mágico del dinero: lo más parecido al dinero gratis. No tienen que emitir más deuda pública, no necesitan aumentar los impuestos, simplemente emiten garantías de c</w:t>
      </w:r>
      <w:r>
        <w:rPr>
          <w:rFonts w:ascii="Times New Roman" w:eastAsia="Times New Roman" w:hAnsi="Times New Roman" w:cs="Times New Roman"/>
          <w:color w:val="FF0000"/>
          <w:sz w:val="24"/>
          <w:szCs w:val="24"/>
          <w:u w:val="single"/>
          <w:lang w:eastAsia="es-ES"/>
        </w:rPr>
        <w:t>rédito a los bancos comerciales”</w:t>
      </w:r>
      <w:r w:rsidRPr="00A532FA">
        <w:rPr>
          <w:rFonts w:ascii="Times New Roman" w:eastAsia="Times New Roman" w:hAnsi="Times New Roman" w:cs="Times New Roman"/>
          <w:color w:val="FF0000"/>
          <w:sz w:val="24"/>
          <w:szCs w:val="24"/>
          <w:u w:val="single"/>
          <w:lang w:eastAsia="es-ES"/>
        </w:rPr>
        <w:t>, sentencia Napier.</w:t>
      </w:r>
    </w:p>
    <w:p w:rsidR="00B00031" w:rsidRDefault="00164D6E" w:rsidP="00164D6E">
      <w:pPr>
        <w:spacing w:after="450" w:line="240" w:lineRule="auto"/>
        <w:jc w:val="both"/>
        <w:textAlignment w:val="baseline"/>
        <w:rPr>
          <w:rFonts w:ascii="Times New Roman" w:eastAsia="Times New Roman" w:hAnsi="Times New Roman" w:cs="Times New Roman"/>
          <w:sz w:val="24"/>
          <w:szCs w:val="24"/>
          <w:lang w:eastAsia="es-ES"/>
        </w:rPr>
      </w:pPr>
      <w:r w:rsidRPr="009E6224">
        <w:rPr>
          <w:rFonts w:ascii="Times New Roman" w:eastAsia="Times New Roman" w:hAnsi="Times New Roman" w:cs="Times New Roman"/>
          <w:sz w:val="24"/>
          <w:szCs w:val="24"/>
          <w:lang w:eastAsia="es-ES"/>
        </w:rPr>
        <w:t>Años de represión financiera</w:t>
      </w:r>
    </w:p>
    <w:p w:rsidR="00164D6E" w:rsidRPr="00B00031" w:rsidRDefault="00164D6E" w:rsidP="00164D6E">
      <w:pPr>
        <w:spacing w:after="450" w:line="240" w:lineRule="auto"/>
        <w:jc w:val="both"/>
        <w:textAlignment w:val="baseline"/>
        <w:rPr>
          <w:rFonts w:ascii="Times New Roman" w:eastAsia="Times New Roman" w:hAnsi="Times New Roman" w:cs="Times New Roman"/>
          <w:sz w:val="24"/>
          <w:szCs w:val="24"/>
          <w:lang w:eastAsia="es-ES"/>
        </w:rPr>
      </w:pPr>
      <w:r w:rsidRPr="00A532FA">
        <w:rPr>
          <w:rFonts w:ascii="Times New Roman" w:eastAsia="Times New Roman" w:hAnsi="Times New Roman" w:cs="Times New Roman"/>
          <w:color w:val="FF0000"/>
          <w:sz w:val="24"/>
          <w:szCs w:val="24"/>
          <w:u w:val="single"/>
          <w:lang w:eastAsia="es-ES"/>
        </w:rPr>
        <w:t>En cuanto a los mercados, su visión es un tanto ten</w:t>
      </w:r>
      <w:r>
        <w:rPr>
          <w:rFonts w:ascii="Times New Roman" w:eastAsia="Times New Roman" w:hAnsi="Times New Roman" w:cs="Times New Roman"/>
          <w:color w:val="FF0000"/>
          <w:sz w:val="24"/>
          <w:szCs w:val="24"/>
          <w:u w:val="single"/>
          <w:lang w:eastAsia="es-ES"/>
        </w:rPr>
        <w:t>ebrosa para el inversor medio: “</w:t>
      </w:r>
      <w:r w:rsidRPr="00A532FA">
        <w:rPr>
          <w:rFonts w:ascii="Times New Roman" w:eastAsia="Times New Roman" w:hAnsi="Times New Roman" w:cs="Times New Roman"/>
          <w:color w:val="FF0000"/>
          <w:sz w:val="24"/>
          <w:szCs w:val="24"/>
          <w:u w:val="single"/>
          <w:lang w:eastAsia="es-ES"/>
        </w:rPr>
        <w:t>Estamos entrando en una etapa de represión financiera estructural que se m</w:t>
      </w:r>
      <w:r>
        <w:rPr>
          <w:rFonts w:ascii="Times New Roman" w:eastAsia="Times New Roman" w:hAnsi="Times New Roman" w:cs="Times New Roman"/>
          <w:color w:val="FF0000"/>
          <w:sz w:val="24"/>
          <w:szCs w:val="24"/>
          <w:u w:val="single"/>
          <w:lang w:eastAsia="es-ES"/>
        </w:rPr>
        <w:t>antendrá durante 15 o 20 años”</w:t>
      </w:r>
      <w:r w:rsidRPr="00A532FA">
        <w:rPr>
          <w:rFonts w:ascii="Times New Roman" w:eastAsia="Times New Roman" w:hAnsi="Times New Roman" w:cs="Times New Roman"/>
          <w:color w:val="FF0000"/>
          <w:sz w:val="24"/>
          <w:szCs w:val="24"/>
          <w:u w:val="single"/>
          <w:lang w:eastAsia="es-ES"/>
        </w:rPr>
        <w:t>. Esto quiere decir que los inversores en bonos y acciones perderán dinero en términos reales (descontando la inflación), salvo que logren posicionarse en activos concretos que pueden ganar en este tipo de entornos. Esto también forma parte del cambio de paradigma, un cambio que los gobiernos necesitan para mantenerse a flote con unas deudas que de otra forma serían insostenibles.</w:t>
      </w:r>
    </w:p>
    <w:p w:rsidR="00164D6E" w:rsidRPr="00A532FA" w:rsidRDefault="00164D6E" w:rsidP="00164D6E">
      <w:pPr>
        <w:spacing w:after="450" w:line="240" w:lineRule="auto"/>
        <w:jc w:val="both"/>
        <w:textAlignment w:val="baseline"/>
        <w:rPr>
          <w:rFonts w:ascii="Times New Roman" w:eastAsia="Times New Roman" w:hAnsi="Times New Roman" w:cs="Times New Roman"/>
          <w:b/>
          <w:color w:val="FF0000"/>
          <w:sz w:val="24"/>
          <w:szCs w:val="24"/>
          <w:u w:val="single"/>
          <w:lang w:eastAsia="es-ES"/>
        </w:rPr>
      </w:pPr>
      <w:r>
        <w:rPr>
          <w:rFonts w:ascii="Times New Roman" w:eastAsia="Times New Roman" w:hAnsi="Times New Roman" w:cs="Times New Roman"/>
          <w:b/>
          <w:color w:val="FF0000"/>
          <w:sz w:val="24"/>
          <w:szCs w:val="24"/>
          <w:u w:val="single"/>
          <w:lang w:eastAsia="es-ES"/>
        </w:rPr>
        <w:t>“</w:t>
      </w:r>
      <w:r w:rsidRPr="00A532FA">
        <w:rPr>
          <w:rFonts w:ascii="Times New Roman" w:eastAsia="Times New Roman" w:hAnsi="Times New Roman" w:cs="Times New Roman"/>
          <w:b/>
          <w:color w:val="FF0000"/>
          <w:sz w:val="24"/>
          <w:szCs w:val="24"/>
          <w:u w:val="single"/>
          <w:lang w:eastAsia="es-ES"/>
        </w:rPr>
        <w:t xml:space="preserve">La represión financiera significa robar dinero a los ahorradores y a las personas mayores lentamente. La parte lenta es importante para que el dolor no se haga demasiado evidente. Ya estamos viendo a respetados economistas y banqueros centrales </w:t>
      </w:r>
      <w:r w:rsidRPr="00A532FA">
        <w:rPr>
          <w:rFonts w:ascii="Times New Roman" w:eastAsia="Times New Roman" w:hAnsi="Times New Roman" w:cs="Times New Roman"/>
          <w:b/>
          <w:color w:val="FF0000"/>
          <w:sz w:val="24"/>
          <w:szCs w:val="24"/>
          <w:u w:val="single"/>
          <w:lang w:eastAsia="es-ES"/>
        </w:rPr>
        <w:lastRenderedPageBreak/>
        <w:t>argumentando que la inflación debería permitirse en un nivel más alto que el objetivo del 2% que establecieron en el pasado. Nuestro marco de referencia ya s</w:t>
      </w:r>
      <w:r>
        <w:rPr>
          <w:rFonts w:ascii="Times New Roman" w:eastAsia="Times New Roman" w:hAnsi="Times New Roman" w:cs="Times New Roman"/>
          <w:b/>
          <w:color w:val="FF0000"/>
          <w:sz w:val="24"/>
          <w:szCs w:val="24"/>
          <w:u w:val="single"/>
          <w:lang w:eastAsia="es-ES"/>
        </w:rPr>
        <w:t>e está desplazando hacia arriba”</w:t>
      </w:r>
      <w:r w:rsidRPr="00A532FA">
        <w:rPr>
          <w:rFonts w:ascii="Times New Roman" w:eastAsia="Times New Roman" w:hAnsi="Times New Roman" w:cs="Times New Roman"/>
          <w:b/>
          <w:color w:val="FF0000"/>
          <w:sz w:val="24"/>
          <w:szCs w:val="24"/>
          <w:u w:val="single"/>
          <w:lang w:eastAsia="es-ES"/>
        </w:rPr>
        <w:t>, advierte este experto.</w:t>
      </w:r>
    </w:p>
    <w:p w:rsidR="00164D6E" w:rsidRPr="00A532FA" w:rsidRDefault="00164D6E" w:rsidP="00164D6E">
      <w:pPr>
        <w:spacing w:after="450" w:line="240" w:lineRule="auto"/>
        <w:jc w:val="both"/>
        <w:textAlignment w:val="baseline"/>
        <w:rPr>
          <w:rFonts w:ascii="Times New Roman" w:eastAsia="Times New Roman" w:hAnsi="Times New Roman" w:cs="Times New Roman"/>
          <w:b/>
          <w:color w:val="FF0000"/>
          <w:sz w:val="24"/>
          <w:szCs w:val="24"/>
          <w:u w:val="single"/>
          <w:lang w:eastAsia="es-ES"/>
        </w:rPr>
      </w:pPr>
      <w:r>
        <w:rPr>
          <w:rFonts w:ascii="Times New Roman" w:eastAsia="Times New Roman" w:hAnsi="Times New Roman" w:cs="Times New Roman"/>
          <w:sz w:val="24"/>
          <w:szCs w:val="24"/>
          <w:lang w:eastAsia="es-ES"/>
        </w:rPr>
        <w:t>“</w:t>
      </w:r>
      <w:r w:rsidRPr="009E6224">
        <w:rPr>
          <w:rFonts w:ascii="Times New Roman" w:eastAsia="Times New Roman" w:hAnsi="Times New Roman" w:cs="Times New Roman"/>
          <w:sz w:val="24"/>
          <w:szCs w:val="24"/>
          <w:lang w:eastAsia="es-ES"/>
        </w:rPr>
        <w:t>El BCE y, definitivamente, el Banco de Inglaterra y el Banco de Japón se encuentran ahí. Estos países ya están bien encaminados hacia la represión financiera. Ocurrirá también en EEUU, p</w:t>
      </w:r>
      <w:r>
        <w:rPr>
          <w:rFonts w:ascii="Times New Roman" w:eastAsia="Times New Roman" w:hAnsi="Times New Roman" w:cs="Times New Roman"/>
          <w:sz w:val="24"/>
          <w:szCs w:val="24"/>
          <w:lang w:eastAsia="es-ES"/>
        </w:rPr>
        <w:t>ero tenemos cierto retraso allí”</w:t>
      </w:r>
      <w:r w:rsidRPr="009E6224">
        <w:rPr>
          <w:rFonts w:ascii="Times New Roman" w:eastAsia="Times New Roman" w:hAnsi="Times New Roman" w:cs="Times New Roman"/>
          <w:sz w:val="24"/>
          <w:szCs w:val="24"/>
          <w:lang w:eastAsia="es-ES"/>
        </w:rPr>
        <w:t xml:space="preserve">, explica. </w:t>
      </w:r>
      <w:r w:rsidRPr="00A532FA">
        <w:rPr>
          <w:rFonts w:ascii="Times New Roman" w:eastAsia="Times New Roman" w:hAnsi="Times New Roman" w:cs="Times New Roman"/>
          <w:b/>
          <w:color w:val="FF0000"/>
          <w:sz w:val="24"/>
          <w:szCs w:val="24"/>
          <w:u w:val="single"/>
          <w:lang w:eastAsia="es-ES"/>
        </w:rPr>
        <w:t>La represión financiera es muy dura para el ahorrador y buena parte de la población, pero si se profundiza en su impacto se puede entender por qué bancos centrales y gobiernos están permitiendo esta situación. La respuesta es clara, la represión financiera favorece a unos gobiernos altamente endeudados. La inflación va a echar una mano muy grande a reducir la deuda sobre PIB de las economías europeas y de EEUU.</w:t>
      </w:r>
    </w:p>
    <w:p w:rsidR="00164D6E" w:rsidRPr="00A532FA" w:rsidRDefault="00164D6E" w:rsidP="00164D6E">
      <w:pPr>
        <w:spacing w:after="450" w:line="240" w:lineRule="auto"/>
        <w:jc w:val="both"/>
        <w:textAlignment w:val="baseline"/>
        <w:rPr>
          <w:rFonts w:ascii="Times New Roman" w:eastAsia="Times New Roman" w:hAnsi="Times New Roman" w:cs="Times New Roman"/>
          <w:b/>
          <w:color w:val="FF0000"/>
          <w:sz w:val="24"/>
          <w:szCs w:val="24"/>
          <w:u w:val="single"/>
          <w:lang w:eastAsia="es-ES"/>
        </w:rPr>
      </w:pPr>
      <w:r>
        <w:rPr>
          <w:rFonts w:ascii="Times New Roman" w:eastAsia="Times New Roman" w:hAnsi="Times New Roman" w:cs="Times New Roman"/>
          <w:b/>
          <w:color w:val="FF0000"/>
          <w:sz w:val="24"/>
          <w:szCs w:val="24"/>
          <w:u w:val="single"/>
          <w:lang w:eastAsia="es-ES"/>
        </w:rPr>
        <w:t>“</w:t>
      </w:r>
      <w:r w:rsidRPr="00A532FA">
        <w:rPr>
          <w:rFonts w:ascii="Times New Roman" w:eastAsia="Times New Roman" w:hAnsi="Times New Roman" w:cs="Times New Roman"/>
          <w:b/>
          <w:color w:val="FF0000"/>
          <w:sz w:val="24"/>
          <w:szCs w:val="24"/>
          <w:u w:val="single"/>
          <w:lang w:eastAsia="es-ES"/>
        </w:rPr>
        <w:t>La represión financiera supone un trasvase de riqueza desde los ahorradores a los deudore</w:t>
      </w:r>
      <w:r>
        <w:rPr>
          <w:rFonts w:ascii="Times New Roman" w:eastAsia="Times New Roman" w:hAnsi="Times New Roman" w:cs="Times New Roman"/>
          <w:b/>
          <w:color w:val="FF0000"/>
          <w:sz w:val="24"/>
          <w:szCs w:val="24"/>
          <w:u w:val="single"/>
          <w:lang w:eastAsia="es-ES"/>
        </w:rPr>
        <w:t>s y de los viejos a los jóvenes”</w:t>
      </w:r>
      <w:r w:rsidRPr="00A532FA">
        <w:rPr>
          <w:rFonts w:ascii="Times New Roman" w:eastAsia="Times New Roman" w:hAnsi="Times New Roman" w:cs="Times New Roman"/>
          <w:b/>
          <w:color w:val="FF0000"/>
          <w:sz w:val="24"/>
          <w:szCs w:val="24"/>
          <w:u w:val="single"/>
          <w:lang w:eastAsia="es-ES"/>
        </w:rPr>
        <w:t>, comenta este experto.</w:t>
      </w:r>
    </w:p>
    <w:p w:rsidR="00164D6E" w:rsidRPr="00A532FA" w:rsidRDefault="00164D6E" w:rsidP="00164D6E">
      <w:pPr>
        <w:spacing w:after="450" w:line="240" w:lineRule="auto"/>
        <w:jc w:val="both"/>
        <w:textAlignment w:val="baseline"/>
        <w:rPr>
          <w:rFonts w:ascii="Times New Roman" w:eastAsia="Times New Roman" w:hAnsi="Times New Roman" w:cs="Times New Roman"/>
          <w:b/>
          <w:color w:val="FF0000"/>
          <w:sz w:val="24"/>
          <w:szCs w:val="24"/>
          <w:u w:val="single"/>
          <w:lang w:eastAsia="es-ES"/>
        </w:rPr>
      </w:pPr>
      <w:r w:rsidRPr="00A532FA">
        <w:rPr>
          <w:rFonts w:ascii="Times New Roman" w:eastAsia="Times New Roman" w:hAnsi="Times New Roman" w:cs="Times New Roman"/>
          <w:b/>
          <w:color w:val="FF0000"/>
          <w:sz w:val="24"/>
          <w:szCs w:val="24"/>
          <w:u w:val="single"/>
          <w:lang w:eastAsia="es-ES"/>
        </w:rPr>
        <w:t>Por otro lado, la represión financiera también supone un incremento de los ingresos públicos salvo que se adopten medidas de deflactación. A medida que suben los precios, los impuestos recaudados se incrementan en términos absolutos y a veces también en términos relativos (como ocurre con el IRPF gracias a los tramos). Los gobiernos están logrando acaparar mucho poder, no solo a través de un mayor gasto público crónico, sino también a través del control del propio dinero. Esto último es un cambio de paradigma, desde el libre mercado hacia el dirigismo o estatalismo, asegura Napier.</w:t>
      </w:r>
    </w:p>
    <w:p w:rsidR="00164D6E" w:rsidRDefault="00164D6E" w:rsidP="00164D6E">
      <w:pPr>
        <w:spacing w:after="450" w:line="240" w:lineRule="auto"/>
        <w:jc w:val="both"/>
        <w:textAlignment w:val="baseline"/>
        <w:rPr>
          <w:rFonts w:ascii="Times New Roman" w:eastAsia="Times New Roman" w:hAnsi="Times New Roman" w:cs="Times New Roman"/>
          <w:sz w:val="24"/>
          <w:szCs w:val="24"/>
          <w:lang w:eastAsia="es-ES"/>
        </w:rPr>
      </w:pPr>
      <w:r w:rsidRPr="009E6224">
        <w:rPr>
          <w:rFonts w:ascii="Times New Roman" w:eastAsia="Times New Roman" w:hAnsi="Times New Roman" w:cs="Times New Roman"/>
          <w:sz w:val="24"/>
          <w:szCs w:val="24"/>
          <w:lang w:eastAsia="es-ES"/>
        </w:rPr>
        <w:t>En este entorno, la inversión se complica sobremanera. Superar a la inflación ha sido sencillo durante años, pero ahora resulta casi imposibl</w:t>
      </w:r>
      <w:r>
        <w:rPr>
          <w:rFonts w:ascii="Times New Roman" w:eastAsia="Times New Roman" w:hAnsi="Times New Roman" w:cs="Times New Roman"/>
          <w:sz w:val="24"/>
          <w:szCs w:val="24"/>
          <w:lang w:eastAsia="es-ES"/>
        </w:rPr>
        <w:t>e. Napier da algunos consejos: “</w:t>
      </w:r>
      <w:r w:rsidRPr="009E6224">
        <w:rPr>
          <w:rFonts w:ascii="Times New Roman" w:eastAsia="Times New Roman" w:hAnsi="Times New Roman" w:cs="Times New Roman"/>
          <w:sz w:val="24"/>
          <w:szCs w:val="24"/>
          <w:lang w:eastAsia="es-ES"/>
        </w:rPr>
        <w:t xml:space="preserve">En primer lugar: evite los bonos del gobierno. Los inversores en deuda pública serán atracados lentamente. Dentro de la renta variable, hay sectores a los que les irá muy bien. Los grandes problemas que tenemos (energía, cambio climático, defensa, desigualdad, nuestra dependencia de la producción de China) se resolverán con inversiones masivas. Este auge del gasto de capital podría durar mucho tiempo. A las empresas que estén orientadas a este renacimiento del gasto de capital les irá bien. Al oro le irá bien una vez que la gente se dé cuenta de que la inflación no bajará a los niveles anteriores a 2020, sino que se ubicará entre el 4 y </w:t>
      </w:r>
      <w:r>
        <w:rPr>
          <w:rFonts w:ascii="Times New Roman" w:eastAsia="Times New Roman" w:hAnsi="Times New Roman" w:cs="Times New Roman"/>
          <w:sz w:val="24"/>
          <w:szCs w:val="24"/>
          <w:lang w:eastAsia="es-ES"/>
        </w:rPr>
        <w:t>el 6%”</w:t>
      </w:r>
      <w:r w:rsidRPr="009E6224">
        <w:rPr>
          <w:rFonts w:ascii="Times New Roman" w:eastAsia="Times New Roman" w:hAnsi="Times New Roman" w:cs="Times New Roman"/>
          <w:sz w:val="24"/>
          <w:szCs w:val="24"/>
          <w:lang w:eastAsia="es-ES"/>
        </w:rPr>
        <w:t>, sentencia este experto.</w:t>
      </w:r>
    </w:p>
    <w:p w:rsidR="00164D6E" w:rsidRDefault="00164D6E" w:rsidP="00164D6E">
      <w:pPr>
        <w:pStyle w:val="NormalWeb"/>
        <w:spacing w:after="0"/>
        <w:jc w:val="both"/>
      </w:pPr>
      <w:r>
        <w:t xml:space="preserve">- </w:t>
      </w:r>
      <w:r>
        <w:rPr>
          <w:u w:val="single"/>
        </w:rPr>
        <w:t>La “enfermedad británica”</w:t>
      </w:r>
      <w:r w:rsidRPr="00B94972">
        <w:rPr>
          <w:u w:val="single"/>
        </w:rPr>
        <w:t xml:space="preserve"> se extiende</w:t>
      </w:r>
      <w:r>
        <w:t xml:space="preserve"> (El Economista - </w:t>
      </w:r>
      <w:r w:rsidRPr="00B94972">
        <w:rPr>
          <w:b/>
        </w:rPr>
        <w:t>26/10/22</w:t>
      </w:r>
      <w:r>
        <w:t>)</w:t>
      </w:r>
    </w:p>
    <w:p w:rsidR="00164D6E" w:rsidRPr="00CB1B25" w:rsidRDefault="00164D6E" w:rsidP="00164D6E">
      <w:pPr>
        <w:pStyle w:val="NormalWeb"/>
        <w:spacing w:after="0"/>
        <w:jc w:val="both"/>
        <w:rPr>
          <w:color w:val="FF0000"/>
          <w:u w:val="single"/>
        </w:rPr>
      </w:pPr>
      <w:r w:rsidRPr="00CB1B25">
        <w:rPr>
          <w:color w:val="FF0000"/>
          <w:u w:val="single"/>
        </w:rPr>
        <w:t>La deuda pública se dispara sin control. Los bancos centrales intentan apuntalar la moneda. Y los mercados están perdiendo la confianza en los líderes políticos adictos al dinero impreso. Como descripción del Reino Unido en las últimas semanas, es dolorosamente familiar. Y sin embargo, aquí está el giro. En las últimas semanas, ha comenzado a aplicarse a Japón, a China, y muy pronto podría aplicarse también a Francia e Italia.</w:t>
      </w:r>
    </w:p>
    <w:p w:rsidR="00164D6E" w:rsidRPr="00CB1B25" w:rsidRDefault="009F5141" w:rsidP="00164D6E">
      <w:pPr>
        <w:pStyle w:val="NormalWeb"/>
        <w:spacing w:after="0"/>
        <w:jc w:val="both"/>
        <w:rPr>
          <w:b/>
          <w:color w:val="FF0000"/>
          <w:u w:val="single"/>
        </w:rPr>
      </w:pPr>
      <w:r>
        <w:rPr>
          <w:b/>
          <w:color w:val="FF0000"/>
          <w:u w:val="single"/>
        </w:rPr>
        <w:t>En realidad, la “enfermedad británica”</w:t>
      </w:r>
      <w:r w:rsidR="00164D6E" w:rsidRPr="00CB1B25">
        <w:rPr>
          <w:b/>
          <w:color w:val="FF0000"/>
          <w:u w:val="single"/>
        </w:rPr>
        <w:t xml:space="preserve">, como podríamos llamarla, ya se está extendiendo por todo el mundo. Toda una serie de grandes economías se enfrentan a la misma mezcla tóxica de creciente endeudamiento, facturas de intereses disparadas, envejecimiento de la mano de obra y sistemas de bienestar hinchados e inasequibles que </w:t>
      </w:r>
      <w:r w:rsidR="00164D6E" w:rsidRPr="00CB1B25">
        <w:rPr>
          <w:b/>
          <w:color w:val="FF0000"/>
          <w:u w:val="single"/>
        </w:rPr>
        <w:lastRenderedPageBreak/>
        <w:t>sólo pueden mantenerse a flote gracias a los bancos centrales que mantienen las máquinas de imprimir en funcionamiento hasta que los mercados financieros les dan la razón. Puede que el Reino Unido haya sido el primero en colapsar, pero no será el último.</w:t>
      </w:r>
    </w:p>
    <w:p w:rsidR="00164D6E" w:rsidRDefault="00164D6E" w:rsidP="00164D6E">
      <w:pPr>
        <w:pStyle w:val="NormalWeb"/>
        <w:spacing w:after="0"/>
        <w:jc w:val="both"/>
      </w:pPr>
      <w:r>
        <w:t>Puede que el Reino Unido haya estado centrado en el interminable psico-drama interno del Partido Conservador durante la última semana, y preguntándose cuánto tiempo podría sobrevivir el próximo Primer Ministro en el cargo, pero los mercados ya habían pasado más o menos a la acción. Cuando Liz Truss abandonó el escenario, la libra apenas se movió. En realidad, la acción ya se había trasladado a otra parte…</w:t>
      </w:r>
    </w:p>
    <w:p w:rsidR="00164D6E" w:rsidRPr="00CB1B25" w:rsidRDefault="00164D6E" w:rsidP="00164D6E">
      <w:pPr>
        <w:pStyle w:val="NormalWeb"/>
        <w:spacing w:after="0"/>
        <w:jc w:val="both"/>
        <w:rPr>
          <w:color w:val="FF0000"/>
          <w:u w:val="single"/>
        </w:rPr>
      </w:pPr>
      <w:r w:rsidRPr="00CB1B25">
        <w:rPr>
          <w:u w:val="single"/>
        </w:rPr>
        <w:t>Aquí en Europa, el panorama es aún peor.</w:t>
      </w:r>
      <w:r>
        <w:t xml:space="preserve"> </w:t>
      </w:r>
      <w:r w:rsidR="00B00031">
        <w:t>(…</w:t>
      </w:r>
      <w:r w:rsidR="00B00031" w:rsidRPr="00B00031">
        <w:t xml:space="preserve">) </w:t>
      </w:r>
      <w:r w:rsidRPr="00CB1B25">
        <w:rPr>
          <w:color w:val="FF0000"/>
          <w:u w:val="single"/>
        </w:rPr>
        <w:t>A diferencia de la crisis de la eurozona de hace una década, el núcleo está igual de mal.</w:t>
      </w:r>
      <w:r>
        <w:t xml:space="preserve"> </w:t>
      </w:r>
      <w:r w:rsidR="00B00031">
        <w:t>(…)</w:t>
      </w:r>
      <w:r>
        <w:t xml:space="preserve"> </w:t>
      </w:r>
      <w:r w:rsidRPr="00CB1B25">
        <w:rPr>
          <w:color w:val="FF0000"/>
          <w:u w:val="single"/>
        </w:rPr>
        <w:t>Todo el dinero que los gobiernos francés y alemán están pidiendo prestado alegremente para rescatar sus mercados energéticos parece que de repente será mucho más difícil de devolver.</w:t>
      </w:r>
    </w:p>
    <w:p w:rsidR="00164D6E" w:rsidRPr="0029407B" w:rsidRDefault="00164D6E" w:rsidP="00164D6E">
      <w:pPr>
        <w:pStyle w:val="NormalWeb"/>
        <w:spacing w:after="0"/>
        <w:jc w:val="both"/>
        <w:rPr>
          <w:b/>
          <w:color w:val="FF0000"/>
          <w:u w:val="single"/>
        </w:rPr>
      </w:pPr>
      <w:r w:rsidRPr="0029407B">
        <w:rPr>
          <w:color w:val="FF0000"/>
          <w:u w:val="single"/>
        </w:rPr>
        <w:t xml:space="preserve">Las circunstancias </w:t>
      </w:r>
      <w:r w:rsidR="00B00031">
        <w:rPr>
          <w:color w:val="FF0000"/>
          <w:u w:val="single"/>
        </w:rPr>
        <w:t>locales son siempre diferentes.</w:t>
      </w:r>
      <w:r w:rsidR="00B00031">
        <w:t xml:space="preserve"> (…) </w:t>
      </w:r>
      <w:r w:rsidRPr="0029407B">
        <w:rPr>
          <w:b/>
          <w:color w:val="FF0000"/>
          <w:u w:val="single"/>
        </w:rPr>
        <w:t>Sin embargo, en todos los casos el problema básico es el mismo. Los bancos centrales han mantenido las economías a flote durante más de una década con dinero impreso, permitiendo a los gobiernos ser cada vez más extravagantes, bombeando burbujas de activos y dejando que la productividad y la competitividad disminuyan constantemente. A raíz de los cierres de Covid, eso se ha traducido ahora en tasas de inflación alarmantes, y al frenar todo lo que creíamos que podía continuar para siempre ha resultado de repente inasequible.</w:t>
      </w:r>
    </w:p>
    <w:p w:rsidR="00164D6E" w:rsidRPr="00E374BA" w:rsidRDefault="00B00031" w:rsidP="00164D6E">
      <w:pPr>
        <w:pStyle w:val="NormalWeb"/>
        <w:spacing w:before="0" w:beforeAutospacing="0" w:after="0" w:afterAutospacing="0"/>
        <w:jc w:val="both"/>
        <w:rPr>
          <w:b/>
          <w:color w:val="FF0000"/>
          <w:u w:val="single"/>
        </w:rPr>
      </w:pPr>
      <w:r>
        <w:rPr>
          <w:b/>
          <w:color w:val="FF0000"/>
          <w:u w:val="single"/>
        </w:rPr>
        <w:t>La “enfermedad británica”</w:t>
      </w:r>
      <w:r w:rsidR="00164D6E" w:rsidRPr="0029407B">
        <w:rPr>
          <w:b/>
          <w:color w:val="FF0000"/>
          <w:u w:val="single"/>
        </w:rPr>
        <w:t xml:space="preserve"> no tendrá, en realidad, una cura fácil. Los tipos de interés tendrán que volver a los niveles normales, incluso si eso significa que los precios de la vivienda caen y muchas empresas se arruinan. Los gobiernos tendrán que elevar la edad de jubilación y recortar los presupuestos de bienestar social, de modo que el gasto vuelva a estar bajo control y se anime a la gente a trabajar durante más tiempo. Las empresas tendrán que averiguar cómo mejorar drásticamente la productividad para poder seguir expandiéndose aunque sus costes suban. Los consumidores tendrán que acostumbrarse a precios permanentemente más altos, y a pagar todo lo que necesitan con salarios reales que han bajado considerablemente. Será un trabajo duro, y no será muy divertido. Pero no habrá otra opción. En realidad, puede que el Reino Unido se haya hundido primero, ya que los inversores observaron el balance nacional y decidieron alejarse de</w:t>
      </w:r>
      <w:r>
        <w:rPr>
          <w:b/>
          <w:color w:val="FF0000"/>
          <w:u w:val="single"/>
        </w:rPr>
        <w:t xml:space="preserve"> él lo máximo posible. Pero la “enfermedad británica”</w:t>
      </w:r>
      <w:r w:rsidR="00164D6E" w:rsidRPr="0029407B">
        <w:rPr>
          <w:b/>
          <w:color w:val="FF0000"/>
          <w:u w:val="single"/>
        </w:rPr>
        <w:t xml:space="preserve"> es global, y muchos otros pa</w:t>
      </w:r>
      <w:r w:rsidR="00164D6E">
        <w:rPr>
          <w:b/>
          <w:color w:val="FF0000"/>
          <w:u w:val="single"/>
        </w:rPr>
        <w:t>íses se verán atrapados pronto.</w:t>
      </w:r>
    </w:p>
    <w:p w:rsidR="00B00031" w:rsidRDefault="00B00031" w:rsidP="00B00031">
      <w:pPr>
        <w:pStyle w:val="NormalWeb"/>
        <w:spacing w:after="0"/>
        <w:jc w:val="both"/>
      </w:pPr>
      <w:r>
        <w:t xml:space="preserve">- </w:t>
      </w:r>
      <w:r w:rsidRPr="00237336">
        <w:rPr>
          <w:u w:val="single"/>
        </w:rPr>
        <w:t>Qué mensajes hay que observar en la reunión del BCE: tipos y cambios en las líneas de liquidez a la banca (</w:t>
      </w:r>
      <w:r>
        <w:t xml:space="preserve">Cinco Días - </w:t>
      </w:r>
      <w:r>
        <w:rPr>
          <w:b/>
        </w:rPr>
        <w:t>27</w:t>
      </w:r>
      <w:r w:rsidRPr="00237336">
        <w:rPr>
          <w:b/>
        </w:rPr>
        <w:t>/10/22</w:t>
      </w:r>
      <w:r>
        <w:t>)</w:t>
      </w:r>
    </w:p>
    <w:p w:rsidR="00B00031" w:rsidRPr="00CB1B25" w:rsidRDefault="00B00031" w:rsidP="00B00031">
      <w:pPr>
        <w:pStyle w:val="NormalWeb"/>
        <w:spacing w:after="0"/>
        <w:jc w:val="both"/>
        <w:rPr>
          <w:color w:val="FF0000"/>
          <w:u w:val="single"/>
        </w:rPr>
      </w:pPr>
      <w:r>
        <w:t xml:space="preserve">El Consejo de Gobierno del BCE se reúne hoy en Fráncfort y se da por hecho que decidirá una subida de tipos de 75 puntos básicos, la segunda consecutiva de esa cuantía tras la anunciada en septiembre. </w:t>
      </w:r>
      <w:r w:rsidRPr="00CB1B25">
        <w:rPr>
          <w:color w:val="FF0000"/>
          <w:u w:val="single"/>
        </w:rPr>
        <w:t>La inflación sigue sin dar tregua en la zona euro y el BCE está decidido a combatirla con un encarecimiento acelerado del precio del dinero.</w:t>
      </w:r>
    </w:p>
    <w:p w:rsidR="00B00031" w:rsidRPr="00CB1B25" w:rsidRDefault="00B00031" w:rsidP="00B00031">
      <w:pPr>
        <w:pStyle w:val="NormalWeb"/>
        <w:spacing w:after="0"/>
        <w:jc w:val="both"/>
        <w:rPr>
          <w:u w:val="single"/>
        </w:rPr>
      </w:pPr>
      <w:r>
        <w:t xml:space="preserve">Pero pese a que el guion de la cita de hoy parezca ya escrito en cuanto al alza de tipos, el BCE se sigue moviendo en un entorno de máxima incertidumbre y afronta desafiantes retos. Los mensajes que lance Christine Lagarde en cuanto a la situación económica de la zona euro y sobre </w:t>
      </w:r>
      <w:r w:rsidRPr="00CB1B25">
        <w:rPr>
          <w:u w:val="single"/>
        </w:rPr>
        <w:t xml:space="preserve">los próximos pasos de la institución serán clave para entender el impacto de la </w:t>
      </w:r>
      <w:r w:rsidRPr="00CB1B25">
        <w:rPr>
          <w:u w:val="single"/>
        </w:rPr>
        <w:lastRenderedPageBreak/>
        <w:t>política monetaria en el mercado financiero y en los bolsillos de los ciudadanos en los próximos meses.</w:t>
      </w:r>
    </w:p>
    <w:p w:rsidR="00B00031" w:rsidRDefault="00B00031" w:rsidP="00B00031">
      <w:pPr>
        <w:pStyle w:val="NormalWeb"/>
        <w:spacing w:after="0"/>
        <w:jc w:val="both"/>
      </w:pPr>
      <w:r w:rsidRPr="00CB1B25">
        <w:rPr>
          <w:u w:val="single"/>
        </w:rPr>
        <w:t>Además, el BCE tiene pendiente concretar qué hará con otras dos poderosas herramientas de su política: las compras de deuda, con la decisión pendiente de cuándo comenzar la reducción del balance, y las líneas de financiación TLTRO, cuyo atractivo está generando a la banca unos beneficios caídos del cielo a los que la institución prevé poner freno</w:t>
      </w:r>
      <w:r w:rsidRPr="00B00031">
        <w:t>…</w:t>
      </w:r>
    </w:p>
    <w:p w:rsidR="00B00031" w:rsidRPr="00B00031" w:rsidRDefault="00B00031" w:rsidP="00B00031">
      <w:pPr>
        <w:pStyle w:val="NormalWeb"/>
        <w:spacing w:after="0"/>
        <w:jc w:val="both"/>
        <w:rPr>
          <w:b/>
          <w:color w:val="FF0000"/>
        </w:rPr>
      </w:pPr>
      <w:r w:rsidRPr="00CB1B25">
        <w:rPr>
          <w:b/>
          <w:color w:val="FF0000"/>
          <w:u w:val="single"/>
        </w:rPr>
        <w:t>El BCE aún debe abordar una importante cuestión en su proceso de normalización monetaria, cómo reducir un balance que se ha disparado a los 8,77 billones de euros. El debate sobre la reducción del balance podría comenzar hoy, el presidente del Bundesbank ya ha reclamado adoptar la medida cuanto antes. Lagarde podría dar alguna señal al respecto, aunque los analistas dan más opciones a que el anuncio se haga en la reunión de diciembre y que la reducción del balance, con la venta neta de activos, comience en el segundo trimestre de 2023</w:t>
      </w:r>
      <w:r w:rsidRPr="00B00031">
        <w:rPr>
          <w:b/>
          <w:color w:val="FF0000"/>
        </w:rPr>
        <w:t>…</w:t>
      </w:r>
    </w:p>
    <w:p w:rsidR="00B00031" w:rsidRPr="000329EE" w:rsidRDefault="00B00031" w:rsidP="00B00031">
      <w:pPr>
        <w:pStyle w:val="NormalWeb"/>
        <w:spacing w:before="0" w:beforeAutospacing="0" w:after="0" w:afterAutospacing="0"/>
        <w:jc w:val="both"/>
      </w:pPr>
    </w:p>
    <w:p w:rsidR="00B00031" w:rsidRDefault="00B00031" w:rsidP="00B00031">
      <w:pPr>
        <w:pStyle w:val="NormalWeb"/>
        <w:spacing w:before="0" w:beforeAutospacing="0" w:after="0" w:afterAutospacing="0"/>
        <w:jc w:val="both"/>
      </w:pPr>
      <w:r>
        <w:rPr>
          <w:noProof/>
        </w:rPr>
        <w:drawing>
          <wp:inline distT="0" distB="0" distL="0" distR="0" wp14:anchorId="1564A581" wp14:editId="512DF405">
            <wp:extent cx="5734049" cy="2520950"/>
            <wp:effectExtent l="0" t="0" r="635" b="0"/>
            <wp:docPr id="71" name="Imagen 71" descr="Euro lib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uro libra"/>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731510" cy="2519834"/>
                    </a:xfrm>
                    <a:prstGeom prst="rect">
                      <a:avLst/>
                    </a:prstGeom>
                    <a:noFill/>
                    <a:ln>
                      <a:noFill/>
                    </a:ln>
                  </pic:spPr>
                </pic:pic>
              </a:graphicData>
            </a:graphic>
          </wp:inline>
        </w:drawing>
      </w:r>
      <w:r>
        <w:t xml:space="preserve">(Cinco Días - </w:t>
      </w:r>
      <w:r w:rsidRPr="00DC4627">
        <w:rPr>
          <w:b/>
        </w:rPr>
        <w:t>27/10/22</w:t>
      </w:r>
      <w:r>
        <w:t>)</w:t>
      </w:r>
    </w:p>
    <w:p w:rsidR="00F26171" w:rsidRDefault="00F26171" w:rsidP="00B00031">
      <w:pPr>
        <w:pStyle w:val="NormalWeb"/>
        <w:spacing w:before="0" w:beforeAutospacing="0" w:after="0" w:afterAutospacing="0"/>
        <w:jc w:val="both"/>
      </w:pPr>
    </w:p>
    <w:p w:rsidR="00F26171" w:rsidRDefault="00F26171" w:rsidP="00B00031">
      <w:pPr>
        <w:pStyle w:val="NormalWeb"/>
        <w:spacing w:before="0" w:beforeAutospacing="0" w:after="0" w:afterAutospacing="0"/>
        <w:jc w:val="both"/>
      </w:pPr>
      <w:r>
        <w:rPr>
          <w:noProof/>
        </w:rPr>
        <w:drawing>
          <wp:inline distT="0" distB="0" distL="0" distR="0" wp14:anchorId="439C69DB" wp14:editId="6295CB60">
            <wp:extent cx="5731510" cy="2557916"/>
            <wp:effectExtent l="0" t="0" r="2540" b="0"/>
            <wp:docPr id="34" name="Imagen 34" descr="Eu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uro"/>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731510" cy="2557916"/>
                    </a:xfrm>
                    <a:prstGeom prst="rect">
                      <a:avLst/>
                    </a:prstGeom>
                    <a:noFill/>
                    <a:ln>
                      <a:noFill/>
                    </a:ln>
                  </pic:spPr>
                </pic:pic>
              </a:graphicData>
            </a:graphic>
          </wp:inline>
        </w:drawing>
      </w:r>
    </w:p>
    <w:p w:rsidR="00F26171" w:rsidRDefault="00F26171" w:rsidP="00F26171">
      <w:pPr>
        <w:pStyle w:val="NormalWeb"/>
        <w:spacing w:before="0" w:beforeAutospacing="0" w:after="0" w:afterAutospacing="0"/>
        <w:jc w:val="both"/>
      </w:pPr>
      <w:r>
        <w:t xml:space="preserve">(Cinco Días - </w:t>
      </w:r>
      <w:r w:rsidRPr="005B0D68">
        <w:rPr>
          <w:b/>
        </w:rPr>
        <w:t>27/10/22</w:t>
      </w:r>
      <w:r>
        <w:t>)</w:t>
      </w:r>
    </w:p>
    <w:p w:rsidR="00F26171" w:rsidRDefault="00F26171" w:rsidP="00F26171">
      <w:pPr>
        <w:spacing w:line="240" w:lineRule="auto"/>
        <w:jc w:val="both"/>
        <w:rPr>
          <w:rFonts w:ascii="Times New Roman" w:hAnsi="Times New Roman" w:cs="Times New Roman"/>
          <w:sz w:val="24"/>
          <w:szCs w:val="24"/>
        </w:rPr>
      </w:pPr>
    </w:p>
    <w:p w:rsidR="00B00031" w:rsidRPr="00E3300C" w:rsidRDefault="00B00031" w:rsidP="00B00031">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E3300C">
        <w:rPr>
          <w:rFonts w:ascii="Times New Roman" w:hAnsi="Times New Roman" w:cs="Times New Roman"/>
          <w:sz w:val="24"/>
          <w:szCs w:val="24"/>
          <w:u w:val="single"/>
        </w:rPr>
        <w:t>El cacao mental de los economistas</w:t>
      </w:r>
      <w:r>
        <w:rPr>
          <w:rFonts w:ascii="Times New Roman" w:hAnsi="Times New Roman" w:cs="Times New Roman"/>
          <w:sz w:val="24"/>
          <w:szCs w:val="24"/>
        </w:rPr>
        <w:t xml:space="preserve"> (Vozpópuli - </w:t>
      </w:r>
      <w:r w:rsidRPr="00E3300C">
        <w:rPr>
          <w:rFonts w:ascii="Times New Roman" w:hAnsi="Times New Roman" w:cs="Times New Roman"/>
          <w:b/>
          <w:sz w:val="24"/>
          <w:szCs w:val="24"/>
        </w:rPr>
        <w:t>27/10/22</w:t>
      </w:r>
      <w:r>
        <w:rPr>
          <w:rFonts w:ascii="Times New Roman" w:hAnsi="Times New Roman" w:cs="Times New Roman"/>
          <w:sz w:val="24"/>
          <w:szCs w:val="24"/>
        </w:rPr>
        <w:t>)</w:t>
      </w:r>
    </w:p>
    <w:p w:rsidR="00B00031" w:rsidRPr="0029407B" w:rsidRDefault="00B00031" w:rsidP="00B00031">
      <w:pPr>
        <w:spacing w:line="240" w:lineRule="auto"/>
        <w:jc w:val="both"/>
        <w:rPr>
          <w:rFonts w:ascii="Times New Roman" w:hAnsi="Times New Roman" w:cs="Times New Roman"/>
          <w:color w:val="FF0000"/>
          <w:sz w:val="24"/>
          <w:szCs w:val="24"/>
        </w:rPr>
      </w:pPr>
      <w:r w:rsidRPr="0029407B">
        <w:rPr>
          <w:rFonts w:ascii="Times New Roman" w:hAnsi="Times New Roman" w:cs="Times New Roman"/>
          <w:color w:val="FF0000"/>
          <w:sz w:val="24"/>
          <w:szCs w:val="24"/>
        </w:rPr>
        <w:t>Los adalides de la austeridad fiscal afirman que unas cuentas públicas saneadas es síntoma de fortaleza económica</w:t>
      </w:r>
      <w:r w:rsidR="00F26171">
        <w:rPr>
          <w:rFonts w:ascii="Times New Roman" w:hAnsi="Times New Roman" w:cs="Times New Roman"/>
          <w:color w:val="FF0000"/>
          <w:sz w:val="24"/>
          <w:szCs w:val="24"/>
        </w:rPr>
        <w:t>,</w:t>
      </w:r>
      <w:r w:rsidRPr="0029407B">
        <w:rPr>
          <w:rFonts w:ascii="Times New Roman" w:hAnsi="Times New Roman" w:cs="Times New Roman"/>
          <w:color w:val="FF0000"/>
          <w:sz w:val="24"/>
          <w:szCs w:val="24"/>
        </w:rPr>
        <w:t xml:space="preserve"> y buen hacer. ¿De verdad?</w:t>
      </w:r>
    </w:p>
    <w:p w:rsidR="00B00031" w:rsidRPr="00E3300C" w:rsidRDefault="00B00031" w:rsidP="00B00031">
      <w:pPr>
        <w:spacing w:line="240" w:lineRule="auto"/>
        <w:jc w:val="both"/>
        <w:rPr>
          <w:rFonts w:ascii="Times New Roman" w:hAnsi="Times New Roman" w:cs="Times New Roman"/>
          <w:sz w:val="24"/>
          <w:szCs w:val="24"/>
        </w:rPr>
      </w:pPr>
      <w:r>
        <w:rPr>
          <w:rFonts w:ascii="Times New Roman" w:hAnsi="Times New Roman" w:cs="Times New Roman"/>
          <w:sz w:val="24"/>
          <w:szCs w:val="24"/>
        </w:rPr>
        <w:t>(Por Juan Laborda)</w:t>
      </w:r>
    </w:p>
    <w:p w:rsidR="00B00031" w:rsidRPr="0029407B" w:rsidRDefault="00B00031" w:rsidP="00B00031">
      <w:pPr>
        <w:spacing w:line="240" w:lineRule="auto"/>
        <w:jc w:val="both"/>
        <w:rPr>
          <w:rFonts w:ascii="Times New Roman" w:hAnsi="Times New Roman" w:cs="Times New Roman"/>
          <w:color w:val="FF0000"/>
          <w:sz w:val="24"/>
          <w:szCs w:val="24"/>
          <w:u w:val="single"/>
        </w:rPr>
      </w:pPr>
      <w:r w:rsidRPr="00E3300C">
        <w:rPr>
          <w:rFonts w:ascii="Times New Roman" w:hAnsi="Times New Roman" w:cs="Times New Roman"/>
          <w:sz w:val="24"/>
          <w:szCs w:val="24"/>
        </w:rPr>
        <w:t xml:space="preserve">No dejo de asombrarme escuchando o leyendo las propuestas de distintos economistas, sobre todo los escorados a la derecha, ante la que no está cayendo. </w:t>
      </w:r>
      <w:r w:rsidRPr="0029407B">
        <w:rPr>
          <w:rFonts w:ascii="Times New Roman" w:hAnsi="Times New Roman" w:cs="Times New Roman"/>
          <w:color w:val="FF0000"/>
          <w:sz w:val="24"/>
          <w:szCs w:val="24"/>
          <w:u w:val="single"/>
        </w:rPr>
        <w:t>En ciertos ámbitos, y no pocos, se empieza a exigir a España una política fiscal basada en la austeridad, aderezada con sus llamamientos al BCE para imponer tipos de interés más altos para frenar la inflación. El cacao mental sobre relaciones causales que rigen en las economías modernas demuestra, en primer lugar, que no han dado palo al agua en la última década. No se han leído la abundante evidencia académica existente sobre el papel de la deuda privada, deuda pública, el dinero, las consecuencias de la desregulación de ciertos mercados derivados, el aumento de poder de mercado de determinadas empresas en las economías occidentales…, o simplemente desconocen lo que son las balanzas sectoriales. En segundo lugar, como consecuencia, resulta tremendamente atrevido que lancen recomendaciones de política económica.</w:t>
      </w:r>
    </w:p>
    <w:p w:rsidR="00B00031" w:rsidRPr="0029407B" w:rsidRDefault="00B00031" w:rsidP="00B00031">
      <w:pPr>
        <w:spacing w:line="240" w:lineRule="auto"/>
        <w:jc w:val="both"/>
        <w:rPr>
          <w:rFonts w:ascii="Times New Roman" w:hAnsi="Times New Roman" w:cs="Times New Roman"/>
          <w:sz w:val="24"/>
          <w:szCs w:val="24"/>
          <w:u w:val="single"/>
        </w:rPr>
      </w:pPr>
      <w:r w:rsidRPr="0029407B">
        <w:rPr>
          <w:rFonts w:ascii="Times New Roman" w:hAnsi="Times New Roman" w:cs="Times New Roman"/>
          <w:sz w:val="24"/>
          <w:szCs w:val="24"/>
          <w:u w:val="single"/>
        </w:rPr>
        <w:t>Desde el inicio de la Gran Recesión, los errores cometidos han sido diversos, desde la exigencia inicial de austeridad fiscal, pasando por un rescate bancario a costa de los contribuyentes, aderezado todo ello con la distopía derivada de una devaluación salarial y la incapacidad para entender las fuerzas deflacionistas presentes en aquel momento -y que se reactivarán si se implementan sus recomendaciones actuales-. Y ahora, para frenar una inflación de oferta -derivada exactamente de seguir sus recomendaciones-, su receta es aumentar el desempleo.</w:t>
      </w:r>
    </w:p>
    <w:p w:rsidR="00B00031" w:rsidRPr="00E3300C" w:rsidRDefault="00B00031" w:rsidP="00B00031">
      <w:pPr>
        <w:spacing w:line="240" w:lineRule="auto"/>
        <w:jc w:val="both"/>
        <w:rPr>
          <w:rFonts w:ascii="Times New Roman" w:hAnsi="Times New Roman" w:cs="Times New Roman"/>
          <w:sz w:val="24"/>
          <w:szCs w:val="24"/>
        </w:rPr>
      </w:pPr>
      <w:r w:rsidRPr="00E3300C">
        <w:rPr>
          <w:rFonts w:ascii="Times New Roman" w:hAnsi="Times New Roman" w:cs="Times New Roman"/>
          <w:sz w:val="24"/>
          <w:szCs w:val="24"/>
        </w:rPr>
        <w:t>La burbuja inmobiliaria</w:t>
      </w:r>
    </w:p>
    <w:p w:rsidR="00B00031" w:rsidRPr="00E3300C" w:rsidRDefault="00B00031" w:rsidP="00B00031">
      <w:pPr>
        <w:spacing w:line="240" w:lineRule="auto"/>
        <w:jc w:val="both"/>
        <w:rPr>
          <w:rFonts w:ascii="Times New Roman" w:hAnsi="Times New Roman" w:cs="Times New Roman"/>
          <w:sz w:val="24"/>
          <w:szCs w:val="24"/>
        </w:rPr>
      </w:pPr>
      <w:r w:rsidRPr="00E3300C">
        <w:rPr>
          <w:rFonts w:ascii="Times New Roman" w:hAnsi="Times New Roman" w:cs="Times New Roman"/>
          <w:sz w:val="24"/>
          <w:szCs w:val="24"/>
        </w:rPr>
        <w:t>Veamos un ejemplo de relación causa-efecto. Desde un punto de vista económico, la principal herencia que nos dejó el PP de Aznar, a modo de carga pesada, fue activar la mayor burbuja inmobiliaria de la historia, financiada por un ciclo de endeudamiento privado récord, que posteriormente el PSOE infló todavía más. Mientras duraba la ola de la burbuja todo parecía cuadrar, desde la actividad económica y generación de empleo, hasta los ingresos fiscales. Pero no dejaba de ser una mera ficción, una ilusión óptica. La historia ya nos avisaba de que una vez que se pincha una burbuja inmobiliaria, financiada con deuda privada, el empobrecimiento masivo de la población era una de sus consecuencias, aderezado en nuestro país, en ausencia de la dación en pago, con cientos de miles de desahucios.</w:t>
      </w:r>
    </w:p>
    <w:p w:rsidR="00B00031" w:rsidRPr="00E3300C" w:rsidRDefault="00B00031" w:rsidP="00B00031">
      <w:pPr>
        <w:spacing w:line="240" w:lineRule="auto"/>
        <w:jc w:val="both"/>
        <w:rPr>
          <w:rFonts w:ascii="Times New Roman" w:hAnsi="Times New Roman" w:cs="Times New Roman"/>
          <w:sz w:val="24"/>
          <w:szCs w:val="24"/>
        </w:rPr>
      </w:pPr>
      <w:r w:rsidRPr="00E3300C">
        <w:rPr>
          <w:rFonts w:ascii="Times New Roman" w:hAnsi="Times New Roman" w:cs="Times New Roman"/>
          <w:sz w:val="24"/>
          <w:szCs w:val="24"/>
        </w:rPr>
        <w:t>En este ejemplo sencillo se desvela el papel clave de la deuda</w:t>
      </w:r>
      <w:r>
        <w:rPr>
          <w:rFonts w:ascii="Times New Roman" w:hAnsi="Times New Roman" w:cs="Times New Roman"/>
          <w:sz w:val="24"/>
          <w:szCs w:val="24"/>
        </w:rPr>
        <w:t xml:space="preserve"> privada en las grandes crisis -</w:t>
      </w:r>
      <w:r w:rsidRPr="00E3300C">
        <w:rPr>
          <w:rFonts w:ascii="Times New Roman" w:hAnsi="Times New Roman" w:cs="Times New Roman"/>
          <w:sz w:val="24"/>
          <w:szCs w:val="24"/>
        </w:rPr>
        <w:t xml:space="preserve">Gran Depresión y Gran Recesión- ausente en el análisis de estos economistas. Desde estas líneas ya recomendamos en su momento dos artículos académicos. En uno de ellos, “Household debt and business cycles worldwide” publicado en 2017 en The Quarterly Journal of Economics, los autores, ortodoxos, afirman “Un aumento de la relación entre la deuda de los hogares y el PIB predice un menor crecimiento del PIB y mayor desempleo a medio plazo para un panel de 30 países desde 1960 hasta 2012”. Curioso, ¿verdad? En el segundo de ellos, “Persistence in the private debt-t -GDP ratio: evidence from 43 OECD countries”, publicado en julio de 2021, en Applied Economics, los autores investigan econométricamente la persistencia de la relación entre la deuda privada y el PIB en 43 países de la OCDE. En casi todos ellos, muy especialmente en España, se encuentra que dicha relación es altamente persistente. Ello sugiere efectos de larga duración de cualquier perturbación sobre la relación entre la deuda privada y el PIB. Por ejemplo, durante la Gran </w:t>
      </w:r>
      <w:r w:rsidRPr="00E3300C">
        <w:rPr>
          <w:rFonts w:ascii="Times New Roman" w:hAnsi="Times New Roman" w:cs="Times New Roman"/>
          <w:sz w:val="24"/>
          <w:szCs w:val="24"/>
        </w:rPr>
        <w:lastRenderedPageBreak/>
        <w:t>Recesión, el racionamiento del crédito se vio acompañado de un aumento de la colateralización con efectos duraderos significativos y adversos sobre el proceso de desapalancamiento y el crecimiento económico. Por lo tanto, concluyen los autores, es clave la política macro-prudencial como uno de los pilares de la política macroeconómica. En definitiva, otro artículo que validaba la hipótesis de inestabilidad financiera de Hyman Minsky.</w:t>
      </w:r>
    </w:p>
    <w:p w:rsidR="00B00031" w:rsidRPr="00E3300C" w:rsidRDefault="00B00031" w:rsidP="00B00031">
      <w:pPr>
        <w:spacing w:line="240" w:lineRule="auto"/>
        <w:jc w:val="both"/>
        <w:rPr>
          <w:rFonts w:ascii="Times New Roman" w:hAnsi="Times New Roman" w:cs="Times New Roman"/>
          <w:sz w:val="24"/>
          <w:szCs w:val="24"/>
        </w:rPr>
      </w:pPr>
      <w:r w:rsidRPr="0029407B">
        <w:rPr>
          <w:rFonts w:ascii="Times New Roman" w:hAnsi="Times New Roman" w:cs="Times New Roman"/>
          <w:color w:val="FF0000"/>
          <w:sz w:val="24"/>
          <w:szCs w:val="24"/>
          <w:u w:val="single"/>
        </w:rPr>
        <w:t>¿Por qué estos economistas tan preocupados con la deuda pública no echan una ojeada a la deuda privada?</w:t>
      </w:r>
      <w:r w:rsidRPr="0029407B">
        <w:rPr>
          <w:rFonts w:ascii="Times New Roman" w:hAnsi="Times New Roman" w:cs="Times New Roman"/>
          <w:color w:val="FF0000"/>
          <w:sz w:val="24"/>
          <w:szCs w:val="24"/>
        </w:rPr>
        <w:t xml:space="preserve"> </w:t>
      </w:r>
      <w:r w:rsidRPr="00E3300C">
        <w:rPr>
          <w:rFonts w:ascii="Times New Roman" w:hAnsi="Times New Roman" w:cs="Times New Roman"/>
          <w:sz w:val="24"/>
          <w:szCs w:val="24"/>
        </w:rPr>
        <w:t>Les facilito el trabajo. En un post de este año, “Private-Debt Risks Are Hiding in Plain Sight”, las economistas estadounidenses Carmen Reinhart y Leola Klapper nos recordaban los riesgos de impago de l</w:t>
      </w:r>
      <w:r>
        <w:rPr>
          <w:rFonts w:ascii="Times New Roman" w:hAnsi="Times New Roman" w:cs="Times New Roman"/>
          <w:sz w:val="24"/>
          <w:szCs w:val="24"/>
        </w:rPr>
        <w:t>a deuda privada a nivel global.</w:t>
      </w:r>
    </w:p>
    <w:p w:rsidR="00B00031" w:rsidRPr="00E3300C" w:rsidRDefault="00B00031" w:rsidP="00B00031">
      <w:pPr>
        <w:spacing w:line="240" w:lineRule="auto"/>
        <w:jc w:val="both"/>
        <w:rPr>
          <w:rFonts w:ascii="Times New Roman" w:hAnsi="Times New Roman" w:cs="Times New Roman"/>
          <w:sz w:val="24"/>
          <w:szCs w:val="24"/>
        </w:rPr>
      </w:pPr>
      <w:r w:rsidRPr="00E3300C">
        <w:rPr>
          <w:rFonts w:ascii="Times New Roman" w:hAnsi="Times New Roman" w:cs="Times New Roman"/>
          <w:sz w:val="24"/>
          <w:szCs w:val="24"/>
        </w:rPr>
        <w:t>Obsesión por la deuda pública</w:t>
      </w:r>
    </w:p>
    <w:p w:rsidR="00B00031" w:rsidRPr="0029407B" w:rsidRDefault="00B00031" w:rsidP="00B00031">
      <w:pPr>
        <w:spacing w:line="240" w:lineRule="auto"/>
        <w:jc w:val="both"/>
        <w:rPr>
          <w:rFonts w:ascii="Times New Roman" w:hAnsi="Times New Roman" w:cs="Times New Roman"/>
          <w:color w:val="FF0000"/>
          <w:sz w:val="24"/>
          <w:szCs w:val="24"/>
          <w:u w:val="single"/>
        </w:rPr>
      </w:pPr>
      <w:r w:rsidRPr="0029407B">
        <w:rPr>
          <w:rFonts w:ascii="Times New Roman" w:hAnsi="Times New Roman" w:cs="Times New Roman"/>
          <w:color w:val="FF0000"/>
          <w:sz w:val="24"/>
          <w:szCs w:val="24"/>
          <w:u w:val="single"/>
        </w:rPr>
        <w:t>Quienes nunca han vigilado la deuda privada, porque aún no han entendido su papel desestabilizador, se obsesionan con la deuda pública, asignándoles unos males ficticios.</w:t>
      </w:r>
    </w:p>
    <w:p w:rsidR="00B00031" w:rsidRPr="00E3300C" w:rsidRDefault="00B00031" w:rsidP="00B00031">
      <w:pPr>
        <w:spacing w:line="240" w:lineRule="auto"/>
        <w:jc w:val="both"/>
        <w:rPr>
          <w:rFonts w:ascii="Times New Roman" w:hAnsi="Times New Roman" w:cs="Times New Roman"/>
          <w:sz w:val="24"/>
          <w:szCs w:val="24"/>
        </w:rPr>
      </w:pPr>
      <w:r w:rsidRPr="0029407B">
        <w:rPr>
          <w:rFonts w:ascii="Times New Roman" w:hAnsi="Times New Roman" w:cs="Times New Roman"/>
          <w:sz w:val="24"/>
          <w:szCs w:val="24"/>
          <w:u w:val="single"/>
        </w:rPr>
        <w:t>Dividamos la economía en tres sectores: sector privado nacional, formado por hogares y empresas (financieras y no financieras); sector público nacional que incluye todos los niveles gubernamentales (estado central, comunidades autónomas, ayuntamientos, y seguridad social); y resto del mundo (empresas, hogares y sectores públicos extranjeros)</w:t>
      </w:r>
      <w:r w:rsidRPr="00E3300C">
        <w:rPr>
          <w:rFonts w:ascii="Times New Roman" w:hAnsi="Times New Roman" w:cs="Times New Roman"/>
          <w:sz w:val="24"/>
          <w:szCs w:val="24"/>
        </w:rPr>
        <w:t>. Hay un principio contable que se cumple siempre: si se suman los déficits en los que incurren uno o más sectores el resultado debe de ser igual a los superávits en los que incurren otro sector o sectores. Siguiendo a Wynne Godley obtenemos la siguient</w:t>
      </w:r>
      <w:r>
        <w:rPr>
          <w:rFonts w:ascii="Times New Roman" w:hAnsi="Times New Roman" w:cs="Times New Roman"/>
          <w:sz w:val="24"/>
          <w:szCs w:val="24"/>
        </w:rPr>
        <w:t>e ecuación:</w:t>
      </w:r>
    </w:p>
    <w:p w:rsidR="00B00031" w:rsidRPr="0029407B" w:rsidRDefault="00B00031" w:rsidP="00B00031">
      <w:pPr>
        <w:spacing w:line="240" w:lineRule="auto"/>
        <w:jc w:val="both"/>
        <w:rPr>
          <w:rFonts w:ascii="Times New Roman" w:hAnsi="Times New Roman" w:cs="Times New Roman"/>
          <w:color w:val="FF0000"/>
          <w:sz w:val="24"/>
          <w:szCs w:val="24"/>
        </w:rPr>
      </w:pPr>
      <w:r w:rsidRPr="0029407B">
        <w:rPr>
          <w:rFonts w:ascii="Times New Roman" w:hAnsi="Times New Roman" w:cs="Times New Roman"/>
          <w:color w:val="FF0000"/>
          <w:sz w:val="24"/>
          <w:szCs w:val="24"/>
        </w:rPr>
        <w:t>Balance Privado Doméstico + Balance Público Doméstico + Balance Exterior = 0</w:t>
      </w:r>
    </w:p>
    <w:p w:rsidR="00B00031" w:rsidRPr="0029407B" w:rsidRDefault="00B00031" w:rsidP="00B00031">
      <w:pPr>
        <w:spacing w:line="240" w:lineRule="auto"/>
        <w:jc w:val="both"/>
        <w:rPr>
          <w:rFonts w:ascii="Times New Roman" w:hAnsi="Times New Roman" w:cs="Times New Roman"/>
          <w:sz w:val="24"/>
          <w:szCs w:val="24"/>
          <w:u w:val="single"/>
        </w:rPr>
      </w:pPr>
      <w:r w:rsidRPr="0029407B">
        <w:rPr>
          <w:rFonts w:ascii="Times New Roman" w:hAnsi="Times New Roman" w:cs="Times New Roman"/>
          <w:sz w:val="24"/>
          <w:szCs w:val="24"/>
          <w:u w:val="single"/>
        </w:rPr>
        <w:t>Si un sector tiene superávit presupuestario por lo menos uno de los sectores tiene que incurrir en déficit presupuestario. En términos de variables stock para que un sector acumule patrimonio financiero neto al menos uno de los sectores tiene que aumentar su endeudamiento en la misma proporción. Es imposible que todos los sectores acumulen patrimonio financiero neto incurriendo en superávits financieros.</w:t>
      </w:r>
    </w:p>
    <w:p w:rsidR="00B00031" w:rsidRPr="00E3300C" w:rsidRDefault="00B00031" w:rsidP="00B00031">
      <w:pPr>
        <w:spacing w:line="240" w:lineRule="auto"/>
        <w:jc w:val="both"/>
        <w:rPr>
          <w:rFonts w:ascii="Times New Roman" w:hAnsi="Times New Roman" w:cs="Times New Roman"/>
          <w:sz w:val="24"/>
          <w:szCs w:val="24"/>
        </w:rPr>
      </w:pPr>
      <w:r w:rsidRPr="0029407B">
        <w:rPr>
          <w:rFonts w:ascii="Times New Roman" w:hAnsi="Times New Roman" w:cs="Times New Roman"/>
          <w:sz w:val="24"/>
          <w:szCs w:val="24"/>
          <w:u w:val="single"/>
        </w:rPr>
        <w:t>Los adalides de la austeridad fiscal afirman que unas cuentas públicas saneadas es síntoma de fortaleza económica y buen hacer. ¿De verdad?</w:t>
      </w:r>
      <w:r w:rsidRPr="00E3300C">
        <w:rPr>
          <w:rFonts w:ascii="Times New Roman" w:hAnsi="Times New Roman" w:cs="Times New Roman"/>
          <w:sz w:val="24"/>
          <w:szCs w:val="24"/>
        </w:rPr>
        <w:t xml:space="preserve"> Si vamos a los datos de nuestro país, bajo este criterio, el segundo gobierno de Aznar con déficits públicos ridículos en el período 2001-2004, y el primer gobierno Zapatero, con los únicos superávits fiscales de nuestra historia reciente, 2005-2007, eran unos gobiernos estupendísimos en la gestión de lo público. Pero la realidad era otra, detrás de esos superávits, siguiendo los balances sectoriales, se escondía el drama que luego nos arrasó, el déficit privado escalofriante que se produjo en el período 2000-2007, por obra y gracia de la mayor burbuja inmobiliaria de la historia económica -Piketty dixit-. Exactamente lo opuesto suc</w:t>
      </w:r>
      <w:r>
        <w:rPr>
          <w:rFonts w:ascii="Times New Roman" w:hAnsi="Times New Roman" w:cs="Times New Roman"/>
          <w:sz w:val="24"/>
          <w:szCs w:val="24"/>
        </w:rPr>
        <w:t>ede desde el año 2008.</w:t>
      </w:r>
    </w:p>
    <w:p w:rsidR="00B00031" w:rsidRPr="00E3300C" w:rsidRDefault="00B00031" w:rsidP="00B00031">
      <w:pPr>
        <w:spacing w:line="240" w:lineRule="auto"/>
        <w:jc w:val="both"/>
        <w:rPr>
          <w:rFonts w:ascii="Times New Roman" w:hAnsi="Times New Roman" w:cs="Times New Roman"/>
          <w:sz w:val="24"/>
          <w:szCs w:val="24"/>
        </w:rPr>
      </w:pPr>
      <w:r w:rsidRPr="00E3300C">
        <w:rPr>
          <w:rFonts w:ascii="Times New Roman" w:hAnsi="Times New Roman" w:cs="Times New Roman"/>
          <w:sz w:val="24"/>
          <w:szCs w:val="24"/>
        </w:rPr>
        <w:t>Para ver el impacto de la deuda pública en la economía, vayamos de nuevo a los datos. Para ello les refresco la memoria sobre un artículo académico que ya cité en estos lares y que echa por tierra los argumentos usados. En “Nonlinearities in the relationship between debt and growth:</w:t>
      </w:r>
      <w:r w:rsidR="001D02F7">
        <w:rPr>
          <w:rFonts w:ascii="Times New Roman" w:hAnsi="Times New Roman" w:cs="Times New Roman"/>
          <w:sz w:val="24"/>
          <w:szCs w:val="24"/>
        </w:rPr>
        <w:t xml:space="preserve"> </w:t>
      </w:r>
      <w:r w:rsidRPr="00E3300C">
        <w:rPr>
          <w:rFonts w:ascii="Times New Roman" w:hAnsi="Times New Roman" w:cs="Times New Roman"/>
          <w:sz w:val="24"/>
          <w:szCs w:val="24"/>
        </w:rPr>
        <w:t>(no) evidence from over two centuries” publicado en 2019 en Macroeconomic Dynamics, el autor, en un análisis para 27 países, desarrollados y en vías de desarrollo, no encuentra pruebas de una relación de equilibrio a largo plazo entre la deuda pública y el crecimiento económico. Dado que una relación de equilibrio a largo plazo representa un requisito previo para cualquier causalidad a largo plazo entre a</w:t>
      </w:r>
      <w:r>
        <w:rPr>
          <w:rFonts w:ascii="Times New Roman" w:hAnsi="Times New Roman" w:cs="Times New Roman"/>
          <w:sz w:val="24"/>
          <w:szCs w:val="24"/>
        </w:rPr>
        <w:t>mbas variables, ésta no existe.</w:t>
      </w:r>
    </w:p>
    <w:p w:rsidR="00B00031" w:rsidRPr="00E3300C" w:rsidRDefault="00B00031" w:rsidP="00B00031">
      <w:pPr>
        <w:spacing w:line="240" w:lineRule="auto"/>
        <w:jc w:val="both"/>
        <w:rPr>
          <w:rFonts w:ascii="Times New Roman" w:hAnsi="Times New Roman" w:cs="Times New Roman"/>
          <w:sz w:val="24"/>
          <w:szCs w:val="24"/>
        </w:rPr>
      </w:pPr>
      <w:r w:rsidRPr="00E3300C">
        <w:rPr>
          <w:rFonts w:ascii="Times New Roman" w:hAnsi="Times New Roman" w:cs="Times New Roman"/>
          <w:sz w:val="24"/>
          <w:szCs w:val="24"/>
        </w:rPr>
        <w:lastRenderedPageBreak/>
        <w:t xml:space="preserve">El último párrafo del artículo dice: “Los resultados que se presentan en este documento socavan algunas de las conclusiones populares sobre este tema tan cargado de política que representan el ajuste fiscal como una necesidad para la estabilidad y la sostenibilidad económica </w:t>
      </w:r>
      <w:r>
        <w:rPr>
          <w:rFonts w:ascii="Times New Roman" w:hAnsi="Times New Roman" w:cs="Times New Roman"/>
          <w:sz w:val="24"/>
          <w:szCs w:val="24"/>
        </w:rPr>
        <w:t>a largo plazo...</w:t>
      </w:r>
      <w:r w:rsidRPr="00E3300C">
        <w:rPr>
          <w:rFonts w:ascii="Times New Roman" w:hAnsi="Times New Roman" w:cs="Times New Roman"/>
          <w:sz w:val="24"/>
          <w:szCs w:val="24"/>
        </w:rPr>
        <w:t xml:space="preserve"> En realidad, destaco la ausencia de pruebas de no linealidad, como el popular umbral del 90% de la deuda soberana en relación con el PIB, o de especificaciones polinómicas en la relación a largo plazo entre la deuda soberana y el crecimiento y desarrollo, que ha sido el objetivo explícito de la literatu</w:t>
      </w:r>
      <w:r>
        <w:rPr>
          <w:rFonts w:ascii="Times New Roman" w:hAnsi="Times New Roman" w:cs="Times New Roman"/>
          <w:sz w:val="24"/>
          <w:szCs w:val="24"/>
        </w:rPr>
        <w:t>ra empírica que cito y reviso”.</w:t>
      </w:r>
    </w:p>
    <w:p w:rsidR="00B00031" w:rsidRPr="00E3300C" w:rsidRDefault="00B00031" w:rsidP="00B00031">
      <w:pPr>
        <w:spacing w:line="240" w:lineRule="auto"/>
        <w:jc w:val="both"/>
        <w:rPr>
          <w:rFonts w:ascii="Times New Roman" w:hAnsi="Times New Roman" w:cs="Times New Roman"/>
          <w:sz w:val="24"/>
          <w:szCs w:val="24"/>
        </w:rPr>
      </w:pPr>
      <w:r w:rsidRPr="00E3300C">
        <w:rPr>
          <w:rFonts w:ascii="Times New Roman" w:hAnsi="Times New Roman" w:cs="Times New Roman"/>
          <w:sz w:val="24"/>
          <w:szCs w:val="24"/>
        </w:rPr>
        <w:t>Los mercados de las materias primas</w:t>
      </w:r>
    </w:p>
    <w:p w:rsidR="00B00031" w:rsidRPr="00376F4E" w:rsidRDefault="00B00031" w:rsidP="00B00031">
      <w:pPr>
        <w:spacing w:line="240" w:lineRule="auto"/>
        <w:jc w:val="both"/>
        <w:rPr>
          <w:rFonts w:ascii="Times New Roman" w:hAnsi="Times New Roman" w:cs="Times New Roman"/>
          <w:color w:val="FF0000"/>
          <w:sz w:val="24"/>
          <w:szCs w:val="24"/>
          <w:u w:val="single"/>
        </w:rPr>
      </w:pPr>
      <w:r w:rsidRPr="00376F4E">
        <w:rPr>
          <w:rFonts w:ascii="Times New Roman" w:hAnsi="Times New Roman" w:cs="Times New Roman"/>
          <w:color w:val="FF0000"/>
          <w:sz w:val="24"/>
          <w:szCs w:val="24"/>
          <w:u w:val="single"/>
        </w:rPr>
        <w:t>Pero no contentos con ello, doble taza, nos proponen una subida de tipos masiva para frenar la inflación. Dejen ya de dar la puñeta, y estudien un poco. La solución pasa por volver a regular los mercados de derivados de materias primas; luchar contra los excesos de la financiarización; terminar con el absurdo sistema marginalista de fijación del precio de la luz; y dotar a los organismos reguladores de la competencia con todos los instrumentos necesarios para su labor, incluidas la imposición de multas acordes con el daño causado por prácticas oligopolísticas, y, sobre todo, llegado el caso, trocear y vender negocios y unidades de empresas demasiado grandes para quebrar e imponer precios.</w:t>
      </w:r>
    </w:p>
    <w:p w:rsidR="00B00031" w:rsidRDefault="00B00031" w:rsidP="00B00031">
      <w:pPr>
        <w:spacing w:line="240" w:lineRule="auto"/>
        <w:jc w:val="both"/>
        <w:rPr>
          <w:rFonts w:ascii="Times New Roman" w:hAnsi="Times New Roman" w:cs="Times New Roman"/>
          <w:sz w:val="24"/>
          <w:szCs w:val="24"/>
        </w:rPr>
      </w:pPr>
      <w:r>
        <w:rPr>
          <w:rFonts w:ascii="Times New Roman" w:hAnsi="Times New Roman" w:cs="Times New Roman"/>
          <w:sz w:val="24"/>
          <w:szCs w:val="24"/>
        </w:rPr>
        <w:t>(Antecedentes, del mismo autor)</w:t>
      </w:r>
    </w:p>
    <w:p w:rsidR="00B00031" w:rsidRDefault="00B00031" w:rsidP="00B0003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6C035E">
        <w:rPr>
          <w:rFonts w:ascii="Times New Roman" w:hAnsi="Times New Roman" w:cs="Times New Roman"/>
          <w:sz w:val="24"/>
          <w:szCs w:val="24"/>
          <w:u w:val="single"/>
        </w:rPr>
        <w:t>La ineptitud de los organismos internacionales</w:t>
      </w:r>
      <w:r>
        <w:rPr>
          <w:rFonts w:ascii="Times New Roman" w:hAnsi="Times New Roman" w:cs="Times New Roman"/>
          <w:sz w:val="24"/>
          <w:szCs w:val="24"/>
        </w:rPr>
        <w:t xml:space="preserve"> (Vozpópuli - </w:t>
      </w:r>
      <w:r w:rsidRPr="006C035E">
        <w:rPr>
          <w:rFonts w:ascii="Times New Roman" w:hAnsi="Times New Roman" w:cs="Times New Roman"/>
          <w:b/>
          <w:sz w:val="24"/>
          <w:szCs w:val="24"/>
        </w:rPr>
        <w:t>13/10/22</w:t>
      </w:r>
      <w:r>
        <w:rPr>
          <w:rFonts w:ascii="Times New Roman" w:hAnsi="Times New Roman" w:cs="Times New Roman"/>
          <w:sz w:val="24"/>
          <w:szCs w:val="24"/>
        </w:rPr>
        <w:t>)</w:t>
      </w:r>
    </w:p>
    <w:p w:rsidR="00F26171" w:rsidRPr="00E3300C" w:rsidRDefault="00F26171" w:rsidP="00F26171">
      <w:pPr>
        <w:spacing w:line="240" w:lineRule="auto"/>
        <w:jc w:val="both"/>
        <w:rPr>
          <w:rFonts w:ascii="Times New Roman" w:hAnsi="Times New Roman" w:cs="Times New Roman"/>
          <w:sz w:val="24"/>
          <w:szCs w:val="24"/>
        </w:rPr>
      </w:pPr>
      <w:r>
        <w:rPr>
          <w:rFonts w:ascii="Times New Roman" w:hAnsi="Times New Roman" w:cs="Times New Roman"/>
          <w:sz w:val="24"/>
          <w:szCs w:val="24"/>
        </w:rPr>
        <w:t>(Por Juan Laborda)</w:t>
      </w:r>
    </w:p>
    <w:p w:rsidR="00B00031" w:rsidRPr="00376F4E" w:rsidRDefault="00B00031" w:rsidP="00B00031">
      <w:pPr>
        <w:spacing w:line="240" w:lineRule="auto"/>
        <w:jc w:val="both"/>
        <w:rPr>
          <w:rFonts w:ascii="Times New Roman" w:hAnsi="Times New Roman" w:cs="Times New Roman"/>
          <w:color w:val="FF0000"/>
          <w:sz w:val="24"/>
          <w:szCs w:val="24"/>
        </w:rPr>
      </w:pPr>
      <w:r w:rsidRPr="00376F4E">
        <w:rPr>
          <w:rFonts w:ascii="Times New Roman" w:hAnsi="Times New Roman" w:cs="Times New Roman"/>
          <w:color w:val="FF0000"/>
          <w:sz w:val="24"/>
          <w:szCs w:val="24"/>
        </w:rPr>
        <w:t>Los distintos organismos multilaterales, desde la OCDE, el FMI, pasando por el Banco Mundial, hasta la Comisión Europea, están revisando a la baja el crecimiento económico global. De cara a escurrir el bulto ya encontraron un chivo expiatorio, la invasión de Ucrania…</w:t>
      </w:r>
    </w:p>
    <w:p w:rsidR="00B00031" w:rsidRPr="00376F4E" w:rsidRDefault="00B00031" w:rsidP="00B00031">
      <w:pPr>
        <w:spacing w:line="240" w:lineRule="auto"/>
        <w:jc w:val="both"/>
        <w:rPr>
          <w:rFonts w:ascii="Times New Roman" w:hAnsi="Times New Roman" w:cs="Times New Roman"/>
          <w:color w:val="FF0000"/>
          <w:sz w:val="24"/>
          <w:szCs w:val="24"/>
          <w:u w:val="single"/>
        </w:rPr>
      </w:pPr>
      <w:r w:rsidRPr="00376F4E">
        <w:rPr>
          <w:rFonts w:ascii="Times New Roman" w:hAnsi="Times New Roman" w:cs="Times New Roman"/>
          <w:sz w:val="24"/>
          <w:szCs w:val="24"/>
          <w:u w:val="single"/>
        </w:rPr>
        <w:t xml:space="preserve">El problema de fondo es que todos estos organismos multilaterales, a fecha de hoy, aún siguen sin admitir </w:t>
      </w:r>
      <w:r w:rsidRPr="00376F4E">
        <w:rPr>
          <w:rFonts w:ascii="Times New Roman" w:hAnsi="Times New Roman" w:cs="Times New Roman"/>
          <w:color w:val="FF0000"/>
          <w:sz w:val="24"/>
          <w:szCs w:val="24"/>
          <w:u w:val="single"/>
        </w:rPr>
        <w:t>las razones que produjeron un alza espectacular de la inflación, previa a la invasión, y que son consecuencia final de sus recomendaciones de política económica vertidas durante las últimas décadas. Desde mediados de 2021 las hemos detallado hasta la saciedad. Recuerden, una desregulación vergonzosa y vergonzante de los mercados derivados de materias primas agrícolas y energéticas; una reestructuración vergonzosa y vergonzante del sector eléctrico global; y un vergonzoso y vergonzante diseño de la globalización que ha provocado un aumento del poder de mercado de ciertas empresas con el consiguiente impacto negativo en inflación, productividad e inversión en capital. Todo ello por obra y gracia de una financiarización extrema de nuestra economía, incluido el asalto final a derechos humanos, desde alimentos, energía, pasando por vivienda, pensiones, agua o biosfera.</w:t>
      </w:r>
    </w:p>
    <w:p w:rsidR="00B00031" w:rsidRPr="006C035E" w:rsidRDefault="00B00031" w:rsidP="00B00031">
      <w:pPr>
        <w:spacing w:line="240" w:lineRule="auto"/>
        <w:jc w:val="both"/>
        <w:rPr>
          <w:rFonts w:ascii="Times New Roman" w:hAnsi="Times New Roman" w:cs="Times New Roman"/>
          <w:sz w:val="24"/>
          <w:szCs w:val="24"/>
        </w:rPr>
      </w:pPr>
      <w:r w:rsidRPr="006C035E">
        <w:rPr>
          <w:rFonts w:ascii="Times New Roman" w:hAnsi="Times New Roman" w:cs="Times New Roman"/>
          <w:sz w:val="24"/>
          <w:szCs w:val="24"/>
        </w:rPr>
        <w:t>Subidas de tipos de interés, más leña al fuego</w:t>
      </w:r>
    </w:p>
    <w:p w:rsidR="00B00031" w:rsidRDefault="00B00031" w:rsidP="00B00031">
      <w:pPr>
        <w:spacing w:line="240" w:lineRule="auto"/>
        <w:jc w:val="both"/>
        <w:rPr>
          <w:rFonts w:ascii="Times New Roman" w:hAnsi="Times New Roman" w:cs="Times New Roman"/>
          <w:sz w:val="24"/>
          <w:szCs w:val="24"/>
        </w:rPr>
      </w:pPr>
      <w:r w:rsidRPr="006C035E">
        <w:rPr>
          <w:rFonts w:ascii="Times New Roman" w:hAnsi="Times New Roman" w:cs="Times New Roman"/>
          <w:sz w:val="24"/>
          <w:szCs w:val="24"/>
        </w:rPr>
        <w:t>Como dos botones de muestra de estos informes que están pululando estos días en los distintos organismos multilaterales. Uno, el recientemente publicado por la OCDE bajo el título “</w:t>
      </w:r>
      <w:r w:rsidRPr="006C035E">
        <w:rPr>
          <w:rFonts w:ascii="Times New Roman" w:hAnsi="Times New Roman" w:cs="Times New Roman"/>
          <w:b/>
          <w:color w:val="FF0000"/>
          <w:sz w:val="24"/>
          <w:szCs w:val="24"/>
        </w:rPr>
        <w:t>Paying the Price of War</w:t>
      </w:r>
      <w:r w:rsidRPr="006C035E">
        <w:rPr>
          <w:rFonts w:ascii="Times New Roman" w:hAnsi="Times New Roman" w:cs="Times New Roman"/>
          <w:sz w:val="24"/>
          <w:szCs w:val="24"/>
        </w:rPr>
        <w:t>”. En él, se analizan las consecuencias de la guerra en términos de crecimiento y precios</w:t>
      </w:r>
      <w:r>
        <w:rPr>
          <w:rFonts w:ascii="Times New Roman" w:hAnsi="Times New Roman" w:cs="Times New Roman"/>
          <w:sz w:val="24"/>
          <w:szCs w:val="24"/>
        </w:rPr>
        <w:t>…</w:t>
      </w:r>
    </w:p>
    <w:p w:rsidR="00B00031" w:rsidRPr="00376F4E" w:rsidRDefault="00B00031" w:rsidP="00B00031">
      <w:pPr>
        <w:spacing w:line="240" w:lineRule="auto"/>
        <w:jc w:val="both"/>
        <w:rPr>
          <w:rFonts w:ascii="Times New Roman" w:hAnsi="Times New Roman" w:cs="Times New Roman"/>
          <w:sz w:val="24"/>
          <w:szCs w:val="24"/>
          <w:u w:val="single"/>
        </w:rPr>
      </w:pPr>
      <w:r w:rsidRPr="00376F4E">
        <w:rPr>
          <w:rFonts w:ascii="Times New Roman" w:hAnsi="Times New Roman" w:cs="Times New Roman"/>
          <w:sz w:val="24"/>
          <w:szCs w:val="24"/>
          <w:u w:val="single"/>
        </w:rPr>
        <w:t xml:space="preserve">En el informe de la OCDE se advierte que “la economía mundial está pagando un alto precio por la guerra de Ucrania. Con las repercusiones de la pandemia del COVID-19 todavía persistentes, la guerra está arrastrando el crecimiento y ejerciendo una presión adicional al alza de los precios, sobre todo de los alimentos y la energía. El PIB mundial se estancó en el </w:t>
      </w:r>
      <w:r w:rsidRPr="00376F4E">
        <w:rPr>
          <w:rFonts w:ascii="Times New Roman" w:hAnsi="Times New Roman" w:cs="Times New Roman"/>
          <w:sz w:val="24"/>
          <w:szCs w:val="24"/>
          <w:u w:val="single"/>
        </w:rPr>
        <w:lastRenderedPageBreak/>
        <w:t>segundo trimestre de 2022 y la producción disminuyó en las economías del G20. La alta inflación persiste durante más tiempo del previsto. En muchas economías, la inflación en el primer semestre de 2022 fue la más alta desde la década de 1980. Con un giro a peor de los indicadores recientes, las perspectivas económicas mundiales se han ensombrecido</w:t>
      </w:r>
      <w:r w:rsidR="009F5141">
        <w:rPr>
          <w:rFonts w:ascii="Times New Roman" w:hAnsi="Times New Roman" w:cs="Times New Roman"/>
          <w:sz w:val="24"/>
          <w:szCs w:val="24"/>
          <w:u w:val="single"/>
        </w:rPr>
        <w:t>”</w:t>
      </w:r>
      <w:r w:rsidR="009F5141" w:rsidRPr="009F5141">
        <w:rPr>
          <w:rFonts w:ascii="Times New Roman" w:hAnsi="Times New Roman" w:cs="Times New Roman"/>
          <w:sz w:val="24"/>
          <w:szCs w:val="24"/>
        </w:rPr>
        <w:t>.</w:t>
      </w:r>
    </w:p>
    <w:p w:rsidR="00B00031" w:rsidRPr="006C035E" w:rsidRDefault="00B00031" w:rsidP="00B00031">
      <w:pPr>
        <w:spacing w:line="240" w:lineRule="auto"/>
        <w:jc w:val="both"/>
        <w:rPr>
          <w:rFonts w:ascii="Times New Roman" w:hAnsi="Times New Roman" w:cs="Times New Roman"/>
          <w:sz w:val="24"/>
          <w:szCs w:val="24"/>
        </w:rPr>
      </w:pPr>
      <w:r w:rsidRPr="00376F4E">
        <w:rPr>
          <w:rFonts w:ascii="Times New Roman" w:hAnsi="Times New Roman" w:cs="Times New Roman"/>
          <w:color w:val="FF0000"/>
          <w:sz w:val="24"/>
          <w:szCs w:val="24"/>
          <w:u w:val="single"/>
        </w:rPr>
        <w:t>Las consecuencias más importantes sobre el impacto de la guerra de Ucrania, son las siguientes</w:t>
      </w:r>
      <w:r w:rsidRPr="006C035E">
        <w:rPr>
          <w:rFonts w:ascii="Times New Roman" w:hAnsi="Times New Roman" w:cs="Times New Roman"/>
          <w:sz w:val="24"/>
          <w:szCs w:val="24"/>
        </w:rPr>
        <w:t xml:space="preserve">. </w:t>
      </w:r>
      <w:r w:rsidRPr="00376F4E">
        <w:rPr>
          <w:rFonts w:ascii="Times New Roman" w:hAnsi="Times New Roman" w:cs="Times New Roman"/>
          <w:color w:val="FF0000"/>
          <w:sz w:val="24"/>
          <w:szCs w:val="24"/>
          <w:u w:val="single"/>
        </w:rPr>
        <w:t>Por un lado, la guerra ha acelerado las subidas de los precios de la energía y los alimentos, agravando las presiones inflacionistas en un momento en que el coste de la vida ya estaba aumentando rápidamente en todo el mundo. Se prevé que el crecimiento mundial se reduzca del 3% en 2022 al 2¼% en 2023, muy por debajo del ritmo previsto antes de la guerra. En 2023, los ingresos mundiales reales podrían ser unos 2,8 billones de dólares menos de lo previsto hace un año (un déficit de algo más del 2% del PIB en términos de PPA). Por otro lado, “la inflación se ha generalizado en muchas economías.</w:t>
      </w:r>
      <w:r w:rsidRPr="006C035E">
        <w:rPr>
          <w:rFonts w:ascii="Times New Roman" w:hAnsi="Times New Roman" w:cs="Times New Roman"/>
          <w:sz w:val="24"/>
          <w:szCs w:val="24"/>
        </w:rPr>
        <w:t xml:space="preserve"> El endurecimiento de la política monetaria y el alivio de los cuellos de botella de la oferta deberían moderar las presiones inflacionistas el próximo año, pero es probable que los elevados precios de la energía y el aumento de los costes laborales ra</w:t>
      </w:r>
      <w:r>
        <w:rPr>
          <w:rFonts w:ascii="Times New Roman" w:hAnsi="Times New Roman" w:cs="Times New Roman"/>
          <w:sz w:val="24"/>
          <w:szCs w:val="24"/>
        </w:rPr>
        <w:t>lenticen el ritmo de descenso”.</w:t>
      </w:r>
    </w:p>
    <w:p w:rsidR="00B00031" w:rsidRPr="009F5141" w:rsidRDefault="00B00031" w:rsidP="00B00031">
      <w:pPr>
        <w:spacing w:line="240" w:lineRule="auto"/>
        <w:jc w:val="both"/>
        <w:rPr>
          <w:rFonts w:ascii="Times New Roman" w:hAnsi="Times New Roman" w:cs="Times New Roman"/>
          <w:color w:val="FF0000"/>
          <w:sz w:val="24"/>
          <w:szCs w:val="24"/>
        </w:rPr>
      </w:pPr>
      <w:r w:rsidRPr="00376F4E">
        <w:rPr>
          <w:rFonts w:ascii="Times New Roman" w:hAnsi="Times New Roman" w:cs="Times New Roman"/>
          <w:color w:val="FF0000"/>
          <w:sz w:val="24"/>
          <w:szCs w:val="24"/>
          <w:u w:val="single"/>
        </w:rPr>
        <w:t>Y ante ello, ¿qué proponen? En vez de regular los mercados de derivados; en vez de proteger a la ciudadanía de los excesos de la financiarización; en vez de terminar con el absurdo sistema marginalista de fijación del precio de la luz; en vez de dotar a los organismos reguladores de la competencia con todos los instrumentos necesarios para su labor, incluidas la imposición de multas acordes con el daño causado por prácticas oligopolísticas, y, sobre todo, llegado el caso, trocear y vender negocios y unidades de empresas demasiado grandes para quebrar e imponer precios, ¿saben ustedes cuál es la propuesta estrella? Una política monetaria restrictiva, que sólo va a aumentar aún más la caída del crecimiento económico y generar desempleo. Lo de siempre, matar moscas a cañonazos. Lo peor es que por sus recomendaciones de política económica viene cobrando grandes emolumentos en las últimas décadas, cuando solo han empobrecido a la inmensa mayoría de la ciudadanía</w:t>
      </w:r>
      <w:r w:rsidRPr="009F5141">
        <w:rPr>
          <w:rFonts w:ascii="Times New Roman" w:hAnsi="Times New Roman" w:cs="Times New Roman"/>
          <w:color w:val="FF0000"/>
          <w:sz w:val="24"/>
          <w:szCs w:val="24"/>
        </w:rPr>
        <w:t>…</w:t>
      </w:r>
    </w:p>
    <w:p w:rsidR="00B00031" w:rsidRPr="0082631D" w:rsidRDefault="00B00031" w:rsidP="00B0003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82631D">
        <w:rPr>
          <w:rFonts w:ascii="Times New Roman" w:hAnsi="Times New Roman" w:cs="Times New Roman"/>
          <w:sz w:val="24"/>
          <w:szCs w:val="24"/>
          <w:u w:val="single"/>
        </w:rPr>
        <w:t>Adiós a un negocio extra al que la banca ha apostado 4,6 billones de euros</w:t>
      </w:r>
      <w:r>
        <w:rPr>
          <w:rFonts w:ascii="Times New Roman" w:hAnsi="Times New Roman" w:cs="Times New Roman"/>
          <w:sz w:val="24"/>
          <w:szCs w:val="24"/>
        </w:rPr>
        <w:t xml:space="preserve"> (Cinco Días - </w:t>
      </w:r>
      <w:r w:rsidRPr="0082631D">
        <w:rPr>
          <w:rFonts w:ascii="Times New Roman" w:hAnsi="Times New Roman" w:cs="Times New Roman"/>
          <w:b/>
          <w:sz w:val="24"/>
          <w:szCs w:val="24"/>
        </w:rPr>
        <w:t>27/10/22</w:t>
      </w:r>
      <w:r>
        <w:rPr>
          <w:rFonts w:ascii="Times New Roman" w:hAnsi="Times New Roman" w:cs="Times New Roman"/>
          <w:sz w:val="24"/>
          <w:szCs w:val="24"/>
        </w:rPr>
        <w:t>)</w:t>
      </w:r>
    </w:p>
    <w:p w:rsidR="00B00031" w:rsidRPr="0082631D" w:rsidRDefault="00B00031" w:rsidP="00B00031">
      <w:pPr>
        <w:spacing w:line="240" w:lineRule="auto"/>
        <w:jc w:val="both"/>
        <w:rPr>
          <w:rFonts w:ascii="Times New Roman" w:hAnsi="Times New Roman" w:cs="Times New Roman"/>
          <w:sz w:val="24"/>
          <w:szCs w:val="24"/>
        </w:rPr>
      </w:pPr>
      <w:r>
        <w:rPr>
          <w:noProof/>
          <w:lang w:eastAsia="es-ES"/>
        </w:rPr>
        <w:drawing>
          <wp:inline distT="0" distB="0" distL="0" distR="0" wp14:anchorId="5ECA7CC3" wp14:editId="192134C9">
            <wp:extent cx="5732639" cy="3403600"/>
            <wp:effectExtent l="0" t="0" r="1905" b="6350"/>
            <wp:docPr id="75" name="Imagen 75" descr="https://d500.epimg.net/descargables/2022/10/27/d2c81145cc7d41eb66d44fcd06d5599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d500.epimg.net/descargables/2022/10/27/d2c81145cc7d41eb66d44fcd06d55990.png"/>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731510" cy="3402930"/>
                    </a:xfrm>
                    <a:prstGeom prst="rect">
                      <a:avLst/>
                    </a:prstGeom>
                    <a:noFill/>
                    <a:ln>
                      <a:noFill/>
                    </a:ln>
                  </pic:spPr>
                </pic:pic>
              </a:graphicData>
            </a:graphic>
          </wp:inline>
        </w:drawing>
      </w:r>
    </w:p>
    <w:p w:rsidR="00B00031" w:rsidRPr="0082631D" w:rsidRDefault="00B00031" w:rsidP="00B00031">
      <w:pPr>
        <w:spacing w:line="240" w:lineRule="auto"/>
        <w:jc w:val="both"/>
        <w:rPr>
          <w:rFonts w:ascii="Times New Roman" w:hAnsi="Times New Roman" w:cs="Times New Roman"/>
          <w:sz w:val="24"/>
          <w:szCs w:val="24"/>
        </w:rPr>
      </w:pPr>
      <w:r w:rsidRPr="0082631D">
        <w:rPr>
          <w:rFonts w:ascii="Times New Roman" w:hAnsi="Times New Roman" w:cs="Times New Roman"/>
          <w:sz w:val="24"/>
          <w:szCs w:val="24"/>
        </w:rPr>
        <w:lastRenderedPageBreak/>
        <w:t>La presidenta del BCE, Christine Lagarde, defendió ayer los cambios decididos en las líneas de financiación TLTRO como una medida enmarcada estrictamente en la política monetaria, con el fin de hacerla lo más efectiva posible. Pero lo cierto es que la banca europea ha encontrado un auténtico filón aparcando su exceso de liquidez, incluidos estos préstamos, en la hucha del BCE, con lo que está obteniendo unos inesperados beneficios extraordinarios. Hasta julio, el banco central les cobraba el 0,5% por aparcar su liquidez y con las alzas de tipos, esa remuneración había pasado al 0,75% en septiembre. La subida de tipos de ayer, descontada en el mercado desde hace semanas, ha dejado la tasa de depósito a la que se remuneran esas reservas al 1,5% y la banca no ha dudado en disparar su dinero</w:t>
      </w:r>
      <w:r>
        <w:rPr>
          <w:rFonts w:ascii="Times New Roman" w:hAnsi="Times New Roman" w:cs="Times New Roman"/>
          <w:sz w:val="24"/>
          <w:szCs w:val="24"/>
        </w:rPr>
        <w:t xml:space="preserve"> en esa hucha.</w:t>
      </w:r>
    </w:p>
    <w:p w:rsidR="00B00031" w:rsidRPr="00F26171" w:rsidRDefault="00B00031" w:rsidP="00B00031">
      <w:pPr>
        <w:spacing w:line="240" w:lineRule="auto"/>
        <w:jc w:val="both"/>
        <w:rPr>
          <w:rFonts w:ascii="Times New Roman" w:hAnsi="Times New Roman" w:cs="Times New Roman"/>
          <w:color w:val="FF0000"/>
          <w:sz w:val="24"/>
          <w:szCs w:val="24"/>
          <w:u w:val="single"/>
        </w:rPr>
      </w:pPr>
      <w:r w:rsidRPr="00F26171">
        <w:rPr>
          <w:rFonts w:ascii="Times New Roman" w:hAnsi="Times New Roman" w:cs="Times New Roman"/>
          <w:color w:val="FF0000"/>
          <w:sz w:val="24"/>
          <w:szCs w:val="24"/>
          <w:u w:val="single"/>
        </w:rPr>
        <w:t>El volumen de dinero que la banca de la zona euro ha derivado a la facilidad de depósito se ha multiplicado en poco más de un mes y alcanza ya los 4,63 billones de euros, según datos del BCE. A principios de septiembre, antes de la primera subida de tipos de 75 puntos básicos, rondaba los 683.000 millones de euros. La cuantía se duplicó a los pocos días, superando por primera vez el billón de euros, y ha crecido de forma exponencial en las últimas semanas. La banca ha aprovechado al máximo la oportunidad de recibir el 0,75% por su exceso de liquidez, hasta el punto de que el total de dinero aparcado en la facilidad de depósito es casi el mismo que el de todo el exceso de liquidez del sistema, 4,68 billones de euros.</w:t>
      </w:r>
    </w:p>
    <w:p w:rsidR="00B00031" w:rsidRPr="00F26171" w:rsidRDefault="00B00031" w:rsidP="00B00031">
      <w:pPr>
        <w:spacing w:line="240" w:lineRule="auto"/>
        <w:jc w:val="both"/>
        <w:rPr>
          <w:rFonts w:ascii="Times New Roman" w:hAnsi="Times New Roman" w:cs="Times New Roman"/>
          <w:color w:val="FF0000"/>
          <w:sz w:val="24"/>
          <w:szCs w:val="24"/>
          <w:u w:val="single"/>
        </w:rPr>
      </w:pPr>
      <w:r w:rsidRPr="00F26171">
        <w:rPr>
          <w:rFonts w:ascii="Times New Roman" w:hAnsi="Times New Roman" w:cs="Times New Roman"/>
          <w:color w:val="FF0000"/>
          <w:sz w:val="24"/>
          <w:szCs w:val="24"/>
          <w:u w:val="single"/>
        </w:rPr>
        <w:t>El BCE ha decidido actuar contra esta anomalía y endurecerá las condiciones de las líneas de financiación TLTRO III. Con los cambios anunciados ayer, la banca perderá la ventaja actual por la que prefiere aparcar en la hucha del BCE los 2,1 billones aún pendientes de devolver de esas líneas y cobrar por ese dinero el 0,75%, que ahora pasará al 1,5%, a amortizarlos anticipadamente. La fórmula que activará el BCE será anular la posibilidad de arbitraje, de modo que el tipo de esas líneas de financiación quedará alineado con el de la tasa de depósito.</w:t>
      </w:r>
    </w:p>
    <w:p w:rsidR="00B00031" w:rsidRPr="00F26171" w:rsidRDefault="00F26171" w:rsidP="00B00031">
      <w:pPr>
        <w:spacing w:line="240" w:lineRule="auto"/>
        <w:jc w:val="both"/>
        <w:rPr>
          <w:rFonts w:ascii="Times New Roman" w:hAnsi="Times New Roman" w:cs="Times New Roman"/>
          <w:color w:val="FF0000"/>
          <w:sz w:val="24"/>
          <w:szCs w:val="24"/>
          <w:u w:val="single"/>
        </w:rPr>
      </w:pPr>
      <w:r>
        <w:rPr>
          <w:rFonts w:ascii="Times New Roman" w:hAnsi="Times New Roman" w:cs="Times New Roman"/>
          <w:sz w:val="24"/>
          <w:szCs w:val="24"/>
        </w:rPr>
        <w:t xml:space="preserve">(…) </w:t>
      </w:r>
      <w:r w:rsidR="00B00031" w:rsidRPr="00F26171">
        <w:rPr>
          <w:rFonts w:ascii="Times New Roman" w:hAnsi="Times New Roman" w:cs="Times New Roman"/>
          <w:color w:val="FF0000"/>
          <w:sz w:val="24"/>
          <w:szCs w:val="24"/>
          <w:u w:val="single"/>
        </w:rPr>
        <w:t>Con la devolución anticipada de las TLTRO, el BCE conseguirá además ir reduciendo su balance, ahora al nivel récord de 8,77 billones de euros</w:t>
      </w:r>
      <w:r w:rsidR="00B00031" w:rsidRPr="00F26171">
        <w:rPr>
          <w:rFonts w:ascii="Times New Roman" w:hAnsi="Times New Roman" w:cs="Times New Roman"/>
          <w:color w:val="FF0000"/>
          <w:sz w:val="24"/>
          <w:szCs w:val="24"/>
        </w:rPr>
        <w:t>.</w:t>
      </w:r>
      <w:r>
        <w:rPr>
          <w:rFonts w:ascii="Times New Roman" w:hAnsi="Times New Roman" w:cs="Times New Roman"/>
          <w:sz w:val="24"/>
          <w:szCs w:val="24"/>
        </w:rPr>
        <w:t xml:space="preserve"> </w:t>
      </w:r>
      <w:r w:rsidR="00B00031" w:rsidRPr="00F26171">
        <w:rPr>
          <w:rFonts w:ascii="Times New Roman" w:hAnsi="Times New Roman" w:cs="Times New Roman"/>
          <w:color w:val="FF0000"/>
          <w:sz w:val="24"/>
          <w:szCs w:val="24"/>
          <w:u w:val="single"/>
        </w:rPr>
        <w:t>El BCE reactivó en 2020 estos préstamos de financiación a la banca con el objetivo de asegurar que el crédito seguía fluyendo, pero sus atractivas condiciones se han convertido en un obstáculo en la lucha del banco central frente a la inflación y en una ventaja para la banca difícilmente sostenible en el momento actual, con un shock energético que está haciendo más vulnerables a empresas y hogares.</w:t>
      </w:r>
    </w:p>
    <w:p w:rsidR="00F26171" w:rsidRDefault="00B00031" w:rsidP="00B00031">
      <w:pPr>
        <w:spacing w:line="240" w:lineRule="auto"/>
        <w:jc w:val="both"/>
        <w:rPr>
          <w:rFonts w:ascii="Times New Roman" w:hAnsi="Times New Roman" w:cs="Times New Roman"/>
          <w:sz w:val="24"/>
          <w:szCs w:val="24"/>
        </w:rPr>
      </w:pPr>
      <w:r w:rsidRPr="00F26171">
        <w:rPr>
          <w:rFonts w:ascii="Times New Roman" w:hAnsi="Times New Roman" w:cs="Times New Roman"/>
          <w:color w:val="FF0000"/>
          <w:sz w:val="24"/>
          <w:szCs w:val="24"/>
          <w:u w:val="single"/>
        </w:rPr>
        <w:t>La banca de la zona euro ya se habría anotado en todo caso unos beneficios extraordinarios gracias al arbitraje con las líneas TLTRO que alcanzarán los 7.900 millones de euros en el cuarto trimestre de este a</w:t>
      </w:r>
      <w:r w:rsidR="00F26171">
        <w:rPr>
          <w:rFonts w:ascii="Times New Roman" w:hAnsi="Times New Roman" w:cs="Times New Roman"/>
          <w:color w:val="FF0000"/>
          <w:sz w:val="24"/>
          <w:szCs w:val="24"/>
          <w:u w:val="single"/>
        </w:rPr>
        <w:t>ño, según cálculos de Jefferies</w:t>
      </w:r>
      <w:r w:rsidR="00F26171">
        <w:rPr>
          <w:rFonts w:ascii="Times New Roman" w:hAnsi="Times New Roman" w:cs="Times New Roman"/>
          <w:color w:val="FF0000"/>
          <w:sz w:val="24"/>
          <w:szCs w:val="24"/>
        </w:rPr>
        <w:t>…</w:t>
      </w:r>
      <w:r w:rsidRPr="0082631D">
        <w:rPr>
          <w:rFonts w:ascii="Times New Roman" w:hAnsi="Times New Roman" w:cs="Times New Roman"/>
          <w:sz w:val="24"/>
          <w:szCs w:val="24"/>
        </w:rPr>
        <w:t xml:space="preserve"> </w:t>
      </w:r>
    </w:p>
    <w:p w:rsidR="00F26171" w:rsidRPr="00960AFE" w:rsidRDefault="00F26171" w:rsidP="00F2617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960AFE">
        <w:rPr>
          <w:rFonts w:ascii="Times New Roman" w:hAnsi="Times New Roman" w:cs="Times New Roman"/>
          <w:sz w:val="24"/>
          <w:szCs w:val="24"/>
          <w:u w:val="single"/>
        </w:rPr>
        <w:t>Las grandes tecnológicas se dejan dos billones en valor bursátil en 2022</w:t>
      </w:r>
      <w:r>
        <w:rPr>
          <w:rFonts w:ascii="Times New Roman" w:hAnsi="Times New Roman" w:cs="Times New Roman"/>
          <w:sz w:val="24"/>
          <w:szCs w:val="24"/>
        </w:rPr>
        <w:t xml:space="preserve"> (Cinco Días - </w:t>
      </w:r>
      <w:r w:rsidRPr="00960AFE">
        <w:rPr>
          <w:rFonts w:ascii="Times New Roman" w:hAnsi="Times New Roman" w:cs="Times New Roman"/>
          <w:b/>
          <w:sz w:val="24"/>
          <w:szCs w:val="24"/>
        </w:rPr>
        <w:t>29/10/22</w:t>
      </w:r>
      <w:r>
        <w:rPr>
          <w:rFonts w:ascii="Times New Roman" w:hAnsi="Times New Roman" w:cs="Times New Roman"/>
          <w:sz w:val="24"/>
          <w:szCs w:val="24"/>
        </w:rPr>
        <w:t>)</w:t>
      </w:r>
    </w:p>
    <w:p w:rsidR="00975CB3" w:rsidRPr="00600492" w:rsidRDefault="00975CB3" w:rsidP="00975CB3">
      <w:pPr>
        <w:spacing w:line="240" w:lineRule="auto"/>
        <w:jc w:val="both"/>
        <w:rPr>
          <w:rFonts w:ascii="Times New Roman" w:hAnsi="Times New Roman" w:cs="Times New Roman"/>
          <w:color w:val="FF0000"/>
          <w:sz w:val="24"/>
          <w:szCs w:val="24"/>
          <w:u w:val="single"/>
        </w:rPr>
      </w:pPr>
      <w:r w:rsidRPr="00600492">
        <w:rPr>
          <w:rFonts w:ascii="Times New Roman" w:hAnsi="Times New Roman" w:cs="Times New Roman"/>
          <w:color w:val="FF0000"/>
          <w:sz w:val="24"/>
          <w:szCs w:val="24"/>
          <w:u w:val="single"/>
        </w:rPr>
        <w:t>Los años de euforia bursátil por las compañías tecnológicas, y especial por las otrora denominadas como FAANG, han pasado, al menos por ahora. La agresiva subida de tipos que está ejecutando la Reserva Federal de Estados Unidos está pasando factura a un sector que se vio beneficiado años atrás por el dinero casi gratis.</w:t>
      </w:r>
    </w:p>
    <w:p w:rsidR="00975CB3" w:rsidRPr="00975CB3" w:rsidRDefault="00975CB3" w:rsidP="00F26171">
      <w:pPr>
        <w:spacing w:line="240" w:lineRule="auto"/>
        <w:jc w:val="both"/>
        <w:rPr>
          <w:rFonts w:ascii="Times New Roman" w:hAnsi="Times New Roman" w:cs="Times New Roman"/>
          <w:sz w:val="24"/>
          <w:szCs w:val="24"/>
        </w:rPr>
      </w:pPr>
      <w:r w:rsidRPr="00960AFE">
        <w:rPr>
          <w:rFonts w:ascii="Times New Roman" w:hAnsi="Times New Roman" w:cs="Times New Roman"/>
          <w:sz w:val="24"/>
          <w:szCs w:val="24"/>
        </w:rPr>
        <w:t xml:space="preserve">Las firmas de perfil tecnológico se están demostrando especialmente sensibles a las subidas de tipos de interés porque buena parte de su valoración actual tiene que ver con las previsiones de ingresos futuros. Cuando esa facturación se </w:t>
      </w:r>
      <w:r>
        <w:rPr>
          <w:rFonts w:ascii="Times New Roman" w:hAnsi="Times New Roman" w:cs="Times New Roman"/>
          <w:sz w:val="24"/>
          <w:szCs w:val="24"/>
        </w:rPr>
        <w:t>contabiliza</w:t>
      </w:r>
      <w:r w:rsidRPr="00960AFE">
        <w:rPr>
          <w:rFonts w:ascii="Times New Roman" w:hAnsi="Times New Roman" w:cs="Times New Roman"/>
          <w:sz w:val="24"/>
          <w:szCs w:val="24"/>
        </w:rPr>
        <w:t xml:space="preserve"> a valor presente, valen menos cuanto mayores son los tipos de interés. Es decir, no es lo mismo recibir un millón dentro de un año si la inflación y los tipos rozan en el 0% que si los precios están disparados </w:t>
      </w:r>
      <w:r w:rsidRPr="00960AFE">
        <w:rPr>
          <w:rFonts w:ascii="Times New Roman" w:hAnsi="Times New Roman" w:cs="Times New Roman"/>
          <w:sz w:val="24"/>
          <w:szCs w:val="24"/>
        </w:rPr>
        <w:lastRenderedPageBreak/>
        <w:t xml:space="preserve">y </w:t>
      </w:r>
      <w:r>
        <w:rPr>
          <w:rFonts w:ascii="Times New Roman" w:hAnsi="Times New Roman" w:cs="Times New Roman"/>
          <w:sz w:val="24"/>
          <w:szCs w:val="24"/>
        </w:rPr>
        <w:t>los tipos se sitúan en el 4,5% -</w:t>
      </w:r>
      <w:r w:rsidRPr="00960AFE">
        <w:rPr>
          <w:rFonts w:ascii="Times New Roman" w:hAnsi="Times New Roman" w:cs="Times New Roman"/>
          <w:sz w:val="24"/>
          <w:szCs w:val="24"/>
        </w:rPr>
        <w:t>nivel que podría</w:t>
      </w:r>
      <w:r>
        <w:rPr>
          <w:rFonts w:ascii="Times New Roman" w:hAnsi="Times New Roman" w:cs="Times New Roman"/>
          <w:sz w:val="24"/>
          <w:szCs w:val="24"/>
        </w:rPr>
        <w:t>n alcanzar el año próximo en EE</w:t>
      </w:r>
      <w:r w:rsidRPr="00960AFE">
        <w:rPr>
          <w:rFonts w:ascii="Times New Roman" w:hAnsi="Times New Roman" w:cs="Times New Roman"/>
          <w:sz w:val="24"/>
          <w:szCs w:val="24"/>
        </w:rPr>
        <w:t>UU</w:t>
      </w:r>
      <w:r>
        <w:rPr>
          <w:rFonts w:ascii="Times New Roman" w:hAnsi="Times New Roman" w:cs="Times New Roman"/>
          <w:sz w:val="24"/>
          <w:szCs w:val="24"/>
        </w:rPr>
        <w:t>, según el consenso del mercado-</w:t>
      </w:r>
      <w:r w:rsidRPr="00960AFE">
        <w:rPr>
          <w:rFonts w:ascii="Times New Roman" w:hAnsi="Times New Roman" w:cs="Times New Roman"/>
          <w:sz w:val="24"/>
          <w:szCs w:val="24"/>
        </w:rPr>
        <w:t>.</w:t>
      </w:r>
    </w:p>
    <w:p w:rsidR="00F26171" w:rsidRDefault="00F26171" w:rsidP="00F26171">
      <w:pPr>
        <w:spacing w:line="240" w:lineRule="auto"/>
        <w:jc w:val="both"/>
        <w:rPr>
          <w:rFonts w:ascii="Times New Roman" w:hAnsi="Times New Roman" w:cs="Times New Roman"/>
          <w:sz w:val="24"/>
          <w:szCs w:val="24"/>
        </w:rPr>
      </w:pPr>
      <w:r>
        <w:rPr>
          <w:noProof/>
          <w:lang w:eastAsia="es-ES"/>
        </w:rPr>
        <w:drawing>
          <wp:inline distT="0" distB="0" distL="0" distR="0" wp14:anchorId="36FDF2C7" wp14:editId="47579276">
            <wp:extent cx="5731510" cy="5349409"/>
            <wp:effectExtent l="0" t="0" r="2540" b="3810"/>
            <wp:docPr id="82" name="Imagen 82" descr="Capitalizacion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apitalizaciones"/>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731510" cy="5349409"/>
                    </a:xfrm>
                    <a:prstGeom prst="rect">
                      <a:avLst/>
                    </a:prstGeom>
                    <a:noFill/>
                    <a:ln>
                      <a:noFill/>
                    </a:ln>
                  </pic:spPr>
                </pic:pic>
              </a:graphicData>
            </a:graphic>
          </wp:inline>
        </w:drawing>
      </w:r>
    </w:p>
    <w:p w:rsidR="00F26171" w:rsidRPr="00600492" w:rsidRDefault="00F26171" w:rsidP="00F26171">
      <w:pPr>
        <w:spacing w:line="240" w:lineRule="auto"/>
        <w:jc w:val="both"/>
        <w:rPr>
          <w:rFonts w:ascii="Times New Roman" w:hAnsi="Times New Roman" w:cs="Times New Roman"/>
          <w:color w:val="FF0000"/>
          <w:sz w:val="24"/>
          <w:szCs w:val="24"/>
          <w:u w:val="single"/>
        </w:rPr>
      </w:pPr>
      <w:r w:rsidRPr="00600492">
        <w:rPr>
          <w:rFonts w:ascii="Times New Roman" w:hAnsi="Times New Roman" w:cs="Times New Roman"/>
          <w:color w:val="FF0000"/>
          <w:sz w:val="24"/>
          <w:szCs w:val="24"/>
          <w:u w:val="single"/>
        </w:rPr>
        <w:t>Entre 2019 y diciembre del año pasado el Nasdaq Composite se revalorizó la friolera de un 137%, para corregir este año un 31%. Un frenazo que se replica en las grandes tecnológicas: Amazon, Alphabet y Microsoft ceden más del 30% en lo que va de ejercicio y Apple recorta un 18%. Pero por</w:t>
      </w:r>
      <w:r w:rsidR="00975CB3">
        <w:rPr>
          <w:rFonts w:ascii="Times New Roman" w:hAnsi="Times New Roman" w:cs="Times New Roman"/>
          <w:color w:val="FF0000"/>
          <w:sz w:val="24"/>
          <w:szCs w:val="24"/>
          <w:u w:val="single"/>
        </w:rPr>
        <w:t xml:space="preserve"> encima de todas se sitúa Meta -Facebook-</w:t>
      </w:r>
      <w:r w:rsidRPr="00600492">
        <w:rPr>
          <w:rFonts w:ascii="Times New Roman" w:hAnsi="Times New Roman" w:cs="Times New Roman"/>
          <w:color w:val="FF0000"/>
          <w:sz w:val="24"/>
          <w:szCs w:val="24"/>
          <w:u w:val="single"/>
        </w:rPr>
        <w:t xml:space="preserve"> que se hunde un 70% lastrada por la apuesta por el metaverso y los cambios de hábitos de consumo postpandemia.</w:t>
      </w:r>
    </w:p>
    <w:p w:rsidR="00F26171" w:rsidRPr="00600492" w:rsidRDefault="00F26171" w:rsidP="00F26171">
      <w:pPr>
        <w:spacing w:line="240" w:lineRule="auto"/>
        <w:jc w:val="both"/>
        <w:rPr>
          <w:rFonts w:ascii="Times New Roman" w:hAnsi="Times New Roman" w:cs="Times New Roman"/>
          <w:color w:val="FF0000"/>
          <w:sz w:val="24"/>
          <w:szCs w:val="24"/>
          <w:u w:val="single"/>
        </w:rPr>
      </w:pPr>
      <w:r w:rsidRPr="00600492">
        <w:rPr>
          <w:rFonts w:ascii="Times New Roman" w:hAnsi="Times New Roman" w:cs="Times New Roman"/>
          <w:color w:val="FF0000"/>
          <w:sz w:val="24"/>
          <w:szCs w:val="24"/>
          <w:u w:val="single"/>
        </w:rPr>
        <w:t>Entre todas ellas la pérdida de valor bursátil acumula en lo que va de año se eleva casi dos billones de euros (1,99 billones de euros). Al mayor coste financiero derivado de la subida de tipos se ha sumado además la publicación de unos resultados trimestrales que apuntan a un debilitamiento de sus ingresos tras años de fuerte crecimiento gracias a los hábitos generados con la pandemia del Covid-19. Ahora, el temor</w:t>
      </w:r>
      <w:r w:rsidR="00975CB3">
        <w:rPr>
          <w:rFonts w:ascii="Times New Roman" w:hAnsi="Times New Roman" w:cs="Times New Roman"/>
          <w:color w:val="FF0000"/>
          <w:sz w:val="24"/>
          <w:szCs w:val="24"/>
          <w:u w:val="single"/>
        </w:rPr>
        <w:t xml:space="preserve"> a una ralentización económica -</w:t>
      </w:r>
      <w:r w:rsidRPr="00600492">
        <w:rPr>
          <w:rFonts w:ascii="Times New Roman" w:hAnsi="Times New Roman" w:cs="Times New Roman"/>
          <w:color w:val="FF0000"/>
          <w:sz w:val="24"/>
          <w:szCs w:val="24"/>
          <w:u w:val="single"/>
        </w:rPr>
        <w:t xml:space="preserve">despejada por </w:t>
      </w:r>
      <w:r w:rsidR="00975CB3">
        <w:rPr>
          <w:rFonts w:ascii="Times New Roman" w:hAnsi="Times New Roman" w:cs="Times New Roman"/>
          <w:color w:val="FF0000"/>
          <w:sz w:val="24"/>
          <w:szCs w:val="24"/>
          <w:u w:val="single"/>
        </w:rPr>
        <w:t>ahora la recesión técnica en EEUU-</w:t>
      </w:r>
      <w:r w:rsidRPr="00600492">
        <w:rPr>
          <w:rFonts w:ascii="Times New Roman" w:hAnsi="Times New Roman" w:cs="Times New Roman"/>
          <w:color w:val="FF0000"/>
          <w:sz w:val="24"/>
          <w:szCs w:val="24"/>
          <w:u w:val="single"/>
        </w:rPr>
        <w:t xml:space="preserve"> está provocando una caída de los ingresos (publicitarios) y mayores gastos…</w:t>
      </w:r>
    </w:p>
    <w:p w:rsidR="00975CB3" w:rsidRDefault="00975CB3" w:rsidP="00F26171">
      <w:pPr>
        <w:spacing w:line="240" w:lineRule="auto"/>
        <w:jc w:val="both"/>
        <w:rPr>
          <w:rFonts w:ascii="Times New Roman" w:hAnsi="Times New Roman" w:cs="Times New Roman"/>
          <w:sz w:val="24"/>
          <w:szCs w:val="24"/>
        </w:rPr>
      </w:pPr>
    </w:p>
    <w:p w:rsidR="00F26171" w:rsidRPr="00571476" w:rsidRDefault="00F26171" w:rsidP="00F26171">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571476">
        <w:rPr>
          <w:rFonts w:ascii="Times New Roman" w:hAnsi="Times New Roman" w:cs="Times New Roman"/>
          <w:sz w:val="24"/>
          <w:szCs w:val="24"/>
          <w:u w:val="single"/>
        </w:rPr>
        <w:t>Los economistas creen que la Fed subirá los tipos al 5% y provocará una recesión mundial</w:t>
      </w:r>
      <w:r>
        <w:rPr>
          <w:rFonts w:ascii="Times New Roman" w:hAnsi="Times New Roman" w:cs="Times New Roman"/>
          <w:sz w:val="24"/>
          <w:szCs w:val="24"/>
        </w:rPr>
        <w:t xml:space="preserve"> (El Economista - </w:t>
      </w:r>
      <w:r w:rsidRPr="00571476">
        <w:rPr>
          <w:rFonts w:ascii="Times New Roman" w:hAnsi="Times New Roman" w:cs="Times New Roman"/>
          <w:b/>
          <w:sz w:val="24"/>
          <w:szCs w:val="24"/>
        </w:rPr>
        <w:t>28/10/22</w:t>
      </w:r>
      <w:r>
        <w:rPr>
          <w:rFonts w:ascii="Times New Roman" w:hAnsi="Times New Roman" w:cs="Times New Roman"/>
          <w:sz w:val="24"/>
          <w:szCs w:val="24"/>
        </w:rPr>
        <w:t>)</w:t>
      </w:r>
    </w:p>
    <w:p w:rsidR="00F26171" w:rsidRPr="00600492" w:rsidRDefault="00F26171" w:rsidP="00F26171">
      <w:pPr>
        <w:spacing w:line="240" w:lineRule="auto"/>
        <w:jc w:val="both"/>
        <w:rPr>
          <w:rFonts w:ascii="Times New Roman" w:hAnsi="Times New Roman" w:cs="Times New Roman"/>
          <w:color w:val="FF0000"/>
          <w:sz w:val="24"/>
          <w:szCs w:val="24"/>
          <w:u w:val="single"/>
        </w:rPr>
      </w:pPr>
      <w:r w:rsidRPr="00600492">
        <w:rPr>
          <w:rFonts w:ascii="Times New Roman" w:hAnsi="Times New Roman" w:cs="Times New Roman"/>
          <w:color w:val="FF0000"/>
          <w:sz w:val="24"/>
          <w:szCs w:val="24"/>
          <w:u w:val="single"/>
        </w:rPr>
        <w:t>Los funcionarios de la Reserva Federal mantendrán su postura decididamente agresiva la próxima semana, sentando las bases para que las tasas de interés alcancen el 5% para marzo de 2023, medidas que probablemente conducirán a una recesión en EEUU y en el mundo, dijeron economistas encuestados por Bloomberg.</w:t>
      </w:r>
    </w:p>
    <w:p w:rsidR="00F26171" w:rsidRPr="00571476" w:rsidRDefault="00F26171" w:rsidP="00F26171">
      <w:pPr>
        <w:spacing w:line="240" w:lineRule="auto"/>
        <w:jc w:val="both"/>
        <w:rPr>
          <w:rFonts w:ascii="Times New Roman" w:hAnsi="Times New Roman" w:cs="Times New Roman"/>
          <w:sz w:val="24"/>
          <w:szCs w:val="24"/>
        </w:rPr>
      </w:pPr>
      <w:r w:rsidRPr="00571476">
        <w:rPr>
          <w:rFonts w:ascii="Times New Roman" w:hAnsi="Times New Roman" w:cs="Times New Roman"/>
          <w:sz w:val="24"/>
          <w:szCs w:val="24"/>
        </w:rPr>
        <w:t>El Comité Federal de Mercado Abierto aumentará las tasas en 75 puntos básicos por cuarta reunión consecutiva cuando los responsables políticos anuncien su decisión el miércoles, según la encuesta. Los funcionarios obtuvieron más razones para mantener el rumbo cuand</w:t>
      </w:r>
      <w:r w:rsidR="00975CB3">
        <w:rPr>
          <w:rFonts w:ascii="Times New Roman" w:hAnsi="Times New Roman" w:cs="Times New Roman"/>
          <w:sz w:val="24"/>
          <w:szCs w:val="24"/>
        </w:rPr>
        <w:t>o los datos del gobierno de EEUU</w:t>
      </w:r>
      <w:r w:rsidRPr="00571476">
        <w:rPr>
          <w:rFonts w:ascii="Times New Roman" w:hAnsi="Times New Roman" w:cs="Times New Roman"/>
          <w:sz w:val="24"/>
          <w:szCs w:val="24"/>
        </w:rPr>
        <w:t xml:space="preserve"> el viernes mostraron que los costos laborales aumentaron a un ritmo firme en el tercer trimestre y el indicador de inflación preferido del banco central aún estaba muy por encima de su objetivo del 2%.</w:t>
      </w:r>
      <w:r w:rsidR="00975CB3">
        <w:rPr>
          <w:rFonts w:ascii="Times New Roman" w:hAnsi="Times New Roman" w:cs="Times New Roman"/>
          <w:sz w:val="24"/>
          <w:szCs w:val="24"/>
        </w:rPr>
        <w:t>..</w:t>
      </w:r>
    </w:p>
    <w:p w:rsidR="00F26171" w:rsidRDefault="00F26171" w:rsidP="00F26171">
      <w:pPr>
        <w:spacing w:line="240" w:lineRule="auto"/>
        <w:jc w:val="both"/>
        <w:rPr>
          <w:rFonts w:ascii="Times New Roman" w:hAnsi="Times New Roman" w:cs="Times New Roman"/>
          <w:sz w:val="24"/>
          <w:szCs w:val="24"/>
        </w:rPr>
      </w:pPr>
      <w:r w:rsidRPr="00571476">
        <w:rPr>
          <w:rFonts w:ascii="Times New Roman" w:hAnsi="Times New Roman" w:cs="Times New Roman"/>
          <w:sz w:val="24"/>
          <w:szCs w:val="24"/>
        </w:rPr>
        <w:t>Lo que dicen los economistas</w:t>
      </w:r>
    </w:p>
    <w:p w:rsidR="00975CB3" w:rsidRPr="00571476" w:rsidRDefault="00975CB3" w:rsidP="00F26171">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571476">
        <w:rPr>
          <w:rFonts w:ascii="Times New Roman" w:hAnsi="Times New Roman" w:cs="Times New Roman"/>
          <w:sz w:val="24"/>
          <w:szCs w:val="24"/>
        </w:rPr>
        <w:t>Las presiones inflacionarias siguen siendo intensas y la Fed subirá</w:t>
      </w:r>
      <w:r>
        <w:rPr>
          <w:rFonts w:ascii="Times New Roman" w:hAnsi="Times New Roman" w:cs="Times New Roman"/>
          <w:sz w:val="24"/>
          <w:szCs w:val="24"/>
        </w:rPr>
        <w:t xml:space="preserve"> 75 puntos básicos en noviembre”</w:t>
      </w:r>
      <w:r w:rsidRPr="00571476">
        <w:rPr>
          <w:rFonts w:ascii="Times New Roman" w:hAnsi="Times New Roman" w:cs="Times New Roman"/>
          <w:sz w:val="24"/>
          <w:szCs w:val="24"/>
        </w:rPr>
        <w:t>, dijo James Knightley, economista internacional jefe de ING Groep NV, en una res</w:t>
      </w:r>
      <w:r>
        <w:rPr>
          <w:rFonts w:ascii="Times New Roman" w:hAnsi="Times New Roman" w:cs="Times New Roman"/>
          <w:sz w:val="24"/>
          <w:szCs w:val="24"/>
        </w:rPr>
        <w:t>puesta, “</w:t>
      </w:r>
      <w:r w:rsidRPr="00571476">
        <w:rPr>
          <w:rFonts w:ascii="Times New Roman" w:hAnsi="Times New Roman" w:cs="Times New Roman"/>
          <w:sz w:val="24"/>
          <w:szCs w:val="24"/>
        </w:rPr>
        <w:t>dado un contexto ec</w:t>
      </w:r>
      <w:r>
        <w:rPr>
          <w:rFonts w:ascii="Times New Roman" w:hAnsi="Times New Roman" w:cs="Times New Roman"/>
          <w:sz w:val="24"/>
          <w:szCs w:val="24"/>
        </w:rPr>
        <w:t>onómico y de mercado debilitado”</w:t>
      </w:r>
      <w:r w:rsidRPr="00571476">
        <w:rPr>
          <w:rFonts w:ascii="Times New Roman" w:hAnsi="Times New Roman" w:cs="Times New Roman"/>
          <w:sz w:val="24"/>
          <w:szCs w:val="24"/>
        </w:rPr>
        <w:t>, pero los riesgos están sesgados hacia un quinto aumento de 75 puntos</w:t>
      </w:r>
      <w:r>
        <w:rPr>
          <w:rFonts w:ascii="Times New Roman" w:hAnsi="Times New Roman" w:cs="Times New Roman"/>
          <w:sz w:val="24"/>
          <w:szCs w:val="24"/>
        </w:rPr>
        <w:t xml:space="preserve"> básicos, agregó.</w:t>
      </w:r>
    </w:p>
    <w:p w:rsidR="00F26171" w:rsidRPr="00600492" w:rsidRDefault="00975CB3" w:rsidP="00F26171">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w:t>
      </w:r>
      <w:r w:rsidR="00F26171" w:rsidRPr="00600492">
        <w:rPr>
          <w:rFonts w:ascii="Times New Roman" w:hAnsi="Times New Roman" w:cs="Times New Roman"/>
          <w:sz w:val="24"/>
          <w:szCs w:val="24"/>
          <w:u w:val="single"/>
        </w:rPr>
        <w:t>Creo que lo más importante a tener en cuenta es cómo Powell comunica el posible cambio a la baja en el ritmo de las subidas de tipos. Querrá evitar dar la impresión de que un pivote es inminente, especialmente cuando la inflación subyacente claramente sigue siendo fuerte. Se estaría preparando para los mercados para un aumento de 50 puntos básicos en diciembre, pero que también estará acompañado de un gráfico de puntos, que muestra una tasa terminal del 5 %</w:t>
      </w:r>
      <w:r>
        <w:rPr>
          <w:rFonts w:ascii="Times New Roman" w:hAnsi="Times New Roman" w:cs="Times New Roman"/>
          <w:sz w:val="24"/>
          <w:szCs w:val="24"/>
          <w:u w:val="single"/>
        </w:rPr>
        <w:t>”</w:t>
      </w:r>
      <w:r w:rsidR="00F26171" w:rsidRPr="00600492">
        <w:rPr>
          <w:rFonts w:ascii="Times New Roman" w:hAnsi="Times New Roman" w:cs="Times New Roman"/>
          <w:sz w:val="24"/>
          <w:szCs w:val="24"/>
          <w:u w:val="single"/>
        </w:rPr>
        <w:t>.</w:t>
      </w:r>
    </w:p>
    <w:p w:rsidR="00F26171" w:rsidRPr="00975CB3" w:rsidRDefault="00F26171" w:rsidP="00F26171">
      <w:pPr>
        <w:spacing w:line="240" w:lineRule="auto"/>
        <w:jc w:val="both"/>
        <w:rPr>
          <w:rFonts w:ascii="Times New Roman" w:hAnsi="Times New Roman" w:cs="Times New Roman"/>
          <w:color w:val="FF0000"/>
          <w:sz w:val="24"/>
          <w:szCs w:val="24"/>
          <w:u w:val="single"/>
        </w:rPr>
      </w:pPr>
      <w:r w:rsidRPr="00975CB3">
        <w:rPr>
          <w:rFonts w:ascii="Times New Roman" w:hAnsi="Times New Roman" w:cs="Times New Roman"/>
          <w:color w:val="FF0000"/>
          <w:sz w:val="24"/>
          <w:szCs w:val="24"/>
          <w:u w:val="single"/>
        </w:rPr>
        <w:t>Los economistas ven a la Fed como potencialmente ajustando demasiado: el economista mediano establecería una tasa objetivo máxima en 4.75%, y el 75% de los economistas dijo que existe un mayor riesgo de que el banco central aumente las tasas demasiado y cause un dolor inn</w:t>
      </w:r>
      <w:r w:rsidR="00975CB3" w:rsidRPr="00975CB3">
        <w:rPr>
          <w:rFonts w:ascii="Times New Roman" w:hAnsi="Times New Roman" w:cs="Times New Roman"/>
          <w:color w:val="FF0000"/>
          <w:sz w:val="24"/>
          <w:szCs w:val="24"/>
          <w:u w:val="single"/>
        </w:rPr>
        <w:t>ecesario en lugar de no hacerlo,</w:t>
      </w:r>
      <w:r w:rsidRPr="00975CB3">
        <w:rPr>
          <w:rFonts w:ascii="Times New Roman" w:hAnsi="Times New Roman" w:cs="Times New Roman"/>
          <w:color w:val="FF0000"/>
          <w:sz w:val="24"/>
          <w:szCs w:val="24"/>
          <w:u w:val="single"/>
        </w:rPr>
        <w:t xml:space="preserve"> aumentando lo suficiente y sin poder contener la inflación.</w:t>
      </w:r>
    </w:p>
    <w:p w:rsidR="00F26171" w:rsidRPr="00975CB3" w:rsidRDefault="00975CB3" w:rsidP="00F26171">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u w:val="single"/>
        </w:rPr>
        <w:t>“</w:t>
      </w:r>
      <w:r w:rsidR="00F26171" w:rsidRPr="00360EE3">
        <w:rPr>
          <w:rFonts w:ascii="Times New Roman" w:hAnsi="Times New Roman" w:cs="Times New Roman"/>
          <w:color w:val="FF0000"/>
          <w:sz w:val="24"/>
          <w:szCs w:val="24"/>
          <w:u w:val="single"/>
        </w:rPr>
        <w:t>Todavía se subestiman los re</w:t>
      </w:r>
      <w:r>
        <w:rPr>
          <w:rFonts w:ascii="Times New Roman" w:hAnsi="Times New Roman" w:cs="Times New Roman"/>
          <w:color w:val="FF0000"/>
          <w:sz w:val="24"/>
          <w:szCs w:val="24"/>
          <w:u w:val="single"/>
        </w:rPr>
        <w:t>trasos en la política monetaria”</w:t>
      </w:r>
      <w:r w:rsidR="00F26171" w:rsidRPr="00360EE3">
        <w:rPr>
          <w:rFonts w:ascii="Times New Roman" w:hAnsi="Times New Roman" w:cs="Times New Roman"/>
          <w:color w:val="FF0000"/>
          <w:sz w:val="24"/>
          <w:szCs w:val="24"/>
          <w:u w:val="single"/>
        </w:rPr>
        <w:t>, dijo Thomas Costerg, economista sénior para Estados Unido</w:t>
      </w:r>
      <w:r>
        <w:rPr>
          <w:rFonts w:ascii="Times New Roman" w:hAnsi="Times New Roman" w:cs="Times New Roman"/>
          <w:color w:val="FF0000"/>
          <w:sz w:val="24"/>
          <w:szCs w:val="24"/>
          <w:u w:val="single"/>
        </w:rPr>
        <w:t>s de Pictet Wealth Management. “</w:t>
      </w:r>
      <w:r w:rsidR="00F26171" w:rsidRPr="00360EE3">
        <w:rPr>
          <w:rFonts w:ascii="Times New Roman" w:hAnsi="Times New Roman" w:cs="Times New Roman"/>
          <w:color w:val="FF0000"/>
          <w:sz w:val="24"/>
          <w:szCs w:val="24"/>
          <w:u w:val="single"/>
        </w:rPr>
        <w:t xml:space="preserve">Es posible que el efecto total del ajuste actual no se sienta hasta mediados de 2023. Para entonces, podría ser demasiado tarde. El riesgo </w:t>
      </w:r>
      <w:r>
        <w:rPr>
          <w:rFonts w:ascii="Times New Roman" w:hAnsi="Times New Roman" w:cs="Times New Roman"/>
          <w:color w:val="FF0000"/>
          <w:sz w:val="24"/>
          <w:szCs w:val="24"/>
          <w:u w:val="single"/>
        </w:rPr>
        <w:t>de un error de política es alto”</w:t>
      </w:r>
      <w:r>
        <w:rPr>
          <w:rFonts w:ascii="Times New Roman" w:hAnsi="Times New Roman" w:cs="Times New Roman"/>
          <w:color w:val="FF0000"/>
          <w:sz w:val="24"/>
          <w:szCs w:val="24"/>
        </w:rPr>
        <w:t>…</w:t>
      </w:r>
    </w:p>
    <w:p w:rsidR="00F26171" w:rsidRPr="00360EE3" w:rsidRDefault="00F26171" w:rsidP="00F26171">
      <w:pPr>
        <w:spacing w:line="240" w:lineRule="auto"/>
        <w:jc w:val="both"/>
        <w:rPr>
          <w:rFonts w:ascii="Times New Roman" w:hAnsi="Times New Roman" w:cs="Times New Roman"/>
          <w:color w:val="FF0000"/>
          <w:sz w:val="24"/>
          <w:szCs w:val="24"/>
          <w:u w:val="single"/>
        </w:rPr>
      </w:pPr>
      <w:r w:rsidRPr="00360EE3">
        <w:rPr>
          <w:rFonts w:ascii="Times New Roman" w:hAnsi="Times New Roman" w:cs="Times New Roman"/>
          <w:color w:val="FF0000"/>
          <w:sz w:val="24"/>
          <w:szCs w:val="24"/>
          <w:u w:val="single"/>
        </w:rPr>
        <w:t>Si la Fed logra otro movimiento de 75 puntos básicos la próxima semana, el aumento combinado de 375 puntos básicos desde marzo representaría el aumento más pronunciado en las tasas de la Fed desde la década de 1980 cuando Volcker era presidente y luchaba contra la inflación altísima.</w:t>
      </w:r>
    </w:p>
    <w:p w:rsidR="00F26171" w:rsidRPr="00975CB3" w:rsidRDefault="00975CB3" w:rsidP="00F26171">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u w:val="single"/>
        </w:rPr>
        <w:t>“</w:t>
      </w:r>
      <w:r w:rsidR="00F26171" w:rsidRPr="00360EE3">
        <w:rPr>
          <w:rFonts w:ascii="Times New Roman" w:hAnsi="Times New Roman" w:cs="Times New Roman"/>
          <w:color w:val="FF0000"/>
          <w:sz w:val="24"/>
          <w:szCs w:val="24"/>
          <w:u w:val="single"/>
        </w:rPr>
        <w:t>Con la Fed enfrentando la elección de hacer demasiado o hacer muy poco, es probable que los mie</w:t>
      </w:r>
      <w:r>
        <w:rPr>
          <w:rFonts w:ascii="Times New Roman" w:hAnsi="Times New Roman" w:cs="Times New Roman"/>
          <w:color w:val="FF0000"/>
          <w:sz w:val="24"/>
          <w:szCs w:val="24"/>
          <w:u w:val="single"/>
        </w:rPr>
        <w:t>mbros opten por hacer demasiado”</w:t>
      </w:r>
      <w:r w:rsidR="00F26171" w:rsidRPr="00360EE3">
        <w:rPr>
          <w:rFonts w:ascii="Times New Roman" w:hAnsi="Times New Roman" w:cs="Times New Roman"/>
          <w:color w:val="FF0000"/>
          <w:sz w:val="24"/>
          <w:szCs w:val="24"/>
          <w:u w:val="single"/>
        </w:rPr>
        <w:t>, dijo Joel Naroff, presidente de Naroff Economics LLC, con el objetivo de evitar la persistencia de la inflación que Volcker enfrentó desde la década de 1970</w:t>
      </w:r>
      <w:r>
        <w:rPr>
          <w:rFonts w:ascii="Times New Roman" w:hAnsi="Times New Roman" w:cs="Times New Roman"/>
          <w:color w:val="FF0000"/>
          <w:sz w:val="24"/>
          <w:szCs w:val="24"/>
        </w:rPr>
        <w:t>…</w:t>
      </w:r>
    </w:p>
    <w:p w:rsidR="00F26171" w:rsidRDefault="00F26171" w:rsidP="00F26171">
      <w:pPr>
        <w:spacing w:line="240" w:lineRule="auto"/>
        <w:jc w:val="both"/>
        <w:rPr>
          <w:rFonts w:ascii="Times New Roman" w:hAnsi="Times New Roman" w:cs="Times New Roman"/>
          <w:color w:val="FF0000"/>
          <w:sz w:val="24"/>
          <w:szCs w:val="24"/>
          <w:u w:val="single"/>
        </w:rPr>
      </w:pPr>
      <w:r w:rsidRPr="00360EE3">
        <w:rPr>
          <w:rFonts w:ascii="Times New Roman" w:hAnsi="Times New Roman" w:cs="Times New Roman"/>
          <w:color w:val="FF0000"/>
          <w:sz w:val="24"/>
          <w:szCs w:val="24"/>
          <w:u w:val="single"/>
        </w:rPr>
        <w:t xml:space="preserve">Más allá de la desaceleración de las subidas de tipos, los economistas prevén que la Fed finalmente cambiará de rumbo en respuesta a un menor crecimiento e inflación. La mayoría </w:t>
      </w:r>
      <w:r w:rsidRPr="00360EE3">
        <w:rPr>
          <w:rFonts w:ascii="Times New Roman" w:hAnsi="Times New Roman" w:cs="Times New Roman"/>
          <w:color w:val="FF0000"/>
          <w:sz w:val="24"/>
          <w:szCs w:val="24"/>
          <w:u w:val="single"/>
        </w:rPr>
        <w:lastRenderedPageBreak/>
        <w:t>ve una pequeña reducción de la primera tasa en la segunda mitad de 2023, con recortes más grandes en 2024.</w:t>
      </w:r>
    </w:p>
    <w:p w:rsidR="00975CB3" w:rsidRPr="00571476" w:rsidRDefault="00975CB3" w:rsidP="00975CB3">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El BCE da inicio a “</w:t>
      </w:r>
      <w:r w:rsidRPr="00571476">
        <w:rPr>
          <w:rFonts w:ascii="Times New Roman" w:hAnsi="Times New Roman" w:cs="Times New Roman"/>
          <w:sz w:val="24"/>
          <w:szCs w:val="24"/>
          <w:u w:val="single"/>
        </w:rPr>
        <w:t xml:space="preserve">una subida </w:t>
      </w:r>
      <w:r>
        <w:rPr>
          <w:rFonts w:ascii="Times New Roman" w:hAnsi="Times New Roman" w:cs="Times New Roman"/>
          <w:sz w:val="24"/>
          <w:szCs w:val="24"/>
          <w:u w:val="single"/>
        </w:rPr>
        <w:t>de tipos por la puerta de atrás”</w:t>
      </w:r>
      <w:r w:rsidRPr="00571476">
        <w:rPr>
          <w:rFonts w:ascii="Times New Roman" w:hAnsi="Times New Roman" w:cs="Times New Roman"/>
          <w:sz w:val="24"/>
          <w:szCs w:val="24"/>
          <w:u w:val="single"/>
        </w:rPr>
        <w:t xml:space="preserve"> con el endurecimiento de las TLTRO</w:t>
      </w:r>
      <w:r>
        <w:rPr>
          <w:rFonts w:ascii="Times New Roman" w:hAnsi="Times New Roman" w:cs="Times New Roman"/>
          <w:sz w:val="24"/>
          <w:szCs w:val="24"/>
        </w:rPr>
        <w:t xml:space="preserve"> (El Economista - </w:t>
      </w:r>
      <w:r w:rsidRPr="00571476">
        <w:rPr>
          <w:rFonts w:ascii="Times New Roman" w:hAnsi="Times New Roman" w:cs="Times New Roman"/>
          <w:b/>
          <w:sz w:val="24"/>
          <w:szCs w:val="24"/>
        </w:rPr>
        <w:t>28/10/22</w:t>
      </w:r>
      <w:r>
        <w:rPr>
          <w:rFonts w:ascii="Times New Roman" w:hAnsi="Times New Roman" w:cs="Times New Roman"/>
          <w:sz w:val="24"/>
          <w:szCs w:val="24"/>
        </w:rPr>
        <w:t>)</w:t>
      </w:r>
    </w:p>
    <w:p w:rsidR="00975CB3" w:rsidRPr="00360EE3" w:rsidRDefault="00975CB3" w:rsidP="00975CB3">
      <w:pPr>
        <w:spacing w:line="240" w:lineRule="auto"/>
        <w:jc w:val="both"/>
        <w:rPr>
          <w:rFonts w:ascii="Times New Roman" w:hAnsi="Times New Roman" w:cs="Times New Roman"/>
          <w:color w:val="FF0000"/>
          <w:sz w:val="24"/>
          <w:szCs w:val="24"/>
          <w:u w:val="single"/>
        </w:rPr>
      </w:pPr>
      <w:r w:rsidRPr="00360EE3">
        <w:rPr>
          <w:rFonts w:ascii="Times New Roman" w:hAnsi="Times New Roman" w:cs="Times New Roman"/>
          <w:color w:val="FF0000"/>
          <w:sz w:val="24"/>
          <w:szCs w:val="24"/>
          <w:u w:val="single"/>
        </w:rPr>
        <w:t>El Banco Central Europeo (BCE) elevó el precio del dinero en 75 puntos básicos este jueves. Este fue el movimiento más sonado de la reunión, pero no el único. El BCE también anunció pequeños cambios en las TLTROs (subastas de largo plazo a las que la banca acudió de forma masiva durante la crisis del covid). Estas sutiles modificaciones serán suficientes para poner fin a los beneficios caídos del cielo que estaba obteniendo el sector bancario con este dinero que en su día pidió prestado al BCE. Además, este m</w:t>
      </w:r>
      <w:r>
        <w:rPr>
          <w:rFonts w:ascii="Times New Roman" w:hAnsi="Times New Roman" w:cs="Times New Roman"/>
          <w:color w:val="FF0000"/>
          <w:sz w:val="24"/>
          <w:szCs w:val="24"/>
          <w:u w:val="single"/>
        </w:rPr>
        <w:t>ovimiento puede funcionar como “</w:t>
      </w:r>
      <w:r w:rsidRPr="00360EE3">
        <w:rPr>
          <w:rFonts w:ascii="Times New Roman" w:hAnsi="Times New Roman" w:cs="Times New Roman"/>
          <w:color w:val="FF0000"/>
          <w:sz w:val="24"/>
          <w:szCs w:val="24"/>
          <w:u w:val="single"/>
        </w:rPr>
        <w:t xml:space="preserve">una subida </w:t>
      </w:r>
      <w:r>
        <w:rPr>
          <w:rFonts w:ascii="Times New Roman" w:hAnsi="Times New Roman" w:cs="Times New Roman"/>
          <w:color w:val="FF0000"/>
          <w:sz w:val="24"/>
          <w:szCs w:val="24"/>
          <w:u w:val="single"/>
        </w:rPr>
        <w:t>de tipos por la puerta de atrás”</w:t>
      </w:r>
      <w:r w:rsidRPr="00360EE3">
        <w:rPr>
          <w:rFonts w:ascii="Times New Roman" w:hAnsi="Times New Roman" w:cs="Times New Roman"/>
          <w:color w:val="FF0000"/>
          <w:sz w:val="24"/>
          <w:szCs w:val="24"/>
          <w:u w:val="single"/>
        </w:rPr>
        <w:t>, según los analistas de la firma financiera Berenberg. Una menor liquidez frente a una demanda constante puede desembocar en un tipo de interés superior en el mercado monetario, que a la postre es el que tienen los bancos de referencia para sus operaciones.</w:t>
      </w:r>
    </w:p>
    <w:p w:rsidR="00975CB3" w:rsidRPr="00360EE3" w:rsidRDefault="00975CB3" w:rsidP="00975CB3">
      <w:pPr>
        <w:spacing w:line="240" w:lineRule="auto"/>
        <w:jc w:val="both"/>
        <w:rPr>
          <w:rFonts w:ascii="Times New Roman" w:hAnsi="Times New Roman" w:cs="Times New Roman"/>
          <w:color w:val="FF0000"/>
          <w:sz w:val="24"/>
          <w:szCs w:val="24"/>
          <w:u w:val="single"/>
        </w:rPr>
      </w:pPr>
      <w:r w:rsidRPr="00571476">
        <w:rPr>
          <w:rFonts w:ascii="Times New Roman" w:hAnsi="Times New Roman" w:cs="Times New Roman"/>
          <w:sz w:val="24"/>
          <w:szCs w:val="24"/>
        </w:rPr>
        <w:t xml:space="preserve">Con estos cambios, la banca se apresurará a devolver la liquidez de las TLTRO al banco central en las próximas semanas, lo que dará inicio a la reducción del balance  del BCE (también se reduce la liquidez) sin la necesidad de disminuir la cantidad de bonos adquiridos en los programas de compra (QE). </w:t>
      </w:r>
      <w:r w:rsidRPr="00360EE3">
        <w:rPr>
          <w:rFonts w:ascii="Times New Roman" w:hAnsi="Times New Roman" w:cs="Times New Roman"/>
          <w:color w:val="FF0000"/>
          <w:sz w:val="24"/>
          <w:szCs w:val="24"/>
          <w:u w:val="single"/>
        </w:rPr>
        <w:t>Este drenaje de liquidez tensará algo el mercado monetario, unos de los objetivos velados del BCE para intentar enfriar la demanda (endurecer las condiciones financieras).</w:t>
      </w:r>
    </w:p>
    <w:p w:rsidR="00975CB3" w:rsidRDefault="00C556E9" w:rsidP="00975CB3">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975CB3" w:rsidRPr="00E40F09">
        <w:rPr>
          <w:rFonts w:ascii="Times New Roman" w:hAnsi="Times New Roman" w:cs="Times New Roman"/>
          <w:noProof/>
          <w:sz w:val="24"/>
          <w:szCs w:val="24"/>
          <w:lang w:eastAsia="es-ES"/>
        </w:rPr>
        <w:drawing>
          <wp:inline distT="0" distB="0" distL="0" distR="0" wp14:anchorId="2C62D3ED" wp14:editId="6668E8C3">
            <wp:extent cx="2946400" cy="4781550"/>
            <wp:effectExtent l="0" t="0" r="6350" b="0"/>
            <wp:docPr id="83" name="Imagen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4"/>
                    <a:stretch>
                      <a:fillRect/>
                    </a:stretch>
                  </pic:blipFill>
                  <pic:spPr>
                    <a:xfrm>
                      <a:off x="0" y="0"/>
                      <a:ext cx="2946400" cy="4781550"/>
                    </a:xfrm>
                    <a:prstGeom prst="rect">
                      <a:avLst/>
                    </a:prstGeom>
                  </pic:spPr>
                </pic:pic>
              </a:graphicData>
            </a:graphic>
          </wp:inline>
        </w:drawing>
      </w:r>
      <w:r w:rsidRPr="00E40F09">
        <w:rPr>
          <w:rFonts w:ascii="Times New Roman" w:hAnsi="Times New Roman" w:cs="Times New Roman"/>
          <w:noProof/>
          <w:sz w:val="24"/>
          <w:szCs w:val="24"/>
          <w:lang w:eastAsia="es-ES"/>
        </w:rPr>
        <w:drawing>
          <wp:inline distT="0" distB="0" distL="0" distR="0" wp14:anchorId="396D10BC" wp14:editId="2827E041">
            <wp:extent cx="2686049" cy="3600450"/>
            <wp:effectExtent l="0" t="0" r="635" b="0"/>
            <wp:docPr id="84" name="Imagen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5"/>
                    <a:stretch>
                      <a:fillRect/>
                    </a:stretch>
                  </pic:blipFill>
                  <pic:spPr>
                    <a:xfrm>
                      <a:off x="0" y="0"/>
                      <a:ext cx="2688815" cy="3604158"/>
                    </a:xfrm>
                    <a:prstGeom prst="rect">
                      <a:avLst/>
                    </a:prstGeom>
                  </pic:spPr>
                </pic:pic>
              </a:graphicData>
            </a:graphic>
          </wp:inline>
        </w:drawing>
      </w:r>
    </w:p>
    <w:p w:rsidR="00C556E9" w:rsidRDefault="00C556E9" w:rsidP="00975CB3">
      <w:pPr>
        <w:spacing w:line="240" w:lineRule="auto"/>
        <w:jc w:val="both"/>
        <w:rPr>
          <w:rFonts w:ascii="Times New Roman" w:hAnsi="Times New Roman" w:cs="Times New Roman"/>
          <w:color w:val="FF0000"/>
          <w:sz w:val="24"/>
          <w:szCs w:val="24"/>
          <w:u w:val="single"/>
        </w:rPr>
      </w:pPr>
      <w:r w:rsidRPr="00360EE3">
        <w:rPr>
          <w:rFonts w:ascii="Times New Roman" w:hAnsi="Times New Roman" w:cs="Times New Roman"/>
          <w:color w:val="FF0000"/>
          <w:sz w:val="24"/>
          <w:szCs w:val="24"/>
          <w:u w:val="single"/>
        </w:rPr>
        <w:lastRenderedPageBreak/>
        <w:t>El activo del balance del BCE revela que la institución monetaria tiene prestado a las entidades bancarias unos 2,2 bi</w:t>
      </w:r>
      <w:r>
        <w:rPr>
          <w:rFonts w:ascii="Times New Roman" w:hAnsi="Times New Roman" w:cs="Times New Roman"/>
          <w:color w:val="FF0000"/>
          <w:sz w:val="24"/>
          <w:szCs w:val="24"/>
          <w:u w:val="single"/>
        </w:rPr>
        <w:t>llones de euros en concepto de “</w:t>
      </w:r>
      <w:r w:rsidRPr="00360EE3">
        <w:rPr>
          <w:rFonts w:ascii="Times New Roman" w:hAnsi="Times New Roman" w:cs="Times New Roman"/>
          <w:color w:val="FF0000"/>
          <w:sz w:val="24"/>
          <w:szCs w:val="24"/>
          <w:u w:val="single"/>
        </w:rPr>
        <w:t>préstamos a entidades de crédito de la zona del euro relacionados con operaciones de política</w:t>
      </w:r>
      <w:r>
        <w:rPr>
          <w:rFonts w:ascii="Times New Roman" w:hAnsi="Times New Roman" w:cs="Times New Roman"/>
          <w:color w:val="FF0000"/>
          <w:sz w:val="24"/>
          <w:szCs w:val="24"/>
          <w:u w:val="single"/>
        </w:rPr>
        <w:t xml:space="preserve"> monetaria denominados en euros”</w:t>
      </w:r>
      <w:r w:rsidRPr="00360EE3">
        <w:rPr>
          <w:rFonts w:ascii="Times New Roman" w:hAnsi="Times New Roman" w:cs="Times New Roman"/>
          <w:color w:val="FF0000"/>
          <w:sz w:val="24"/>
          <w:szCs w:val="24"/>
          <w:u w:val="single"/>
        </w:rPr>
        <w:t>. Esto, en casi su completa totalidad, corresponde a las TLTRO III, unas subastas de liquidez a largo plazo (varios años) por las que la banca pedía dinero al banco central a cambio de entregar un colateral y a cambio podía recibir hasta un 1% de interés si usaba esa liquidez para incrementar el crédito a familias y empresas. Así era el mundo al revés de los tipos negativos: bancos recibiendo dinero por pedir prestado al BCE y pagando tipos negativos por dejar el dinero aparcado en el banco central.</w:t>
      </w:r>
    </w:p>
    <w:p w:rsidR="00975CB3" w:rsidRPr="00C556E9" w:rsidRDefault="00975CB3" w:rsidP="00975CB3">
      <w:pPr>
        <w:spacing w:line="240" w:lineRule="auto"/>
        <w:jc w:val="both"/>
        <w:rPr>
          <w:rFonts w:ascii="Times New Roman" w:hAnsi="Times New Roman" w:cs="Times New Roman"/>
          <w:color w:val="FF0000"/>
          <w:sz w:val="24"/>
          <w:szCs w:val="24"/>
        </w:rPr>
      </w:pPr>
      <w:r w:rsidRPr="00360EE3">
        <w:rPr>
          <w:rFonts w:ascii="Times New Roman" w:hAnsi="Times New Roman" w:cs="Times New Roman"/>
          <w:color w:val="FF0000"/>
          <w:sz w:val="24"/>
          <w:szCs w:val="24"/>
          <w:u w:val="single"/>
        </w:rPr>
        <w:t>Ahora, tal y como decía el banco central en su comunicado de este jueves, la situación se ha revertido de forma drástica con la vuelta de la inflación y las TLTRO no solo han perdido el sentido, sino que pueden poner en peligro el objetivo del BCE: devolver la inflación al 2% lo antes posible. Con el cambio de condiciones, la banca devolverá buena parte de esa liquidez provocando un primer d</w:t>
      </w:r>
      <w:r w:rsidR="00C556E9">
        <w:rPr>
          <w:rFonts w:ascii="Times New Roman" w:hAnsi="Times New Roman" w:cs="Times New Roman"/>
          <w:color w:val="FF0000"/>
          <w:sz w:val="24"/>
          <w:szCs w:val="24"/>
          <w:u w:val="single"/>
        </w:rPr>
        <w:t>escenso en el balance del BCE: “</w:t>
      </w:r>
      <w:r w:rsidRPr="00360EE3">
        <w:rPr>
          <w:rFonts w:ascii="Times New Roman" w:hAnsi="Times New Roman" w:cs="Times New Roman"/>
          <w:color w:val="FF0000"/>
          <w:sz w:val="24"/>
          <w:szCs w:val="24"/>
          <w:u w:val="single"/>
        </w:rPr>
        <w:t>Esto puede dar pistas al BCE de cómo reaccionará el mercado an</w:t>
      </w:r>
      <w:r w:rsidR="00C556E9">
        <w:rPr>
          <w:rFonts w:ascii="Times New Roman" w:hAnsi="Times New Roman" w:cs="Times New Roman"/>
          <w:color w:val="FF0000"/>
          <w:sz w:val="24"/>
          <w:szCs w:val="24"/>
          <w:u w:val="single"/>
        </w:rPr>
        <w:t>te una reducción de la liquidez”</w:t>
      </w:r>
      <w:r w:rsidRPr="00360EE3">
        <w:rPr>
          <w:rFonts w:ascii="Times New Roman" w:hAnsi="Times New Roman" w:cs="Times New Roman"/>
          <w:color w:val="FF0000"/>
          <w:sz w:val="24"/>
          <w:szCs w:val="24"/>
          <w:u w:val="single"/>
        </w:rPr>
        <w:t>, aseguran los expe</w:t>
      </w:r>
      <w:r w:rsidR="001D02F7">
        <w:rPr>
          <w:rFonts w:ascii="Times New Roman" w:hAnsi="Times New Roman" w:cs="Times New Roman"/>
          <w:color w:val="FF0000"/>
          <w:sz w:val="24"/>
          <w:szCs w:val="24"/>
          <w:u w:val="single"/>
        </w:rPr>
        <w:t>rtos de Société Géné</w:t>
      </w:r>
      <w:r w:rsidR="00C556E9">
        <w:rPr>
          <w:rFonts w:ascii="Times New Roman" w:hAnsi="Times New Roman" w:cs="Times New Roman"/>
          <w:color w:val="FF0000"/>
          <w:sz w:val="24"/>
          <w:szCs w:val="24"/>
          <w:u w:val="single"/>
        </w:rPr>
        <w:t>rale en una nota para clientes</w:t>
      </w:r>
      <w:r w:rsidR="00C556E9">
        <w:rPr>
          <w:rFonts w:ascii="Times New Roman" w:hAnsi="Times New Roman" w:cs="Times New Roman"/>
          <w:color w:val="FF0000"/>
          <w:sz w:val="24"/>
          <w:szCs w:val="24"/>
        </w:rPr>
        <w:t>…</w:t>
      </w:r>
    </w:p>
    <w:p w:rsidR="00975CB3" w:rsidRPr="00571476" w:rsidRDefault="00975CB3" w:rsidP="00975CB3">
      <w:pPr>
        <w:spacing w:line="240" w:lineRule="auto"/>
        <w:jc w:val="both"/>
        <w:rPr>
          <w:rFonts w:ascii="Times New Roman" w:hAnsi="Times New Roman" w:cs="Times New Roman"/>
          <w:sz w:val="24"/>
          <w:szCs w:val="24"/>
        </w:rPr>
      </w:pPr>
      <w:r w:rsidRPr="00571476">
        <w:rPr>
          <w:rFonts w:ascii="Times New Roman" w:hAnsi="Times New Roman" w:cs="Times New Roman"/>
          <w:sz w:val="24"/>
          <w:szCs w:val="24"/>
        </w:rPr>
        <w:t>Aunque no se comentase apenas, este cambio supone el principio de la reducción del balance. Los economistas de la firma Berenberg comentan que tras la publicación de la</w:t>
      </w:r>
      <w:r w:rsidR="00C556E9">
        <w:rPr>
          <w:rFonts w:ascii="Times New Roman" w:hAnsi="Times New Roman" w:cs="Times New Roman"/>
          <w:sz w:val="24"/>
          <w:szCs w:val="24"/>
        </w:rPr>
        <w:t xml:space="preserve"> nota técnica sobre las TLTRO, “</w:t>
      </w:r>
      <w:r w:rsidRPr="00571476">
        <w:rPr>
          <w:rFonts w:ascii="Times New Roman" w:hAnsi="Times New Roman" w:cs="Times New Roman"/>
          <w:sz w:val="24"/>
          <w:szCs w:val="24"/>
        </w:rPr>
        <w:t>el BCE inició el proceso de reducción de su balance. Eso debería incentivar a los bancos a devolver al BCE antes algunos de los fondos y así reducir el exceso de liquidez en el sistema. Con el tiempo, esto podría convertirse en un aumento de los tipos por la puerta de atrás al elevar los tipos del mercado monetario desde la tasa de depósito actual (ahora 1,5%) a la tasa de refina</w:t>
      </w:r>
      <w:r w:rsidR="00C556E9">
        <w:rPr>
          <w:rFonts w:ascii="Times New Roman" w:hAnsi="Times New Roman" w:cs="Times New Roman"/>
          <w:sz w:val="24"/>
          <w:szCs w:val="24"/>
        </w:rPr>
        <w:t>nciación principal (ahora 2%)”</w:t>
      </w:r>
      <w:r>
        <w:rPr>
          <w:rFonts w:ascii="Times New Roman" w:hAnsi="Times New Roman" w:cs="Times New Roman"/>
          <w:sz w:val="24"/>
          <w:szCs w:val="24"/>
        </w:rPr>
        <w:t>.</w:t>
      </w:r>
    </w:p>
    <w:p w:rsidR="00975CB3" w:rsidRPr="00571476" w:rsidRDefault="00975CB3" w:rsidP="00975CB3">
      <w:pPr>
        <w:spacing w:line="240" w:lineRule="auto"/>
        <w:jc w:val="both"/>
        <w:rPr>
          <w:rFonts w:ascii="Times New Roman" w:hAnsi="Times New Roman" w:cs="Times New Roman"/>
          <w:sz w:val="24"/>
          <w:szCs w:val="24"/>
        </w:rPr>
      </w:pPr>
      <w:r w:rsidRPr="00571476">
        <w:rPr>
          <w:rFonts w:ascii="Times New Roman" w:hAnsi="Times New Roman" w:cs="Times New Roman"/>
          <w:sz w:val="24"/>
          <w:szCs w:val="24"/>
        </w:rPr>
        <w:t xml:space="preserve">La liquidez se podría reducir sobremanera si los bancos terminan devolviendo buena parte de las TLTRO. Una menor oferta (liquidez) y una demanda constante, sin duda, </w:t>
      </w:r>
      <w:r w:rsidR="00C556E9" w:rsidRPr="00571476">
        <w:rPr>
          <w:rFonts w:ascii="Times New Roman" w:hAnsi="Times New Roman" w:cs="Times New Roman"/>
          <w:sz w:val="24"/>
          <w:szCs w:val="24"/>
        </w:rPr>
        <w:t>desembocarían</w:t>
      </w:r>
      <w:r w:rsidRPr="00571476">
        <w:rPr>
          <w:rFonts w:ascii="Times New Roman" w:hAnsi="Times New Roman" w:cs="Times New Roman"/>
          <w:sz w:val="24"/>
          <w:szCs w:val="24"/>
        </w:rPr>
        <w:t xml:space="preserve"> en un precio mayor, en este caso reflejado en unos tipos de interés más elevados en el mercado monetario.</w:t>
      </w:r>
    </w:p>
    <w:p w:rsidR="00975CB3" w:rsidRDefault="00975CB3" w:rsidP="00975CB3">
      <w:pPr>
        <w:spacing w:line="240" w:lineRule="auto"/>
        <w:jc w:val="both"/>
        <w:rPr>
          <w:rFonts w:ascii="Times New Roman" w:hAnsi="Times New Roman" w:cs="Times New Roman"/>
          <w:sz w:val="24"/>
          <w:szCs w:val="24"/>
        </w:rPr>
      </w:pPr>
      <w:r w:rsidRPr="00571476">
        <w:rPr>
          <w:rFonts w:ascii="Times New Roman" w:hAnsi="Times New Roman" w:cs="Times New Roman"/>
          <w:sz w:val="24"/>
          <w:szCs w:val="24"/>
        </w:rPr>
        <w:t>Desde Nomura creen que esto no</w:t>
      </w:r>
      <w:r w:rsidR="00C556E9">
        <w:rPr>
          <w:rFonts w:ascii="Times New Roman" w:hAnsi="Times New Roman" w:cs="Times New Roman"/>
          <w:sz w:val="24"/>
          <w:szCs w:val="24"/>
        </w:rPr>
        <w:t xml:space="preserve"> va a ser una cuestión baladí. “</w:t>
      </w:r>
      <w:r w:rsidRPr="00571476">
        <w:rPr>
          <w:rFonts w:ascii="Times New Roman" w:hAnsi="Times New Roman" w:cs="Times New Roman"/>
          <w:sz w:val="24"/>
          <w:szCs w:val="24"/>
        </w:rPr>
        <w:t>No se puede subestimar cómo el cambio en la remuneración de las TLTRO y la presión a los bancos para devolver anticipadamente los saldos de las TLTRO endurecerán la postura de la política monetaria. Las TLTRO representan una gran parte del balance de la política monetaria del BCE, aproximadamente el 30%. Este endurecimiento, junto con el QT esperado a partir del segundo trimestre de 2023, amplificará aún más la postura de la política monetaria y, en última instancia, puede proporcionar al BCE una base para detener an</w:t>
      </w:r>
      <w:r w:rsidR="00C556E9">
        <w:rPr>
          <w:rFonts w:ascii="Times New Roman" w:hAnsi="Times New Roman" w:cs="Times New Roman"/>
          <w:sz w:val="24"/>
          <w:szCs w:val="24"/>
        </w:rPr>
        <w:t>tes el ciclo de subida de tipos”</w:t>
      </w:r>
      <w:r w:rsidRPr="00571476">
        <w:rPr>
          <w:rFonts w:ascii="Times New Roman" w:hAnsi="Times New Roman" w:cs="Times New Roman"/>
          <w:sz w:val="24"/>
          <w:szCs w:val="24"/>
        </w:rPr>
        <w:t>.</w:t>
      </w:r>
    </w:p>
    <w:p w:rsidR="00C556E9" w:rsidRDefault="00C556E9" w:rsidP="00C556E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600748">
        <w:rPr>
          <w:rFonts w:ascii="Times New Roman" w:hAnsi="Times New Roman" w:cs="Times New Roman"/>
          <w:sz w:val="24"/>
          <w:szCs w:val="24"/>
          <w:u w:val="single"/>
        </w:rPr>
        <w:t>Las 10 grandes tecnológicas pierden 3,9 billones de capitalización en un año</w:t>
      </w:r>
      <w:r>
        <w:rPr>
          <w:rFonts w:ascii="Times New Roman" w:hAnsi="Times New Roman" w:cs="Times New Roman"/>
          <w:sz w:val="24"/>
          <w:szCs w:val="24"/>
        </w:rPr>
        <w:t xml:space="preserve"> (El Economista - </w:t>
      </w:r>
      <w:r w:rsidRPr="00600748">
        <w:rPr>
          <w:rFonts w:ascii="Times New Roman" w:hAnsi="Times New Roman" w:cs="Times New Roman"/>
          <w:b/>
          <w:sz w:val="24"/>
          <w:szCs w:val="24"/>
        </w:rPr>
        <w:t>30/10/22</w:t>
      </w:r>
      <w:r>
        <w:rPr>
          <w:rFonts w:ascii="Times New Roman" w:hAnsi="Times New Roman" w:cs="Times New Roman"/>
          <w:sz w:val="24"/>
          <w:szCs w:val="24"/>
        </w:rPr>
        <w:t>)</w:t>
      </w:r>
    </w:p>
    <w:p w:rsidR="00C556E9" w:rsidRPr="00360EE3" w:rsidRDefault="00C556E9" w:rsidP="00C556E9">
      <w:pPr>
        <w:spacing w:line="240" w:lineRule="auto"/>
        <w:jc w:val="both"/>
        <w:rPr>
          <w:rFonts w:ascii="Times New Roman" w:hAnsi="Times New Roman" w:cs="Times New Roman"/>
          <w:color w:val="FF0000"/>
          <w:sz w:val="24"/>
          <w:szCs w:val="24"/>
          <w:u w:val="single"/>
        </w:rPr>
      </w:pPr>
      <w:r w:rsidRPr="00360EE3">
        <w:rPr>
          <w:rFonts w:ascii="Times New Roman" w:hAnsi="Times New Roman" w:cs="Times New Roman"/>
          <w:color w:val="FF0000"/>
          <w:sz w:val="24"/>
          <w:szCs w:val="24"/>
          <w:u w:val="single"/>
        </w:rPr>
        <w:t>Las grandes tecnológicas han dominado las bolsas de todo el mundo en las últimas décadas. El panorama dominado previamente por compañías energéticas como Exxon, firmas de consumo como Walmart, por conglomerados como General Electric o por bancos como Citi han dado paso a las empresas dedicadas a servicios por internet (redes sociales, vídeo en streaming, compra online) o que proporcionan la tecnología para ello (ordenadores, dispositivos móviles). Pero los últimos 12 meses no han sido precisamente su mejor época, con caídas que superan a los principales índices bursátiles, pese a que estas afectadas son, a su vez, las que tienen un mayor peso en los selectivos.</w:t>
      </w:r>
    </w:p>
    <w:p w:rsidR="00C556E9" w:rsidRPr="00360EE3" w:rsidRDefault="00C556E9" w:rsidP="00C556E9">
      <w:pPr>
        <w:spacing w:line="240" w:lineRule="auto"/>
        <w:jc w:val="both"/>
        <w:rPr>
          <w:rFonts w:ascii="Times New Roman" w:hAnsi="Times New Roman" w:cs="Times New Roman"/>
          <w:color w:val="FF0000"/>
          <w:sz w:val="24"/>
          <w:szCs w:val="24"/>
          <w:u w:val="single"/>
        </w:rPr>
      </w:pPr>
      <w:r w:rsidRPr="00360EE3">
        <w:rPr>
          <w:rFonts w:ascii="Times New Roman" w:hAnsi="Times New Roman" w:cs="Times New Roman"/>
          <w:color w:val="FF0000"/>
          <w:sz w:val="24"/>
          <w:szCs w:val="24"/>
          <w:u w:val="single"/>
        </w:rPr>
        <w:lastRenderedPageBreak/>
        <w:t>Si seleccionamos las diez compañías de mayor capitalización actual que podemos integrar dentro del sector tecnológico, los datos son escalofriantes: han perdido más de 3,9 billones de capitalización en el último año, una cifra cercana al PIB de Alemania o similar a la suma de Italia y Corea del Sur. Se trata de la suma de las caídas de Apple, Microsoft, Alphabet, Amazon, Tesla, Meta, Tencent, Alibaba, Netflix y PayPal.</w:t>
      </w:r>
    </w:p>
    <w:p w:rsidR="00C556E9" w:rsidRDefault="00C556E9" w:rsidP="00C556E9">
      <w:pPr>
        <w:spacing w:line="240" w:lineRule="auto"/>
        <w:jc w:val="both"/>
        <w:rPr>
          <w:rFonts w:ascii="Times New Roman" w:hAnsi="Times New Roman" w:cs="Times New Roman"/>
          <w:sz w:val="24"/>
          <w:szCs w:val="24"/>
        </w:rPr>
      </w:pPr>
      <w:r w:rsidRPr="007E49C2">
        <w:rPr>
          <w:rFonts w:ascii="Times New Roman" w:hAnsi="Times New Roman" w:cs="Times New Roman"/>
          <w:sz w:val="24"/>
          <w:szCs w:val="24"/>
        </w:rPr>
        <w:t>Tomando las capitalizaciones bursátiles al cierre del pasado viernes comparadas con las del 28 de octubre de 2021, las diez firmas mencionadas han retrocedido de media un 44,5% en su valor bursátil, siendo Apple la única que ha crecido en este cómputo. En el lado contrario, Meta se deja un 68% de su valor, lo que ha supuesto un duro golpe para la fortuna de su conse</w:t>
      </w:r>
      <w:r>
        <w:rPr>
          <w:rFonts w:ascii="Times New Roman" w:hAnsi="Times New Roman" w:cs="Times New Roman"/>
          <w:sz w:val="24"/>
          <w:szCs w:val="24"/>
        </w:rPr>
        <w:t>jero delegado, Mark Zuckerberg.</w:t>
      </w:r>
    </w:p>
    <w:p w:rsidR="00C556E9" w:rsidRPr="007E49C2" w:rsidRDefault="00C556E9" w:rsidP="00C556E9">
      <w:pPr>
        <w:spacing w:line="240" w:lineRule="auto"/>
        <w:jc w:val="both"/>
        <w:rPr>
          <w:rFonts w:ascii="Times New Roman" w:hAnsi="Times New Roman" w:cs="Times New Roman"/>
          <w:sz w:val="24"/>
          <w:szCs w:val="24"/>
        </w:rPr>
      </w:pPr>
      <w:r w:rsidRPr="00600748">
        <w:rPr>
          <w:rFonts w:ascii="Times New Roman" w:hAnsi="Times New Roman" w:cs="Times New Roman"/>
          <w:noProof/>
          <w:sz w:val="24"/>
          <w:szCs w:val="24"/>
          <w:lang w:eastAsia="es-ES"/>
        </w:rPr>
        <w:drawing>
          <wp:inline distT="0" distB="0" distL="0" distR="0" wp14:anchorId="441AF5D5" wp14:editId="5955D50D">
            <wp:extent cx="5435600" cy="5168900"/>
            <wp:effectExtent l="0" t="0" r="0" b="0"/>
            <wp:docPr id="88" name="Imagen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
                    <a:stretch>
                      <a:fillRect/>
                    </a:stretch>
                  </pic:blipFill>
                  <pic:spPr>
                    <a:xfrm>
                      <a:off x="0" y="0"/>
                      <a:ext cx="5439535" cy="5172642"/>
                    </a:xfrm>
                    <a:prstGeom prst="rect">
                      <a:avLst/>
                    </a:prstGeom>
                  </pic:spPr>
                </pic:pic>
              </a:graphicData>
            </a:graphic>
          </wp:inline>
        </w:drawing>
      </w:r>
    </w:p>
    <w:p w:rsidR="00C556E9" w:rsidRDefault="00C556E9" w:rsidP="00C556E9">
      <w:pPr>
        <w:spacing w:line="240" w:lineRule="auto"/>
        <w:jc w:val="both"/>
        <w:rPr>
          <w:rFonts w:ascii="Times New Roman" w:hAnsi="Times New Roman" w:cs="Times New Roman"/>
          <w:sz w:val="24"/>
          <w:szCs w:val="24"/>
        </w:rPr>
      </w:pPr>
      <w:r w:rsidRPr="007E49C2">
        <w:rPr>
          <w:rFonts w:ascii="Times New Roman" w:hAnsi="Times New Roman" w:cs="Times New Roman"/>
          <w:sz w:val="24"/>
          <w:szCs w:val="24"/>
        </w:rPr>
        <w:t>De las diez listadas, ocho son compañías estadounidenses y dos chinas (Tencent y Alibaba), pero la debacle no entiende de fronteras. La compañía fundada por Jack Ma se ha dejado un 62% de su capitalización de mercado en los últimos doce meses, mientras</w:t>
      </w:r>
      <w:r>
        <w:rPr>
          <w:rFonts w:ascii="Times New Roman" w:hAnsi="Times New Roman" w:cs="Times New Roman"/>
          <w:sz w:val="24"/>
          <w:szCs w:val="24"/>
        </w:rPr>
        <w:t xml:space="preserve"> Tencent lo ha hecho en un 58%. </w:t>
      </w:r>
      <w:r w:rsidRPr="007E49C2">
        <w:rPr>
          <w:rFonts w:ascii="Times New Roman" w:hAnsi="Times New Roman" w:cs="Times New Roman"/>
          <w:sz w:val="24"/>
          <w:szCs w:val="24"/>
        </w:rPr>
        <w:t>A nivel nominal, Alphabet es la más perjudicada. La matriz de Google se ha dejado en el último año más de 640.000 millones de dólares (casi el PIB de Polonia), cifras no muy distantes de las de Microsoft, con un retroceso de 659.000 millones.</w:t>
      </w:r>
    </w:p>
    <w:p w:rsidR="00C556E9" w:rsidRPr="00911B9A" w:rsidRDefault="00C556E9" w:rsidP="00C556E9">
      <w:pPr>
        <w:pStyle w:val="Ttulo1"/>
        <w:spacing w:before="0" w:after="360" w:line="240" w:lineRule="auto"/>
        <w:jc w:val="both"/>
        <w:rPr>
          <w:rFonts w:ascii="Times New Roman" w:hAnsi="Times New Roman" w:cs="Times New Roman"/>
          <w:b w:val="0"/>
          <w:bCs w:val="0"/>
          <w:color w:val="auto"/>
          <w:sz w:val="24"/>
          <w:szCs w:val="24"/>
        </w:rPr>
      </w:pPr>
      <w:r>
        <w:rPr>
          <w:rFonts w:ascii="Times New Roman" w:hAnsi="Times New Roman" w:cs="Times New Roman"/>
          <w:b w:val="0"/>
          <w:bCs w:val="0"/>
          <w:color w:val="auto"/>
          <w:sz w:val="24"/>
          <w:szCs w:val="24"/>
        </w:rPr>
        <w:lastRenderedPageBreak/>
        <w:t xml:space="preserve">- </w:t>
      </w:r>
      <w:r w:rsidRPr="00911B9A">
        <w:rPr>
          <w:rFonts w:ascii="Times New Roman" w:hAnsi="Times New Roman" w:cs="Times New Roman"/>
          <w:b w:val="0"/>
          <w:bCs w:val="0"/>
          <w:color w:val="auto"/>
          <w:sz w:val="24"/>
          <w:szCs w:val="24"/>
          <w:u w:val="single"/>
        </w:rPr>
        <w:t>Una soga al cuello del BCE</w:t>
      </w:r>
      <w:r>
        <w:rPr>
          <w:rFonts w:ascii="Times New Roman" w:hAnsi="Times New Roman" w:cs="Times New Roman"/>
          <w:b w:val="0"/>
          <w:bCs w:val="0"/>
          <w:color w:val="auto"/>
          <w:sz w:val="24"/>
          <w:szCs w:val="24"/>
        </w:rPr>
        <w:t xml:space="preserve"> (El Confidencial - </w:t>
      </w:r>
      <w:r w:rsidRPr="00911B9A">
        <w:rPr>
          <w:rFonts w:ascii="Times New Roman" w:hAnsi="Times New Roman" w:cs="Times New Roman"/>
          <w:bCs w:val="0"/>
          <w:color w:val="auto"/>
          <w:sz w:val="24"/>
          <w:szCs w:val="24"/>
        </w:rPr>
        <w:t>30/10/22</w:t>
      </w:r>
      <w:r>
        <w:rPr>
          <w:rFonts w:ascii="Times New Roman" w:hAnsi="Times New Roman" w:cs="Times New Roman"/>
          <w:b w:val="0"/>
          <w:bCs w:val="0"/>
          <w:color w:val="auto"/>
          <w:sz w:val="24"/>
          <w:szCs w:val="24"/>
        </w:rPr>
        <w:t>)</w:t>
      </w:r>
    </w:p>
    <w:p w:rsidR="00C556E9" w:rsidRPr="00360EE3" w:rsidRDefault="00C556E9" w:rsidP="00C556E9">
      <w:pPr>
        <w:pStyle w:val="Ttulo2"/>
        <w:spacing w:before="0" w:line="240" w:lineRule="auto"/>
        <w:jc w:val="both"/>
        <w:rPr>
          <w:rFonts w:ascii="Times New Roman" w:hAnsi="Times New Roman" w:cs="Times New Roman"/>
          <w:b w:val="0"/>
          <w:bCs w:val="0"/>
          <w:color w:val="FF0000"/>
          <w:sz w:val="24"/>
          <w:szCs w:val="24"/>
        </w:rPr>
      </w:pPr>
      <w:r w:rsidRPr="00360EE3">
        <w:rPr>
          <w:rFonts w:ascii="Times New Roman" w:hAnsi="Times New Roman" w:cs="Times New Roman"/>
          <w:b w:val="0"/>
          <w:bCs w:val="0"/>
          <w:color w:val="FF0000"/>
          <w:sz w:val="24"/>
          <w:szCs w:val="24"/>
        </w:rPr>
        <w:t>La lucha velada entre modelos de gobernabilidad está condicionada por la abducción de bancos centrales por parte de gobiernos, un modelito propio de toda una época, cierto, pero que en Europa puede ser letal</w:t>
      </w:r>
    </w:p>
    <w:p w:rsidR="00C556E9" w:rsidRPr="00360EE3" w:rsidRDefault="00C556E9" w:rsidP="00C556E9">
      <w:pPr>
        <w:spacing w:line="240" w:lineRule="auto"/>
        <w:jc w:val="both"/>
        <w:rPr>
          <w:rFonts w:ascii="Times New Roman" w:hAnsi="Times New Roman" w:cs="Times New Roman"/>
          <w:color w:val="FF0000"/>
          <w:sz w:val="24"/>
          <w:szCs w:val="24"/>
        </w:rPr>
      </w:pPr>
    </w:p>
    <w:p w:rsidR="00C556E9" w:rsidRPr="00911B9A" w:rsidRDefault="00C556E9" w:rsidP="00C556E9">
      <w:pPr>
        <w:spacing w:line="240" w:lineRule="auto"/>
        <w:jc w:val="both"/>
        <w:rPr>
          <w:rFonts w:ascii="Times New Roman" w:hAnsi="Times New Roman" w:cs="Times New Roman"/>
          <w:sz w:val="24"/>
          <w:szCs w:val="24"/>
        </w:rPr>
      </w:pPr>
      <w:r w:rsidRPr="00911B9A">
        <w:rPr>
          <w:rFonts w:ascii="Times New Roman" w:hAnsi="Times New Roman" w:cs="Times New Roman"/>
          <w:sz w:val="24"/>
          <w:szCs w:val="24"/>
        </w:rPr>
        <w:t>(Por </w:t>
      </w:r>
      <w:hyperlink r:id="rId97" w:history="1">
        <w:r w:rsidRPr="00C556E9">
          <w:rPr>
            <w:rStyle w:val="Hipervnculo"/>
            <w:rFonts w:ascii="Times New Roman" w:hAnsi="Times New Roman" w:cs="Times New Roman"/>
            <w:color w:val="auto"/>
            <w:sz w:val="24"/>
            <w:szCs w:val="24"/>
            <w:u w:val="none"/>
          </w:rPr>
          <w:t>Fernando Primo de Rivera</w:t>
        </w:r>
      </w:hyperlink>
      <w:r w:rsidRPr="00911B9A">
        <w:rPr>
          <w:rFonts w:ascii="Times New Roman" w:hAnsi="Times New Roman" w:cs="Times New Roman"/>
          <w:sz w:val="24"/>
          <w:szCs w:val="24"/>
        </w:rPr>
        <w:t>)</w:t>
      </w:r>
    </w:p>
    <w:p w:rsidR="00C556E9" w:rsidRPr="00A776E8" w:rsidRDefault="00C556E9" w:rsidP="00C556E9">
      <w:pPr>
        <w:pStyle w:val="NormalWeb"/>
        <w:spacing w:before="0" w:beforeAutospacing="0" w:after="360" w:afterAutospacing="0"/>
        <w:jc w:val="both"/>
        <w:rPr>
          <w:u w:val="single"/>
        </w:rPr>
      </w:pPr>
      <w:r w:rsidRPr="00911B9A">
        <w:t xml:space="preserve">El panorama europeo está mucho más agitado de lo que ya cabe pensar con la guerra, la crisis energética, y la inflación que se come el poder adquisitivo. Entre bastidores está en la picota un modelo de gobernanza devenido técnicamente insostenible por los entresijos de la arquitectura euro, y un tira y afloja entre países. Coincidieron esta semana un par de eventos más ligados de lo que el típico boato institucional europeo sugiere. </w:t>
      </w:r>
      <w:r w:rsidRPr="00A776E8">
        <w:rPr>
          <w:u w:val="single"/>
        </w:rPr>
        <w:t>Reunión del</w:t>
      </w:r>
      <w:hyperlink r:id="rId98" w:tgtFrame="_blank" w:history="1">
        <w:r w:rsidRPr="00A776E8">
          <w:rPr>
            <w:rStyle w:val="Hipervnculo"/>
            <w:rFonts w:eastAsiaTheme="majorEastAsia"/>
          </w:rPr>
          <w:t> </w:t>
        </w:r>
        <w:r w:rsidRPr="00C556E9">
          <w:rPr>
            <w:rStyle w:val="Hipervnculo"/>
            <w:rFonts w:eastAsiaTheme="majorEastAsia"/>
            <w:color w:val="auto"/>
          </w:rPr>
          <w:t>BCE</w:t>
        </w:r>
      </w:hyperlink>
      <w:r w:rsidRPr="00A776E8">
        <w:rPr>
          <w:u w:val="single"/>
        </w:rPr>
        <w:t> con subidas de tipos del 0.75%, y esperanza de que las caídas recientes en el precio de la energía redunden en menor inflación y menores subidas a futuro, aun con la subyacente a casi el 5%. Por supuesto, </w:t>
      </w:r>
      <w:r w:rsidRPr="00C556E9">
        <w:rPr>
          <w:rStyle w:val="Textoennegrita"/>
          <w:rFonts w:eastAsiaTheme="majorEastAsia"/>
          <w:b w:val="0"/>
          <w:u w:val="single"/>
        </w:rPr>
        <w:t>llegan tarde con objeto de no matar la recuperación, asistir presupuestos públicos y deflactar la deuda, como en EEUU</w:t>
      </w:r>
      <w:r w:rsidRPr="00A776E8">
        <w:rPr>
          <w:u w:val="single"/>
        </w:rPr>
        <w:t>. Sobre el mecanismo anti-fragmentación (TPI) y operaciones de balance: un paseo de puntillas. </w:t>
      </w:r>
    </w:p>
    <w:p w:rsidR="00C556E9" w:rsidRPr="00A776E8" w:rsidRDefault="00C556E9" w:rsidP="00C556E9">
      <w:pPr>
        <w:pStyle w:val="NormalWeb"/>
        <w:spacing w:before="0" w:beforeAutospacing="0" w:after="360" w:afterAutospacing="0"/>
        <w:jc w:val="both"/>
        <w:rPr>
          <w:u w:val="single"/>
        </w:rPr>
      </w:pPr>
      <w:r w:rsidRPr="00A776E8">
        <w:rPr>
          <w:u w:val="single"/>
        </w:rPr>
        <w:t>Del otro lado, del lado de la política: </w:t>
      </w:r>
      <w:r w:rsidRPr="00C556E9">
        <w:rPr>
          <w:rStyle w:val="Textoennegrita"/>
          <w:rFonts w:eastAsiaTheme="majorEastAsia"/>
          <w:b w:val="0"/>
          <w:u w:val="single"/>
        </w:rPr>
        <w:t>reunión bilateral a puerta cerrada entre</w:t>
      </w:r>
      <w:r>
        <w:rPr>
          <w:rStyle w:val="Textoennegrita"/>
          <w:rFonts w:eastAsiaTheme="majorEastAsia"/>
          <w:b w:val="0"/>
          <w:u w:val="single"/>
        </w:rPr>
        <w:t xml:space="preserve"> Macron y Scholz, para dirimir “desencuentros”</w:t>
      </w:r>
      <w:r w:rsidRPr="00C556E9">
        <w:rPr>
          <w:rStyle w:val="Textoennegrita"/>
          <w:rFonts w:eastAsiaTheme="majorEastAsia"/>
          <w:b w:val="0"/>
          <w:u w:val="single"/>
        </w:rPr>
        <w:t xml:space="preserve"> de los últimos meses</w:t>
      </w:r>
      <w:r>
        <w:rPr>
          <w:u w:val="single"/>
        </w:rPr>
        <w:t>. Alemania corre “</w:t>
      </w:r>
      <w:r w:rsidR="00354328">
        <w:rPr>
          <w:u w:val="single"/>
        </w:rPr>
        <w:t>el riesgo de aislarse”</w:t>
      </w:r>
      <w:r w:rsidRPr="00A776E8">
        <w:rPr>
          <w:u w:val="single"/>
        </w:rPr>
        <w:t>, llegó a remarcar recientemente el francés. La observación no es liviana en estos tiempos de agitación, con una </w:t>
      </w:r>
      <w:hyperlink r:id="rId99" w:tgtFrame="_self" w:history="1">
        <w:r w:rsidRPr="00C556E9">
          <w:rPr>
            <w:rStyle w:val="Hipervnculo"/>
            <w:rFonts w:eastAsiaTheme="majorEastAsia"/>
            <w:color w:val="auto"/>
          </w:rPr>
          <w:t>crisis energética</w:t>
        </w:r>
      </w:hyperlink>
      <w:r w:rsidRPr="00A776E8">
        <w:rPr>
          <w:u w:val="single"/>
        </w:rPr>
        <w:t> cuyo epicentro es precisamente el error estratégico con base en el país teutón. Y no solo hace referencia al plan fiscal unilateral para lidiar con los efectos de la crisis.</w:t>
      </w:r>
    </w:p>
    <w:p w:rsidR="00C556E9" w:rsidRPr="00354328" w:rsidRDefault="00C556E9" w:rsidP="00C556E9">
      <w:pPr>
        <w:pStyle w:val="NormalWeb"/>
        <w:spacing w:before="0" w:beforeAutospacing="0" w:after="360" w:afterAutospacing="0"/>
        <w:jc w:val="both"/>
        <w:rPr>
          <w:b/>
          <w:color w:val="FF0000"/>
          <w:u w:val="single"/>
        </w:rPr>
      </w:pPr>
      <w:r w:rsidRPr="00911B9A">
        <w:t>Leer entre líneas ambos eventos sugiere que las tensiones subyacentes son fuertes y afectan al corazón del proyecto de integración y modelo de gobernanza: que si inter-gubernamental, o que si un poco más federal.</w:t>
      </w:r>
      <w:r w:rsidRPr="00911B9A">
        <w:rPr>
          <w:rStyle w:val="Textoennegrita"/>
          <w:rFonts w:eastAsiaTheme="majorEastAsia"/>
        </w:rPr>
        <w:t> </w:t>
      </w:r>
      <w:r w:rsidRPr="00354328">
        <w:rPr>
          <w:rStyle w:val="Textoennegrita"/>
          <w:rFonts w:eastAsiaTheme="majorEastAsia"/>
          <w:b w:val="0"/>
        </w:rPr>
        <w:t>Un cruce de caminos que en esta época de bloques trasciende ya con mucho el guion de cigarras y hormigas propio de la última década</w:t>
      </w:r>
      <w:r w:rsidRPr="00354328">
        <w:rPr>
          <w:b/>
        </w:rPr>
        <w:t>.</w:t>
      </w:r>
      <w:r w:rsidRPr="00911B9A">
        <w:t xml:space="preserve"> </w:t>
      </w:r>
      <w:r w:rsidRPr="00604DF4">
        <w:rPr>
          <w:color w:val="FF0000"/>
          <w:u w:val="single"/>
        </w:rPr>
        <w:t>Al fin y al cabo, la lucha velada entre modelos de gobernabilidad está condicionada por la abducción de bancos centrales por parte de gobiernos, un modelito propio de toda una época, cierto, pero que </w:t>
      </w:r>
      <w:r w:rsidRPr="00354328">
        <w:rPr>
          <w:rStyle w:val="Textoennegrita"/>
          <w:rFonts w:eastAsiaTheme="majorEastAsia"/>
          <w:b w:val="0"/>
          <w:color w:val="FF0000"/>
          <w:u w:val="single"/>
        </w:rPr>
        <w:t>en Europa puede ser letal.</w:t>
      </w:r>
      <w:r w:rsidRPr="00354328">
        <w:rPr>
          <w:b/>
          <w:color w:val="FF0000"/>
          <w:u w:val="single"/>
        </w:rPr>
        <w:t> </w:t>
      </w:r>
    </w:p>
    <w:p w:rsidR="00C556E9" w:rsidRPr="00354328" w:rsidRDefault="00C556E9" w:rsidP="00C556E9">
      <w:pPr>
        <w:pStyle w:val="NormalWeb"/>
        <w:spacing w:before="0" w:beforeAutospacing="0" w:after="360" w:afterAutospacing="0"/>
        <w:jc w:val="both"/>
        <w:rPr>
          <w:b/>
        </w:rPr>
      </w:pPr>
      <w:r w:rsidRPr="00911B9A">
        <w:t xml:space="preserve">Todavía reverbera el impacto mediático y político de </w:t>
      </w:r>
      <w:r w:rsidRPr="00604DF4">
        <w:t>la </w:t>
      </w:r>
      <w:hyperlink r:id="rId100" w:tgtFrame="_self" w:history="1">
        <w:r w:rsidRPr="00354328">
          <w:rPr>
            <w:rStyle w:val="Hipervnculo"/>
            <w:rFonts w:eastAsiaTheme="majorEastAsia"/>
            <w:color w:val="auto"/>
            <w:u w:val="none"/>
          </w:rPr>
          <w:t>caída del gobierno en GB</w:t>
        </w:r>
      </w:hyperlink>
      <w:r w:rsidRPr="00911B9A">
        <w:t> con aquel presupuesto de delirio de la Sra. Tru</w:t>
      </w:r>
      <w:r w:rsidR="00354328">
        <w:t>ss que le costó el puesto. Los “mercados” -</w:t>
      </w:r>
      <w:r w:rsidRPr="00911B9A">
        <w:t>no esos señores de puro, sino todo el ahorro instit</w:t>
      </w:r>
      <w:r w:rsidR="00354328">
        <w:t>ucional diseminado por el mundo-</w:t>
      </w:r>
      <w:r w:rsidRPr="00911B9A">
        <w:t> </w:t>
      </w:r>
      <w:r w:rsidRPr="00354328">
        <w:rPr>
          <w:rStyle w:val="Textoennegrita"/>
          <w:rFonts w:eastAsiaTheme="majorEastAsia"/>
          <w:b w:val="0"/>
        </w:rPr>
        <w:t>castigaron la afrenta a un mínimo de integridad fiscal con desplomes de la deuda, la libra y la bolsa.</w:t>
      </w:r>
    </w:p>
    <w:p w:rsidR="00C556E9" w:rsidRPr="00354328" w:rsidRDefault="00C556E9" w:rsidP="00C556E9">
      <w:pPr>
        <w:pStyle w:val="Ttulo2"/>
        <w:spacing w:before="240" w:after="240"/>
        <w:jc w:val="both"/>
        <w:rPr>
          <w:rFonts w:ascii="Times New Roman" w:hAnsi="Times New Roman" w:cs="Times New Roman"/>
          <w:b w:val="0"/>
          <w:color w:val="auto"/>
          <w:sz w:val="24"/>
          <w:szCs w:val="24"/>
        </w:rPr>
      </w:pPr>
      <w:r w:rsidRPr="00354328">
        <w:rPr>
          <w:rFonts w:ascii="Times New Roman" w:hAnsi="Times New Roman" w:cs="Times New Roman"/>
          <w:b w:val="0"/>
          <w:color w:val="auto"/>
          <w:sz w:val="24"/>
          <w:szCs w:val="24"/>
        </w:rPr>
        <w:t>Recursos agotados</w:t>
      </w:r>
    </w:p>
    <w:p w:rsidR="00C556E9" w:rsidRPr="00604DF4" w:rsidRDefault="00C556E9" w:rsidP="00C556E9">
      <w:pPr>
        <w:pStyle w:val="NormalWeb"/>
        <w:spacing w:before="0" w:beforeAutospacing="0" w:after="360" w:afterAutospacing="0"/>
        <w:jc w:val="both"/>
        <w:rPr>
          <w:b/>
        </w:rPr>
      </w:pPr>
      <w:r w:rsidRPr="00604DF4">
        <w:rPr>
          <w:color w:val="FF0000"/>
          <w:u w:val="single"/>
        </w:rPr>
        <w:t>Lo que quiso hacer GB, financiar déficits fiscales sin penalización alguna, es algo que a fecha de hoy solo puede hacer EEUU. De hecho, es lo que ha venido haciendo sin recato la última década financiando y monetizando déficits con impresión de dinero por parte de la </w:t>
      </w:r>
      <w:hyperlink r:id="rId101" w:tgtFrame="_blank" w:history="1">
        <w:r w:rsidRPr="00604DF4">
          <w:rPr>
            <w:rStyle w:val="Hipervnculo"/>
            <w:rFonts w:eastAsiaTheme="majorEastAsia"/>
            <w:color w:val="FF0000"/>
          </w:rPr>
          <w:t>FED</w:t>
        </w:r>
      </w:hyperlink>
      <w:r w:rsidRPr="00604DF4">
        <w:rPr>
          <w:color w:val="FF0000"/>
          <w:u w:val="single"/>
        </w:rPr>
        <w:t> (2008-2020) cuando alargaron la intervención inicial necesaria, 10 años. Tanto se ha consumido el modelo que se han agotado los recursos de política económica, monetaria, balances de bancos centrales hinchados con compra de deuda pública, y fiscal, deudas soberanas en máximos históricos, y ahora pintan muy duras</w:t>
      </w:r>
      <w:r w:rsidRPr="009F5141">
        <w:rPr>
          <w:color w:val="FF0000"/>
        </w:rPr>
        <w:t>.</w:t>
      </w:r>
    </w:p>
    <w:p w:rsidR="00C556E9" w:rsidRPr="00604DF4" w:rsidRDefault="00C556E9" w:rsidP="00C556E9">
      <w:pPr>
        <w:pStyle w:val="NormalWeb"/>
        <w:spacing w:before="0" w:beforeAutospacing="0" w:after="360" w:afterAutospacing="0"/>
        <w:jc w:val="both"/>
        <w:rPr>
          <w:color w:val="FF0000"/>
          <w:u w:val="single"/>
        </w:rPr>
      </w:pPr>
      <w:r w:rsidRPr="00604DF4">
        <w:rPr>
          <w:color w:val="FF0000"/>
          <w:u w:val="single"/>
        </w:rPr>
        <w:lastRenderedPageBreak/>
        <w:t>Como se sabe, ese modelito se replicó aquí, tarde y a regañadientes, desde el 2015, pero con mucha menos reflexión de la debida. El umbral entre la intervención del BCE y la financiación de gobiernos, que fue opaco sin inflación, ahora es más bien flagrante. Cabría preguntarse si, tras los ajustes de aquellos primeros años de la crisis euro (2010-2014), quizás no fue tan buena idea —una idea óptima— anquilosar la compete</w:t>
      </w:r>
      <w:r w:rsidR="00354328">
        <w:rPr>
          <w:color w:val="FF0000"/>
          <w:u w:val="single"/>
        </w:rPr>
        <w:t>ncia interna y embadurnarla de “riesgo moral”</w:t>
      </w:r>
      <w:r w:rsidRPr="00604DF4">
        <w:rPr>
          <w:color w:val="FF0000"/>
          <w:u w:val="single"/>
        </w:rPr>
        <w:t>, sin proyectar de salida una solución común, un eurobono.</w:t>
      </w:r>
      <w:r w:rsidRPr="00604DF4">
        <w:rPr>
          <w:rStyle w:val="Textoennegrita"/>
          <w:rFonts w:eastAsiaTheme="majorEastAsia"/>
          <w:color w:val="FF0000"/>
          <w:u w:val="single"/>
        </w:rPr>
        <w:t> </w:t>
      </w:r>
      <w:r w:rsidRPr="00354328">
        <w:rPr>
          <w:rStyle w:val="Textoennegrita"/>
          <w:rFonts w:eastAsiaTheme="majorEastAsia"/>
          <w:b w:val="0"/>
          <w:color w:val="FF0000"/>
          <w:u w:val="single"/>
        </w:rPr>
        <w:t>Este gozaría ahora de virtudes proteicas y permitiría precisamente competir con EEUU y su dólar</w:t>
      </w:r>
      <w:r w:rsidRPr="00354328">
        <w:rPr>
          <w:b/>
          <w:color w:val="FF0000"/>
          <w:u w:val="single"/>
        </w:rPr>
        <w:t>,</w:t>
      </w:r>
      <w:r w:rsidRPr="00604DF4">
        <w:rPr>
          <w:color w:val="FF0000"/>
          <w:u w:val="single"/>
        </w:rPr>
        <w:t xml:space="preserve"> que ha marcado un paradigma de política económica no precisamente virtuoso, el privilegio del monopolio de facto. Competir en esa liga exige precisamente un euro soberano, es decir, un activo libre de riesgo y un Tesoro Europeo. Un mero acuerdo monetario con fines comerciales es quedarse en segunda.</w:t>
      </w:r>
    </w:p>
    <w:p w:rsidR="00C556E9" w:rsidRPr="00604DF4" w:rsidRDefault="00C556E9" w:rsidP="00C556E9">
      <w:pPr>
        <w:pStyle w:val="NormalWeb"/>
        <w:spacing w:before="0" w:beforeAutospacing="0" w:after="360" w:afterAutospacing="0"/>
        <w:jc w:val="both"/>
        <w:rPr>
          <w:color w:val="FF0000"/>
          <w:u w:val="single"/>
        </w:rPr>
      </w:pPr>
      <w:r w:rsidRPr="00604DF4">
        <w:rPr>
          <w:color w:val="FF0000"/>
          <w:u w:val="single"/>
        </w:rPr>
        <w:t>Si hubo cambios constitucionales en toda Europa para albergar aquel Pacto de Estabilidad y Crecimiento (marzo 2010), la disciplina irrescindible, y se cumplieron ajustes dolorosamente, de puertas adentro, </w:t>
      </w:r>
      <w:r w:rsidRPr="00354328">
        <w:rPr>
          <w:rStyle w:val="Textoennegrita"/>
          <w:rFonts w:eastAsiaTheme="majorEastAsia"/>
          <w:b w:val="0"/>
          <w:color w:val="FF0000"/>
          <w:u w:val="single"/>
        </w:rPr>
        <w:t>bien pudiera haber aparecido un formato complementario de convergencia y disciplina</w:t>
      </w:r>
      <w:r w:rsidRPr="00604DF4">
        <w:rPr>
          <w:color w:val="FF0000"/>
          <w:u w:val="single"/>
        </w:rPr>
        <w:t>, con esa línea de defensa que también lo es de competencia.</w:t>
      </w:r>
    </w:p>
    <w:p w:rsidR="00C556E9" w:rsidRPr="00354328" w:rsidRDefault="00C556E9" w:rsidP="00C556E9">
      <w:pPr>
        <w:pStyle w:val="NormalWeb"/>
        <w:spacing w:before="0" w:beforeAutospacing="0" w:after="360" w:afterAutospacing="0"/>
        <w:jc w:val="both"/>
        <w:rPr>
          <w:b/>
          <w:color w:val="FF0000"/>
          <w:u w:val="single"/>
        </w:rPr>
      </w:pPr>
      <w:r w:rsidRPr="00604DF4">
        <w:rPr>
          <w:color w:val="FF0000"/>
          <w:u w:val="single"/>
        </w:rPr>
        <w:t>La pregunta hoy es oportuna en cuanto que la sostenibilidad de la arquitectura euro se apalanca en su totalidad en el empleo del BCE</w:t>
      </w:r>
      <w:r w:rsidRPr="00911B9A">
        <w:t xml:space="preserve">. Fue lo que cuajó desde el 2015-16, con Merkel en 4ª legislatura sobrada de lisonja, o por estos lares, un Sánchez, prodigio de reformas y concertación política a favor de la integridad del Estado y su eficiencia económica, desde que entró. </w:t>
      </w:r>
      <w:r w:rsidRPr="00604DF4">
        <w:rPr>
          <w:color w:val="FF0000"/>
          <w:u w:val="single"/>
        </w:rPr>
        <w:t>Todo el mundo al calorcito del BCE se desentendió de la insostenibilidad de una solución necesariamente interina. </w:t>
      </w:r>
      <w:r w:rsidRPr="00354328">
        <w:rPr>
          <w:rStyle w:val="Textoennegrita"/>
          <w:rFonts w:eastAsiaTheme="majorEastAsia"/>
          <w:b w:val="0"/>
          <w:color w:val="FF0000"/>
          <w:u w:val="single"/>
        </w:rPr>
        <w:t>La falta de previsión política para los escenarios, que ahora corren libres, es manifiesta.</w:t>
      </w:r>
    </w:p>
    <w:p w:rsidR="00C556E9" w:rsidRPr="00604DF4" w:rsidRDefault="00C556E9" w:rsidP="00C556E9">
      <w:pPr>
        <w:pStyle w:val="NormalWeb"/>
        <w:spacing w:before="0" w:beforeAutospacing="0" w:after="360" w:afterAutospacing="0"/>
        <w:jc w:val="both"/>
        <w:rPr>
          <w:b/>
          <w:color w:val="FF0000"/>
          <w:u w:val="single"/>
        </w:rPr>
      </w:pPr>
      <w:r w:rsidRPr="00604DF4">
        <w:rPr>
          <w:b/>
          <w:color w:val="FF0000"/>
          <w:u w:val="single"/>
        </w:rPr>
        <w:t>Esos pecadillos europeos del último lustro pasan factura ahora con la inflación galopante, unos bancos centrales necesariamente de salida, y la arquitectura euro en r</w:t>
      </w:r>
      <w:r w:rsidR="00354328">
        <w:rPr>
          <w:b/>
          <w:color w:val="FF0000"/>
          <w:u w:val="single"/>
        </w:rPr>
        <w:t>iesgo perenne de fragmentación -a cargo del BCE, claro-</w:t>
      </w:r>
      <w:r w:rsidRPr="00604DF4">
        <w:rPr>
          <w:b/>
          <w:color w:val="FF0000"/>
          <w:u w:val="single"/>
        </w:rPr>
        <w:t xml:space="preserve">. </w:t>
      </w:r>
      <w:r w:rsidRPr="00604DF4">
        <w:rPr>
          <w:color w:val="FF0000"/>
          <w:u w:val="single"/>
        </w:rPr>
        <w:t>Así,</w:t>
      </w:r>
      <w:r w:rsidRPr="00604DF4">
        <w:rPr>
          <w:rStyle w:val="Textoennegrita"/>
          <w:rFonts w:eastAsiaTheme="majorEastAsia"/>
          <w:color w:val="FF0000"/>
          <w:u w:val="single"/>
        </w:rPr>
        <w:t xml:space="preserve"> el famoso instrumento anti </w:t>
      </w:r>
      <w:r w:rsidR="00354328">
        <w:rPr>
          <w:rStyle w:val="Textoennegrita"/>
          <w:rFonts w:eastAsiaTheme="majorEastAsia"/>
          <w:color w:val="FF0000"/>
          <w:u w:val="single"/>
        </w:rPr>
        <w:t>fragmentación para proteger la “</w:t>
      </w:r>
      <w:r w:rsidRPr="00604DF4">
        <w:rPr>
          <w:rStyle w:val="Textoennegrita"/>
          <w:rFonts w:eastAsiaTheme="majorEastAsia"/>
          <w:color w:val="FF0000"/>
          <w:u w:val="single"/>
        </w:rPr>
        <w:t>trans</w:t>
      </w:r>
      <w:r w:rsidR="00354328">
        <w:rPr>
          <w:rStyle w:val="Textoennegrita"/>
          <w:rFonts w:eastAsiaTheme="majorEastAsia"/>
          <w:color w:val="FF0000"/>
          <w:u w:val="single"/>
        </w:rPr>
        <w:t>misión de la política monetaria”</w:t>
      </w:r>
      <w:r w:rsidRPr="00604DF4">
        <w:rPr>
          <w:rStyle w:val="Textoennegrita"/>
          <w:rFonts w:eastAsiaTheme="majorEastAsia"/>
          <w:color w:val="FF0000"/>
          <w:u w:val="single"/>
        </w:rPr>
        <w:t xml:space="preserve"> (TPI) es otro apaño temporal para ganar tiempo, pero muy peligroso.</w:t>
      </w:r>
      <w:r w:rsidRPr="00604DF4">
        <w:rPr>
          <w:b/>
          <w:color w:val="FF0000"/>
          <w:u w:val="single"/>
        </w:rPr>
        <w:t> Lo que a GB le pasó por el lado fiscal, Europa puede sufrirlo por el lado monetario de activarse el mecanismo.</w:t>
      </w:r>
    </w:p>
    <w:p w:rsidR="00C556E9" w:rsidRPr="00604DF4" w:rsidRDefault="00C556E9" w:rsidP="00C556E9">
      <w:pPr>
        <w:pStyle w:val="NormalWeb"/>
        <w:spacing w:before="0" w:beforeAutospacing="0" w:after="360" w:afterAutospacing="0"/>
        <w:jc w:val="both"/>
        <w:rPr>
          <w:b/>
          <w:color w:val="FF0000"/>
          <w:u w:val="single"/>
        </w:rPr>
      </w:pPr>
      <w:r w:rsidRPr="00604DF4">
        <w:rPr>
          <w:rStyle w:val="Textoennegrita"/>
          <w:rFonts w:eastAsiaTheme="majorEastAsia"/>
          <w:color w:val="FF0000"/>
          <w:u w:val="single"/>
        </w:rPr>
        <w:t>Los tiempos de nula o escasa inflación característicos de toda una época pasaron a mejor vida</w:t>
      </w:r>
      <w:r w:rsidRPr="00604DF4">
        <w:rPr>
          <w:color w:val="FF0000"/>
          <w:u w:val="single"/>
        </w:rPr>
        <w:t>.</w:t>
      </w:r>
      <w:r w:rsidRPr="00604DF4">
        <w:rPr>
          <w:b/>
          <w:color w:val="FF0000"/>
          <w:u w:val="single"/>
        </w:rPr>
        <w:t xml:space="preserve"> Desenhebrar el solapamiento de políticas económicas y fiscales, lo que viene reclamando aquel Tribunal Constitucional Alemán, silenciado oportunamente por razones políticas, es una condición obligada para recuperar la integridad monetaria y fiscal. Con idas y v</w:t>
      </w:r>
      <w:r w:rsidR="00354328">
        <w:rPr>
          <w:b/>
          <w:color w:val="FF0000"/>
          <w:u w:val="single"/>
        </w:rPr>
        <w:t>enidas, el Banco de Inglaterra “estabilizando”</w:t>
      </w:r>
      <w:r w:rsidRPr="00604DF4">
        <w:rPr>
          <w:b/>
          <w:color w:val="FF0000"/>
          <w:u w:val="single"/>
        </w:rPr>
        <w:t xml:space="preserve"> mercados va a ser característico de la nueva. </w:t>
      </w:r>
    </w:p>
    <w:p w:rsidR="00C556E9" w:rsidRPr="00354328" w:rsidRDefault="00C556E9" w:rsidP="00C556E9">
      <w:pPr>
        <w:pStyle w:val="NormalWeb"/>
        <w:spacing w:before="0" w:beforeAutospacing="0" w:after="360" w:afterAutospacing="0"/>
        <w:jc w:val="both"/>
        <w:rPr>
          <w:color w:val="FF0000"/>
          <w:u w:val="single"/>
        </w:rPr>
      </w:pPr>
      <w:r w:rsidRPr="00354328">
        <w:rPr>
          <w:b/>
          <w:color w:val="FF0000"/>
          <w:u w:val="single"/>
        </w:rPr>
        <w:t>Activar el TPI, que el BCE tenga que ponerse delante del mercado para evitar la escalada de costes financieros periféricos, más de lo que ya está haciendo con la reinversión de las amortizaciones de los programas anteriores (PEPP y APP), tiene otro rango cualitativo. Se corre el riesgo de desvirtuar definitivamente la credibilidad de la única institución propiamente federal con la que contamos. ¿Dónde estaría el límite?</w:t>
      </w:r>
      <w:r w:rsidRPr="00354328">
        <w:rPr>
          <w:color w:val="FF0000"/>
          <w:u w:val="single"/>
        </w:rPr>
        <w:t> </w:t>
      </w:r>
      <w:r w:rsidR="00354328" w:rsidRPr="00354328">
        <w:rPr>
          <w:rStyle w:val="Textoennegrita"/>
          <w:rFonts w:eastAsiaTheme="majorEastAsia"/>
          <w:color w:val="FF0000"/>
          <w:u w:val="single"/>
        </w:rPr>
        <w:t>¿Hacer del BCE un “banco malo”</w:t>
      </w:r>
      <w:r w:rsidRPr="00354328">
        <w:rPr>
          <w:rStyle w:val="Textoennegrita"/>
          <w:rFonts w:eastAsiaTheme="majorEastAsia"/>
          <w:color w:val="FF0000"/>
          <w:u w:val="single"/>
        </w:rPr>
        <w:t xml:space="preserve"> con todos los activos de la periferia en balance? ¿A dónde se iría el euro?</w:t>
      </w:r>
    </w:p>
    <w:p w:rsidR="00C556E9" w:rsidRPr="00354328" w:rsidRDefault="00C556E9" w:rsidP="00C556E9">
      <w:pPr>
        <w:pStyle w:val="NormalWeb"/>
        <w:spacing w:before="0" w:beforeAutospacing="0" w:after="360" w:afterAutospacing="0"/>
        <w:jc w:val="both"/>
        <w:rPr>
          <w:b/>
        </w:rPr>
      </w:pPr>
      <w:r w:rsidRPr="00911B9A">
        <w:lastRenderedPageBreak/>
        <w:t>En esta diatriba entre hipotecar la integridad del BCE o avanzar en alternativas estratégicas distintas, la disciplina inherente al eurobono, bien pudiera el garante con más credibilidad en el mercado, el </w:t>
      </w:r>
      <w:hyperlink r:id="rId102" w:tgtFrame="_blank" w:history="1">
        <w:r w:rsidRPr="00354328">
          <w:rPr>
            <w:rStyle w:val="Hipervnculo"/>
            <w:rFonts w:eastAsiaTheme="majorEastAsia"/>
            <w:color w:val="auto"/>
            <w:u w:val="none"/>
          </w:rPr>
          <w:t>Bundesbank</w:t>
        </w:r>
      </w:hyperlink>
      <w:r w:rsidRPr="00604DF4">
        <w:t>,</w:t>
      </w:r>
      <w:r w:rsidRPr="00911B9A">
        <w:t xml:space="preserve"> marcar líneas rojas al estamento político. Tendría al TCA de su lado. Es su esencia lo que está juego. Cortar la correa que el BCE tiene colgando del cuello de la mano inter gubernamental y d</w:t>
      </w:r>
      <w:r w:rsidR="00354328">
        <w:t>escargar la institución de una “soberanía fiscal”</w:t>
      </w:r>
      <w:r w:rsidRPr="00911B9A">
        <w:t xml:space="preserve"> que ni le compete ni le conviene. </w:t>
      </w:r>
      <w:r w:rsidRPr="00354328">
        <w:rPr>
          <w:rStyle w:val="Textoennegrita"/>
          <w:rFonts w:eastAsiaTheme="majorEastAsia"/>
          <w:b w:val="0"/>
        </w:rPr>
        <w:t>Ya dijo su presidente, Nagel, que discriminar entre movimientos fundamentales de mercado y dislocados era imposible.</w:t>
      </w:r>
      <w:r w:rsidRPr="00354328">
        <w:rPr>
          <w:b/>
        </w:rPr>
        <w:t> </w:t>
      </w:r>
    </w:p>
    <w:p w:rsidR="00C556E9" w:rsidRPr="00604DF4" w:rsidRDefault="00C556E9" w:rsidP="00C556E9">
      <w:pPr>
        <w:pStyle w:val="NormalWeb"/>
        <w:spacing w:before="0" w:beforeAutospacing="0" w:after="360" w:afterAutospacing="0"/>
        <w:jc w:val="both"/>
        <w:rPr>
          <w:u w:val="single"/>
        </w:rPr>
      </w:pPr>
      <w:r w:rsidRPr="00604DF4">
        <w:rPr>
          <w:u w:val="single"/>
        </w:rPr>
        <w:t>Por el lado político, a pesar de la crisis energética de epicentro alemán, la inflación rampante y presiones estructurales de subida en tipos de interés, las noticias no son especialmente alentadoras. Tras las proclamas de Draghi, Macron y Von der Leyen, al Parlamento Europeo, con motivo del día de Europa, 9 de mayo, </w:t>
      </w:r>
      <w:r w:rsidR="00354328">
        <w:rPr>
          <w:rStyle w:val="Textoennegrita"/>
          <w:rFonts w:eastAsiaTheme="majorEastAsia"/>
          <w:b w:val="0"/>
          <w:u w:val="single"/>
        </w:rPr>
        <w:t>a favor de “</w:t>
      </w:r>
      <w:r w:rsidRPr="00354328">
        <w:rPr>
          <w:rStyle w:val="Textoennegrita"/>
          <w:rFonts w:eastAsiaTheme="majorEastAsia"/>
          <w:b w:val="0"/>
          <w:u w:val="single"/>
        </w:rPr>
        <w:t>ref</w:t>
      </w:r>
      <w:r w:rsidR="00354328">
        <w:rPr>
          <w:rStyle w:val="Textoennegrita"/>
          <w:rFonts w:eastAsiaTheme="majorEastAsia"/>
          <w:b w:val="0"/>
          <w:u w:val="single"/>
        </w:rPr>
        <w:t>ormas valientes en los Tratados” y la creación de una “capacidad fiscal permanente”</w:t>
      </w:r>
      <w:r w:rsidRPr="00354328">
        <w:rPr>
          <w:b/>
          <w:u w:val="single"/>
        </w:rPr>
        <w:t>,</w:t>
      </w:r>
      <w:r w:rsidRPr="00604DF4">
        <w:rPr>
          <w:b/>
          <w:u w:val="single"/>
        </w:rPr>
        <w:t xml:space="preserve"> </w:t>
      </w:r>
      <w:r w:rsidR="00354328">
        <w:rPr>
          <w:u w:val="single"/>
        </w:rPr>
        <w:t>Alemania se ha enrocado. “El riesgo de ir por su cuenta”</w:t>
      </w:r>
      <w:r w:rsidRPr="00604DF4">
        <w:rPr>
          <w:u w:val="single"/>
        </w:rPr>
        <w:t>, que dijo Macron, y de ahí la reunión bilateral de esta semana.</w:t>
      </w:r>
    </w:p>
    <w:p w:rsidR="00C556E9" w:rsidRPr="00354328" w:rsidRDefault="00C556E9" w:rsidP="00C556E9">
      <w:pPr>
        <w:spacing w:line="240" w:lineRule="auto"/>
        <w:jc w:val="both"/>
        <w:rPr>
          <w:rFonts w:ascii="Times New Roman" w:hAnsi="Times New Roman" w:cs="Times New Roman"/>
          <w:b/>
          <w:sz w:val="24"/>
          <w:szCs w:val="24"/>
          <w:u w:val="single"/>
        </w:rPr>
      </w:pPr>
      <w:r w:rsidRPr="005833EE">
        <w:rPr>
          <w:rFonts w:ascii="Times New Roman" w:hAnsi="Times New Roman" w:cs="Times New Roman"/>
          <w:sz w:val="24"/>
          <w:szCs w:val="24"/>
          <w:u w:val="single"/>
        </w:rPr>
        <w:t> Los instintos nacionalistas han vuelto a aflorar, como pasó inicialmente con el covid, al desmarcarse Alemania con un plan de ayudas fiscales que rompen con cualquier comparación europea, llegando a un montante del 7% del PIB (Bruegel). O cargar su presupuesto militar de reciente creación con material americano, evitando el europeo. O seguir expandiendo al este la UE sin profundizar.</w:t>
      </w:r>
      <w:r w:rsidRPr="005833EE">
        <w:rPr>
          <w:rStyle w:val="Textoennegrita"/>
          <w:rFonts w:ascii="Times New Roman" w:hAnsi="Times New Roman" w:cs="Times New Roman"/>
          <w:sz w:val="24"/>
          <w:szCs w:val="24"/>
          <w:u w:val="single"/>
        </w:rPr>
        <w:t> </w:t>
      </w:r>
      <w:r w:rsidRPr="00354328">
        <w:rPr>
          <w:rStyle w:val="Textoennegrita"/>
          <w:rFonts w:ascii="Times New Roman" w:hAnsi="Times New Roman" w:cs="Times New Roman"/>
          <w:b w:val="0"/>
          <w:sz w:val="24"/>
          <w:szCs w:val="24"/>
          <w:u w:val="single"/>
        </w:rPr>
        <w:t>La negativa francesa al </w:t>
      </w:r>
      <w:hyperlink r:id="rId103" w:tgtFrame="_blank" w:history="1">
        <w:r w:rsidRPr="00354328">
          <w:rPr>
            <w:rStyle w:val="Hipervnculo"/>
            <w:rFonts w:ascii="Times New Roman" w:hAnsi="Times New Roman" w:cs="Times New Roman"/>
            <w:color w:val="auto"/>
            <w:sz w:val="24"/>
            <w:szCs w:val="24"/>
          </w:rPr>
          <w:t>Midcat</w:t>
        </w:r>
      </w:hyperlink>
      <w:r w:rsidRPr="00354328">
        <w:rPr>
          <w:rStyle w:val="Textoennegrita"/>
          <w:rFonts w:ascii="Times New Roman" w:hAnsi="Times New Roman" w:cs="Times New Roman"/>
          <w:b w:val="0"/>
          <w:sz w:val="24"/>
          <w:szCs w:val="24"/>
          <w:u w:val="single"/>
        </w:rPr>
        <w:t> que conecte España con Alemania por gaseoducto, se explica en este contexto. Tú te enrocas, yo también.</w:t>
      </w:r>
    </w:p>
    <w:p w:rsidR="00C556E9" w:rsidRPr="00354328" w:rsidRDefault="00C556E9" w:rsidP="00C556E9">
      <w:pPr>
        <w:pStyle w:val="NormalWeb"/>
        <w:spacing w:before="0" w:beforeAutospacing="0" w:after="360" w:afterAutospacing="0"/>
        <w:jc w:val="both"/>
        <w:rPr>
          <w:b/>
        </w:rPr>
      </w:pPr>
      <w:r w:rsidRPr="00911B9A">
        <w:t>Quizás estas tensiones sean reconducibles a algún instrumento común </w:t>
      </w:r>
      <w:r w:rsidRPr="00911B9A">
        <w:rPr>
          <w:rStyle w:val="nfasis"/>
        </w:rPr>
        <w:t>ad hoc</w:t>
      </w:r>
      <w:r w:rsidRPr="00911B9A">
        <w:t> para el tema energético y de defensa, que si lleva en el aire desde marzo. Pero lo que</w:t>
      </w:r>
      <w:r w:rsidR="00354328">
        <w:t xml:space="preserve"> no se acaba de asumir por las “hormigas”</w:t>
      </w:r>
      <w:r w:rsidRPr="00911B9A">
        <w:t xml:space="preserve"> es el efecto catártico automático que la voluntad expresa y pública de explorar esa capacidad fiscal permanente, tendría para cortar de raíz la deri</w:t>
      </w:r>
      <w:r w:rsidR="00354328">
        <w:t>va subyacente en mercados a la “</w:t>
      </w:r>
      <w:r w:rsidRPr="00911B9A">
        <w:t>f</w:t>
      </w:r>
      <w:r w:rsidR="00354328">
        <w:t>ragmentación”</w:t>
      </w:r>
      <w:r w:rsidRPr="00911B9A">
        <w:t xml:space="preserve"> y, de paso, la hipoteca que la procrastinación de determinados gobiernos tiene sobre el BCE. </w:t>
      </w:r>
      <w:r w:rsidR="00354328">
        <w:rPr>
          <w:rStyle w:val="Textoennegrita"/>
          <w:rFonts w:eastAsiaTheme="majorEastAsia"/>
          <w:b w:val="0"/>
        </w:rPr>
        <w:t>Demasiado coste “político”</w:t>
      </w:r>
      <w:r w:rsidRPr="00354328">
        <w:rPr>
          <w:rStyle w:val="Textoennegrita"/>
          <w:rFonts w:eastAsiaTheme="majorEastAsia"/>
          <w:b w:val="0"/>
        </w:rPr>
        <w:t>.</w:t>
      </w:r>
    </w:p>
    <w:p w:rsidR="00C556E9" w:rsidRPr="00911B9A" w:rsidRDefault="00C556E9" w:rsidP="00C556E9">
      <w:pPr>
        <w:pStyle w:val="NormalWeb"/>
        <w:spacing w:before="0" w:beforeAutospacing="0" w:after="360" w:afterAutospacing="0"/>
        <w:jc w:val="both"/>
      </w:pPr>
      <w:r w:rsidRPr="00911B9A">
        <w:t>Los frugales argumentan que el </w:t>
      </w:r>
      <w:hyperlink r:id="rId104" w:tgtFrame="_self" w:history="1">
        <w:r w:rsidRPr="00354328">
          <w:rPr>
            <w:rStyle w:val="Hipervnculo"/>
            <w:rFonts w:eastAsiaTheme="majorEastAsia"/>
            <w:color w:val="auto"/>
            <w:u w:val="none"/>
          </w:rPr>
          <w:t>fondo Next Generation</w:t>
        </w:r>
      </w:hyperlink>
      <w:r w:rsidR="00354328">
        <w:t> sigue sin ejecutar “cientos de miles millones”</w:t>
      </w:r>
      <w:r w:rsidRPr="00911B9A">
        <w:t>. Cierto, pero la clave para los mercados es el</w:t>
      </w:r>
      <w:r w:rsidR="00354328">
        <w:t xml:space="preserve"> mensaje constituyente que esa “capacidad fiscal permanente”</w:t>
      </w:r>
      <w:r w:rsidRPr="00911B9A">
        <w:t xml:space="preserve"> pone encima de la mesa. No tendría que estar ni articulada ni dotada, eso sería labor de nuevos Tratados y mucha labor política. Simplemente, necesita expresión pública como intención por las partes y en especial Alemania. </w:t>
      </w:r>
      <w:r w:rsidRPr="00354328">
        <w:rPr>
          <w:rStyle w:val="Textoennegrita"/>
          <w:rFonts w:eastAsiaTheme="majorEastAsia"/>
          <w:b w:val="0"/>
        </w:rPr>
        <w:t>Como dijo también </w:t>
      </w:r>
      <w:hyperlink r:id="rId105" w:tgtFrame="_blank" w:history="1">
        <w:r w:rsidRPr="00354328">
          <w:rPr>
            <w:rStyle w:val="Hipervnculo"/>
            <w:rFonts w:eastAsiaTheme="majorEastAsia"/>
            <w:color w:val="auto"/>
          </w:rPr>
          <w:t>Macron</w:t>
        </w:r>
      </w:hyperlink>
      <w:r w:rsidR="00354328">
        <w:rPr>
          <w:rStyle w:val="Textoennegrita"/>
          <w:rFonts w:eastAsiaTheme="majorEastAsia"/>
          <w:b w:val="0"/>
        </w:rPr>
        <w:t> recientemente: “</w:t>
      </w:r>
      <w:r w:rsidRPr="00354328">
        <w:rPr>
          <w:rStyle w:val="Textoennegrita"/>
          <w:rFonts w:eastAsiaTheme="majorEastAsia"/>
          <w:b w:val="0"/>
        </w:rPr>
        <w:t>No hay necesidad de </w:t>
      </w:r>
      <w:r w:rsidRPr="00354328">
        <w:rPr>
          <w:rStyle w:val="nfasis"/>
          <w:bCs/>
        </w:rPr>
        <w:t>joint-liability</w:t>
      </w:r>
      <w:r w:rsidR="00354328">
        <w:rPr>
          <w:rStyle w:val="Textoennegrita"/>
          <w:rFonts w:eastAsiaTheme="majorEastAsia"/>
          <w:b w:val="0"/>
        </w:rPr>
        <w:t> todavía”</w:t>
      </w:r>
      <w:r w:rsidRPr="00354328">
        <w:rPr>
          <w:rStyle w:val="Textoennegrita"/>
          <w:rFonts w:eastAsiaTheme="majorEastAsia"/>
          <w:b w:val="0"/>
        </w:rPr>
        <w:t>.</w:t>
      </w:r>
      <w:r w:rsidRPr="00911B9A">
        <w:t> </w:t>
      </w:r>
    </w:p>
    <w:p w:rsidR="00C556E9" w:rsidRDefault="00C556E9" w:rsidP="00C556E9">
      <w:pPr>
        <w:pStyle w:val="NormalWeb"/>
        <w:spacing w:before="0" w:beforeAutospacing="0" w:after="0" w:afterAutospacing="0"/>
        <w:jc w:val="both"/>
        <w:rPr>
          <w:rStyle w:val="Textoennegrita"/>
          <w:rFonts w:eastAsiaTheme="majorEastAsia"/>
          <w:color w:val="FF0000"/>
          <w:u w:val="single"/>
        </w:rPr>
      </w:pPr>
      <w:r w:rsidRPr="005833EE">
        <w:rPr>
          <w:b/>
          <w:color w:val="FF0000"/>
          <w:u w:val="single"/>
        </w:rPr>
        <w:t xml:space="preserve">En esta coyuntura de globalización por bloques hay ya </w:t>
      </w:r>
      <w:r w:rsidR="00354328">
        <w:rPr>
          <w:b/>
          <w:color w:val="FF0000"/>
          <w:u w:val="single"/>
        </w:rPr>
        <w:t>muchísimo más “riesgo moral”</w:t>
      </w:r>
      <w:r w:rsidRPr="005833EE">
        <w:rPr>
          <w:b/>
          <w:color w:val="FF0000"/>
          <w:u w:val="single"/>
        </w:rPr>
        <w:t xml:space="preserve"> en abortar la única opción estratégica a la abducción indefinida del banco central, el eurobono, que la predicada en el agotamiento del modelo de gobernanza intergubernamental y disciplina fiscal exclusivamente por país (PEC), y un BCE atado del cuello. O sea, en esta nueva época va ya mucho más en poder competir con el dólar en primera</w:t>
      </w:r>
      <w:r w:rsidR="00354328">
        <w:rPr>
          <w:b/>
          <w:color w:val="FF0000"/>
          <w:u w:val="single"/>
        </w:rPr>
        <w:t xml:space="preserve"> que, en competir internamente -que también-</w:t>
      </w:r>
      <w:r w:rsidRPr="005833EE">
        <w:rPr>
          <w:b/>
          <w:color w:val="FF0000"/>
          <w:u w:val="single"/>
        </w:rPr>
        <w:t>. </w:t>
      </w:r>
      <w:r w:rsidRPr="005833EE">
        <w:rPr>
          <w:rStyle w:val="Textoennegrita"/>
          <w:rFonts w:eastAsiaTheme="majorEastAsia"/>
          <w:color w:val="FF0000"/>
          <w:u w:val="single"/>
        </w:rPr>
        <w:t>Una cosa no quita la otra.</w:t>
      </w:r>
    </w:p>
    <w:p w:rsidR="00354328" w:rsidRDefault="00354328" w:rsidP="00C556E9">
      <w:pPr>
        <w:pStyle w:val="NormalWeb"/>
        <w:spacing w:before="0" w:beforeAutospacing="0" w:after="0" w:afterAutospacing="0"/>
        <w:jc w:val="both"/>
        <w:rPr>
          <w:rStyle w:val="Textoennegrita"/>
          <w:rFonts w:eastAsiaTheme="majorEastAsia"/>
          <w:color w:val="FF0000"/>
          <w:u w:val="single"/>
        </w:rPr>
      </w:pPr>
    </w:p>
    <w:p w:rsidR="00354328" w:rsidRPr="00D176C6" w:rsidRDefault="00354328" w:rsidP="0035432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D176C6">
        <w:rPr>
          <w:rFonts w:ascii="Times New Roman" w:hAnsi="Times New Roman" w:cs="Times New Roman"/>
          <w:sz w:val="24"/>
          <w:szCs w:val="24"/>
          <w:u w:val="single"/>
        </w:rPr>
        <w:t>Lagarde cumple tres años de tormentas perfectas afrontando el reto de la inflación</w:t>
      </w:r>
      <w:r>
        <w:rPr>
          <w:rFonts w:ascii="Times New Roman" w:hAnsi="Times New Roman" w:cs="Times New Roman"/>
          <w:sz w:val="24"/>
          <w:szCs w:val="24"/>
        </w:rPr>
        <w:t xml:space="preserve"> (Cinco Días - </w:t>
      </w:r>
      <w:r w:rsidRPr="00D176C6">
        <w:rPr>
          <w:rFonts w:ascii="Times New Roman" w:hAnsi="Times New Roman" w:cs="Times New Roman"/>
          <w:b/>
          <w:sz w:val="24"/>
          <w:szCs w:val="24"/>
        </w:rPr>
        <w:t>31/10/22</w:t>
      </w:r>
      <w:r>
        <w:rPr>
          <w:rFonts w:ascii="Times New Roman" w:hAnsi="Times New Roman" w:cs="Times New Roman"/>
          <w:sz w:val="24"/>
          <w:szCs w:val="24"/>
        </w:rPr>
        <w:t>)</w:t>
      </w:r>
    </w:p>
    <w:p w:rsidR="00354328" w:rsidRPr="00D176C6" w:rsidRDefault="00354328" w:rsidP="0035432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D176C6">
        <w:rPr>
          <w:rFonts w:ascii="Times New Roman" w:hAnsi="Times New Roman" w:cs="Times New Roman"/>
          <w:sz w:val="24"/>
          <w:szCs w:val="24"/>
        </w:rPr>
        <w:t>Nuria Salobral</w:t>
      </w:r>
      <w:r>
        <w:rPr>
          <w:rFonts w:ascii="Times New Roman" w:hAnsi="Times New Roman" w:cs="Times New Roman"/>
          <w:sz w:val="24"/>
          <w:szCs w:val="24"/>
        </w:rPr>
        <w:t>)</w:t>
      </w:r>
    </w:p>
    <w:p w:rsidR="00354328" w:rsidRPr="005833EE" w:rsidRDefault="00354328" w:rsidP="00354328">
      <w:pPr>
        <w:spacing w:line="240" w:lineRule="auto"/>
        <w:jc w:val="both"/>
        <w:rPr>
          <w:rFonts w:ascii="Times New Roman" w:hAnsi="Times New Roman" w:cs="Times New Roman"/>
          <w:color w:val="FF0000"/>
          <w:sz w:val="24"/>
          <w:szCs w:val="24"/>
          <w:u w:val="single"/>
        </w:rPr>
      </w:pPr>
      <w:r w:rsidRPr="005833EE">
        <w:rPr>
          <w:rFonts w:ascii="Times New Roman" w:hAnsi="Times New Roman" w:cs="Times New Roman"/>
          <w:color w:val="FF0000"/>
          <w:sz w:val="24"/>
          <w:szCs w:val="24"/>
          <w:u w:val="single"/>
        </w:rPr>
        <w:t xml:space="preserve">Los tres años que cumple mañana Christine Lagarde en la presidencia del BCE valen por una década. Una pandemia, una guerra en Europa y una inflación galopante, acontecimientos </w:t>
      </w:r>
      <w:r w:rsidRPr="005833EE">
        <w:rPr>
          <w:rFonts w:ascii="Times New Roman" w:hAnsi="Times New Roman" w:cs="Times New Roman"/>
          <w:color w:val="FF0000"/>
          <w:sz w:val="24"/>
          <w:szCs w:val="24"/>
          <w:u w:val="single"/>
        </w:rPr>
        <w:lastRenderedPageBreak/>
        <w:t>arrolladores y completamente inesperados, han obligado a Lagarde a actuar con rapidez y a aprender de forma vertiginosa las sutilezas de su cargo. Llegó sin experiencia previa en política monetaria, con el aval de una trayectoria política al frente del FMI y en la cartera francesa de finanzas, valiosa para recomponer el consenso en el Consejo de Gobierno del BCE que había quedado maltrecho durante la personalista presidencia de Mario Draghi. Y esas tablas en política le han servido para convertirse en bregada banquera central al cabo de un trienio de vértigo.</w:t>
      </w:r>
    </w:p>
    <w:p w:rsidR="00354328" w:rsidRPr="00D176C6" w:rsidRDefault="00354328" w:rsidP="00354328">
      <w:pPr>
        <w:spacing w:line="240" w:lineRule="auto"/>
        <w:jc w:val="both"/>
        <w:rPr>
          <w:rFonts w:ascii="Times New Roman" w:hAnsi="Times New Roman" w:cs="Times New Roman"/>
          <w:sz w:val="24"/>
          <w:szCs w:val="24"/>
        </w:rPr>
      </w:pPr>
      <w:r w:rsidRPr="005833EE">
        <w:rPr>
          <w:rFonts w:ascii="Times New Roman" w:hAnsi="Times New Roman" w:cs="Times New Roman"/>
          <w:sz w:val="24"/>
          <w:szCs w:val="24"/>
          <w:u w:val="single"/>
        </w:rPr>
        <w:t>Sus comienzos en la presidencia del BCE fueron titubeantes. Asumía la dirección del banco central bajo la pesada herencia de Mario Draghi, que había logrado una total sintonía con los mercados financieros en su política de comunicación</w:t>
      </w:r>
      <w:r w:rsidRPr="00D176C6">
        <w:rPr>
          <w:rFonts w:ascii="Times New Roman" w:hAnsi="Times New Roman" w:cs="Times New Roman"/>
          <w:sz w:val="24"/>
          <w:szCs w:val="24"/>
        </w:rPr>
        <w:t xml:space="preserve">. Lagarde pudo comprobar el poder destructor de las palabras de un banquero central cuando a mediados de marzo, al inicio de la pandemia y ya con la prima de riesgo italiana disparada, </w:t>
      </w:r>
      <w:r w:rsidRPr="005833EE">
        <w:rPr>
          <w:rFonts w:ascii="Times New Roman" w:hAnsi="Times New Roman" w:cs="Times New Roman"/>
          <w:sz w:val="24"/>
          <w:szCs w:val="24"/>
          <w:u w:val="single"/>
        </w:rPr>
        <w:t>afirmó que no era tarea del BCE controlar los diferenciales. “Ha sido probablemente su mayor error</w:t>
      </w:r>
      <w:r w:rsidRPr="00D176C6">
        <w:rPr>
          <w:rFonts w:ascii="Times New Roman" w:hAnsi="Times New Roman" w:cs="Times New Roman"/>
          <w:sz w:val="24"/>
          <w:szCs w:val="24"/>
        </w:rPr>
        <w:t xml:space="preserve">. Pero su mandato está siendo acertado, ha logrado consolidar una comunicación creíble, con decisiones con suficiente flexibilidad y mano izquierda”, señala Roberto Ruiz-Scholtes, jefe </w:t>
      </w:r>
      <w:r>
        <w:rPr>
          <w:rFonts w:ascii="Times New Roman" w:hAnsi="Times New Roman" w:cs="Times New Roman"/>
          <w:sz w:val="24"/>
          <w:szCs w:val="24"/>
        </w:rPr>
        <w:t>de estrategia de Singular Bank.</w:t>
      </w:r>
    </w:p>
    <w:p w:rsidR="00354328" w:rsidRPr="005833EE" w:rsidRDefault="00354328" w:rsidP="00354328">
      <w:pPr>
        <w:spacing w:line="240" w:lineRule="auto"/>
        <w:jc w:val="both"/>
        <w:rPr>
          <w:rFonts w:ascii="Times New Roman" w:hAnsi="Times New Roman" w:cs="Times New Roman"/>
          <w:sz w:val="24"/>
          <w:szCs w:val="24"/>
          <w:u w:val="single"/>
        </w:rPr>
      </w:pPr>
      <w:r w:rsidRPr="005833EE">
        <w:rPr>
          <w:rFonts w:ascii="Times New Roman" w:hAnsi="Times New Roman" w:cs="Times New Roman"/>
          <w:sz w:val="24"/>
          <w:szCs w:val="24"/>
          <w:u w:val="single"/>
        </w:rPr>
        <w:t>Para Philippe Waechter, economista jefe de Ostrum AM, del grupo Natixis, aquel error “reveló que no era una banquera central, no era una economista. Pero trabajó duro y ahora es una verdadera banquera central”. “Es buena hablando, sin leer notas. Al igual que Powell, es muy pragmática y en estos tiempos de inflación muy alta, este tipo de voz es importante para el público”, añade Frederick Ducrozet, director de análisis macroeconómico de Pictet WM.</w:t>
      </w:r>
    </w:p>
    <w:p w:rsidR="00354328" w:rsidRPr="005833EE" w:rsidRDefault="00354328" w:rsidP="00354328">
      <w:pPr>
        <w:spacing w:line="240" w:lineRule="auto"/>
        <w:jc w:val="both"/>
        <w:rPr>
          <w:rFonts w:ascii="Times New Roman" w:hAnsi="Times New Roman" w:cs="Times New Roman"/>
          <w:color w:val="FF0000"/>
          <w:sz w:val="24"/>
          <w:szCs w:val="24"/>
          <w:u w:val="single"/>
        </w:rPr>
      </w:pPr>
      <w:r w:rsidRPr="005833EE">
        <w:rPr>
          <w:rFonts w:ascii="Times New Roman" w:hAnsi="Times New Roman" w:cs="Times New Roman"/>
          <w:color w:val="FF0000"/>
          <w:sz w:val="24"/>
          <w:szCs w:val="24"/>
          <w:u w:val="single"/>
        </w:rPr>
        <w:t>El perfil político de Lagarde ha sido muy útil para forjar los dos grandes consensos de su mandato. Primero, la activación del plan extraordinario de compras durante la pandemia (PEPP por sus siglas en inglés), en principio por 750.000 millones de euros y ampliado después a los 1,3 billones. Y, más recientemente, la primera subida de tipos en la historia del BCE de 75 puntos básicos, en plena ofensiva monetaria frente a la inflación.</w:t>
      </w:r>
    </w:p>
    <w:p w:rsidR="00354328" w:rsidRPr="00D176C6" w:rsidRDefault="00354328" w:rsidP="00354328">
      <w:pPr>
        <w:spacing w:line="240" w:lineRule="auto"/>
        <w:jc w:val="both"/>
        <w:rPr>
          <w:rFonts w:ascii="Times New Roman" w:hAnsi="Times New Roman" w:cs="Times New Roman"/>
          <w:sz w:val="24"/>
          <w:szCs w:val="24"/>
        </w:rPr>
      </w:pPr>
      <w:r w:rsidRPr="00D176C6">
        <w:rPr>
          <w:rFonts w:ascii="Times New Roman" w:hAnsi="Times New Roman" w:cs="Times New Roman"/>
          <w:sz w:val="24"/>
          <w:szCs w:val="24"/>
        </w:rPr>
        <w:t>En opinión de Ducrozet, “es todo un logro para Lagarde haber alcanzado la unanimidad en la primera subida de tipos del 0,75%. Es en parte atribuible al cambio de profesionales como Draghi, Constancio y Praet a otros como Lagarde, Schnabel y Lane, ex ministros de finanzas y políticos,</w:t>
      </w:r>
      <w:r>
        <w:rPr>
          <w:rFonts w:ascii="Times New Roman" w:hAnsi="Times New Roman" w:cs="Times New Roman"/>
          <w:sz w:val="24"/>
          <w:szCs w:val="24"/>
        </w:rPr>
        <w:t xml:space="preserve"> más sensibles a la inflación”.</w:t>
      </w:r>
    </w:p>
    <w:p w:rsidR="00354328" w:rsidRPr="00D176C6" w:rsidRDefault="00354328" w:rsidP="00354328">
      <w:pPr>
        <w:spacing w:line="240" w:lineRule="auto"/>
        <w:jc w:val="both"/>
        <w:rPr>
          <w:rFonts w:ascii="Times New Roman" w:hAnsi="Times New Roman" w:cs="Times New Roman"/>
          <w:sz w:val="24"/>
          <w:szCs w:val="24"/>
        </w:rPr>
      </w:pPr>
      <w:r w:rsidRPr="00D176C6">
        <w:rPr>
          <w:rFonts w:ascii="Times New Roman" w:hAnsi="Times New Roman" w:cs="Times New Roman"/>
          <w:sz w:val="24"/>
          <w:szCs w:val="24"/>
        </w:rPr>
        <w:t>Consenso político</w:t>
      </w:r>
    </w:p>
    <w:p w:rsidR="00354328" w:rsidRPr="005833EE" w:rsidRDefault="00354328" w:rsidP="00354328">
      <w:pPr>
        <w:spacing w:line="240" w:lineRule="auto"/>
        <w:jc w:val="both"/>
        <w:rPr>
          <w:rFonts w:ascii="Times New Roman" w:hAnsi="Times New Roman" w:cs="Times New Roman"/>
          <w:sz w:val="24"/>
          <w:szCs w:val="24"/>
          <w:u w:val="single"/>
        </w:rPr>
      </w:pPr>
      <w:r w:rsidRPr="005833EE">
        <w:rPr>
          <w:rFonts w:ascii="Times New Roman" w:hAnsi="Times New Roman" w:cs="Times New Roman"/>
          <w:sz w:val="24"/>
          <w:szCs w:val="24"/>
          <w:u w:val="single"/>
        </w:rPr>
        <w:t>El Consejo de Gobierno del BCE está integrado de hecho por varios gobernadores con una reciente trayectoria política, como el finlandés Olli Rehn, exministro en su país y excomisario europeo, o Mario Centeno, expresidente del Eurogrupo y exministro de finanzas portugués, además del exministro de economía español y hoy vicepresidente del BCE, Luis de Guindos.</w:t>
      </w:r>
    </w:p>
    <w:p w:rsidR="00354328" w:rsidRPr="005833EE" w:rsidRDefault="00354328" w:rsidP="00354328">
      <w:pPr>
        <w:spacing w:line="240" w:lineRule="auto"/>
        <w:jc w:val="both"/>
        <w:rPr>
          <w:rFonts w:ascii="Times New Roman" w:hAnsi="Times New Roman" w:cs="Times New Roman"/>
          <w:color w:val="FF0000"/>
          <w:sz w:val="24"/>
          <w:szCs w:val="24"/>
          <w:u w:val="single"/>
        </w:rPr>
      </w:pPr>
      <w:r w:rsidRPr="005833EE">
        <w:rPr>
          <w:rFonts w:ascii="Times New Roman" w:hAnsi="Times New Roman" w:cs="Times New Roman"/>
          <w:color w:val="FF0000"/>
          <w:sz w:val="24"/>
          <w:szCs w:val="24"/>
          <w:u w:val="single"/>
        </w:rPr>
        <w:t>Pero estas trayectorias no ponen en cuestión el foco del mandato del BCE: la estabilidad de precios. “El principal éxito de Lagarde es que ha reforzado la estrategia de Draghi. El BCE era muy político bajo la presidencia de Trichet. Se convirtió en un verdadero banco central con Draghi y Lagarde no cambió esta estrategia. Es importante a largo plazo”, apunta Waechter.</w:t>
      </w:r>
    </w:p>
    <w:p w:rsidR="00354328" w:rsidRPr="005833EE" w:rsidRDefault="00354328" w:rsidP="00354328">
      <w:pPr>
        <w:spacing w:line="240" w:lineRule="auto"/>
        <w:jc w:val="both"/>
        <w:rPr>
          <w:rFonts w:ascii="Times New Roman" w:hAnsi="Times New Roman" w:cs="Times New Roman"/>
          <w:color w:val="FF0000"/>
          <w:sz w:val="24"/>
          <w:szCs w:val="24"/>
          <w:u w:val="single"/>
        </w:rPr>
      </w:pPr>
      <w:r w:rsidRPr="005833EE">
        <w:rPr>
          <w:rFonts w:ascii="Times New Roman" w:hAnsi="Times New Roman" w:cs="Times New Roman"/>
          <w:color w:val="FF0000"/>
          <w:sz w:val="24"/>
          <w:szCs w:val="24"/>
          <w:u w:val="single"/>
        </w:rPr>
        <w:t>El alza desbocada de los precios en la zona euro es ahora la bestia negra de Lagarde</w:t>
      </w:r>
      <w:r>
        <w:rPr>
          <w:rFonts w:ascii="Times New Roman" w:hAnsi="Times New Roman" w:cs="Times New Roman"/>
          <w:sz w:val="24"/>
          <w:szCs w:val="24"/>
          <w:u w:val="single"/>
        </w:rPr>
        <w:t>.</w:t>
      </w:r>
      <w:r>
        <w:rPr>
          <w:rFonts w:ascii="Times New Roman" w:hAnsi="Times New Roman" w:cs="Times New Roman"/>
          <w:sz w:val="24"/>
          <w:szCs w:val="24"/>
        </w:rPr>
        <w:t xml:space="preserve"> </w:t>
      </w:r>
      <w:r w:rsidRPr="005833EE">
        <w:rPr>
          <w:rFonts w:ascii="Times New Roman" w:hAnsi="Times New Roman" w:cs="Times New Roman"/>
          <w:color w:val="FF0000"/>
          <w:sz w:val="24"/>
          <w:szCs w:val="24"/>
          <w:u w:val="single"/>
        </w:rPr>
        <w:t xml:space="preserve">Su discurso sobre la inflación se ha ido amoldando desde un análisis inicial en el que el alza de precios era un fenómeno transitorio, causado por la reapertura de la economía tras el </w:t>
      </w:r>
      <w:r w:rsidRPr="005833EE">
        <w:rPr>
          <w:rFonts w:ascii="Times New Roman" w:hAnsi="Times New Roman" w:cs="Times New Roman"/>
          <w:color w:val="FF0000"/>
          <w:sz w:val="24"/>
          <w:szCs w:val="24"/>
          <w:u w:val="single"/>
        </w:rPr>
        <w:lastRenderedPageBreak/>
        <w:t>cerrojazo de la pandemia, hasta el mensaje actual de contener el alza de precios por encima de todo. Incluso por encima del crecimiento si fuera necesario.</w:t>
      </w:r>
    </w:p>
    <w:p w:rsidR="00354328" w:rsidRPr="00D176C6" w:rsidRDefault="00354328" w:rsidP="00354328">
      <w:pPr>
        <w:spacing w:line="240" w:lineRule="auto"/>
        <w:jc w:val="both"/>
        <w:rPr>
          <w:rFonts w:ascii="Times New Roman" w:hAnsi="Times New Roman" w:cs="Times New Roman"/>
          <w:sz w:val="24"/>
          <w:szCs w:val="24"/>
        </w:rPr>
      </w:pPr>
      <w:r w:rsidRPr="00D176C6">
        <w:rPr>
          <w:rFonts w:ascii="Times New Roman" w:hAnsi="Times New Roman" w:cs="Times New Roman"/>
          <w:sz w:val="24"/>
          <w:szCs w:val="24"/>
        </w:rPr>
        <w:t>Para Rubén Segura-Cayuela, economista jefe para Europa de Bank of America, “el perfil de Lagarde es hoy mucho más halcón, aunque el entorno económico actual es completamente diferente del de cuando inició la presidencia del BCE hace tres años”. La presidenta del banco central lució en su primera rueda de prensa un búho en la solapa, símbolo de sabiduría según explicó y con el que además simbolizaba una posición de neutralidad entre halcones y palomas, entre los partidarios de una política monetaria más restrictiva y los defe</w:t>
      </w:r>
      <w:r>
        <w:rPr>
          <w:rFonts w:ascii="Times New Roman" w:hAnsi="Times New Roman" w:cs="Times New Roman"/>
          <w:sz w:val="24"/>
          <w:szCs w:val="24"/>
        </w:rPr>
        <w:t>nsores de una más acomodaticia.</w:t>
      </w:r>
    </w:p>
    <w:p w:rsidR="00354328" w:rsidRPr="005833EE" w:rsidRDefault="00354328" w:rsidP="00354328">
      <w:pPr>
        <w:spacing w:line="240" w:lineRule="auto"/>
        <w:jc w:val="both"/>
        <w:rPr>
          <w:rFonts w:ascii="Times New Roman" w:hAnsi="Times New Roman" w:cs="Times New Roman"/>
          <w:sz w:val="24"/>
          <w:szCs w:val="24"/>
          <w:u w:val="single"/>
        </w:rPr>
      </w:pPr>
      <w:r w:rsidRPr="005833EE">
        <w:rPr>
          <w:rFonts w:ascii="Times New Roman" w:hAnsi="Times New Roman" w:cs="Times New Roman"/>
          <w:color w:val="FF0000"/>
          <w:sz w:val="24"/>
          <w:szCs w:val="24"/>
          <w:u w:val="single"/>
        </w:rPr>
        <w:t>Ahora, los halcones son mayoría, como revela la subida de tipos en 200 puntos básicos en poco más de tres meses. “El Consejo de Gobierno del BCE está claramente dominado por los halcones y, lo que es más importante, la inflación es la principal referencia a la hora de decidir la política”,</w:t>
      </w:r>
      <w:r w:rsidRPr="00D176C6">
        <w:rPr>
          <w:rFonts w:ascii="Times New Roman" w:hAnsi="Times New Roman" w:cs="Times New Roman"/>
          <w:sz w:val="24"/>
          <w:szCs w:val="24"/>
        </w:rPr>
        <w:t xml:space="preserve"> prosigue Segura-Cayuela. Para Alessandor Tentori, director de inversores de Axa IM, </w:t>
      </w:r>
      <w:r w:rsidRPr="005833EE">
        <w:rPr>
          <w:rFonts w:ascii="Times New Roman" w:hAnsi="Times New Roman" w:cs="Times New Roman"/>
          <w:sz w:val="24"/>
          <w:szCs w:val="24"/>
          <w:u w:val="single"/>
        </w:rPr>
        <w:t>“el Consejo de Gobierno se ha vuelto más agresivo casi por definición, ya que se ha embarcado en subidas de tipos a gran escala. Hace sólo doce meses, se podían contar los halcones con los dedos de una mano”.</w:t>
      </w:r>
    </w:p>
    <w:p w:rsidR="00354328" w:rsidRPr="005833EE" w:rsidRDefault="00354328" w:rsidP="00354328">
      <w:pPr>
        <w:spacing w:line="240" w:lineRule="auto"/>
        <w:jc w:val="both"/>
        <w:rPr>
          <w:rFonts w:ascii="Times New Roman" w:hAnsi="Times New Roman" w:cs="Times New Roman"/>
          <w:color w:val="FF0000"/>
          <w:sz w:val="24"/>
          <w:szCs w:val="24"/>
          <w:u w:val="single"/>
        </w:rPr>
      </w:pPr>
      <w:r w:rsidRPr="005833EE">
        <w:rPr>
          <w:rFonts w:ascii="Times New Roman" w:hAnsi="Times New Roman" w:cs="Times New Roman"/>
          <w:color w:val="FF0000"/>
          <w:sz w:val="24"/>
          <w:szCs w:val="24"/>
          <w:u w:val="single"/>
        </w:rPr>
        <w:t>Lagarde tiene ahora por delante el desafío de embridar una inflación que, como señala Tentori, está causada principalmente por las perturbaciones en la oferta, en especial de la energía. “Desgraciadamente, los bancos centrales modernos no están bien preparados para controlar este tipo de inflación, que por definición sólo es marginalmente sensible a los tipos de interés. Es probable que la inflación de la eurozona se acelere aún más en los próximos meses”, añade.</w:t>
      </w:r>
    </w:p>
    <w:p w:rsidR="00354328" w:rsidRPr="005833EE" w:rsidRDefault="00354328" w:rsidP="00354328">
      <w:pPr>
        <w:spacing w:line="240" w:lineRule="auto"/>
        <w:jc w:val="both"/>
        <w:rPr>
          <w:rFonts w:ascii="Times New Roman" w:hAnsi="Times New Roman" w:cs="Times New Roman"/>
          <w:color w:val="FF0000"/>
          <w:sz w:val="24"/>
          <w:szCs w:val="24"/>
          <w:u w:val="single"/>
        </w:rPr>
      </w:pPr>
      <w:r w:rsidRPr="005833EE">
        <w:rPr>
          <w:rFonts w:ascii="Times New Roman" w:hAnsi="Times New Roman" w:cs="Times New Roman"/>
          <w:color w:val="FF0000"/>
          <w:sz w:val="24"/>
          <w:szCs w:val="24"/>
          <w:u w:val="single"/>
        </w:rPr>
        <w:t>Lagarde ya ha señalado que el camino son las alzas de tipos con las que enfriar la demanda y con ello, la inflación. Para este nuevo reto, el más difícil, ya no hay comodines posibles, el BCE ya no podrá darle a la máquina de crear dinero como en crisis anteriores. Tendrá que hacerlo sin causar demasiado dolor en el bolsillo de los ciudadanos.</w:t>
      </w:r>
    </w:p>
    <w:p w:rsidR="00354328" w:rsidRDefault="00354328" w:rsidP="00354328">
      <w:pPr>
        <w:spacing w:line="240" w:lineRule="auto"/>
        <w:jc w:val="both"/>
        <w:rPr>
          <w:rFonts w:ascii="Times New Roman" w:hAnsi="Times New Roman" w:cs="Times New Roman"/>
          <w:sz w:val="24"/>
          <w:szCs w:val="24"/>
        </w:rPr>
      </w:pPr>
      <w:r w:rsidRPr="00D176C6">
        <w:rPr>
          <w:rFonts w:ascii="Times New Roman" w:hAnsi="Times New Roman" w:cs="Times New Roman"/>
          <w:sz w:val="24"/>
          <w:szCs w:val="24"/>
        </w:rPr>
        <w:t>C</w:t>
      </w:r>
      <w:r>
        <w:rPr>
          <w:rFonts w:ascii="Times New Roman" w:hAnsi="Times New Roman" w:cs="Times New Roman"/>
          <w:sz w:val="24"/>
          <w:szCs w:val="24"/>
        </w:rPr>
        <w:t>ambio climático y nueva estrategia</w:t>
      </w:r>
    </w:p>
    <w:p w:rsidR="00354328" w:rsidRPr="00D176C6" w:rsidRDefault="00354328" w:rsidP="00354328">
      <w:pPr>
        <w:spacing w:line="240" w:lineRule="auto"/>
        <w:jc w:val="both"/>
        <w:rPr>
          <w:rFonts w:ascii="Times New Roman" w:hAnsi="Times New Roman" w:cs="Times New Roman"/>
          <w:sz w:val="24"/>
          <w:szCs w:val="24"/>
        </w:rPr>
      </w:pPr>
      <w:r w:rsidRPr="005833EE">
        <w:rPr>
          <w:rFonts w:ascii="Times New Roman" w:hAnsi="Times New Roman" w:cs="Times New Roman"/>
          <w:color w:val="FF0000"/>
          <w:sz w:val="24"/>
          <w:szCs w:val="24"/>
        </w:rPr>
        <w:t>Finanzas sostenibles</w:t>
      </w:r>
      <w:r w:rsidRPr="00D176C6">
        <w:rPr>
          <w:rFonts w:ascii="Times New Roman" w:hAnsi="Times New Roman" w:cs="Times New Roman"/>
          <w:sz w:val="24"/>
          <w:szCs w:val="24"/>
        </w:rPr>
        <w:t>. Christine Lagarde ha puesto los riesgos económicos vinculados al cambio climático en un lugar más destacado dentro de la tarea de supervisión del BCE. Ha creado una división específica y ha establecido además una hoja de ruta sobre cómo la deuda en balance del BCE se irá adaptando a l</w:t>
      </w:r>
      <w:r>
        <w:rPr>
          <w:rFonts w:ascii="Times New Roman" w:hAnsi="Times New Roman" w:cs="Times New Roman"/>
          <w:sz w:val="24"/>
          <w:szCs w:val="24"/>
        </w:rPr>
        <w:t>os criterios de sostenibilidad.</w:t>
      </w:r>
    </w:p>
    <w:p w:rsidR="00354328" w:rsidRDefault="00354328" w:rsidP="00354328">
      <w:pPr>
        <w:spacing w:line="240" w:lineRule="auto"/>
        <w:jc w:val="both"/>
        <w:rPr>
          <w:rFonts w:ascii="Times New Roman" w:hAnsi="Times New Roman" w:cs="Times New Roman"/>
          <w:sz w:val="24"/>
          <w:szCs w:val="24"/>
        </w:rPr>
      </w:pPr>
      <w:r w:rsidRPr="005833EE">
        <w:rPr>
          <w:rFonts w:ascii="Times New Roman" w:hAnsi="Times New Roman" w:cs="Times New Roman"/>
          <w:color w:val="FF0000"/>
          <w:sz w:val="24"/>
          <w:szCs w:val="24"/>
        </w:rPr>
        <w:t>Revisión</w:t>
      </w:r>
      <w:r w:rsidRPr="00D176C6">
        <w:rPr>
          <w:rFonts w:ascii="Times New Roman" w:hAnsi="Times New Roman" w:cs="Times New Roman"/>
          <w:sz w:val="24"/>
          <w:szCs w:val="24"/>
        </w:rPr>
        <w:t>. Lagarde llegó a la presidencia del BCE con el mensaje de realizar una revisión de la efectividad de las herramientas de política monetaria de la institución que finalizó en una revisión estratégica del mandato. Sigue siendo la estabilidad de precios, con el objetivo de que la inflación se sitúe en el 2% en un horizonte de medio plazo.</w:t>
      </w:r>
    </w:p>
    <w:p w:rsidR="00354328" w:rsidRDefault="00354328" w:rsidP="00354328">
      <w:pPr>
        <w:spacing w:line="240" w:lineRule="auto"/>
        <w:jc w:val="both"/>
        <w:rPr>
          <w:rFonts w:ascii="Times New Roman" w:hAnsi="Times New Roman" w:cs="Times New Roman"/>
          <w:sz w:val="24"/>
          <w:szCs w:val="24"/>
        </w:rPr>
      </w:pPr>
    </w:p>
    <w:p w:rsidR="00354328" w:rsidRPr="00A540F0" w:rsidRDefault="00A540F0" w:rsidP="00354328">
      <w:pPr>
        <w:spacing w:line="240" w:lineRule="auto"/>
        <w:jc w:val="both"/>
        <w:rPr>
          <w:rFonts w:ascii="Times New Roman" w:hAnsi="Times New Roman" w:cs="Times New Roman"/>
          <w:sz w:val="24"/>
          <w:szCs w:val="24"/>
        </w:rPr>
      </w:pPr>
      <w:r w:rsidRPr="00A540F0">
        <w:rPr>
          <w:rFonts w:ascii="Times New Roman" w:hAnsi="Times New Roman" w:cs="Times New Roman"/>
          <w:b/>
          <w:sz w:val="24"/>
          <w:szCs w:val="24"/>
        </w:rPr>
        <w:t>Nota</w:t>
      </w:r>
      <w:r w:rsidRPr="00A540F0">
        <w:rPr>
          <w:rFonts w:ascii="Times New Roman" w:hAnsi="Times New Roman" w:cs="Times New Roman"/>
          <w:sz w:val="24"/>
          <w:szCs w:val="24"/>
        </w:rPr>
        <w:t xml:space="preserve">: </w:t>
      </w:r>
      <w:r w:rsidR="00354328" w:rsidRPr="00A540F0">
        <w:rPr>
          <w:rFonts w:ascii="Times New Roman" w:hAnsi="Times New Roman" w:cs="Times New Roman"/>
          <w:sz w:val="24"/>
          <w:szCs w:val="24"/>
        </w:rPr>
        <w:t>En 2021, según la oficina estadística europea, los ingresos a través de los impuestos y las cotizaciones sociales aumentaron en 520.000 millones de euros en los 27 Estados miembros, hasta alcanzar en conjunto los 6 billones de euros.</w:t>
      </w:r>
    </w:p>
    <w:p w:rsidR="00354328" w:rsidRPr="00A540F0" w:rsidRDefault="00354328" w:rsidP="00354328">
      <w:pPr>
        <w:spacing w:line="240" w:lineRule="auto"/>
        <w:jc w:val="both"/>
        <w:rPr>
          <w:rFonts w:ascii="Times New Roman" w:hAnsi="Times New Roman" w:cs="Times New Roman"/>
          <w:sz w:val="24"/>
          <w:szCs w:val="24"/>
        </w:rPr>
      </w:pPr>
      <w:r w:rsidRPr="00A540F0">
        <w:rPr>
          <w:rFonts w:ascii="Times New Roman" w:hAnsi="Times New Roman" w:cs="Times New Roman"/>
          <w:sz w:val="24"/>
          <w:szCs w:val="24"/>
        </w:rPr>
        <w:t xml:space="preserve">La subida, explica Eurostat, se debe a la recuperación económica posterior a la crisis sanitaria y económica, al impulso del empleo y al devengo de los impuestos aplazados en 2020 con motivo de la pandemia. Por partidas, los impuestos sobre la producción y las importaciones supusieron el 13,8% del PIB; los impuestos corrientes sobre la renta y el patrimonio, entre </w:t>
      </w:r>
      <w:r w:rsidRPr="00A540F0">
        <w:rPr>
          <w:rFonts w:ascii="Times New Roman" w:hAnsi="Times New Roman" w:cs="Times New Roman"/>
          <w:sz w:val="24"/>
          <w:szCs w:val="24"/>
        </w:rPr>
        <w:lastRenderedPageBreak/>
        <w:t>otros, se situaron en el 13,3% del PIB; y las cotizaciones sociales netas alcanzaron el 14,3% de la riqueza.</w:t>
      </w:r>
    </w:p>
    <w:p w:rsidR="00354328" w:rsidRPr="00A540F0" w:rsidRDefault="00354328" w:rsidP="00354328">
      <w:pPr>
        <w:spacing w:line="240" w:lineRule="auto"/>
        <w:jc w:val="both"/>
        <w:rPr>
          <w:rFonts w:ascii="Times New Roman" w:hAnsi="Times New Roman" w:cs="Times New Roman"/>
          <w:sz w:val="24"/>
          <w:szCs w:val="24"/>
        </w:rPr>
      </w:pPr>
    </w:p>
    <w:p w:rsidR="00354328" w:rsidRDefault="00354328" w:rsidP="00354328">
      <w:pPr>
        <w:spacing w:line="240" w:lineRule="auto"/>
        <w:jc w:val="both"/>
        <w:rPr>
          <w:rFonts w:ascii="Times New Roman" w:hAnsi="Times New Roman" w:cs="Times New Roman"/>
          <w:sz w:val="24"/>
          <w:szCs w:val="24"/>
        </w:rPr>
      </w:pPr>
      <w:r>
        <w:rPr>
          <w:noProof/>
          <w:lang w:eastAsia="es-ES"/>
        </w:rPr>
        <w:drawing>
          <wp:inline distT="0" distB="0" distL="0" distR="0" wp14:anchorId="74F7F348" wp14:editId="673CFC3A">
            <wp:extent cx="5731510" cy="3430905"/>
            <wp:effectExtent l="0" t="0" r="2540" b="0"/>
            <wp:docPr id="144" name="Imagen 144" descr="Presión fiscal PI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resión fiscal PIB"/>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731510" cy="3430905"/>
                    </a:xfrm>
                    <a:prstGeom prst="rect">
                      <a:avLst/>
                    </a:prstGeom>
                    <a:noFill/>
                    <a:ln>
                      <a:noFill/>
                    </a:ln>
                  </pic:spPr>
                </pic:pic>
              </a:graphicData>
            </a:graphic>
          </wp:inline>
        </w:drawing>
      </w:r>
    </w:p>
    <w:p w:rsidR="00A440AD" w:rsidRDefault="00A440AD" w:rsidP="00354328">
      <w:pPr>
        <w:spacing w:line="240" w:lineRule="auto"/>
        <w:jc w:val="both"/>
        <w:rPr>
          <w:rFonts w:ascii="Times New Roman" w:hAnsi="Times New Roman" w:cs="Times New Roman"/>
          <w:sz w:val="24"/>
          <w:szCs w:val="24"/>
        </w:rPr>
      </w:pPr>
    </w:p>
    <w:p w:rsidR="00354328" w:rsidRPr="00477C90" w:rsidRDefault="00354328" w:rsidP="0035432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477C90">
        <w:rPr>
          <w:rFonts w:ascii="Times New Roman" w:hAnsi="Times New Roman" w:cs="Times New Roman"/>
          <w:sz w:val="24"/>
          <w:szCs w:val="24"/>
          <w:u w:val="single"/>
        </w:rPr>
        <w:t>Política monetaria: ¿hasta dónde es demasiado lejos</w:t>
      </w:r>
      <w:r w:rsidRPr="00477C90">
        <w:rPr>
          <w:rFonts w:ascii="Times New Roman" w:hAnsi="Times New Roman" w:cs="Times New Roman"/>
          <w:sz w:val="24"/>
          <w:szCs w:val="24"/>
        </w:rPr>
        <w:t>?</w:t>
      </w:r>
      <w:r>
        <w:rPr>
          <w:rFonts w:ascii="Times New Roman" w:hAnsi="Times New Roman" w:cs="Times New Roman"/>
          <w:sz w:val="24"/>
          <w:szCs w:val="24"/>
        </w:rPr>
        <w:t xml:space="preserve"> (Cinco Días - </w:t>
      </w:r>
      <w:r w:rsidRPr="00477C90">
        <w:rPr>
          <w:rFonts w:ascii="Times New Roman" w:hAnsi="Times New Roman" w:cs="Times New Roman"/>
          <w:b/>
          <w:sz w:val="24"/>
          <w:szCs w:val="24"/>
        </w:rPr>
        <w:t>1/11/22</w:t>
      </w:r>
      <w:r>
        <w:rPr>
          <w:rFonts w:ascii="Times New Roman" w:hAnsi="Times New Roman" w:cs="Times New Roman"/>
          <w:sz w:val="24"/>
          <w:szCs w:val="24"/>
        </w:rPr>
        <w:t>)</w:t>
      </w:r>
    </w:p>
    <w:p w:rsidR="00354328" w:rsidRPr="002779D9" w:rsidRDefault="00354328" w:rsidP="00354328">
      <w:pPr>
        <w:spacing w:line="240" w:lineRule="auto"/>
        <w:jc w:val="both"/>
        <w:rPr>
          <w:rFonts w:ascii="Times New Roman" w:hAnsi="Times New Roman" w:cs="Times New Roman"/>
          <w:color w:val="FF0000"/>
          <w:sz w:val="24"/>
          <w:szCs w:val="24"/>
        </w:rPr>
      </w:pPr>
      <w:r w:rsidRPr="002779D9">
        <w:rPr>
          <w:rFonts w:ascii="Times New Roman" w:hAnsi="Times New Roman" w:cs="Times New Roman"/>
          <w:color w:val="FF0000"/>
          <w:sz w:val="24"/>
          <w:szCs w:val="24"/>
        </w:rPr>
        <w:t>El crecimiento se está desacelerando en Europa y los riesgos de inestabilidad financiera están aumentando</w:t>
      </w:r>
    </w:p>
    <w:p w:rsidR="00354328" w:rsidRPr="00A77587" w:rsidRDefault="00354328" w:rsidP="00354328">
      <w:pPr>
        <w:spacing w:line="240" w:lineRule="auto"/>
        <w:jc w:val="both"/>
        <w:rPr>
          <w:rFonts w:ascii="Times New Roman" w:hAnsi="Times New Roman" w:cs="Times New Roman"/>
          <w:sz w:val="24"/>
          <w:szCs w:val="24"/>
        </w:rPr>
      </w:pPr>
      <w:r w:rsidRPr="00A77587">
        <w:rPr>
          <w:rFonts w:ascii="Times New Roman" w:hAnsi="Times New Roman" w:cs="Times New Roman"/>
          <w:sz w:val="24"/>
          <w:szCs w:val="24"/>
        </w:rPr>
        <w:t>(Por Gilles Moëc y Chris Iggo)</w:t>
      </w:r>
    </w:p>
    <w:p w:rsidR="00354328" w:rsidRPr="002779D9" w:rsidRDefault="00354328" w:rsidP="00354328">
      <w:pPr>
        <w:spacing w:line="240" w:lineRule="auto"/>
        <w:jc w:val="both"/>
        <w:rPr>
          <w:rFonts w:ascii="Times New Roman" w:hAnsi="Times New Roman" w:cs="Times New Roman"/>
          <w:color w:val="FF0000"/>
          <w:sz w:val="24"/>
          <w:szCs w:val="24"/>
          <w:u w:val="single"/>
        </w:rPr>
      </w:pPr>
      <w:r w:rsidRPr="002779D9">
        <w:rPr>
          <w:rFonts w:ascii="Times New Roman" w:hAnsi="Times New Roman" w:cs="Times New Roman"/>
          <w:color w:val="FF0000"/>
          <w:sz w:val="24"/>
          <w:szCs w:val="24"/>
          <w:u w:val="single"/>
        </w:rPr>
        <w:t>Mientras el mercado laboral estadounidense siga siendo resistente, alimentando un crecimiento salarial excesivo, la Fed tiene la intención de seguir hablando y actuando con dureza. Mientras la Fed suba los tipos, otros bancos centrales -incluido el BCE- se verán obligados a seguirlos, independientemente de sus propias condiciones cíclicas internas, para evitar una depreciación de su moneda que desencadene otra aceleración de la inflación importada. Esta es la desafortunada combinación que mantiene a los mercados financieros bajo presión.</w:t>
      </w:r>
    </w:p>
    <w:p w:rsidR="00354328" w:rsidRPr="002779D9" w:rsidRDefault="00354328" w:rsidP="00354328">
      <w:pPr>
        <w:spacing w:line="240" w:lineRule="auto"/>
        <w:jc w:val="both"/>
        <w:rPr>
          <w:rFonts w:ascii="Times New Roman" w:hAnsi="Times New Roman" w:cs="Times New Roman"/>
          <w:color w:val="FF0000"/>
          <w:sz w:val="24"/>
          <w:szCs w:val="24"/>
          <w:u w:val="single"/>
        </w:rPr>
      </w:pPr>
      <w:r w:rsidRPr="002779D9">
        <w:rPr>
          <w:rFonts w:ascii="Times New Roman" w:hAnsi="Times New Roman" w:cs="Times New Roman"/>
          <w:color w:val="FF0000"/>
          <w:sz w:val="24"/>
          <w:szCs w:val="24"/>
          <w:u w:val="single"/>
        </w:rPr>
        <w:t>La cuestión clave para la Fed es conseguir la calibración correcta del endurecimiento necesario para forzar finalmente el aterrizaje del mercado laboral. Para un banco central cada vez más frustrado, la conclusión que se desprende del reciente flujo de datos es que necesita mover su tipo de interés más hacia el territorio restrictivo, es decir, significativamente por encima del rango neutral.</w:t>
      </w:r>
    </w:p>
    <w:p w:rsidR="00354328" w:rsidRPr="002779D9" w:rsidRDefault="00354328" w:rsidP="00354328">
      <w:pPr>
        <w:spacing w:line="240" w:lineRule="auto"/>
        <w:jc w:val="both"/>
        <w:rPr>
          <w:rFonts w:ascii="Times New Roman" w:hAnsi="Times New Roman" w:cs="Times New Roman"/>
          <w:color w:val="FF0000"/>
          <w:sz w:val="24"/>
          <w:szCs w:val="24"/>
          <w:u w:val="single"/>
        </w:rPr>
      </w:pPr>
      <w:r w:rsidRPr="002779D9">
        <w:rPr>
          <w:rFonts w:ascii="Times New Roman" w:hAnsi="Times New Roman" w:cs="Times New Roman"/>
          <w:color w:val="FF0000"/>
          <w:sz w:val="24"/>
          <w:szCs w:val="24"/>
          <w:u w:val="single"/>
        </w:rPr>
        <w:t>Sin embargo, existe un riesgo real de que el endurecimiento monetario vaya demasiado lejos. De hecho, la situación del mercado laboral depende de la política monetaria de hace seis o nueve meses. Los retrasos son la perdición de los responsables políticos que dependen de los datos. La línea que separa lo restrictivo de lo excesivamente restrictivo es muy fina.</w:t>
      </w:r>
    </w:p>
    <w:p w:rsidR="00354328" w:rsidRPr="002779D9" w:rsidRDefault="00354328" w:rsidP="00354328">
      <w:pPr>
        <w:spacing w:line="240" w:lineRule="auto"/>
        <w:jc w:val="both"/>
        <w:rPr>
          <w:rFonts w:ascii="Times New Roman" w:hAnsi="Times New Roman" w:cs="Times New Roman"/>
          <w:b/>
          <w:color w:val="FF0000"/>
          <w:sz w:val="24"/>
          <w:szCs w:val="24"/>
          <w:u w:val="single"/>
        </w:rPr>
      </w:pPr>
      <w:r w:rsidRPr="002779D9">
        <w:rPr>
          <w:rFonts w:ascii="Times New Roman" w:hAnsi="Times New Roman" w:cs="Times New Roman"/>
          <w:b/>
          <w:color w:val="FF0000"/>
          <w:sz w:val="24"/>
          <w:szCs w:val="24"/>
          <w:u w:val="single"/>
        </w:rPr>
        <w:lastRenderedPageBreak/>
        <w:t>Hay dos problemas con la noción de tipo neutral, que normalmente permite calibrar el grado de restricción aplicado por el banco central. En primer lugar, la estimación de la posición exacta del tipo neutro es muy difícil en tiempo real. En segundo lugar, centrarse únicamente en el tipo de interés oficial puede ser engañoso. Lo que importa es el impacto de las condiciones financieras generales en la actividad económica y, por tanto, en la inflación. No es de extrañar que estos límites del concepto pongan bastante nervioso al mercado, ya que entrañan importantes riesgos de que se produzca un error de política.</w:t>
      </w:r>
    </w:p>
    <w:p w:rsidR="00354328" w:rsidRPr="002779D9" w:rsidRDefault="00354328" w:rsidP="00354328">
      <w:pPr>
        <w:spacing w:line="240" w:lineRule="auto"/>
        <w:jc w:val="both"/>
        <w:rPr>
          <w:rFonts w:ascii="Times New Roman" w:hAnsi="Times New Roman" w:cs="Times New Roman"/>
          <w:b/>
          <w:color w:val="FF0000"/>
          <w:sz w:val="24"/>
          <w:szCs w:val="24"/>
          <w:u w:val="single"/>
        </w:rPr>
      </w:pPr>
      <w:r w:rsidRPr="002779D9">
        <w:rPr>
          <w:rFonts w:ascii="Times New Roman" w:hAnsi="Times New Roman" w:cs="Times New Roman"/>
          <w:b/>
          <w:color w:val="FF0000"/>
          <w:sz w:val="24"/>
          <w:szCs w:val="24"/>
          <w:u w:val="single"/>
        </w:rPr>
        <w:t>Los banqueros centrales suelen pensar en el impacto de su acción en términos lineales, con la economía reaccionando gradualmente al cambio en la orientación de la política monetaria. Sin embargo, siempre existe el riesgo de que la economía real se rompa de golpe una vez que se alcanza un determinado umbral en las condiciones financieras, y esto es más probable cuando el endurecimiento monetario se aplica a un ritmo rápido, como ocurre actualmente.</w:t>
      </w:r>
    </w:p>
    <w:p w:rsidR="00354328" w:rsidRPr="002779D9" w:rsidRDefault="00354328" w:rsidP="00354328">
      <w:pPr>
        <w:spacing w:line="240" w:lineRule="auto"/>
        <w:jc w:val="both"/>
        <w:rPr>
          <w:rFonts w:ascii="Times New Roman" w:hAnsi="Times New Roman" w:cs="Times New Roman"/>
          <w:color w:val="FF0000"/>
          <w:sz w:val="24"/>
          <w:szCs w:val="24"/>
          <w:u w:val="single"/>
        </w:rPr>
      </w:pPr>
      <w:r w:rsidRPr="00477C90">
        <w:rPr>
          <w:rFonts w:ascii="Times New Roman" w:hAnsi="Times New Roman" w:cs="Times New Roman"/>
          <w:sz w:val="24"/>
          <w:szCs w:val="24"/>
        </w:rPr>
        <w:t xml:space="preserve">A ambos lados del Atlántico, el déficit de refinanciación de las empresas está en su nivel más alto desde la gran crisis financiera. En la eurozona, dado el predominio de la financiación intermediada, lo más importante es el comportamiento de los bancos. Desde este punto de vista, la última encuesta sobre préstamos bancarios publicada por el BCE el 25 de octubre envía un mensaje preocupante. El endurecimiento neto de las normas de crédito para los préstamos a las empresas registrado en el tercer trimestre de 2022 fue mayor que durante la breve pero intensa agitación de los mercados financieros al principio de la pandemia, y los bancos indicaron que esperan otro endurecimiento neto significativo en el cuarto trimestre. </w:t>
      </w:r>
      <w:r w:rsidRPr="002779D9">
        <w:rPr>
          <w:rFonts w:ascii="Times New Roman" w:hAnsi="Times New Roman" w:cs="Times New Roman"/>
          <w:color w:val="FF0000"/>
          <w:sz w:val="24"/>
          <w:szCs w:val="24"/>
          <w:u w:val="single"/>
        </w:rPr>
        <w:t>En general, se espera que el BCE alcance el extremo superior del rango neutral de su tipo de interés oficial a finales de 2022, pero las condiciones generales de financiación podrían estar ya en territorio restrictivo.</w:t>
      </w:r>
    </w:p>
    <w:p w:rsidR="00354328" w:rsidRPr="002779D9" w:rsidRDefault="00354328" w:rsidP="00354328">
      <w:pPr>
        <w:spacing w:line="240" w:lineRule="auto"/>
        <w:jc w:val="both"/>
        <w:rPr>
          <w:rFonts w:ascii="Times New Roman" w:hAnsi="Times New Roman" w:cs="Times New Roman"/>
          <w:color w:val="FF0000"/>
          <w:sz w:val="24"/>
          <w:szCs w:val="24"/>
          <w:u w:val="single"/>
        </w:rPr>
      </w:pPr>
      <w:r w:rsidRPr="002779D9">
        <w:rPr>
          <w:rFonts w:ascii="Times New Roman" w:hAnsi="Times New Roman" w:cs="Times New Roman"/>
          <w:color w:val="FF0000"/>
          <w:sz w:val="24"/>
          <w:szCs w:val="24"/>
          <w:u w:val="single"/>
        </w:rPr>
        <w:t>Mientras tanto, el crecimiento se está desacelerando y los riesgos de inestabilidad financiera están aumentando. Una combinación de pruebas de un pico de inflación, datos económicos más débiles e inestabilidad financiera acabará por poner fin al ciclo de subidas de tipos. Sin embargo, hasta que los banqueros centrales parpadeen, es probable que los mercados sigan muy nerviosos. En Europa, cada vez hay más indicios de que la economía de la zona euro está entrando en territorio de contracción.</w:t>
      </w:r>
    </w:p>
    <w:p w:rsidR="00354328" w:rsidRPr="002779D9" w:rsidRDefault="00354328" w:rsidP="00354328">
      <w:pPr>
        <w:spacing w:line="240" w:lineRule="auto"/>
        <w:jc w:val="both"/>
        <w:rPr>
          <w:rFonts w:ascii="Times New Roman" w:hAnsi="Times New Roman" w:cs="Times New Roman"/>
          <w:color w:val="FF0000"/>
          <w:sz w:val="24"/>
          <w:szCs w:val="24"/>
          <w:u w:val="single"/>
        </w:rPr>
      </w:pPr>
      <w:r w:rsidRPr="002779D9">
        <w:rPr>
          <w:rFonts w:ascii="Times New Roman" w:hAnsi="Times New Roman" w:cs="Times New Roman"/>
          <w:sz w:val="24"/>
          <w:szCs w:val="24"/>
          <w:u w:val="single"/>
        </w:rPr>
        <w:t>Los mercados pueden forzar cambios en las políticas. Reino Unido ha ofrecido recientemente un ejemplo extremo. El desafortunado intento de introducir un paquete de recortes fiscales sin financiación se encontró con una crisis monetaria y un colapso del mercado de bonos</w:t>
      </w:r>
      <w:r w:rsidRPr="00477C90">
        <w:rPr>
          <w:rFonts w:ascii="Times New Roman" w:hAnsi="Times New Roman" w:cs="Times New Roman"/>
          <w:sz w:val="24"/>
          <w:szCs w:val="24"/>
        </w:rPr>
        <w:t xml:space="preserve">. Estos movimientos del mercado se volvieron desordenados, ya que desencadenaron la venta urgente de activos por parte de inversores apalancados en el mundo normalmente tranquilo de los fondos de pensiones. </w:t>
      </w:r>
      <w:r w:rsidRPr="002779D9">
        <w:rPr>
          <w:rFonts w:ascii="Times New Roman" w:hAnsi="Times New Roman" w:cs="Times New Roman"/>
          <w:sz w:val="24"/>
          <w:szCs w:val="24"/>
          <w:u w:val="single"/>
        </w:rPr>
        <w:t>El resultado fue un giro masivo en las políticas fiscales, la creación de un mecanismo de compra de bonos de emergencia en el Banco de Inglaterra y otro cambio de liderazgo político.</w:t>
      </w:r>
      <w:r w:rsidRPr="00477C90">
        <w:rPr>
          <w:rFonts w:ascii="Times New Roman" w:hAnsi="Times New Roman" w:cs="Times New Roman"/>
          <w:sz w:val="24"/>
          <w:szCs w:val="24"/>
        </w:rPr>
        <w:t xml:space="preserve"> </w:t>
      </w:r>
      <w:r w:rsidRPr="002779D9">
        <w:rPr>
          <w:rFonts w:ascii="Times New Roman" w:hAnsi="Times New Roman" w:cs="Times New Roman"/>
          <w:color w:val="FF0000"/>
          <w:sz w:val="24"/>
          <w:szCs w:val="24"/>
          <w:u w:val="single"/>
        </w:rPr>
        <w:t>También fue un recordatorio muy claro de que la inestabilidad financiera puede estallar en cualquier lugar. El mensaje del mercado a los responsables políticos del Reino Unido fue “no arriesguen la sostenibilidad de la deuda”.</w:t>
      </w:r>
    </w:p>
    <w:p w:rsidR="00354328" w:rsidRPr="00477C90" w:rsidRDefault="00354328" w:rsidP="00354328">
      <w:pPr>
        <w:spacing w:line="240" w:lineRule="auto"/>
        <w:jc w:val="both"/>
        <w:rPr>
          <w:rFonts w:ascii="Times New Roman" w:hAnsi="Times New Roman" w:cs="Times New Roman"/>
          <w:sz w:val="24"/>
          <w:szCs w:val="24"/>
        </w:rPr>
      </w:pPr>
      <w:r w:rsidRPr="002779D9">
        <w:rPr>
          <w:rFonts w:ascii="Times New Roman" w:hAnsi="Times New Roman" w:cs="Times New Roman"/>
          <w:b/>
          <w:color w:val="FF0000"/>
          <w:sz w:val="24"/>
          <w:szCs w:val="24"/>
          <w:u w:val="single"/>
        </w:rPr>
        <w:t>Los bancos centrales están creando condiciones para un giro de tendencia. Un endurecimiento agresivo en 2022, en un contexto de rápida desaceleración del crecimiento económico y de aumento de los riesgos para la estabilidad financiera, hará que los mercados obliguen a un cambio de postura. El mensaje será “no te arriesgues a una recesión masiva” cuando es muy probable que la inflación se modere en 2023.</w:t>
      </w:r>
      <w:r w:rsidRPr="00477C90">
        <w:rPr>
          <w:rFonts w:ascii="Times New Roman" w:hAnsi="Times New Roman" w:cs="Times New Roman"/>
          <w:sz w:val="24"/>
          <w:szCs w:val="24"/>
        </w:rPr>
        <w:t xml:space="preserve"> El </w:t>
      </w:r>
      <w:r w:rsidRPr="00477C90">
        <w:rPr>
          <w:rFonts w:ascii="Times New Roman" w:hAnsi="Times New Roman" w:cs="Times New Roman"/>
          <w:sz w:val="24"/>
          <w:szCs w:val="24"/>
        </w:rPr>
        <w:lastRenderedPageBreak/>
        <w:t>nivel de los tipos de interés y de los rendimientos de los bonos será más alto en el futuro que en la era de la QE, pero mientras los bancos centrales dejen primero de subir los tipos y luego moderen su postura monetaria en los próximos dos años, los inversores pueden mirar hacia el inicio de la creación de riqueza de nuevo en lugar de protegerse contra las continuas pérd</w:t>
      </w:r>
      <w:r>
        <w:rPr>
          <w:rFonts w:ascii="Times New Roman" w:hAnsi="Times New Roman" w:cs="Times New Roman"/>
          <w:sz w:val="24"/>
          <w:szCs w:val="24"/>
        </w:rPr>
        <w:t xml:space="preserve">idas que han plagado este año. </w:t>
      </w:r>
    </w:p>
    <w:p w:rsidR="00354328" w:rsidRDefault="00A440AD" w:rsidP="00354328">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(Gilles Moëc-</w:t>
      </w:r>
      <w:r w:rsidR="00354328" w:rsidRPr="00477C90">
        <w:rPr>
          <w:rFonts w:ascii="Times New Roman" w:hAnsi="Times New Roman" w:cs="Times New Roman"/>
          <w:sz w:val="24"/>
          <w:szCs w:val="24"/>
          <w:lang w:val="en-US"/>
        </w:rPr>
        <w:t>Chris Iggo</w:t>
      </w:r>
      <w:r>
        <w:rPr>
          <w:rFonts w:ascii="Times New Roman" w:hAnsi="Times New Roman" w:cs="Times New Roman"/>
          <w:sz w:val="24"/>
          <w:szCs w:val="24"/>
          <w:lang w:val="en-US"/>
        </w:rPr>
        <w:t>,</w:t>
      </w:r>
      <w:r w:rsidR="00354328" w:rsidRPr="00477C90">
        <w:rPr>
          <w:rFonts w:ascii="Times New Roman" w:hAnsi="Times New Roman" w:cs="Times New Roman"/>
          <w:sz w:val="24"/>
          <w:szCs w:val="24"/>
          <w:lang w:val="en-US"/>
        </w:rPr>
        <w:t xml:space="preserve"> son Economista jefe</w:t>
      </w:r>
      <w:r>
        <w:rPr>
          <w:rFonts w:ascii="Times New Roman" w:hAnsi="Times New Roman" w:cs="Times New Roman"/>
          <w:sz w:val="24"/>
          <w:szCs w:val="24"/>
          <w:lang w:val="en-US"/>
        </w:rPr>
        <w:t>-</w:t>
      </w:r>
      <w:r w:rsidR="00354328" w:rsidRPr="00477C90">
        <w:rPr>
          <w:rFonts w:ascii="Times New Roman" w:hAnsi="Times New Roman" w:cs="Times New Roman"/>
          <w:sz w:val="24"/>
          <w:szCs w:val="24"/>
          <w:lang w:val="en-US"/>
        </w:rPr>
        <w:t>Core Investment. AXA Investment Managers</w:t>
      </w:r>
      <w:r w:rsidR="00354328">
        <w:rPr>
          <w:rFonts w:ascii="Times New Roman" w:hAnsi="Times New Roman" w:cs="Times New Roman"/>
          <w:sz w:val="24"/>
          <w:szCs w:val="24"/>
          <w:lang w:val="en-US"/>
        </w:rPr>
        <w:t>)</w:t>
      </w:r>
    </w:p>
    <w:p w:rsidR="00354328" w:rsidRPr="00337CD2" w:rsidRDefault="00354328" w:rsidP="0035432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A440AD">
        <w:rPr>
          <w:rFonts w:ascii="Times New Roman" w:hAnsi="Times New Roman" w:cs="Times New Roman"/>
          <w:sz w:val="24"/>
          <w:szCs w:val="24"/>
          <w:u w:val="single"/>
        </w:rPr>
        <w:t>El-Erian explica cómo el “inevitable”</w:t>
      </w:r>
      <w:r w:rsidRPr="00337CD2">
        <w:rPr>
          <w:rFonts w:ascii="Times New Roman" w:hAnsi="Times New Roman" w:cs="Times New Roman"/>
          <w:sz w:val="24"/>
          <w:szCs w:val="24"/>
          <w:u w:val="single"/>
        </w:rPr>
        <w:t xml:space="preserve"> giro del Banco de Japón podría sacudir a los mercados mundiales</w:t>
      </w:r>
      <w:r>
        <w:rPr>
          <w:rFonts w:ascii="Times New Roman" w:hAnsi="Times New Roman" w:cs="Times New Roman"/>
          <w:sz w:val="24"/>
          <w:szCs w:val="24"/>
        </w:rPr>
        <w:t xml:space="preserve"> (El Economista - </w:t>
      </w:r>
      <w:r w:rsidRPr="00337CD2">
        <w:rPr>
          <w:rFonts w:ascii="Times New Roman" w:hAnsi="Times New Roman" w:cs="Times New Roman"/>
          <w:b/>
          <w:sz w:val="24"/>
          <w:szCs w:val="24"/>
        </w:rPr>
        <w:t>31/10/22</w:t>
      </w:r>
      <w:r>
        <w:rPr>
          <w:rFonts w:ascii="Times New Roman" w:hAnsi="Times New Roman" w:cs="Times New Roman"/>
          <w:sz w:val="24"/>
          <w:szCs w:val="24"/>
        </w:rPr>
        <w:t>)</w:t>
      </w:r>
    </w:p>
    <w:p w:rsidR="00354328" w:rsidRPr="009839E6" w:rsidRDefault="00354328" w:rsidP="00354328">
      <w:pPr>
        <w:spacing w:line="240" w:lineRule="auto"/>
        <w:jc w:val="both"/>
        <w:rPr>
          <w:rFonts w:ascii="Times New Roman" w:hAnsi="Times New Roman" w:cs="Times New Roman"/>
          <w:sz w:val="24"/>
          <w:szCs w:val="24"/>
          <w:u w:val="single"/>
        </w:rPr>
      </w:pPr>
      <w:r w:rsidRPr="002779D9">
        <w:rPr>
          <w:rFonts w:ascii="Times New Roman" w:hAnsi="Times New Roman" w:cs="Times New Roman"/>
          <w:color w:val="FF0000"/>
          <w:sz w:val="24"/>
          <w:szCs w:val="24"/>
          <w:u w:val="single"/>
        </w:rPr>
        <w:t>El Banco de Japón (BoJ) se ha ganado por derecho propio la calificación como el último reducto acomodaticio de los bancos centrales</w:t>
      </w:r>
      <w:r w:rsidRPr="00337CD2">
        <w:rPr>
          <w:rFonts w:ascii="Times New Roman" w:hAnsi="Times New Roman" w:cs="Times New Roman"/>
          <w:sz w:val="24"/>
          <w:szCs w:val="24"/>
        </w:rPr>
        <w:t xml:space="preserve">. </w:t>
      </w:r>
      <w:r w:rsidRPr="009839E6">
        <w:rPr>
          <w:rFonts w:ascii="Times New Roman" w:hAnsi="Times New Roman" w:cs="Times New Roman"/>
          <w:sz w:val="24"/>
          <w:szCs w:val="24"/>
          <w:u w:val="single"/>
        </w:rPr>
        <w:t>Con el resto de sus pares mundiales subiendo los tipos a la carrera ante la acuciante inflación, el instituto monetario nipón continúa con su política dovish de tipos ultrabajos y su fe intacta con el control de la curva de rendimientos implementado desde 2016 (comprar y comprar bonos para mantener en un bajo nivel fijo el interés exigido en las distintas notas). Sin embargo, el contexto mundial y la debilidad del yen ponen a prueba esta resiliencia.</w:t>
      </w:r>
    </w:p>
    <w:p w:rsidR="00354328" w:rsidRPr="00337CD2" w:rsidRDefault="00354328" w:rsidP="00354328">
      <w:pPr>
        <w:spacing w:line="240" w:lineRule="auto"/>
        <w:jc w:val="both"/>
        <w:rPr>
          <w:rFonts w:ascii="Times New Roman" w:hAnsi="Times New Roman" w:cs="Times New Roman"/>
          <w:sz w:val="24"/>
          <w:szCs w:val="24"/>
        </w:rPr>
      </w:pPr>
      <w:r w:rsidRPr="009839E6">
        <w:rPr>
          <w:rFonts w:ascii="Times New Roman" w:hAnsi="Times New Roman" w:cs="Times New Roman"/>
          <w:sz w:val="24"/>
          <w:szCs w:val="24"/>
          <w:u w:val="single"/>
        </w:rPr>
        <w:t>La Reserva Federal de EEUU ha impuesto un poderoso ritmo de subidas de tipos a la que el resto del mundo no es ajeno</w:t>
      </w:r>
      <w:r w:rsidRPr="00337CD2">
        <w:rPr>
          <w:rFonts w:ascii="Times New Roman" w:hAnsi="Times New Roman" w:cs="Times New Roman"/>
          <w:sz w:val="24"/>
          <w:szCs w:val="24"/>
        </w:rPr>
        <w:t>. El diferencial de tipos de la Fed y del BoJ ha arrojado una primera consecuencia propia de los libros de teoría económica: el yen ha empezado a caer por un desfiladero hasta las 150 unidades por dólar, niveles que no se veían en más de dos décadas.</w:t>
      </w:r>
    </w:p>
    <w:p w:rsidR="00354328" w:rsidRPr="009839E6" w:rsidRDefault="00354328" w:rsidP="00354328">
      <w:pPr>
        <w:spacing w:line="240" w:lineRule="auto"/>
        <w:jc w:val="both"/>
        <w:rPr>
          <w:rFonts w:ascii="Times New Roman" w:hAnsi="Times New Roman" w:cs="Times New Roman"/>
          <w:color w:val="FF0000"/>
          <w:sz w:val="24"/>
          <w:szCs w:val="24"/>
          <w:u w:val="single"/>
        </w:rPr>
      </w:pPr>
      <w:r w:rsidRPr="009839E6">
        <w:rPr>
          <w:rFonts w:ascii="Times New Roman" w:hAnsi="Times New Roman" w:cs="Times New Roman"/>
          <w:color w:val="FF0000"/>
          <w:sz w:val="24"/>
          <w:szCs w:val="24"/>
          <w:u w:val="single"/>
        </w:rPr>
        <w:t>Aunque la inflación sigue sin atacar a Japón, con unos niveles que envidiarían las otras economías más avanzadas, la debilidad del yen y la carrera al alza del resto de bancos centrales hacen que</w:t>
      </w:r>
      <w:r w:rsidR="00A440AD">
        <w:rPr>
          <w:rFonts w:ascii="Times New Roman" w:hAnsi="Times New Roman" w:cs="Times New Roman"/>
          <w:color w:val="FF0000"/>
          <w:sz w:val="24"/>
          <w:szCs w:val="24"/>
          <w:u w:val="single"/>
        </w:rPr>
        <w:t xml:space="preserve"> se especule con un “pivote”</w:t>
      </w:r>
      <w:r w:rsidRPr="009839E6">
        <w:rPr>
          <w:rFonts w:ascii="Times New Roman" w:hAnsi="Times New Roman" w:cs="Times New Roman"/>
          <w:color w:val="FF0000"/>
          <w:sz w:val="24"/>
          <w:szCs w:val="24"/>
          <w:u w:val="single"/>
        </w:rPr>
        <w:t xml:space="preserve"> (giro) del Banco de Japón (BoJ) que puede tener consecuencias en los mercados más allá de que la economía nipona ya no sea lo que fue.</w:t>
      </w:r>
    </w:p>
    <w:p w:rsidR="00354328" w:rsidRPr="009839E6" w:rsidRDefault="00354328" w:rsidP="00354328">
      <w:pPr>
        <w:spacing w:line="240" w:lineRule="auto"/>
        <w:jc w:val="both"/>
        <w:rPr>
          <w:rFonts w:ascii="Times New Roman" w:hAnsi="Times New Roman" w:cs="Times New Roman"/>
          <w:sz w:val="24"/>
          <w:szCs w:val="24"/>
          <w:u w:val="single"/>
        </w:rPr>
      </w:pPr>
      <w:r w:rsidRPr="009839E6">
        <w:rPr>
          <w:rFonts w:ascii="Times New Roman" w:hAnsi="Times New Roman" w:cs="Times New Roman"/>
          <w:sz w:val="24"/>
          <w:szCs w:val="24"/>
          <w:u w:val="single"/>
        </w:rPr>
        <w:t>Para Mohamed El-Erian</w:t>
      </w:r>
      <w:r w:rsidRPr="00337CD2">
        <w:rPr>
          <w:rFonts w:ascii="Times New Roman" w:hAnsi="Times New Roman" w:cs="Times New Roman"/>
          <w:sz w:val="24"/>
          <w:szCs w:val="24"/>
        </w:rPr>
        <w:t xml:space="preserve">, jefe asesor económico en la compañía multinacional de servicios financieros Allianz y antiguo responsable de inversión en Pimco, </w:t>
      </w:r>
      <w:r w:rsidR="00A440AD">
        <w:rPr>
          <w:rFonts w:ascii="Times New Roman" w:hAnsi="Times New Roman" w:cs="Times New Roman"/>
          <w:sz w:val="24"/>
          <w:szCs w:val="24"/>
          <w:u w:val="single"/>
        </w:rPr>
        <w:t>este giro del BoJ se antoja “inevitable”</w:t>
      </w:r>
      <w:r w:rsidRPr="009839E6">
        <w:rPr>
          <w:rFonts w:ascii="Times New Roman" w:hAnsi="Times New Roman" w:cs="Times New Roman"/>
          <w:sz w:val="24"/>
          <w:szCs w:val="24"/>
          <w:u w:val="single"/>
        </w:rPr>
        <w:t xml:space="preserve"> y puede tener consecuencias negativas.</w:t>
      </w:r>
    </w:p>
    <w:p w:rsidR="00354328" w:rsidRPr="009839E6" w:rsidRDefault="00354328" w:rsidP="00354328">
      <w:pPr>
        <w:spacing w:line="240" w:lineRule="auto"/>
        <w:jc w:val="both"/>
        <w:rPr>
          <w:rFonts w:ascii="Times New Roman" w:hAnsi="Times New Roman" w:cs="Times New Roman"/>
          <w:sz w:val="24"/>
          <w:szCs w:val="24"/>
          <w:u w:val="single"/>
        </w:rPr>
      </w:pPr>
      <w:r w:rsidRPr="009839E6">
        <w:rPr>
          <w:rFonts w:ascii="Times New Roman" w:hAnsi="Times New Roman" w:cs="Times New Roman"/>
          <w:sz w:val="24"/>
          <w:szCs w:val="24"/>
          <w:u w:val="single"/>
        </w:rPr>
        <w:t>En un artículo en el Financial Times, el célebre analista comienza explicando que tras ocupar un papel central en el comercio internacional y la evolución de las divisas en los años 80 y 90, la influencia de Japón en la economía y los mercad</w:t>
      </w:r>
      <w:r w:rsidR="00A540F0">
        <w:rPr>
          <w:rFonts w:ascii="Times New Roman" w:hAnsi="Times New Roman" w:cs="Times New Roman"/>
          <w:sz w:val="24"/>
          <w:szCs w:val="24"/>
          <w:u w:val="single"/>
        </w:rPr>
        <w:t>os mundiales fue disminuyendo. “</w:t>
      </w:r>
      <w:r w:rsidRPr="009839E6">
        <w:rPr>
          <w:rFonts w:ascii="Times New Roman" w:hAnsi="Times New Roman" w:cs="Times New Roman"/>
          <w:sz w:val="24"/>
          <w:szCs w:val="24"/>
          <w:u w:val="single"/>
        </w:rPr>
        <w:t xml:space="preserve">Lo que </w:t>
      </w:r>
      <w:r w:rsidR="00A540F0">
        <w:rPr>
          <w:rFonts w:ascii="Times New Roman" w:hAnsi="Times New Roman" w:cs="Times New Roman"/>
          <w:sz w:val="24"/>
          <w:szCs w:val="24"/>
          <w:u w:val="single"/>
        </w:rPr>
        <w:t>pasa en Japón se queda en Japón”</w:t>
      </w:r>
      <w:r w:rsidRPr="009839E6">
        <w:rPr>
          <w:rFonts w:ascii="Times New Roman" w:hAnsi="Times New Roman" w:cs="Times New Roman"/>
          <w:sz w:val="24"/>
          <w:szCs w:val="24"/>
          <w:u w:val="single"/>
        </w:rPr>
        <w:t>, subraya, se con</w:t>
      </w:r>
      <w:r w:rsidR="00A440AD">
        <w:rPr>
          <w:rFonts w:ascii="Times New Roman" w:hAnsi="Times New Roman" w:cs="Times New Roman"/>
          <w:sz w:val="24"/>
          <w:szCs w:val="24"/>
          <w:u w:val="single"/>
        </w:rPr>
        <w:t>virtió en el mantra de muchos. “</w:t>
      </w:r>
      <w:r w:rsidRPr="009839E6">
        <w:rPr>
          <w:rFonts w:ascii="Times New Roman" w:hAnsi="Times New Roman" w:cs="Times New Roman"/>
          <w:sz w:val="24"/>
          <w:szCs w:val="24"/>
          <w:u w:val="single"/>
        </w:rPr>
        <w:t>Pero esto podría cambiar si las autoridades japonesas no se preparan bien para lo que parece cada vez más una salida inevitable de su política de cont</w:t>
      </w:r>
      <w:r w:rsidR="00A440AD">
        <w:rPr>
          <w:rFonts w:ascii="Times New Roman" w:hAnsi="Times New Roman" w:cs="Times New Roman"/>
          <w:sz w:val="24"/>
          <w:szCs w:val="24"/>
          <w:u w:val="single"/>
        </w:rPr>
        <w:t>rol de la curva de rendimientos”</w:t>
      </w:r>
      <w:r w:rsidRPr="009839E6">
        <w:rPr>
          <w:rFonts w:ascii="Times New Roman" w:hAnsi="Times New Roman" w:cs="Times New Roman"/>
          <w:sz w:val="24"/>
          <w:szCs w:val="24"/>
          <w:u w:val="single"/>
        </w:rPr>
        <w:t>, alerta.</w:t>
      </w:r>
    </w:p>
    <w:p w:rsidR="00354328" w:rsidRPr="009839E6" w:rsidRDefault="00A440AD" w:rsidP="00354328">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w:t>
      </w:r>
      <w:r w:rsidR="00354328" w:rsidRPr="009839E6">
        <w:rPr>
          <w:rFonts w:ascii="Times New Roman" w:hAnsi="Times New Roman" w:cs="Times New Roman"/>
          <w:color w:val="FF0000"/>
          <w:sz w:val="24"/>
          <w:szCs w:val="24"/>
          <w:u w:val="single"/>
        </w:rPr>
        <w:t xml:space="preserve">El aumento de los rendimientos en todo el mundo hace difícil mantener la política sin intensificar los daños colaterales y las consecuencias no deseadas. Esto ha incluido una moneda que se deprecia rápidamente, grandes intervenciones de los bancos centrales en el mercado de divisas y tensiones recurrentes en el funcionamiento del mercado de bonos del gobierno japonés (incluyendo días </w:t>
      </w:r>
      <w:r>
        <w:rPr>
          <w:rFonts w:ascii="Times New Roman" w:hAnsi="Times New Roman" w:cs="Times New Roman"/>
          <w:color w:val="FF0000"/>
          <w:sz w:val="24"/>
          <w:szCs w:val="24"/>
          <w:u w:val="single"/>
        </w:rPr>
        <w:t>con poca o ninguna negociación)”</w:t>
      </w:r>
      <w:r w:rsidR="00354328" w:rsidRPr="009839E6">
        <w:rPr>
          <w:rFonts w:ascii="Times New Roman" w:hAnsi="Times New Roman" w:cs="Times New Roman"/>
          <w:color w:val="FF0000"/>
          <w:sz w:val="24"/>
          <w:szCs w:val="24"/>
          <w:u w:val="single"/>
        </w:rPr>
        <w:t>, explica El-Erian.</w:t>
      </w:r>
    </w:p>
    <w:p w:rsidR="00354328" w:rsidRPr="00A440AD" w:rsidRDefault="00354328" w:rsidP="00354328">
      <w:pPr>
        <w:spacing w:line="240" w:lineRule="auto"/>
        <w:jc w:val="both"/>
        <w:rPr>
          <w:rFonts w:ascii="Times New Roman" w:hAnsi="Times New Roman" w:cs="Times New Roman"/>
          <w:sz w:val="24"/>
          <w:szCs w:val="24"/>
        </w:rPr>
      </w:pPr>
      <w:r w:rsidRPr="009839E6">
        <w:rPr>
          <w:rFonts w:ascii="Times New Roman" w:hAnsi="Times New Roman" w:cs="Times New Roman"/>
          <w:sz w:val="24"/>
          <w:szCs w:val="24"/>
          <w:u w:val="single"/>
        </w:rPr>
        <w:t>Para el experto, cuanto más tiempo se aferre Japón al control de la curva en el actual contexto mundial, más tendrán que gastar las autoridades para resistir una depreciación, y mayor será el daño estructural al núcleo de</w:t>
      </w:r>
      <w:r w:rsidR="00A440AD">
        <w:rPr>
          <w:rFonts w:ascii="Times New Roman" w:hAnsi="Times New Roman" w:cs="Times New Roman"/>
          <w:sz w:val="24"/>
          <w:szCs w:val="24"/>
          <w:u w:val="single"/>
        </w:rPr>
        <w:t>l sistema financiero del país. “</w:t>
      </w:r>
      <w:r w:rsidRPr="009839E6">
        <w:rPr>
          <w:rFonts w:ascii="Times New Roman" w:hAnsi="Times New Roman" w:cs="Times New Roman"/>
          <w:sz w:val="24"/>
          <w:szCs w:val="24"/>
          <w:u w:val="single"/>
        </w:rPr>
        <w:t xml:space="preserve">No es de extrañar que la mayoría de los observadores esperen que Japón tenga que abandonar esta política, una opinión reforzada por el aumento de la inflación y las crecientes demandas salariales de los </w:t>
      </w:r>
      <w:r w:rsidRPr="009839E6">
        <w:rPr>
          <w:rFonts w:ascii="Times New Roman" w:hAnsi="Times New Roman" w:cs="Times New Roman"/>
          <w:sz w:val="24"/>
          <w:szCs w:val="24"/>
          <w:u w:val="single"/>
        </w:rPr>
        <w:lastRenderedPageBreak/>
        <w:t>principales sindicatos. En cuanto al momento en que se producirá, la previsión de consenso es que se produzca tras el segundo mandato de cinco años del actual gobernador, Haruhiko Kuroda, en marzo del año que viene. Si es así, las autoridades japonesas tendrán meses para preparar lo que es una maniobra polí</w:t>
      </w:r>
      <w:r w:rsidR="00A440AD">
        <w:rPr>
          <w:rFonts w:ascii="Times New Roman" w:hAnsi="Times New Roman" w:cs="Times New Roman"/>
          <w:sz w:val="24"/>
          <w:szCs w:val="24"/>
          <w:u w:val="single"/>
        </w:rPr>
        <w:t>tica intrínsecamente complicada”</w:t>
      </w:r>
      <w:r w:rsidRPr="009839E6">
        <w:rPr>
          <w:rFonts w:ascii="Times New Roman" w:hAnsi="Times New Roman" w:cs="Times New Roman"/>
          <w:sz w:val="24"/>
          <w:szCs w:val="24"/>
          <w:u w:val="single"/>
        </w:rPr>
        <w:t>, escribe el hombre de Allianz</w:t>
      </w:r>
      <w:r w:rsidR="00A440AD" w:rsidRPr="00A440AD">
        <w:rPr>
          <w:rFonts w:ascii="Times New Roman" w:hAnsi="Times New Roman" w:cs="Times New Roman"/>
          <w:sz w:val="24"/>
          <w:szCs w:val="24"/>
        </w:rPr>
        <w:t>…</w:t>
      </w:r>
    </w:p>
    <w:p w:rsidR="00354328" w:rsidRPr="009839E6" w:rsidRDefault="00354328" w:rsidP="00354328">
      <w:pPr>
        <w:spacing w:line="240" w:lineRule="auto"/>
        <w:jc w:val="both"/>
        <w:rPr>
          <w:rFonts w:ascii="Times New Roman" w:hAnsi="Times New Roman" w:cs="Times New Roman"/>
          <w:sz w:val="24"/>
          <w:szCs w:val="24"/>
          <w:u w:val="single"/>
        </w:rPr>
      </w:pPr>
      <w:r w:rsidRPr="009839E6">
        <w:rPr>
          <w:rFonts w:ascii="Times New Roman" w:hAnsi="Times New Roman" w:cs="Times New Roman"/>
          <w:sz w:val="24"/>
          <w:szCs w:val="24"/>
          <w:u w:val="single"/>
        </w:rPr>
        <w:t>Si lo ocurrido en Reino Unido pareció grave, apostilla el economista, en el Japón hay tres diferencias notables que no ayudan precisamente.</w:t>
      </w:r>
    </w:p>
    <w:p w:rsidR="00354328" w:rsidRPr="009839E6" w:rsidRDefault="00354328" w:rsidP="00354328">
      <w:pPr>
        <w:spacing w:line="240" w:lineRule="auto"/>
        <w:jc w:val="both"/>
        <w:rPr>
          <w:rFonts w:ascii="Times New Roman" w:hAnsi="Times New Roman" w:cs="Times New Roman"/>
          <w:color w:val="FF0000"/>
          <w:sz w:val="24"/>
          <w:szCs w:val="24"/>
          <w:u w:val="single"/>
        </w:rPr>
      </w:pPr>
      <w:r w:rsidRPr="009839E6">
        <w:rPr>
          <w:rFonts w:ascii="Times New Roman" w:hAnsi="Times New Roman" w:cs="Times New Roman"/>
          <w:color w:val="FF0000"/>
          <w:sz w:val="24"/>
          <w:szCs w:val="24"/>
          <w:u w:val="single"/>
        </w:rPr>
        <w:t>En primer lugar, mientras que la situación del Reino Unido implicaba predominantemente el apalancamiento del riesgo de tipo de interés del gobierno, la de Japón parece implicar más riesgo de crédito. En segundo lugar, una buena parte de ese riesgo se ha obtenido a través de créditos sobre entidades de fuera de Japón, como empresas o soberanos. En tercer lugar, el BoJ se enfrentaría a muchos más obstáculos a la hora de llevar a cabo intervenciones quirúrgicas para calmar los mercados en caso de que fuera necesario.</w:t>
      </w:r>
    </w:p>
    <w:p w:rsidR="00354328" w:rsidRPr="00A440AD" w:rsidRDefault="00A440AD" w:rsidP="00354328">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u w:val="single"/>
        </w:rPr>
        <w:t>“</w:t>
      </w:r>
      <w:r w:rsidR="00354328" w:rsidRPr="009839E6">
        <w:rPr>
          <w:rFonts w:ascii="Times New Roman" w:hAnsi="Times New Roman" w:cs="Times New Roman"/>
          <w:color w:val="FF0000"/>
          <w:sz w:val="24"/>
          <w:szCs w:val="24"/>
          <w:u w:val="single"/>
        </w:rPr>
        <w:t>El escenario de riesgo en este caso es la posibilidad de que las grandes pérdidas y las margin calls presionen a ciertas entidades japonesas sobreexpuestas a deshacerse de activos de forma desordenada. Dada la magnitud de las participaciones cruzadas, esto alimentaría el contagio a través de los mercados y las fronteras, que se sentiría especialmente en lugares como las empresas estadounidenses y europeas con grado de inversión, el alto rendimiento, los préstamos bancarios apalancados y los mercados emergentes. Llegaría en un momento en el que las ahora rápidas subidas de tipos de la Reserva Federal de EEUU para hacer frente a la creciente inflación han contribuido a grandes pérdidas para los inversores y a una volatilidad inquietante. Ha habido una sensaci</w:t>
      </w:r>
      <w:r>
        <w:rPr>
          <w:rFonts w:ascii="Times New Roman" w:hAnsi="Times New Roman" w:cs="Times New Roman"/>
          <w:color w:val="FF0000"/>
          <w:sz w:val="24"/>
          <w:szCs w:val="24"/>
          <w:u w:val="single"/>
        </w:rPr>
        <w:t>ón de no tener dónde esconderse”, sintetiza El-Erian</w:t>
      </w:r>
      <w:r>
        <w:rPr>
          <w:rFonts w:ascii="Times New Roman" w:hAnsi="Times New Roman" w:cs="Times New Roman"/>
          <w:color w:val="FF0000"/>
          <w:sz w:val="24"/>
          <w:szCs w:val="24"/>
        </w:rPr>
        <w:t>…</w:t>
      </w:r>
    </w:p>
    <w:p w:rsidR="00A440AD" w:rsidRPr="006A78CB" w:rsidRDefault="00A440AD" w:rsidP="00A440A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E71A45">
        <w:rPr>
          <w:rFonts w:ascii="Times New Roman" w:hAnsi="Times New Roman" w:cs="Times New Roman"/>
          <w:sz w:val="24"/>
          <w:szCs w:val="24"/>
          <w:u w:val="single"/>
        </w:rPr>
        <w:t>El BCE confirma que las subidas de tipos continuarán para llevar la inflación al 2%</w:t>
      </w:r>
      <w:r>
        <w:rPr>
          <w:rFonts w:ascii="Times New Roman" w:hAnsi="Times New Roman" w:cs="Times New Roman"/>
          <w:sz w:val="24"/>
          <w:szCs w:val="24"/>
        </w:rPr>
        <w:t xml:space="preserve"> (diariodemallorca.es - </w:t>
      </w:r>
      <w:r w:rsidRPr="00E71A45">
        <w:rPr>
          <w:rFonts w:ascii="Times New Roman" w:hAnsi="Times New Roman" w:cs="Times New Roman"/>
          <w:b/>
          <w:sz w:val="24"/>
          <w:szCs w:val="24"/>
        </w:rPr>
        <w:t>1/11/22</w:t>
      </w:r>
      <w:r>
        <w:rPr>
          <w:rFonts w:ascii="Times New Roman" w:hAnsi="Times New Roman" w:cs="Times New Roman"/>
          <w:sz w:val="24"/>
          <w:szCs w:val="24"/>
        </w:rPr>
        <w:t>)</w:t>
      </w:r>
    </w:p>
    <w:p w:rsidR="00A440AD" w:rsidRPr="009839E6" w:rsidRDefault="00A440AD" w:rsidP="00A440AD">
      <w:pPr>
        <w:spacing w:line="240" w:lineRule="auto"/>
        <w:jc w:val="both"/>
        <w:rPr>
          <w:rFonts w:ascii="Times New Roman" w:hAnsi="Times New Roman" w:cs="Times New Roman"/>
          <w:b/>
          <w:color w:val="FF0000"/>
          <w:sz w:val="24"/>
          <w:szCs w:val="24"/>
          <w:u w:val="single"/>
        </w:rPr>
      </w:pPr>
      <w:r w:rsidRPr="009839E6">
        <w:rPr>
          <w:rFonts w:ascii="Times New Roman" w:hAnsi="Times New Roman" w:cs="Times New Roman"/>
          <w:b/>
          <w:color w:val="FF0000"/>
          <w:sz w:val="24"/>
          <w:szCs w:val="24"/>
          <w:u w:val="single"/>
        </w:rPr>
        <w:t>La presidenta del Banco Central Europeo, Christine Lagarde, ha confirmado que el final de las subidas de tipos de interés todavía no va a llegar y que desde la institución esperan seguir aumentando los tipos de interés en las próximas reuniones de política monetaria, con la vista en alcanzar la meta a medio plazo del 2% de manera oportuna.</w:t>
      </w:r>
    </w:p>
    <w:p w:rsidR="00A440AD" w:rsidRPr="006A78CB" w:rsidRDefault="00A440AD" w:rsidP="00A440AD">
      <w:pPr>
        <w:spacing w:line="240" w:lineRule="auto"/>
        <w:jc w:val="both"/>
        <w:rPr>
          <w:rFonts w:ascii="Times New Roman" w:hAnsi="Times New Roman" w:cs="Times New Roman"/>
          <w:sz w:val="24"/>
          <w:szCs w:val="24"/>
        </w:rPr>
      </w:pPr>
      <w:r>
        <w:rPr>
          <w:rFonts w:ascii="Times New Roman" w:hAnsi="Times New Roman" w:cs="Times New Roman"/>
          <w:color w:val="FF0000"/>
          <w:sz w:val="24"/>
          <w:szCs w:val="24"/>
          <w:u w:val="single"/>
        </w:rPr>
        <w:t>“</w:t>
      </w:r>
      <w:r w:rsidRPr="009839E6">
        <w:rPr>
          <w:rFonts w:ascii="Times New Roman" w:hAnsi="Times New Roman" w:cs="Times New Roman"/>
          <w:color w:val="FF0000"/>
          <w:sz w:val="24"/>
          <w:szCs w:val="24"/>
          <w:u w:val="single"/>
        </w:rPr>
        <w:t>Desde julio hemos incrementado los tipos en 200 puntos básicos, el mayor incremento en la historia del eu</w:t>
      </w:r>
      <w:r>
        <w:rPr>
          <w:rFonts w:ascii="Times New Roman" w:hAnsi="Times New Roman" w:cs="Times New Roman"/>
          <w:color w:val="FF0000"/>
          <w:sz w:val="24"/>
          <w:szCs w:val="24"/>
          <w:u w:val="single"/>
        </w:rPr>
        <w:t>ro. Pero aún no hemos terminado”</w:t>
      </w:r>
      <w:r w:rsidRPr="009839E6">
        <w:rPr>
          <w:rFonts w:ascii="Times New Roman" w:hAnsi="Times New Roman" w:cs="Times New Roman"/>
          <w:color w:val="FF0000"/>
          <w:sz w:val="24"/>
          <w:szCs w:val="24"/>
          <w:u w:val="single"/>
        </w:rPr>
        <w:t xml:space="preserve">, ha confirmado Lagarde en una entrevista publicada por el Banco Central Europeo. </w:t>
      </w:r>
      <w:r w:rsidRPr="006A78CB">
        <w:rPr>
          <w:rFonts w:ascii="Times New Roman" w:hAnsi="Times New Roman" w:cs="Times New Roman"/>
          <w:sz w:val="24"/>
          <w:szCs w:val="24"/>
        </w:rPr>
        <w:t>En su última reunión de política monetaria, el Consejo de Gobierno del BCE decidió elevar los tipos de interés de nuevo en 75 puntos básicos, de forma que el tipo de interés para sus operaciones de refinanciación se situará en el 2%, mientras que la tasa de depósito alcanzará el 1,50% y la de facilidad de préstamo, el 2,25%.</w:t>
      </w:r>
    </w:p>
    <w:p w:rsidR="00A440AD" w:rsidRPr="009839E6" w:rsidRDefault="00A440AD" w:rsidP="00A440AD">
      <w:pPr>
        <w:spacing w:line="240" w:lineRule="auto"/>
        <w:jc w:val="both"/>
        <w:rPr>
          <w:rFonts w:ascii="Times New Roman" w:hAnsi="Times New Roman" w:cs="Times New Roman"/>
          <w:sz w:val="24"/>
          <w:szCs w:val="24"/>
          <w:u w:val="single"/>
        </w:rPr>
      </w:pPr>
      <w:r w:rsidRPr="009839E6">
        <w:rPr>
          <w:rFonts w:ascii="Times New Roman" w:hAnsi="Times New Roman" w:cs="Times New Roman"/>
          <w:sz w:val="24"/>
          <w:szCs w:val="24"/>
          <w:u w:val="single"/>
        </w:rPr>
        <w:t>La presidenta ha insistido este martes en el mensaje que ofreció el pasado jueves de acomet</w:t>
      </w:r>
      <w:r>
        <w:rPr>
          <w:rFonts w:ascii="Times New Roman" w:hAnsi="Times New Roman" w:cs="Times New Roman"/>
          <w:sz w:val="24"/>
          <w:szCs w:val="24"/>
          <w:u w:val="single"/>
        </w:rPr>
        <w:t>er las nuevas subidas de tipos “reunión a reunión”</w:t>
      </w:r>
      <w:r w:rsidRPr="009839E6">
        <w:rPr>
          <w:rFonts w:ascii="Times New Roman" w:hAnsi="Times New Roman" w:cs="Times New Roman"/>
          <w:sz w:val="24"/>
          <w:szCs w:val="24"/>
          <w:u w:val="single"/>
        </w:rPr>
        <w:t xml:space="preserve"> y evaluando en cada una de ellas la evolución en las perspectivas macroeconómicas y de inflación, entre otros factores.</w:t>
      </w:r>
    </w:p>
    <w:p w:rsidR="00A440AD" w:rsidRPr="009839E6" w:rsidRDefault="00A440AD" w:rsidP="00A440AD">
      <w:pPr>
        <w:spacing w:line="240" w:lineRule="auto"/>
        <w:jc w:val="both"/>
        <w:rPr>
          <w:rFonts w:ascii="Times New Roman" w:hAnsi="Times New Roman" w:cs="Times New Roman"/>
          <w:sz w:val="24"/>
          <w:szCs w:val="24"/>
          <w:u w:val="single"/>
        </w:rPr>
      </w:pPr>
      <w:r w:rsidRPr="009839E6">
        <w:rPr>
          <w:rFonts w:ascii="Times New Roman" w:hAnsi="Times New Roman" w:cs="Times New Roman"/>
          <w:sz w:val="24"/>
          <w:szCs w:val="24"/>
          <w:u w:val="single"/>
        </w:rPr>
        <w:t>En respuesta a las voces críticas por esta hoja de ruta contractiva en la política monetaria en un momento de posible recesión en la zona euro, la máxima representante de la institución monetaria ha reconocido que la probabilidad de que el Viej</w:t>
      </w:r>
      <w:r>
        <w:rPr>
          <w:rFonts w:ascii="Times New Roman" w:hAnsi="Times New Roman" w:cs="Times New Roman"/>
          <w:sz w:val="24"/>
          <w:szCs w:val="24"/>
          <w:u w:val="single"/>
        </w:rPr>
        <w:t>o Continente entre en recesión “ha aumentado” y que la incertidumbre “sigue siendo alta”</w:t>
      </w:r>
      <w:r w:rsidRPr="009839E6">
        <w:rPr>
          <w:rFonts w:ascii="Times New Roman" w:hAnsi="Times New Roman" w:cs="Times New Roman"/>
          <w:sz w:val="24"/>
          <w:szCs w:val="24"/>
          <w:u w:val="single"/>
        </w:rPr>
        <w:t>.</w:t>
      </w:r>
    </w:p>
    <w:p w:rsidR="00A440AD" w:rsidRPr="009839E6" w:rsidRDefault="00A440AD" w:rsidP="00A440AD">
      <w:pPr>
        <w:spacing w:line="240" w:lineRule="auto"/>
        <w:jc w:val="both"/>
        <w:rPr>
          <w:rFonts w:ascii="Times New Roman" w:hAnsi="Times New Roman" w:cs="Times New Roman"/>
          <w:color w:val="FF0000"/>
          <w:sz w:val="24"/>
          <w:szCs w:val="24"/>
          <w:u w:val="single"/>
        </w:rPr>
      </w:pPr>
      <w:r w:rsidRPr="009839E6">
        <w:rPr>
          <w:rFonts w:ascii="Times New Roman" w:hAnsi="Times New Roman" w:cs="Times New Roman"/>
          <w:color w:val="FF0000"/>
          <w:sz w:val="24"/>
          <w:szCs w:val="24"/>
          <w:u w:val="single"/>
        </w:rPr>
        <w:t>Es por ello, defiende la presidenta del BCE, que el instituto emisor tiene que hacer su trabajo</w:t>
      </w:r>
      <w:r>
        <w:rPr>
          <w:rFonts w:ascii="Times New Roman" w:hAnsi="Times New Roman" w:cs="Times New Roman"/>
          <w:color w:val="FF0000"/>
          <w:sz w:val="24"/>
          <w:szCs w:val="24"/>
          <w:u w:val="single"/>
        </w:rPr>
        <w:t xml:space="preserve"> y concentrarse en su mandato. “</w:t>
      </w:r>
      <w:r w:rsidRPr="009839E6">
        <w:rPr>
          <w:rFonts w:ascii="Times New Roman" w:hAnsi="Times New Roman" w:cs="Times New Roman"/>
          <w:color w:val="FF0000"/>
          <w:sz w:val="24"/>
          <w:szCs w:val="24"/>
          <w:u w:val="single"/>
        </w:rPr>
        <w:t xml:space="preserve">Nuestro mandato es la estabilidad de precios, y tenemos que </w:t>
      </w:r>
      <w:r w:rsidRPr="009839E6">
        <w:rPr>
          <w:rFonts w:ascii="Times New Roman" w:hAnsi="Times New Roman" w:cs="Times New Roman"/>
          <w:color w:val="FF0000"/>
          <w:sz w:val="24"/>
          <w:szCs w:val="24"/>
          <w:u w:val="single"/>
        </w:rPr>
        <w:lastRenderedPageBreak/>
        <w:t>cumplir usando todas las herramientas que tenemos disponibles, eligiendo aquellas que s</w:t>
      </w:r>
      <w:r>
        <w:rPr>
          <w:rFonts w:ascii="Times New Roman" w:hAnsi="Times New Roman" w:cs="Times New Roman"/>
          <w:color w:val="FF0000"/>
          <w:sz w:val="24"/>
          <w:szCs w:val="24"/>
          <w:u w:val="single"/>
        </w:rPr>
        <w:t>ean más apropiadas y eficientes”</w:t>
      </w:r>
      <w:r w:rsidRPr="009839E6">
        <w:rPr>
          <w:rFonts w:ascii="Times New Roman" w:hAnsi="Times New Roman" w:cs="Times New Roman"/>
          <w:color w:val="FF0000"/>
          <w:sz w:val="24"/>
          <w:szCs w:val="24"/>
          <w:u w:val="single"/>
        </w:rPr>
        <w:t>, ha explicado Lagarde.</w:t>
      </w:r>
    </w:p>
    <w:p w:rsidR="00A440AD" w:rsidRPr="00D57D94" w:rsidRDefault="00A440AD" w:rsidP="00A440AD">
      <w:pPr>
        <w:spacing w:line="240" w:lineRule="auto"/>
        <w:jc w:val="both"/>
        <w:rPr>
          <w:rFonts w:ascii="Times New Roman" w:hAnsi="Times New Roman" w:cs="Times New Roman"/>
          <w:b/>
          <w:color w:val="FF0000"/>
          <w:sz w:val="24"/>
          <w:szCs w:val="24"/>
        </w:rPr>
      </w:pPr>
      <w:r w:rsidRPr="009839E6">
        <w:rPr>
          <w:rFonts w:ascii="Times New Roman" w:hAnsi="Times New Roman" w:cs="Times New Roman"/>
          <w:b/>
          <w:color w:val="FF0000"/>
          <w:sz w:val="24"/>
          <w:szCs w:val="24"/>
          <w:u w:val="single"/>
        </w:rPr>
        <w:t xml:space="preserve">Sobre el nivel concreto al que llegarán los tipos, Lagarde ha subrayado que el objetivo del banco es converger la inflación hacia su meta del 2% en el medio plazo, un objetivo claro para el que todavía falta mucho </w:t>
      </w:r>
      <w:r w:rsidR="00D57D94">
        <w:rPr>
          <w:rFonts w:ascii="Times New Roman" w:hAnsi="Times New Roman" w:cs="Times New Roman"/>
          <w:b/>
          <w:color w:val="FF0000"/>
          <w:sz w:val="24"/>
          <w:szCs w:val="24"/>
          <w:u w:val="single"/>
        </w:rPr>
        <w:t>recorrido. “</w:t>
      </w:r>
      <w:r w:rsidRPr="009839E6">
        <w:rPr>
          <w:rFonts w:ascii="Times New Roman" w:hAnsi="Times New Roman" w:cs="Times New Roman"/>
          <w:b/>
          <w:color w:val="FF0000"/>
          <w:sz w:val="24"/>
          <w:szCs w:val="24"/>
          <w:u w:val="single"/>
        </w:rPr>
        <w:t>El destino es claro, y aún no hemos llegado allí. Tendremos más</w:t>
      </w:r>
      <w:r w:rsidR="00D57D94">
        <w:rPr>
          <w:rFonts w:ascii="Times New Roman" w:hAnsi="Times New Roman" w:cs="Times New Roman"/>
          <w:b/>
          <w:color w:val="FF0000"/>
          <w:sz w:val="24"/>
          <w:szCs w:val="24"/>
          <w:u w:val="single"/>
        </w:rPr>
        <w:t xml:space="preserve"> aumentos de tipos en el futuro”</w:t>
      </w:r>
      <w:r w:rsidRPr="009839E6">
        <w:rPr>
          <w:rFonts w:ascii="Times New Roman" w:hAnsi="Times New Roman" w:cs="Times New Roman"/>
          <w:b/>
          <w:color w:val="FF0000"/>
          <w:sz w:val="24"/>
          <w:szCs w:val="24"/>
          <w:u w:val="single"/>
        </w:rPr>
        <w:t>, ha indicado Lagarde, que sin embargo no ha ofrecido un dato concr</w:t>
      </w:r>
      <w:r w:rsidR="00D57D94">
        <w:rPr>
          <w:rFonts w:ascii="Times New Roman" w:hAnsi="Times New Roman" w:cs="Times New Roman"/>
          <w:b/>
          <w:color w:val="FF0000"/>
          <w:sz w:val="24"/>
          <w:szCs w:val="24"/>
          <w:u w:val="single"/>
        </w:rPr>
        <w:t>eto, dado en el entorno actual “altamente incierto”</w:t>
      </w:r>
      <w:r w:rsidR="00D57D94">
        <w:rPr>
          <w:rFonts w:ascii="Times New Roman" w:hAnsi="Times New Roman" w:cs="Times New Roman"/>
          <w:b/>
          <w:color w:val="FF0000"/>
          <w:sz w:val="24"/>
          <w:szCs w:val="24"/>
        </w:rPr>
        <w:t>…</w:t>
      </w:r>
    </w:p>
    <w:p w:rsidR="00A440AD" w:rsidRPr="00101134" w:rsidRDefault="00A440AD" w:rsidP="00A440A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101134">
        <w:rPr>
          <w:rFonts w:ascii="Times New Roman" w:hAnsi="Times New Roman" w:cs="Times New Roman"/>
          <w:sz w:val="24"/>
          <w:szCs w:val="24"/>
          <w:u w:val="single"/>
        </w:rPr>
        <w:t>La banca central avista el fin de las grandes subidas de tipos para analizar su impacto en la economía</w:t>
      </w:r>
      <w:r>
        <w:rPr>
          <w:rFonts w:ascii="Times New Roman" w:hAnsi="Times New Roman" w:cs="Times New Roman"/>
          <w:sz w:val="24"/>
          <w:szCs w:val="24"/>
        </w:rPr>
        <w:t xml:space="preserve"> (El Economista - </w:t>
      </w:r>
      <w:r w:rsidRPr="00101134">
        <w:rPr>
          <w:rFonts w:ascii="Times New Roman" w:hAnsi="Times New Roman" w:cs="Times New Roman"/>
          <w:b/>
          <w:sz w:val="24"/>
          <w:szCs w:val="24"/>
        </w:rPr>
        <w:t>1/11/22</w:t>
      </w:r>
      <w:r>
        <w:rPr>
          <w:rFonts w:ascii="Times New Roman" w:hAnsi="Times New Roman" w:cs="Times New Roman"/>
          <w:sz w:val="24"/>
          <w:szCs w:val="24"/>
        </w:rPr>
        <w:t>)</w:t>
      </w:r>
    </w:p>
    <w:p w:rsidR="00A440AD" w:rsidRPr="0041479C" w:rsidRDefault="00A440AD" w:rsidP="00A440AD">
      <w:pPr>
        <w:spacing w:line="240" w:lineRule="auto"/>
        <w:jc w:val="both"/>
        <w:rPr>
          <w:rFonts w:ascii="Times New Roman" w:hAnsi="Times New Roman" w:cs="Times New Roman"/>
          <w:color w:val="FF0000"/>
          <w:sz w:val="24"/>
          <w:szCs w:val="24"/>
          <w:u w:val="single"/>
        </w:rPr>
      </w:pPr>
      <w:r w:rsidRPr="0041479C">
        <w:rPr>
          <w:rFonts w:ascii="Times New Roman" w:hAnsi="Times New Roman" w:cs="Times New Roman"/>
          <w:color w:val="FF0000"/>
          <w:sz w:val="24"/>
          <w:szCs w:val="24"/>
          <w:u w:val="single"/>
        </w:rPr>
        <w:t>Está siendo un proceso muy doloroso para la economía y los mercados. El pinchazo (subidas de tipos) ha sido fuerte y drástico, pero parece que la aguja que los bancos centrales podría empezar a aflojar su ritmo de inoculación (el pico de agresividad está llegando) más pronto que tarde. Las próximas subidas de tipos en los países avanzados (Reino Unido, EEUU, Canadá) podrían ser inferiores a las vistas en los</w:t>
      </w:r>
      <w:r w:rsidR="00A540F0">
        <w:rPr>
          <w:rFonts w:ascii="Times New Roman" w:hAnsi="Times New Roman" w:cs="Times New Roman"/>
          <w:color w:val="FF0000"/>
          <w:sz w:val="24"/>
          <w:szCs w:val="24"/>
          <w:u w:val="single"/>
        </w:rPr>
        <w:t xml:space="preserve"> últimos meses o iguales en el “peor”</w:t>
      </w:r>
      <w:r w:rsidRPr="0041479C">
        <w:rPr>
          <w:rFonts w:ascii="Times New Roman" w:hAnsi="Times New Roman" w:cs="Times New Roman"/>
          <w:color w:val="FF0000"/>
          <w:sz w:val="24"/>
          <w:szCs w:val="24"/>
          <w:u w:val="single"/>
        </w:rPr>
        <w:t xml:space="preserve"> de los casos. La banca central ha inoculado ya la mayor parte del antídoto contra la inflación y pronto comenzará a reducir el ritmo, para acabar sacando la aguja en algún momento de 2023. El problema es que, aunque el dolor de este pinchazo esté cerca terminar (los mercados lo están celebrando), después podrían llegar los efectos secundarios. Los tipos más altos ya se han extendido por toda la economía y su impacto está en marcha.</w:t>
      </w:r>
    </w:p>
    <w:p w:rsidR="00A440AD" w:rsidRPr="00D57D94" w:rsidRDefault="00A440AD" w:rsidP="00A440AD">
      <w:pPr>
        <w:spacing w:line="240" w:lineRule="auto"/>
        <w:jc w:val="both"/>
        <w:rPr>
          <w:rFonts w:ascii="Times New Roman" w:hAnsi="Times New Roman" w:cs="Times New Roman"/>
          <w:color w:val="FF0000"/>
          <w:sz w:val="24"/>
          <w:szCs w:val="24"/>
        </w:rPr>
      </w:pPr>
      <w:r w:rsidRPr="0041479C">
        <w:rPr>
          <w:rFonts w:ascii="Times New Roman" w:hAnsi="Times New Roman" w:cs="Times New Roman"/>
          <w:color w:val="FF0000"/>
          <w:sz w:val="24"/>
          <w:szCs w:val="24"/>
          <w:u w:val="single"/>
        </w:rPr>
        <w:t>Octubre y noviembre podrían ser los últimos meses en los que la Fed y el BCE suban los tipos en 75 puntos básicos al unísono. El precio del dinero se está acercando a la zona neutral (zona en la que la política monetaria no es ni contractiva ni expansiva), el nivel al que se autoimpusieron los bancos centrales para comenzar a reb</w:t>
      </w:r>
      <w:r w:rsidR="00D57D94">
        <w:rPr>
          <w:rFonts w:ascii="Times New Roman" w:hAnsi="Times New Roman" w:cs="Times New Roman"/>
          <w:color w:val="FF0000"/>
          <w:sz w:val="24"/>
          <w:szCs w:val="24"/>
          <w:u w:val="single"/>
        </w:rPr>
        <w:t>ajar el ritmo de endurecimiento</w:t>
      </w:r>
      <w:r w:rsidR="00D57D94">
        <w:rPr>
          <w:rFonts w:ascii="Times New Roman" w:hAnsi="Times New Roman" w:cs="Times New Roman"/>
          <w:color w:val="FF0000"/>
          <w:sz w:val="24"/>
          <w:szCs w:val="24"/>
        </w:rPr>
        <w:t>…</w:t>
      </w:r>
    </w:p>
    <w:p w:rsidR="00A440AD" w:rsidRPr="0041479C" w:rsidRDefault="00A440AD" w:rsidP="00A440AD">
      <w:pPr>
        <w:spacing w:line="240" w:lineRule="auto"/>
        <w:jc w:val="both"/>
        <w:rPr>
          <w:rFonts w:ascii="Times New Roman" w:hAnsi="Times New Roman" w:cs="Times New Roman"/>
          <w:sz w:val="24"/>
          <w:szCs w:val="24"/>
          <w:u w:val="single"/>
        </w:rPr>
      </w:pPr>
      <w:r w:rsidRPr="0041479C">
        <w:rPr>
          <w:rFonts w:ascii="Times New Roman" w:hAnsi="Times New Roman" w:cs="Times New Roman"/>
          <w:sz w:val="24"/>
          <w:szCs w:val="24"/>
          <w:u w:val="single"/>
        </w:rPr>
        <w:t>Por ahora, el primero en dar un paso claro hacia la desaceleración ha sido el Banco de Canadá, que hace unos días elevó el precio del dinero en 50 puntos básicos (hasta el 3,75%), frente a los 75 puntos básicos (pb) que esperaba el mercado. El siguiente en la lista podría ser el Banco de Inglaterra, que se reúne este jueves y podría anunciar también un alza de otros 50 puntos básicos frente a los 75 que también espera el mercado.</w:t>
      </w:r>
    </w:p>
    <w:p w:rsidR="00A440AD" w:rsidRPr="00D57D94" w:rsidRDefault="00A440AD" w:rsidP="00A440AD">
      <w:pPr>
        <w:spacing w:line="240" w:lineRule="auto"/>
        <w:jc w:val="both"/>
        <w:rPr>
          <w:rFonts w:ascii="Times New Roman" w:hAnsi="Times New Roman" w:cs="Times New Roman"/>
          <w:color w:val="FF0000"/>
          <w:sz w:val="24"/>
          <w:szCs w:val="24"/>
        </w:rPr>
      </w:pPr>
      <w:r w:rsidRPr="0041479C">
        <w:rPr>
          <w:rFonts w:ascii="Times New Roman" w:hAnsi="Times New Roman" w:cs="Times New Roman"/>
          <w:color w:val="FF0000"/>
          <w:sz w:val="24"/>
          <w:szCs w:val="24"/>
          <w:u w:val="single"/>
        </w:rPr>
        <w:t>Los economistas de Danske Bank creen que se está llegando al</w:t>
      </w:r>
      <w:r w:rsidR="00D57D94">
        <w:rPr>
          <w:rFonts w:ascii="Times New Roman" w:hAnsi="Times New Roman" w:cs="Times New Roman"/>
          <w:color w:val="FF0000"/>
          <w:sz w:val="24"/>
          <w:szCs w:val="24"/>
          <w:u w:val="single"/>
        </w:rPr>
        <w:t xml:space="preserve"> “pico de las subidas de tipos”</w:t>
      </w:r>
      <w:r w:rsidRPr="0041479C">
        <w:rPr>
          <w:rFonts w:ascii="Times New Roman" w:hAnsi="Times New Roman" w:cs="Times New Roman"/>
          <w:color w:val="FF0000"/>
          <w:sz w:val="24"/>
          <w:szCs w:val="24"/>
          <w:u w:val="single"/>
        </w:rPr>
        <w:t>. La próxima recesión está a la vuelta de la esquina, mientras que el precio del gas ha comenzado a caer con fuerza, lo que podría dar un respiro en la inflación de noviembre. A eso hay que sumarle que los tipos ya se encuentran en máximos de más de una década en buena p</w:t>
      </w:r>
      <w:r w:rsidR="00D57D94">
        <w:rPr>
          <w:rFonts w:ascii="Times New Roman" w:hAnsi="Times New Roman" w:cs="Times New Roman"/>
          <w:color w:val="FF0000"/>
          <w:sz w:val="24"/>
          <w:szCs w:val="24"/>
          <w:u w:val="single"/>
        </w:rPr>
        <w:t>arte de las economías avanzadas</w:t>
      </w:r>
      <w:r w:rsidR="00D57D94">
        <w:rPr>
          <w:rFonts w:ascii="Times New Roman" w:hAnsi="Times New Roman" w:cs="Times New Roman"/>
          <w:color w:val="FF0000"/>
          <w:sz w:val="24"/>
          <w:szCs w:val="24"/>
        </w:rPr>
        <w:t>…</w:t>
      </w:r>
    </w:p>
    <w:p w:rsidR="00A440AD" w:rsidRDefault="00A440AD" w:rsidP="00A440AD">
      <w:pPr>
        <w:spacing w:line="240" w:lineRule="auto"/>
        <w:jc w:val="both"/>
        <w:rPr>
          <w:rFonts w:ascii="Times New Roman" w:hAnsi="Times New Roman" w:cs="Times New Roman"/>
          <w:color w:val="FF0000"/>
          <w:sz w:val="24"/>
          <w:szCs w:val="24"/>
        </w:rPr>
      </w:pPr>
      <w:r w:rsidRPr="00101134">
        <w:rPr>
          <w:rFonts w:ascii="Times New Roman" w:hAnsi="Times New Roman" w:cs="Times New Roman"/>
          <w:sz w:val="24"/>
          <w:szCs w:val="24"/>
        </w:rPr>
        <w:t xml:space="preserve">Pese a todo, esta esperada desaceleración no supone un giro en la política monetaria, es simplemente un cambio suave. </w:t>
      </w:r>
      <w:r w:rsidRPr="0041479C">
        <w:rPr>
          <w:rFonts w:ascii="Times New Roman" w:hAnsi="Times New Roman" w:cs="Times New Roman"/>
          <w:color w:val="FF0000"/>
          <w:sz w:val="24"/>
          <w:szCs w:val="24"/>
          <w:u w:val="single"/>
        </w:rPr>
        <w:t>Desde TS Lombard creen que pese a las esperanzas de los invers</w:t>
      </w:r>
      <w:r w:rsidR="00D57D94">
        <w:rPr>
          <w:rFonts w:ascii="Times New Roman" w:hAnsi="Times New Roman" w:cs="Times New Roman"/>
          <w:color w:val="FF0000"/>
          <w:sz w:val="24"/>
          <w:szCs w:val="24"/>
          <w:u w:val="single"/>
        </w:rPr>
        <w:t>ores, “</w:t>
      </w:r>
      <w:r w:rsidRPr="0041479C">
        <w:rPr>
          <w:rFonts w:ascii="Times New Roman" w:hAnsi="Times New Roman" w:cs="Times New Roman"/>
          <w:color w:val="FF0000"/>
          <w:sz w:val="24"/>
          <w:szCs w:val="24"/>
          <w:u w:val="single"/>
        </w:rPr>
        <w:t>los bancos centrales no girarán hasta que tengamos una recesión. El endurecimiento de las condiciones financieras aún tiene que disuadir significativamente la inversión o la contratación... Las acciones pueden recuperarse inicialmente, pero es probable que sucumban al daño que una rec</w:t>
      </w:r>
      <w:r w:rsidR="00D57D94">
        <w:rPr>
          <w:rFonts w:ascii="Times New Roman" w:hAnsi="Times New Roman" w:cs="Times New Roman"/>
          <w:color w:val="FF0000"/>
          <w:sz w:val="24"/>
          <w:szCs w:val="24"/>
          <w:u w:val="single"/>
        </w:rPr>
        <w:t>esión causará en los beneficios”</w:t>
      </w:r>
      <w:r w:rsidR="00D57D94">
        <w:rPr>
          <w:rFonts w:ascii="Times New Roman" w:hAnsi="Times New Roman" w:cs="Times New Roman"/>
          <w:color w:val="FF0000"/>
          <w:sz w:val="24"/>
          <w:szCs w:val="24"/>
        </w:rPr>
        <w:t>…</w:t>
      </w:r>
    </w:p>
    <w:p w:rsidR="00D57D94" w:rsidRPr="000D055A" w:rsidRDefault="00D57D94" w:rsidP="00D57D9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0D055A">
        <w:rPr>
          <w:rFonts w:ascii="Times New Roman" w:hAnsi="Times New Roman" w:cs="Times New Roman"/>
          <w:sz w:val="24"/>
          <w:szCs w:val="24"/>
          <w:u w:val="single"/>
        </w:rPr>
        <w:t>La Reserva Federal eleva tipos un 0,75% por cuarta vez en el año y anticipa un freno en las subidas</w:t>
      </w:r>
      <w:r>
        <w:rPr>
          <w:rFonts w:ascii="Times New Roman" w:hAnsi="Times New Roman" w:cs="Times New Roman"/>
          <w:sz w:val="24"/>
          <w:szCs w:val="24"/>
        </w:rPr>
        <w:t xml:space="preserve"> (Cinco Días - </w:t>
      </w:r>
      <w:r w:rsidRPr="000D055A">
        <w:rPr>
          <w:rFonts w:ascii="Times New Roman" w:hAnsi="Times New Roman" w:cs="Times New Roman"/>
          <w:b/>
          <w:sz w:val="24"/>
          <w:szCs w:val="24"/>
        </w:rPr>
        <w:t>2/11/22</w:t>
      </w:r>
      <w:r>
        <w:rPr>
          <w:rFonts w:ascii="Times New Roman" w:hAnsi="Times New Roman" w:cs="Times New Roman"/>
          <w:sz w:val="24"/>
          <w:szCs w:val="24"/>
        </w:rPr>
        <w:t>)</w:t>
      </w:r>
    </w:p>
    <w:p w:rsidR="00D57D94" w:rsidRDefault="00D57D94" w:rsidP="00D57D94">
      <w:pPr>
        <w:spacing w:line="240" w:lineRule="auto"/>
        <w:jc w:val="both"/>
        <w:rPr>
          <w:rFonts w:ascii="Times New Roman" w:hAnsi="Times New Roman" w:cs="Times New Roman"/>
          <w:color w:val="FF0000"/>
          <w:sz w:val="24"/>
          <w:szCs w:val="24"/>
          <w:u w:val="single"/>
        </w:rPr>
      </w:pPr>
      <w:r w:rsidRPr="00D57D94">
        <w:rPr>
          <w:rFonts w:ascii="Times New Roman" w:hAnsi="Times New Roman" w:cs="Times New Roman"/>
          <w:color w:val="FF0000"/>
          <w:sz w:val="24"/>
          <w:szCs w:val="24"/>
          <w:u w:val="single"/>
        </w:rPr>
        <w:t xml:space="preserve">La necesidad de combatir la inflación pudo más que las expectativas. Aunque la Reserva Federal se enfrenta a un difícil equilibrio en los próximos meses para controlar los precios y </w:t>
      </w:r>
      <w:r w:rsidRPr="00D57D94">
        <w:rPr>
          <w:rFonts w:ascii="Times New Roman" w:hAnsi="Times New Roman" w:cs="Times New Roman"/>
          <w:color w:val="FF0000"/>
          <w:sz w:val="24"/>
          <w:szCs w:val="24"/>
          <w:u w:val="single"/>
        </w:rPr>
        <w:lastRenderedPageBreak/>
        <w:t xml:space="preserve">evitar el deterioro de la economía, el Comité de Mercado Abierto (FOMC) aplaza para próximos meses la moderación del endurecimiento de la política monetaria. Los miembros de la institución acordaron por cuarta vez en el año una subida de los tipos en 75 puntos básicos, hasta situarlos en la horquilla </w:t>
      </w:r>
      <w:r w:rsidR="00A540F0" w:rsidRPr="00D57D94">
        <w:rPr>
          <w:rFonts w:ascii="Times New Roman" w:hAnsi="Times New Roman" w:cs="Times New Roman"/>
          <w:color w:val="FF0000"/>
          <w:sz w:val="24"/>
          <w:szCs w:val="24"/>
          <w:u w:val="single"/>
        </w:rPr>
        <w:t>del 3,75%-4%, máximo</w:t>
      </w:r>
      <w:r w:rsidRPr="00D57D94">
        <w:rPr>
          <w:rFonts w:ascii="Times New Roman" w:hAnsi="Times New Roman" w:cs="Times New Roman"/>
          <w:color w:val="FF0000"/>
          <w:sz w:val="24"/>
          <w:szCs w:val="24"/>
          <w:u w:val="single"/>
        </w:rPr>
        <w:t xml:space="preserve"> de 2008. La decisión contó con el visto bueno de todos los miembros.</w:t>
      </w:r>
    </w:p>
    <w:p w:rsidR="004A36DE" w:rsidRPr="00D57D94" w:rsidRDefault="004A36DE" w:rsidP="00D57D94">
      <w:pPr>
        <w:spacing w:line="240" w:lineRule="auto"/>
        <w:jc w:val="both"/>
        <w:rPr>
          <w:rFonts w:ascii="Times New Roman" w:hAnsi="Times New Roman" w:cs="Times New Roman"/>
          <w:color w:val="FF0000"/>
          <w:sz w:val="24"/>
          <w:szCs w:val="24"/>
          <w:u w:val="single"/>
        </w:rPr>
      </w:pPr>
    </w:p>
    <w:p w:rsidR="00D57D94" w:rsidRPr="000D055A" w:rsidRDefault="00D57D94" w:rsidP="00D57D94">
      <w:pPr>
        <w:spacing w:line="240" w:lineRule="auto"/>
        <w:jc w:val="both"/>
        <w:rPr>
          <w:rFonts w:ascii="Times New Roman" w:hAnsi="Times New Roman" w:cs="Times New Roman"/>
          <w:sz w:val="24"/>
          <w:szCs w:val="24"/>
        </w:rPr>
      </w:pPr>
      <w:r>
        <w:rPr>
          <w:noProof/>
          <w:lang w:eastAsia="es-ES"/>
        </w:rPr>
        <w:drawing>
          <wp:inline distT="0" distB="0" distL="0" distR="0" wp14:anchorId="1480AD9D" wp14:editId="27911B15">
            <wp:extent cx="5734050" cy="3200400"/>
            <wp:effectExtent l="0" t="0" r="0" b="0"/>
            <wp:docPr id="36" name="Imagen 36" descr="Tipos F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ipos FED"/>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731510" cy="3198982"/>
                    </a:xfrm>
                    <a:prstGeom prst="rect">
                      <a:avLst/>
                    </a:prstGeom>
                    <a:noFill/>
                    <a:ln>
                      <a:noFill/>
                    </a:ln>
                  </pic:spPr>
                </pic:pic>
              </a:graphicData>
            </a:graphic>
          </wp:inline>
        </w:drawing>
      </w:r>
    </w:p>
    <w:p w:rsidR="004A36DE" w:rsidRDefault="004A36DE" w:rsidP="00D57D94">
      <w:pPr>
        <w:spacing w:line="240" w:lineRule="auto"/>
        <w:jc w:val="both"/>
        <w:rPr>
          <w:rFonts w:ascii="Times New Roman" w:hAnsi="Times New Roman" w:cs="Times New Roman"/>
          <w:sz w:val="24"/>
          <w:szCs w:val="24"/>
        </w:rPr>
      </w:pPr>
    </w:p>
    <w:p w:rsidR="00D57D94" w:rsidRPr="000D055A" w:rsidRDefault="00D57D94" w:rsidP="00D57D94">
      <w:pPr>
        <w:spacing w:line="240" w:lineRule="auto"/>
        <w:jc w:val="both"/>
        <w:rPr>
          <w:rFonts w:ascii="Times New Roman" w:hAnsi="Times New Roman" w:cs="Times New Roman"/>
          <w:sz w:val="24"/>
          <w:szCs w:val="24"/>
        </w:rPr>
      </w:pPr>
      <w:r w:rsidRPr="000D055A">
        <w:rPr>
          <w:rFonts w:ascii="Times New Roman" w:hAnsi="Times New Roman" w:cs="Times New Roman"/>
          <w:sz w:val="24"/>
          <w:szCs w:val="24"/>
        </w:rPr>
        <w:t>La fortaleza que sigu</w:t>
      </w:r>
      <w:r>
        <w:rPr>
          <w:rFonts w:ascii="Times New Roman" w:hAnsi="Times New Roman" w:cs="Times New Roman"/>
          <w:sz w:val="24"/>
          <w:szCs w:val="24"/>
        </w:rPr>
        <w:t>e mostrando el mercado laboral -</w:t>
      </w:r>
      <w:r w:rsidRPr="000D055A">
        <w:rPr>
          <w:rFonts w:ascii="Times New Roman" w:hAnsi="Times New Roman" w:cs="Times New Roman"/>
          <w:sz w:val="24"/>
          <w:szCs w:val="24"/>
        </w:rPr>
        <w:t xml:space="preserve">el sector privado creó en octubre 239.000 empleos, por </w:t>
      </w:r>
      <w:r>
        <w:rPr>
          <w:rFonts w:ascii="Times New Roman" w:hAnsi="Times New Roman" w:cs="Times New Roman"/>
          <w:sz w:val="24"/>
          <w:szCs w:val="24"/>
        </w:rPr>
        <w:t>encima de los 195.000 previstos-</w:t>
      </w:r>
      <w:r w:rsidRPr="000D055A">
        <w:rPr>
          <w:rFonts w:ascii="Times New Roman" w:hAnsi="Times New Roman" w:cs="Times New Roman"/>
          <w:sz w:val="24"/>
          <w:szCs w:val="24"/>
        </w:rPr>
        <w:t>, la salid</w:t>
      </w:r>
      <w:r w:rsidR="00A540F0">
        <w:rPr>
          <w:rFonts w:ascii="Times New Roman" w:hAnsi="Times New Roman" w:cs="Times New Roman"/>
          <w:sz w:val="24"/>
          <w:szCs w:val="24"/>
        </w:rPr>
        <w:t>a de recesión de la economía EE</w:t>
      </w:r>
      <w:r w:rsidRPr="000D055A">
        <w:rPr>
          <w:rFonts w:ascii="Times New Roman" w:hAnsi="Times New Roman" w:cs="Times New Roman"/>
          <w:sz w:val="24"/>
          <w:szCs w:val="24"/>
        </w:rPr>
        <w:t>UU en el tercer trimestre y el temor a que la inflación se enquiste dan margen a Jerome Powell para mantener su política de subida de tipos acelerada, una estrategia que empezó a implementar en marzo y que ha llevado a la Fed a elevar las tasas en 375 puntos básicos en lo que va de año. Se trata del endurecimiento monetario más contunden</w:t>
      </w:r>
      <w:r>
        <w:rPr>
          <w:rFonts w:ascii="Times New Roman" w:hAnsi="Times New Roman" w:cs="Times New Roman"/>
          <w:sz w:val="24"/>
          <w:szCs w:val="24"/>
        </w:rPr>
        <w:t>te desde la década de los 1980…</w:t>
      </w:r>
    </w:p>
    <w:p w:rsidR="00D57D94" w:rsidRPr="000D055A" w:rsidRDefault="00D57D94" w:rsidP="00D57D94">
      <w:pPr>
        <w:spacing w:line="240" w:lineRule="auto"/>
        <w:jc w:val="both"/>
        <w:rPr>
          <w:rFonts w:ascii="Times New Roman" w:hAnsi="Times New Roman" w:cs="Times New Roman"/>
          <w:sz w:val="24"/>
          <w:szCs w:val="24"/>
        </w:rPr>
      </w:pPr>
      <w:r w:rsidRPr="000D055A">
        <w:rPr>
          <w:rFonts w:ascii="Times New Roman" w:hAnsi="Times New Roman" w:cs="Times New Roman"/>
          <w:sz w:val="24"/>
          <w:szCs w:val="24"/>
        </w:rPr>
        <w:t xml:space="preserve">La Reserva Federal sigue los pasos del BCE y anticipa su intención de seguir subiendo las tasas de manera continuada, pero a un ritmo más moderado, en sintonía con lo que ha venido descontando el mercado en las últimas semanas. Por primera vez en 11 meses, el comité incluye en el comunicado la idea de un repunte de los tipos “apropiados” para alcanzar una política monetaria lo suficientemente restrictiva y devolver </w:t>
      </w:r>
      <w:r>
        <w:rPr>
          <w:rFonts w:ascii="Times New Roman" w:hAnsi="Times New Roman" w:cs="Times New Roman"/>
          <w:sz w:val="24"/>
          <w:szCs w:val="24"/>
        </w:rPr>
        <w:t>los precios al objetivo del 2%...</w:t>
      </w:r>
    </w:p>
    <w:p w:rsidR="00D57D94" w:rsidRDefault="00D57D94" w:rsidP="00D57D94">
      <w:pPr>
        <w:spacing w:line="240" w:lineRule="auto"/>
        <w:jc w:val="both"/>
        <w:rPr>
          <w:rFonts w:ascii="Times New Roman" w:hAnsi="Times New Roman" w:cs="Times New Roman"/>
          <w:sz w:val="24"/>
          <w:szCs w:val="24"/>
        </w:rPr>
      </w:pPr>
      <w:r w:rsidRPr="000D055A">
        <w:rPr>
          <w:rFonts w:ascii="Times New Roman" w:hAnsi="Times New Roman" w:cs="Times New Roman"/>
          <w:sz w:val="24"/>
          <w:szCs w:val="24"/>
        </w:rPr>
        <w:t xml:space="preserve">En la rueda de prensa, Powell afirmó que es conveniente ralentizar el ritmo de las subidas, pero rechazó poner una fecha concreta. “Puede llegar tan pronto como la próxima reunión o la siguiente. No se ha tomado ninguna decisión”, subrayó. A pesar de la presión recibida desde Washington y el mercado, el presidente del banco central considera que no han acelerado demasiado o que el ritmo de las subidas ha sido muy rápido. “Creo que ha sido un programa bueno y exitoso. Pero seguimos pensando que es necesario continuar aumentando los tipos. Nos queda algo de terreno por cubrir. Y lo haremos”, recalcó. A diferencia de lo </w:t>
      </w:r>
      <w:r w:rsidRPr="000D055A">
        <w:rPr>
          <w:rFonts w:ascii="Times New Roman" w:hAnsi="Times New Roman" w:cs="Times New Roman"/>
          <w:sz w:val="24"/>
          <w:szCs w:val="24"/>
        </w:rPr>
        <w:lastRenderedPageBreak/>
        <w:t>realizado en las últimas semanas por el Banco de Canadá, el de Nueva Zelanda o el de Australia, Powell cree que es</w:t>
      </w:r>
      <w:r>
        <w:rPr>
          <w:rFonts w:ascii="Times New Roman" w:hAnsi="Times New Roman" w:cs="Times New Roman"/>
          <w:sz w:val="24"/>
          <w:szCs w:val="24"/>
        </w:rPr>
        <w:t xml:space="preserve"> muy prematuro hacer una pausa...</w:t>
      </w:r>
    </w:p>
    <w:p w:rsidR="00D57D94" w:rsidRPr="000D055A" w:rsidRDefault="00D57D94" w:rsidP="00D57D9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0D055A">
        <w:rPr>
          <w:rFonts w:ascii="Times New Roman" w:hAnsi="Times New Roman" w:cs="Times New Roman"/>
          <w:sz w:val="24"/>
          <w:szCs w:val="24"/>
          <w:u w:val="single"/>
        </w:rPr>
        <w:t>La Fed vuelve a subir tipos de interés: ¿cómo afecta a inversores y ahorradores?</w:t>
      </w:r>
      <w:r>
        <w:rPr>
          <w:rFonts w:ascii="Times New Roman" w:hAnsi="Times New Roman" w:cs="Times New Roman"/>
          <w:sz w:val="24"/>
          <w:szCs w:val="24"/>
        </w:rPr>
        <w:t xml:space="preserve"> (Cinco Días - </w:t>
      </w:r>
      <w:r w:rsidRPr="000D055A">
        <w:rPr>
          <w:rFonts w:ascii="Times New Roman" w:hAnsi="Times New Roman" w:cs="Times New Roman"/>
          <w:b/>
          <w:sz w:val="24"/>
          <w:szCs w:val="24"/>
        </w:rPr>
        <w:t>2/11/22</w:t>
      </w:r>
      <w:r>
        <w:rPr>
          <w:rFonts w:ascii="Times New Roman" w:hAnsi="Times New Roman" w:cs="Times New Roman"/>
          <w:sz w:val="24"/>
          <w:szCs w:val="24"/>
        </w:rPr>
        <w:t>)</w:t>
      </w:r>
    </w:p>
    <w:p w:rsidR="00D57D94" w:rsidRPr="00D57D94" w:rsidRDefault="00D57D94" w:rsidP="00D57D94">
      <w:pPr>
        <w:spacing w:line="240" w:lineRule="auto"/>
        <w:jc w:val="both"/>
        <w:rPr>
          <w:rFonts w:ascii="Times New Roman" w:hAnsi="Times New Roman" w:cs="Times New Roman"/>
          <w:color w:val="FF0000"/>
          <w:sz w:val="24"/>
          <w:szCs w:val="24"/>
        </w:rPr>
      </w:pPr>
      <w:r w:rsidRPr="00D57D94">
        <w:rPr>
          <w:rFonts w:ascii="Times New Roman" w:hAnsi="Times New Roman" w:cs="Times New Roman"/>
          <w:color w:val="FF0000"/>
          <w:sz w:val="24"/>
          <w:szCs w:val="24"/>
        </w:rPr>
        <w:t>El euro se debilita un 12,9% frente a la moneda estadounidense</w:t>
      </w:r>
    </w:p>
    <w:p w:rsidR="00D57D94" w:rsidRPr="000D055A" w:rsidRDefault="00D57D94" w:rsidP="00D57D94">
      <w:pPr>
        <w:spacing w:line="240" w:lineRule="auto"/>
        <w:jc w:val="both"/>
        <w:rPr>
          <w:rFonts w:ascii="Times New Roman" w:hAnsi="Times New Roman" w:cs="Times New Roman"/>
          <w:sz w:val="24"/>
          <w:szCs w:val="24"/>
        </w:rPr>
      </w:pPr>
      <w:r w:rsidRPr="000D055A">
        <w:rPr>
          <w:rFonts w:ascii="Times New Roman" w:hAnsi="Times New Roman" w:cs="Times New Roman"/>
          <w:sz w:val="24"/>
          <w:szCs w:val="24"/>
        </w:rPr>
        <w:t>La Reserva Federal volvió ayer a subir los tipos a razón de 75 puntos básicos. Una decisión que eleva las tasas hasta la banda entre el 3,75% y el 4% y que ejerce de efecto arrastre en los tipos de interés del resto de principales bancos centrales y en el fortalecimiento del dólar frente al resto de divisas, más allá de impactar en las valoraciones de los activos y en las hipotecas y créditos a los que tienen que hacer frente los estadounidenses.</w:t>
      </w:r>
    </w:p>
    <w:p w:rsidR="00164D6E" w:rsidRDefault="00D57D94" w:rsidP="00164D6E">
      <w:pPr>
        <w:spacing w:after="450" w:line="240" w:lineRule="auto"/>
        <w:jc w:val="both"/>
        <w:textAlignment w:val="baseline"/>
        <w:rPr>
          <w:rFonts w:ascii="Times New Roman" w:eastAsia="Times New Roman" w:hAnsi="Times New Roman" w:cs="Times New Roman"/>
          <w:sz w:val="24"/>
          <w:szCs w:val="24"/>
          <w:lang w:eastAsia="es-ES"/>
        </w:rPr>
      </w:pPr>
      <w:r>
        <w:rPr>
          <w:noProof/>
          <w:lang w:eastAsia="es-ES"/>
        </w:rPr>
        <w:drawing>
          <wp:inline distT="0" distB="0" distL="0" distR="0" wp14:anchorId="4430945C" wp14:editId="16B85F9F">
            <wp:extent cx="5731510" cy="4194810"/>
            <wp:effectExtent l="0" t="0" r="2540" b="0"/>
            <wp:docPr id="137" name="Imagen 137" descr="Divis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ivisas"/>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731510" cy="4194810"/>
                    </a:xfrm>
                    <a:prstGeom prst="rect">
                      <a:avLst/>
                    </a:prstGeom>
                    <a:noFill/>
                    <a:ln>
                      <a:noFill/>
                    </a:ln>
                  </pic:spPr>
                </pic:pic>
              </a:graphicData>
            </a:graphic>
          </wp:inline>
        </w:drawing>
      </w:r>
    </w:p>
    <w:p w:rsidR="00D57D94" w:rsidRPr="000D055A" w:rsidRDefault="00D57D94" w:rsidP="00D57D94">
      <w:pPr>
        <w:spacing w:line="240" w:lineRule="auto"/>
        <w:jc w:val="both"/>
        <w:rPr>
          <w:rFonts w:ascii="Times New Roman" w:hAnsi="Times New Roman" w:cs="Times New Roman"/>
          <w:sz w:val="24"/>
          <w:szCs w:val="24"/>
        </w:rPr>
      </w:pPr>
      <w:r w:rsidRPr="000D055A">
        <w:rPr>
          <w:rFonts w:ascii="Times New Roman" w:hAnsi="Times New Roman" w:cs="Times New Roman"/>
          <w:sz w:val="24"/>
          <w:szCs w:val="24"/>
        </w:rPr>
        <w:t>A t</w:t>
      </w:r>
      <w:r>
        <w:rPr>
          <w:rFonts w:ascii="Times New Roman" w:hAnsi="Times New Roman" w:cs="Times New Roman"/>
          <w:sz w:val="24"/>
          <w:szCs w:val="24"/>
        </w:rPr>
        <w:t>ipos de interés más altos en EE</w:t>
      </w:r>
      <w:r w:rsidRPr="000D055A">
        <w:rPr>
          <w:rFonts w:ascii="Times New Roman" w:hAnsi="Times New Roman" w:cs="Times New Roman"/>
          <w:sz w:val="24"/>
          <w:szCs w:val="24"/>
        </w:rPr>
        <w:t>UU, mayor fortaleza del dólar frente al resto de principales divisas. La moneda estadounidense se está viendo fortalecida por la política de la Fed. El euro se debilita un 12,9% frent</w:t>
      </w:r>
      <w:r>
        <w:rPr>
          <w:rFonts w:ascii="Times New Roman" w:hAnsi="Times New Roman" w:cs="Times New Roman"/>
          <w:sz w:val="24"/>
          <w:szCs w:val="24"/>
        </w:rPr>
        <w:t>e al dólar en lo que va de año -</w:t>
      </w:r>
      <w:r w:rsidRPr="000D055A">
        <w:rPr>
          <w:rFonts w:ascii="Times New Roman" w:hAnsi="Times New Roman" w:cs="Times New Roman"/>
          <w:sz w:val="24"/>
          <w:szCs w:val="24"/>
        </w:rPr>
        <w:t xml:space="preserve">la debilidad del euro no es objetivo prioritario para el BCE cómo si lo </w:t>
      </w:r>
      <w:r>
        <w:rPr>
          <w:rFonts w:ascii="Times New Roman" w:hAnsi="Times New Roman" w:cs="Times New Roman"/>
          <w:sz w:val="24"/>
          <w:szCs w:val="24"/>
        </w:rPr>
        <w:t>es la contención de los precios-</w:t>
      </w:r>
      <w:r w:rsidRPr="000D055A">
        <w:rPr>
          <w:rFonts w:ascii="Times New Roman" w:hAnsi="Times New Roman" w:cs="Times New Roman"/>
          <w:sz w:val="24"/>
          <w:szCs w:val="24"/>
        </w:rPr>
        <w:t xml:space="preserve">, caída que alcanza el 15% en el caso de la libra </w:t>
      </w:r>
      <w:r>
        <w:rPr>
          <w:rFonts w:ascii="Times New Roman" w:hAnsi="Times New Roman" w:cs="Times New Roman"/>
          <w:sz w:val="24"/>
          <w:szCs w:val="24"/>
        </w:rPr>
        <w:t>y el 21,8% para el yen japonés.</w:t>
      </w:r>
    </w:p>
    <w:p w:rsidR="00D57D94" w:rsidRPr="003C16E7" w:rsidRDefault="00D57D94" w:rsidP="00D57D9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DD6C16">
        <w:rPr>
          <w:rFonts w:ascii="Times New Roman" w:hAnsi="Times New Roman" w:cs="Times New Roman"/>
          <w:sz w:val="24"/>
          <w:szCs w:val="24"/>
          <w:u w:val="single"/>
        </w:rPr>
        <w:t>Inflación crónica</w:t>
      </w:r>
      <w:r>
        <w:rPr>
          <w:rFonts w:ascii="Times New Roman" w:hAnsi="Times New Roman" w:cs="Times New Roman"/>
          <w:sz w:val="24"/>
          <w:szCs w:val="24"/>
        </w:rPr>
        <w:t xml:space="preserve"> (El Economista - </w:t>
      </w:r>
      <w:r w:rsidRPr="00DD6C16">
        <w:rPr>
          <w:rFonts w:ascii="Times New Roman" w:hAnsi="Times New Roman" w:cs="Times New Roman"/>
          <w:b/>
          <w:sz w:val="24"/>
          <w:szCs w:val="24"/>
        </w:rPr>
        <w:t>28/10/22</w:t>
      </w:r>
      <w:r>
        <w:rPr>
          <w:rFonts w:ascii="Times New Roman" w:hAnsi="Times New Roman" w:cs="Times New Roman"/>
          <w:sz w:val="24"/>
          <w:szCs w:val="24"/>
        </w:rPr>
        <w:t>)</w:t>
      </w:r>
    </w:p>
    <w:p w:rsidR="00D57D94" w:rsidRPr="003C16E7" w:rsidRDefault="00D57D94" w:rsidP="00D57D9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3C16E7">
        <w:rPr>
          <w:rFonts w:ascii="Times New Roman" w:hAnsi="Times New Roman" w:cs="Times New Roman"/>
          <w:sz w:val="24"/>
          <w:szCs w:val="24"/>
        </w:rPr>
        <w:t>Michael Spence</w:t>
      </w:r>
      <w:r>
        <w:rPr>
          <w:rFonts w:ascii="Times New Roman" w:hAnsi="Times New Roman" w:cs="Times New Roman"/>
          <w:sz w:val="24"/>
          <w:szCs w:val="24"/>
        </w:rPr>
        <w:t>)</w:t>
      </w:r>
    </w:p>
    <w:p w:rsidR="00D57D94" w:rsidRPr="00D57D94" w:rsidRDefault="00D57D94" w:rsidP="00D57D94">
      <w:pPr>
        <w:spacing w:line="240" w:lineRule="auto"/>
        <w:jc w:val="both"/>
        <w:rPr>
          <w:rFonts w:ascii="Times New Roman" w:hAnsi="Times New Roman" w:cs="Times New Roman"/>
          <w:color w:val="FF0000"/>
          <w:sz w:val="24"/>
          <w:szCs w:val="24"/>
          <w:u w:val="single"/>
        </w:rPr>
      </w:pPr>
      <w:r w:rsidRPr="00D57D94">
        <w:rPr>
          <w:rFonts w:ascii="Times New Roman" w:hAnsi="Times New Roman" w:cs="Times New Roman"/>
          <w:color w:val="FF0000"/>
          <w:sz w:val="24"/>
          <w:szCs w:val="24"/>
          <w:u w:val="single"/>
        </w:rPr>
        <w:t xml:space="preserve">Las fuertes presiones inflacionarias pospandemia se deben, en parte, a tendencias y fuerzas de largo plazo, muchas de ellas del lado de la oferta. Aunque también existen factores </w:t>
      </w:r>
      <w:r w:rsidRPr="00D57D94">
        <w:rPr>
          <w:rFonts w:ascii="Times New Roman" w:hAnsi="Times New Roman" w:cs="Times New Roman"/>
          <w:color w:val="FF0000"/>
          <w:sz w:val="24"/>
          <w:szCs w:val="24"/>
          <w:u w:val="single"/>
        </w:rPr>
        <w:lastRenderedPageBreak/>
        <w:t>transitorios en juego -como los cuellos de botella y trastornos en las cadenas de aprovisionamiento y la política de cero COVID china- podemos suponer que en algún momento se calmarán, pero es probable que las tendencias seculares empujen a muchas economías y mercados financieros hacia un nuevo equilibrio.</w:t>
      </w:r>
    </w:p>
    <w:p w:rsidR="00D57D94" w:rsidRPr="00B8610D" w:rsidRDefault="00D57D94" w:rsidP="00D57D94">
      <w:pPr>
        <w:spacing w:line="240" w:lineRule="auto"/>
        <w:jc w:val="both"/>
        <w:rPr>
          <w:rFonts w:ascii="Times New Roman" w:hAnsi="Times New Roman" w:cs="Times New Roman"/>
          <w:sz w:val="24"/>
          <w:szCs w:val="24"/>
          <w:u w:val="single"/>
        </w:rPr>
      </w:pPr>
      <w:r w:rsidRPr="00B8610D">
        <w:rPr>
          <w:rFonts w:ascii="Times New Roman" w:hAnsi="Times New Roman" w:cs="Times New Roman"/>
          <w:sz w:val="24"/>
          <w:szCs w:val="24"/>
          <w:u w:val="single"/>
        </w:rPr>
        <w:t>En el caso de los productos manufacturados e intermedios (una parte significativa de la economía transable mundial), estamos saliendo de un largo período con condiciones deflacionarias, derivadas de la introducción de una gigantesca capacidad productiva a bajo costo en las economías emergentes, que no se había usado antes. Cuando aumenta rápidamente la demanda, la respuesta de equilibrio del mercado es una combinación de aumento de la oferta y de los precios. En las últimas décadas, claramente el aspecto dominante fue la expansión de la oferta, que produjo las presiones deflacionarias que dimos por sentadas.</w:t>
      </w:r>
    </w:p>
    <w:p w:rsidR="00D57D94" w:rsidRPr="00B8610D" w:rsidRDefault="00D57D94" w:rsidP="00D57D94">
      <w:pPr>
        <w:spacing w:line="240" w:lineRule="auto"/>
        <w:jc w:val="both"/>
        <w:rPr>
          <w:rFonts w:ascii="Times New Roman" w:hAnsi="Times New Roman" w:cs="Times New Roman"/>
          <w:sz w:val="24"/>
          <w:szCs w:val="24"/>
          <w:u w:val="single"/>
        </w:rPr>
      </w:pPr>
      <w:r w:rsidRPr="00B8610D">
        <w:rPr>
          <w:rFonts w:ascii="Times New Roman" w:hAnsi="Times New Roman" w:cs="Times New Roman"/>
          <w:sz w:val="24"/>
          <w:szCs w:val="24"/>
          <w:u w:val="single"/>
        </w:rPr>
        <w:t>Pero la capacidad subutilizada restante de la economía mundial ha estado decayendo y la demanda mundial creció debido a que decenas de millones de consumidores se sumaron a la clase media. La elasticidad de las cadenas mundiales de aprovisionamiento se redujo, por lo que aumentó el poder de negociación de los trabajadores en las economías avanzadas. Es fácil encontrar evidencia al respecto. Los sindicatos están creciendo y ampliando su impacto, y para los empleadores es difícil dejar de lado las preferencias por el trabajo híbrido de los empleados actuales y potenciales.</w:t>
      </w:r>
    </w:p>
    <w:p w:rsidR="00D57D94" w:rsidRPr="003C16E7" w:rsidRDefault="00D57D94" w:rsidP="00D57D94">
      <w:pPr>
        <w:spacing w:line="240" w:lineRule="auto"/>
        <w:jc w:val="both"/>
        <w:rPr>
          <w:rFonts w:ascii="Times New Roman" w:hAnsi="Times New Roman" w:cs="Times New Roman"/>
          <w:sz w:val="24"/>
          <w:szCs w:val="24"/>
        </w:rPr>
      </w:pPr>
      <w:r w:rsidRPr="00B8610D">
        <w:rPr>
          <w:rFonts w:ascii="Times New Roman" w:hAnsi="Times New Roman" w:cs="Times New Roman"/>
          <w:sz w:val="24"/>
          <w:szCs w:val="24"/>
          <w:u w:val="single"/>
        </w:rPr>
        <w:t>Y tenemos además el envejecimiento de la población</w:t>
      </w:r>
      <w:r w:rsidRPr="003C16E7">
        <w:rPr>
          <w:rFonts w:ascii="Times New Roman" w:hAnsi="Times New Roman" w:cs="Times New Roman"/>
          <w:sz w:val="24"/>
          <w:szCs w:val="24"/>
        </w:rPr>
        <w:t>. Las poblaciones están envejeciendo -algunas, muy rápidamente- en la cohorte de países que constituyen más del 75% del PBI mundial. Más allá del aumento de la longevidad, esta tendencia implica que se reducirá la oferta de trabajo y aumentarán las tasas de dependencia, sin que la demanda experimente una reducción comparable. Ese y otros factores alimentan una presión al alza de los costos y los salarios.</w:t>
      </w:r>
    </w:p>
    <w:p w:rsidR="00D57D94" w:rsidRPr="00B8610D" w:rsidRDefault="00D57D94" w:rsidP="00D57D94">
      <w:pPr>
        <w:spacing w:line="240" w:lineRule="auto"/>
        <w:jc w:val="both"/>
        <w:rPr>
          <w:rFonts w:ascii="Times New Roman" w:hAnsi="Times New Roman" w:cs="Times New Roman"/>
          <w:sz w:val="24"/>
          <w:szCs w:val="24"/>
          <w:u w:val="single"/>
        </w:rPr>
      </w:pPr>
      <w:r w:rsidRPr="00B8610D">
        <w:rPr>
          <w:rFonts w:ascii="Times New Roman" w:hAnsi="Times New Roman" w:cs="Times New Roman"/>
          <w:sz w:val="24"/>
          <w:szCs w:val="24"/>
          <w:u w:val="single"/>
        </w:rPr>
        <w:t>Entre los sectores que experimentaron problemas de estrés y seguridad extrema durante la pandemia se contaban el educativo y el sanitario, que constituyen gigantescas fuentes de empleo en la esfera no transable de cualquier economía</w:t>
      </w:r>
      <w:r w:rsidRPr="003C16E7">
        <w:rPr>
          <w:rFonts w:ascii="Times New Roman" w:hAnsi="Times New Roman" w:cs="Times New Roman"/>
          <w:sz w:val="24"/>
          <w:szCs w:val="24"/>
        </w:rPr>
        <w:t xml:space="preserve">. En Estados Unidos, los sectores de la salud y la educación representan aproximadamente 20 y 14 millones de puestos de trabajo, respectivamente. Solo el sector gubernamental supera al sanitario en generación de empleo. </w:t>
      </w:r>
      <w:r w:rsidRPr="00B8610D">
        <w:rPr>
          <w:rFonts w:ascii="Times New Roman" w:hAnsi="Times New Roman" w:cs="Times New Roman"/>
          <w:sz w:val="24"/>
          <w:szCs w:val="24"/>
          <w:u w:val="single"/>
        </w:rPr>
        <w:t>Pero después de la pandemia las condiciones de trabajo siguieron resultando poco atractivas y eso llevó a la escasez de trabajadores. Todavía no surgió un nuevo equilibrio de mercado, pero cuando eso ocurra, seguramente incluirá un aumento del ingreso de quienes trabajan en esos sectores y, por lo tanto, un aumento de los costos reales (ajustados por inflación).</w:t>
      </w:r>
    </w:p>
    <w:p w:rsidR="00D57D94" w:rsidRPr="00B8610D" w:rsidRDefault="00D57D94" w:rsidP="00D57D94">
      <w:pPr>
        <w:spacing w:line="240" w:lineRule="auto"/>
        <w:jc w:val="both"/>
        <w:rPr>
          <w:rFonts w:ascii="Times New Roman" w:hAnsi="Times New Roman" w:cs="Times New Roman"/>
          <w:color w:val="FF0000"/>
          <w:sz w:val="24"/>
          <w:szCs w:val="24"/>
          <w:u w:val="single"/>
        </w:rPr>
      </w:pPr>
      <w:r w:rsidRPr="00B8610D">
        <w:rPr>
          <w:rFonts w:ascii="Times New Roman" w:hAnsi="Times New Roman" w:cs="Times New Roman"/>
          <w:color w:val="FF0000"/>
          <w:sz w:val="24"/>
          <w:szCs w:val="24"/>
          <w:u w:val="single"/>
        </w:rPr>
        <w:t>En términos más amplios, la economía entró en una nueva era de impactos frecuentes y graves por el cambio climático, la pandemia, la guerra, los bloqueos en la cadena de aprovisionamiento, las tensiones geopolíticas y otras causas. Se está dando la diversificación de las cadenas de aprovisionamiento y las nuevas políticas económicas refuerzan intensamente ese proceso. Los días en que esas cadenas solo se basaban en los costos, la eficiencia a corto plazo y las ventajas comparativas quedaron atrás. Las nuevas cadenas diversificadas de aprovisionamiento serán más resilientes, pero también más caras.</w:t>
      </w:r>
    </w:p>
    <w:p w:rsidR="00D57D94" w:rsidRPr="003C16E7" w:rsidRDefault="00D57D94" w:rsidP="00D57D94">
      <w:pPr>
        <w:spacing w:line="240" w:lineRule="auto"/>
        <w:jc w:val="both"/>
        <w:rPr>
          <w:rFonts w:ascii="Times New Roman" w:hAnsi="Times New Roman" w:cs="Times New Roman"/>
          <w:sz w:val="24"/>
          <w:szCs w:val="24"/>
        </w:rPr>
      </w:pPr>
      <w:r w:rsidRPr="00B8610D">
        <w:rPr>
          <w:rFonts w:ascii="Times New Roman" w:hAnsi="Times New Roman" w:cs="Times New Roman"/>
          <w:sz w:val="24"/>
          <w:szCs w:val="24"/>
          <w:u w:val="single"/>
        </w:rPr>
        <w:t>Las tensiones geopolíticas son un aspecto particularmente importante de este proceso. Lo</w:t>
      </w:r>
      <w:r w:rsidR="00B8610D" w:rsidRPr="00B8610D">
        <w:rPr>
          <w:rFonts w:ascii="Times New Roman" w:hAnsi="Times New Roman" w:cs="Times New Roman"/>
          <w:sz w:val="24"/>
          <w:szCs w:val="24"/>
          <w:u w:val="single"/>
        </w:rPr>
        <w:t>s gobiernos promueven ahora la “</w:t>
      </w:r>
      <w:r w:rsidRPr="00B8610D">
        <w:rPr>
          <w:rFonts w:ascii="Times New Roman" w:hAnsi="Times New Roman" w:cs="Times New Roman"/>
          <w:sz w:val="24"/>
          <w:szCs w:val="24"/>
          <w:u w:val="single"/>
        </w:rPr>
        <w:t>l</w:t>
      </w:r>
      <w:r w:rsidR="00B8610D" w:rsidRPr="00B8610D">
        <w:rPr>
          <w:rFonts w:ascii="Times New Roman" w:hAnsi="Times New Roman" w:cs="Times New Roman"/>
          <w:sz w:val="24"/>
          <w:szCs w:val="24"/>
          <w:u w:val="single"/>
        </w:rPr>
        <w:t>ocalización en sitios amistosos”</w:t>
      </w:r>
      <w:r w:rsidRPr="00B8610D">
        <w:rPr>
          <w:rFonts w:ascii="Times New Roman" w:hAnsi="Times New Roman" w:cs="Times New Roman"/>
          <w:sz w:val="24"/>
          <w:szCs w:val="24"/>
          <w:u w:val="single"/>
        </w:rPr>
        <w:t xml:space="preserve"> mediante políticas (como aranceles, subsidios o, directamente, prohibiciones) que procuran desplazar los patrones comerciales de sus países hacia sus aliados estratégicos y otros socios más confiables</w:t>
      </w:r>
      <w:r w:rsidRPr="003C16E7">
        <w:rPr>
          <w:rFonts w:ascii="Times New Roman" w:hAnsi="Times New Roman" w:cs="Times New Roman"/>
          <w:sz w:val="24"/>
          <w:szCs w:val="24"/>
        </w:rPr>
        <w:t xml:space="preserve">. Esto es </w:t>
      </w:r>
      <w:r w:rsidRPr="003C16E7">
        <w:rPr>
          <w:rFonts w:ascii="Times New Roman" w:hAnsi="Times New Roman" w:cs="Times New Roman"/>
          <w:sz w:val="24"/>
          <w:szCs w:val="24"/>
        </w:rPr>
        <w:lastRenderedPageBreak/>
        <w:t xml:space="preserve">en parte una respuesta a los posibles trastornos asociados al creciente uso del comercio y las finanzas para conseguir ventajas en las relaciones o </w:t>
      </w:r>
      <w:r>
        <w:rPr>
          <w:rFonts w:ascii="Times New Roman" w:hAnsi="Times New Roman" w:cs="Times New Roman"/>
          <w:sz w:val="24"/>
          <w:szCs w:val="24"/>
        </w:rPr>
        <w:t>los conflictos internacionales.</w:t>
      </w:r>
    </w:p>
    <w:p w:rsidR="00D57D94" w:rsidRPr="00B8610D" w:rsidRDefault="00B8610D" w:rsidP="00D57D94">
      <w:pPr>
        <w:spacing w:line="240" w:lineRule="auto"/>
        <w:jc w:val="both"/>
        <w:rPr>
          <w:rFonts w:ascii="Times New Roman" w:hAnsi="Times New Roman" w:cs="Times New Roman"/>
          <w:color w:val="FF0000"/>
          <w:sz w:val="24"/>
          <w:szCs w:val="24"/>
          <w:u w:val="single"/>
        </w:rPr>
      </w:pPr>
      <w:r w:rsidRPr="00B8610D">
        <w:rPr>
          <w:rFonts w:ascii="Times New Roman" w:hAnsi="Times New Roman" w:cs="Times New Roman"/>
          <w:color w:val="FF0000"/>
          <w:sz w:val="24"/>
          <w:szCs w:val="24"/>
          <w:u w:val="single"/>
        </w:rPr>
        <w:t xml:space="preserve">Aunque </w:t>
      </w:r>
      <w:r w:rsidR="00D57D94" w:rsidRPr="00B8610D">
        <w:rPr>
          <w:rFonts w:ascii="Times New Roman" w:hAnsi="Times New Roman" w:cs="Times New Roman"/>
          <w:color w:val="FF0000"/>
          <w:sz w:val="24"/>
          <w:szCs w:val="24"/>
          <w:u w:val="single"/>
        </w:rPr>
        <w:t>los beneficios de esas políticas para la seguridad son discutibles, no hay dudas de que resultan inflacionarias, ya que alejan explícitamente a las cadenas de aprovisionamiento de los proveedores más baratos. De hecho, una versión aún más extrema de la localización en sitios amistosos es la relocalización dentro del propio país, cuyos costos son tan elevados que las políticas para fomentarla solo se justifican en sectores con extremas vulnerabilidades económicas y para la seguridad nacional.</w:t>
      </w:r>
    </w:p>
    <w:p w:rsidR="00D57D94" w:rsidRPr="003C16E7" w:rsidRDefault="00D57D94" w:rsidP="00D57D94">
      <w:pPr>
        <w:spacing w:line="240" w:lineRule="auto"/>
        <w:jc w:val="both"/>
        <w:rPr>
          <w:rFonts w:ascii="Times New Roman" w:hAnsi="Times New Roman" w:cs="Times New Roman"/>
          <w:sz w:val="24"/>
          <w:szCs w:val="24"/>
        </w:rPr>
      </w:pPr>
      <w:r w:rsidRPr="003C16E7">
        <w:rPr>
          <w:rFonts w:ascii="Times New Roman" w:hAnsi="Times New Roman" w:cs="Times New Roman"/>
          <w:sz w:val="24"/>
          <w:szCs w:val="24"/>
        </w:rPr>
        <w:t>Por ejemplo, debido a la guerra de Rusia con Ucrania, Europa diversificó en forma relativamente rápida su sistema energético para eliminar su dependencia de los combustibles fósiles rusos. Este proceso aumentará los costes de la energía en el largo plazo -al menos, hasta que se hayan implementado las tecnologías de energías renovables, para lo que faltan varias décadas- y creará presiones inflacionarias adicionales sign</w:t>
      </w:r>
      <w:r>
        <w:rPr>
          <w:rFonts w:ascii="Times New Roman" w:hAnsi="Times New Roman" w:cs="Times New Roman"/>
          <w:sz w:val="24"/>
          <w:szCs w:val="24"/>
        </w:rPr>
        <w:t>ificativas durante varios años.</w:t>
      </w:r>
    </w:p>
    <w:p w:rsidR="00D57D94" w:rsidRPr="003C16E7" w:rsidRDefault="00D57D94" w:rsidP="00D57D94">
      <w:pPr>
        <w:spacing w:line="240" w:lineRule="auto"/>
        <w:jc w:val="both"/>
        <w:rPr>
          <w:rFonts w:ascii="Times New Roman" w:hAnsi="Times New Roman" w:cs="Times New Roman"/>
          <w:sz w:val="24"/>
          <w:szCs w:val="24"/>
        </w:rPr>
      </w:pPr>
      <w:r w:rsidRPr="00B8610D">
        <w:rPr>
          <w:rFonts w:ascii="Times New Roman" w:hAnsi="Times New Roman" w:cs="Times New Roman"/>
          <w:sz w:val="24"/>
          <w:szCs w:val="24"/>
          <w:u w:val="single"/>
        </w:rPr>
        <w:t>Con el fortalecimiento del dólar, el rápido aumento de los precios de los productos básicos -entre ellos, los de los alimentos y combustibles fósiles en dólares- amplificó el aumento inflacionario en muchos países</w:t>
      </w:r>
      <w:r w:rsidRPr="003C16E7">
        <w:rPr>
          <w:rFonts w:ascii="Times New Roman" w:hAnsi="Times New Roman" w:cs="Times New Roman"/>
          <w:sz w:val="24"/>
          <w:szCs w:val="24"/>
        </w:rPr>
        <w:t xml:space="preserve">. Y este efecto es especialmente intenso en los países en vías de desarrollo con bajos ingresos, donde los alimentos y la energía representan una porción mayor de la demanda agregada y el gasto de los hogares. Ya muchos de esos países enfrentan crisis alimentarias, </w:t>
      </w:r>
      <w:r>
        <w:rPr>
          <w:rFonts w:ascii="Times New Roman" w:hAnsi="Times New Roman" w:cs="Times New Roman"/>
          <w:sz w:val="24"/>
          <w:szCs w:val="24"/>
        </w:rPr>
        <w:t>energéticas y de asequibilidad.</w:t>
      </w:r>
    </w:p>
    <w:p w:rsidR="00D57D94" w:rsidRPr="00B8610D" w:rsidRDefault="00D57D94" w:rsidP="00D57D94">
      <w:pPr>
        <w:spacing w:line="240" w:lineRule="auto"/>
        <w:jc w:val="both"/>
        <w:rPr>
          <w:rFonts w:ascii="Times New Roman" w:hAnsi="Times New Roman" w:cs="Times New Roman"/>
          <w:color w:val="FF0000"/>
          <w:sz w:val="24"/>
          <w:szCs w:val="24"/>
          <w:u w:val="single"/>
        </w:rPr>
      </w:pPr>
      <w:r w:rsidRPr="00B8610D">
        <w:rPr>
          <w:rFonts w:ascii="Times New Roman" w:hAnsi="Times New Roman" w:cs="Times New Roman"/>
          <w:color w:val="FF0000"/>
          <w:sz w:val="24"/>
          <w:szCs w:val="24"/>
          <w:u w:val="single"/>
        </w:rPr>
        <w:t>En EEUU cada vez más evidencias señalan que hay una concentración sectorial en curso, tanto en términos absolutos como relativos respecto de Europa. Podemos discutir sobre los motivos de esta tendencia -Thomas Philippon, de la Universidad de Nueva York, le echa en gran medida la culpa a los errores en las políticas para fomentar la competencia-, pero casi no hay dudas sobre la incidencia de la inflación en el aumento del problema de la concentración del mercado. Según la teoría económica, en un mercado muy competitivo la inflación debiera impulsar la búsqueda de aumentos en la productividad, pero ese incentivo se atenúa en los sectores oligopólicos, donde la capacidad de las empresas existentes para transferir las subidas de costes aumentando los precios y manteniendo sus márgenes es mayor.</w:t>
      </w:r>
    </w:p>
    <w:p w:rsidR="00D57D94" w:rsidRPr="00B8610D" w:rsidRDefault="00D57D94" w:rsidP="00D57D94">
      <w:pPr>
        <w:spacing w:line="240" w:lineRule="auto"/>
        <w:jc w:val="both"/>
        <w:rPr>
          <w:rFonts w:ascii="Times New Roman" w:hAnsi="Times New Roman" w:cs="Times New Roman"/>
          <w:color w:val="FF0000"/>
          <w:sz w:val="24"/>
          <w:szCs w:val="24"/>
          <w:u w:val="single"/>
        </w:rPr>
      </w:pPr>
      <w:r w:rsidRPr="00B8610D">
        <w:rPr>
          <w:rFonts w:ascii="Times New Roman" w:hAnsi="Times New Roman" w:cs="Times New Roman"/>
          <w:color w:val="FF0000"/>
          <w:sz w:val="24"/>
          <w:szCs w:val="24"/>
          <w:u w:val="single"/>
        </w:rPr>
        <w:t>Finalmente, los niveles de deuda en la economía mundial se mantienen elevados por la pandemia, y el aumento actual de las tasas de interés implica que habrá menos margen para las políticas fiscales. Pero se prevé que para la transición hacia las energías limpias harán falta inversiones de 3 billones de dólares anuales durante las próximas tres décadas. Si se financia una parte sustancial de ellas con deuda, lo que parece probable, el aumento de la demanda agregada en un entorno mundial que ya experimenta restricciones del lado de la oferta creará presiones inflacionarias adicionales.</w:t>
      </w:r>
    </w:p>
    <w:p w:rsidR="00D57D94" w:rsidRPr="00B8610D" w:rsidRDefault="00D57D94" w:rsidP="00D57D94">
      <w:pPr>
        <w:spacing w:line="240" w:lineRule="auto"/>
        <w:jc w:val="both"/>
        <w:rPr>
          <w:rFonts w:ascii="Times New Roman" w:hAnsi="Times New Roman" w:cs="Times New Roman"/>
          <w:b/>
          <w:color w:val="FF0000"/>
          <w:sz w:val="24"/>
          <w:szCs w:val="24"/>
          <w:u w:val="single"/>
        </w:rPr>
      </w:pPr>
      <w:r w:rsidRPr="00B8610D">
        <w:rPr>
          <w:rFonts w:ascii="Times New Roman" w:hAnsi="Times New Roman" w:cs="Times New Roman"/>
          <w:color w:val="FF0000"/>
          <w:sz w:val="24"/>
          <w:szCs w:val="24"/>
          <w:u w:val="single"/>
        </w:rPr>
        <w:t>Un aumento de la productividad con base amplia limitaría los efectos combinados de esas presiones inflacionarias</w:t>
      </w:r>
      <w:r w:rsidRPr="003C16E7">
        <w:rPr>
          <w:rFonts w:ascii="Times New Roman" w:hAnsi="Times New Roman" w:cs="Times New Roman"/>
          <w:sz w:val="24"/>
          <w:szCs w:val="24"/>
        </w:rPr>
        <w:t xml:space="preserve">. Las tecnologías digitales y biológicas tienen un potencial inmenso para ello, pero llevará tiempo implementarlas y desarrollarlas. </w:t>
      </w:r>
      <w:r w:rsidRPr="00B8610D">
        <w:rPr>
          <w:rFonts w:ascii="Times New Roman" w:hAnsi="Times New Roman" w:cs="Times New Roman"/>
          <w:b/>
          <w:color w:val="FF0000"/>
          <w:sz w:val="24"/>
          <w:szCs w:val="24"/>
          <w:u w:val="single"/>
        </w:rPr>
        <w:t>Mientras tanto, ya no podemos esperar respuestas muy elásticas de la oferta para mitigar las presiones inflacionarias. Hay que ajustar los marcos de las políticas fiscales y monetarias a esta nueva realidad, más difícil.</w:t>
      </w:r>
    </w:p>
    <w:p w:rsidR="004A36DE" w:rsidRDefault="004A36DE" w:rsidP="00161E9B">
      <w:pPr>
        <w:spacing w:line="240" w:lineRule="auto"/>
        <w:jc w:val="both"/>
        <w:rPr>
          <w:rFonts w:ascii="Times New Roman" w:hAnsi="Times New Roman" w:cs="Times New Roman"/>
          <w:b/>
          <w:sz w:val="24"/>
          <w:szCs w:val="24"/>
        </w:rPr>
      </w:pPr>
    </w:p>
    <w:p w:rsidR="004A36DE" w:rsidRDefault="004A36DE" w:rsidP="00161E9B">
      <w:pPr>
        <w:spacing w:line="240" w:lineRule="auto"/>
        <w:jc w:val="both"/>
        <w:rPr>
          <w:rFonts w:ascii="Times New Roman" w:hAnsi="Times New Roman" w:cs="Times New Roman"/>
          <w:b/>
          <w:sz w:val="24"/>
          <w:szCs w:val="24"/>
        </w:rPr>
      </w:pPr>
    </w:p>
    <w:p w:rsidR="0030344B" w:rsidRDefault="004A36DE" w:rsidP="00161E9B">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Anexo I: </w:t>
      </w:r>
      <w:r w:rsidR="00161E9B" w:rsidRPr="00161E9B">
        <w:rPr>
          <w:rFonts w:ascii="Times New Roman" w:hAnsi="Times New Roman" w:cs="Times New Roman"/>
          <w:b/>
          <w:sz w:val="24"/>
          <w:szCs w:val="24"/>
        </w:rPr>
        <w:t>Cuando la “apariencia de verdad”, ya no da más de sí</w:t>
      </w:r>
    </w:p>
    <w:p w:rsidR="00161E9B" w:rsidRPr="00161E9B" w:rsidRDefault="004A36DE" w:rsidP="00161E9B">
      <w:pPr>
        <w:spacing w:line="240" w:lineRule="auto"/>
        <w:jc w:val="both"/>
        <w:rPr>
          <w:rFonts w:ascii="Times New Roman" w:hAnsi="Times New Roman" w:cs="Times New Roman"/>
          <w:b/>
          <w:sz w:val="24"/>
          <w:szCs w:val="24"/>
        </w:rPr>
      </w:pPr>
      <w:r w:rsidRPr="00D00C9E">
        <w:rPr>
          <w:rFonts w:ascii="Times New Roman" w:hAnsi="Times New Roman" w:cs="Times New Roman"/>
          <w:b/>
          <w:noProof/>
          <w:color w:val="FF0000"/>
          <w:sz w:val="24"/>
          <w:szCs w:val="24"/>
          <w:lang w:eastAsia="es-ES"/>
        </w:rPr>
        <w:drawing>
          <wp:inline distT="0" distB="0" distL="0" distR="0" wp14:anchorId="4989D90D" wp14:editId="4858A635">
            <wp:extent cx="5733702" cy="2667000"/>
            <wp:effectExtent l="0" t="0" r="635" b="0"/>
            <wp:docPr id="175" name="Imagen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9"/>
                    <a:stretch>
                      <a:fillRect/>
                    </a:stretch>
                  </pic:blipFill>
                  <pic:spPr>
                    <a:xfrm>
                      <a:off x="0" y="0"/>
                      <a:ext cx="5731510" cy="2665981"/>
                    </a:xfrm>
                    <a:prstGeom prst="rect">
                      <a:avLst/>
                    </a:prstGeom>
                  </pic:spPr>
                </pic:pic>
              </a:graphicData>
            </a:graphic>
          </wp:inline>
        </w:drawing>
      </w:r>
      <w:r w:rsidR="00161E9B" w:rsidRPr="00161E9B">
        <w:rPr>
          <w:rFonts w:ascii="Times New Roman" w:hAnsi="Times New Roman" w:cs="Times New Roman"/>
          <w:b/>
          <w:sz w:val="24"/>
          <w:szCs w:val="24"/>
        </w:rPr>
        <w:t xml:space="preserve"> </w:t>
      </w:r>
    </w:p>
    <w:p w:rsidR="00161E9B" w:rsidRPr="00161E9B" w:rsidRDefault="00161E9B" w:rsidP="00161E9B">
      <w:pPr>
        <w:spacing w:line="240" w:lineRule="auto"/>
        <w:jc w:val="both"/>
        <w:rPr>
          <w:rFonts w:ascii="Times New Roman" w:hAnsi="Times New Roman" w:cs="Times New Roman"/>
          <w:b/>
          <w:sz w:val="24"/>
          <w:szCs w:val="24"/>
        </w:rPr>
      </w:pPr>
      <w:r w:rsidRPr="00161E9B">
        <w:rPr>
          <w:rFonts w:ascii="Times New Roman" w:hAnsi="Times New Roman" w:cs="Times New Roman"/>
          <w:b/>
          <w:sz w:val="24"/>
          <w:szCs w:val="24"/>
        </w:rPr>
        <w:t>A confesión de parte relevo de prueba</w:t>
      </w:r>
      <w:r w:rsidR="0030344B">
        <w:rPr>
          <w:rFonts w:ascii="Times New Roman" w:hAnsi="Times New Roman" w:cs="Times New Roman"/>
          <w:b/>
          <w:sz w:val="24"/>
          <w:szCs w:val="24"/>
        </w:rPr>
        <w:t>…</w:t>
      </w:r>
      <w:r w:rsidRPr="00161E9B">
        <w:rPr>
          <w:rFonts w:ascii="Times New Roman" w:hAnsi="Times New Roman" w:cs="Times New Roman"/>
          <w:b/>
          <w:sz w:val="24"/>
          <w:szCs w:val="24"/>
        </w:rPr>
        <w:t xml:space="preserve"> (y se quedan tan ancho)</w:t>
      </w:r>
    </w:p>
    <w:p w:rsidR="00161E9B" w:rsidRPr="00B8604F" w:rsidRDefault="00161E9B" w:rsidP="00161E9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B8604F">
        <w:rPr>
          <w:rFonts w:ascii="Times New Roman" w:hAnsi="Times New Roman" w:cs="Times New Roman"/>
          <w:sz w:val="24"/>
          <w:szCs w:val="24"/>
          <w:u w:val="single"/>
        </w:rPr>
        <w:t>La confesión del BCE: sus políticas ayudan a los ricos, perjudican a los pobres y fomentan la desigualdad</w:t>
      </w:r>
      <w:r w:rsidR="008F0249">
        <w:rPr>
          <w:rFonts w:ascii="Times New Roman" w:hAnsi="Times New Roman" w:cs="Times New Roman"/>
          <w:sz w:val="24"/>
          <w:szCs w:val="24"/>
        </w:rPr>
        <w:t xml:space="preserve"> (Por </w:t>
      </w:r>
      <w:r w:rsidR="008F0249" w:rsidRPr="00B8604F">
        <w:rPr>
          <w:rFonts w:ascii="Times New Roman" w:hAnsi="Times New Roman" w:cs="Times New Roman"/>
          <w:sz w:val="24"/>
          <w:szCs w:val="24"/>
        </w:rPr>
        <w:t>Daniel Fernández</w:t>
      </w:r>
      <w:r w:rsidR="008F0249">
        <w:rPr>
          <w:rFonts w:ascii="Times New Roman" w:hAnsi="Times New Roman" w:cs="Times New Roman"/>
          <w:sz w:val="24"/>
          <w:szCs w:val="24"/>
        </w:rPr>
        <w:t xml:space="preserve"> - </w:t>
      </w:r>
      <w:r>
        <w:rPr>
          <w:rFonts w:ascii="Times New Roman" w:hAnsi="Times New Roman" w:cs="Times New Roman"/>
          <w:sz w:val="24"/>
          <w:szCs w:val="24"/>
        </w:rPr>
        <w:t xml:space="preserve">Libertad Digital - </w:t>
      </w:r>
      <w:r w:rsidRPr="00B8604F">
        <w:rPr>
          <w:rFonts w:ascii="Times New Roman" w:hAnsi="Times New Roman" w:cs="Times New Roman"/>
          <w:b/>
          <w:sz w:val="24"/>
          <w:szCs w:val="24"/>
        </w:rPr>
        <w:t>2/11/22</w:t>
      </w:r>
      <w:r>
        <w:rPr>
          <w:rFonts w:ascii="Times New Roman" w:hAnsi="Times New Roman" w:cs="Times New Roman"/>
          <w:sz w:val="24"/>
          <w:szCs w:val="24"/>
        </w:rPr>
        <w:t>)</w:t>
      </w:r>
    </w:p>
    <w:p w:rsidR="00161E9B" w:rsidRPr="00B8604F" w:rsidRDefault="00161E9B" w:rsidP="00161E9B">
      <w:pPr>
        <w:spacing w:line="240" w:lineRule="auto"/>
        <w:jc w:val="both"/>
        <w:rPr>
          <w:rFonts w:ascii="Times New Roman" w:hAnsi="Times New Roman" w:cs="Times New Roman"/>
          <w:sz w:val="24"/>
          <w:szCs w:val="24"/>
        </w:rPr>
      </w:pPr>
      <w:r w:rsidRPr="00B8604F">
        <w:rPr>
          <w:rFonts w:ascii="Times New Roman" w:hAnsi="Times New Roman" w:cs="Times New Roman"/>
          <w:sz w:val="24"/>
          <w:szCs w:val="24"/>
        </w:rPr>
        <w:t>El BCE reconoce que sus políticas de dinero barato benefician principalmente a los trabajadores con mayores ingresos.</w:t>
      </w:r>
    </w:p>
    <w:p w:rsidR="00161E9B" w:rsidRPr="00B8604F" w:rsidRDefault="00161E9B" w:rsidP="00161E9B">
      <w:pPr>
        <w:spacing w:line="240" w:lineRule="auto"/>
        <w:jc w:val="both"/>
        <w:rPr>
          <w:rFonts w:ascii="Times New Roman" w:hAnsi="Times New Roman" w:cs="Times New Roman"/>
          <w:sz w:val="24"/>
          <w:szCs w:val="24"/>
        </w:rPr>
      </w:pPr>
      <w:r w:rsidRPr="00B8604F">
        <w:rPr>
          <w:rFonts w:ascii="Times New Roman" w:hAnsi="Times New Roman" w:cs="Times New Roman"/>
          <w:sz w:val="24"/>
          <w:szCs w:val="24"/>
        </w:rPr>
        <w:t>El blog del Banco Central Europeo ha publicado un artículo que trata un tema interesantísimo: el impacto en el salario de los trabajadores de la política monetaria ultra expansiva de los últimos años por p</w:t>
      </w:r>
      <w:r>
        <w:rPr>
          <w:rFonts w:ascii="Times New Roman" w:hAnsi="Times New Roman" w:cs="Times New Roman"/>
          <w:sz w:val="24"/>
          <w:szCs w:val="24"/>
        </w:rPr>
        <w:t>arte del Banco Central Europeo.</w:t>
      </w:r>
    </w:p>
    <w:p w:rsidR="00161E9B" w:rsidRPr="00B8604F" w:rsidRDefault="00161E9B" w:rsidP="00161E9B">
      <w:pPr>
        <w:spacing w:line="240" w:lineRule="auto"/>
        <w:jc w:val="both"/>
        <w:rPr>
          <w:rFonts w:ascii="Times New Roman" w:hAnsi="Times New Roman" w:cs="Times New Roman"/>
          <w:sz w:val="24"/>
          <w:szCs w:val="24"/>
        </w:rPr>
      </w:pPr>
      <w:r w:rsidRPr="00B8604F">
        <w:rPr>
          <w:rFonts w:ascii="Times New Roman" w:hAnsi="Times New Roman" w:cs="Times New Roman"/>
          <w:sz w:val="24"/>
          <w:szCs w:val="24"/>
        </w:rPr>
        <w:t>De forma curiosa, parece que en el Banco Central Europeo están confesando que sus políticas de dinero barato han ayudado a los más ricos y perjudicado, aunque sea r</w:t>
      </w:r>
      <w:r>
        <w:rPr>
          <w:rFonts w:ascii="Times New Roman" w:hAnsi="Times New Roman" w:cs="Times New Roman"/>
          <w:sz w:val="24"/>
          <w:szCs w:val="24"/>
        </w:rPr>
        <w:t>elativamente, a los más pobres.</w:t>
      </w:r>
    </w:p>
    <w:p w:rsidR="00161E9B" w:rsidRPr="00B8604F" w:rsidRDefault="00161E9B" w:rsidP="00161E9B">
      <w:pPr>
        <w:spacing w:line="240" w:lineRule="auto"/>
        <w:jc w:val="both"/>
        <w:rPr>
          <w:rFonts w:ascii="Times New Roman" w:hAnsi="Times New Roman" w:cs="Times New Roman"/>
          <w:sz w:val="24"/>
          <w:szCs w:val="24"/>
        </w:rPr>
      </w:pPr>
      <w:r w:rsidRPr="00B8604F">
        <w:rPr>
          <w:rFonts w:ascii="Times New Roman" w:hAnsi="Times New Roman" w:cs="Times New Roman"/>
          <w:sz w:val="24"/>
          <w:szCs w:val="24"/>
        </w:rPr>
        <w:t>Vamos primero a resumir el artículo publicado en</w:t>
      </w:r>
      <w:r>
        <w:rPr>
          <w:rFonts w:ascii="Times New Roman" w:hAnsi="Times New Roman" w:cs="Times New Roman"/>
          <w:sz w:val="24"/>
          <w:szCs w:val="24"/>
        </w:rPr>
        <w:t xml:space="preserve"> el blog del BCE. </w:t>
      </w:r>
    </w:p>
    <w:p w:rsidR="00161E9B" w:rsidRPr="00B8604F" w:rsidRDefault="00161E9B" w:rsidP="00161E9B">
      <w:pPr>
        <w:spacing w:line="240" w:lineRule="auto"/>
        <w:jc w:val="both"/>
        <w:rPr>
          <w:rFonts w:ascii="Times New Roman" w:hAnsi="Times New Roman" w:cs="Times New Roman"/>
          <w:sz w:val="24"/>
          <w:szCs w:val="24"/>
        </w:rPr>
      </w:pPr>
      <w:r w:rsidRPr="00B8604F">
        <w:rPr>
          <w:rFonts w:ascii="Times New Roman" w:hAnsi="Times New Roman" w:cs="Times New Roman"/>
          <w:sz w:val="24"/>
          <w:szCs w:val="24"/>
        </w:rPr>
        <w:t>El artículo en el blog del BCE es un resumen de un artículo académico publicado recientemente. Los autores utilizan datos de Portugal para asegurar que la política monetaria expansiva beneficia principalmente a los trabajadores con mayores ingresos incrementando la desigualdad en los ingresos laborales. Los autores también señalan que la reciente normalización de la política monetaria, con las consecuentes subidas de tipos, tiene un efecto contrario y simétrico. Es decir, ahora que suben los tipos de interés, todos los trabajadores verán caer sus ingresos, pero los que verán caer más rápido sus ingresos serán los trab</w:t>
      </w:r>
      <w:r>
        <w:rPr>
          <w:rFonts w:ascii="Times New Roman" w:hAnsi="Times New Roman" w:cs="Times New Roman"/>
          <w:sz w:val="24"/>
          <w:szCs w:val="24"/>
        </w:rPr>
        <w:t>ajadores con mayor retribución.</w:t>
      </w:r>
    </w:p>
    <w:p w:rsidR="00161E9B" w:rsidRPr="00B8604F" w:rsidRDefault="00161E9B" w:rsidP="00161E9B">
      <w:pPr>
        <w:spacing w:line="240" w:lineRule="auto"/>
        <w:jc w:val="both"/>
        <w:rPr>
          <w:rFonts w:ascii="Times New Roman" w:hAnsi="Times New Roman" w:cs="Times New Roman"/>
          <w:sz w:val="24"/>
          <w:szCs w:val="24"/>
        </w:rPr>
      </w:pPr>
      <w:r w:rsidRPr="00B8604F">
        <w:rPr>
          <w:rFonts w:ascii="Times New Roman" w:hAnsi="Times New Roman" w:cs="Times New Roman"/>
          <w:sz w:val="24"/>
          <w:szCs w:val="24"/>
        </w:rPr>
        <w:t>El artículo nos explica un canal muy explícito por el cual ocurre est</w:t>
      </w:r>
      <w:r>
        <w:rPr>
          <w:rFonts w:ascii="Times New Roman" w:hAnsi="Times New Roman" w:cs="Times New Roman"/>
          <w:sz w:val="24"/>
          <w:szCs w:val="24"/>
        </w:rPr>
        <w:t>e efecto:</w:t>
      </w:r>
    </w:p>
    <w:p w:rsidR="00161E9B" w:rsidRPr="00B8604F" w:rsidRDefault="00161E9B" w:rsidP="00161E9B">
      <w:pPr>
        <w:spacing w:line="240" w:lineRule="auto"/>
        <w:jc w:val="both"/>
        <w:rPr>
          <w:rFonts w:ascii="Times New Roman" w:hAnsi="Times New Roman" w:cs="Times New Roman"/>
          <w:sz w:val="24"/>
          <w:szCs w:val="24"/>
        </w:rPr>
      </w:pPr>
      <w:r w:rsidRPr="00B8604F">
        <w:rPr>
          <w:rFonts w:ascii="Times New Roman" w:hAnsi="Times New Roman" w:cs="Times New Roman"/>
          <w:sz w:val="24"/>
          <w:szCs w:val="24"/>
        </w:rPr>
        <w:t>1. May</w:t>
      </w:r>
      <w:r>
        <w:rPr>
          <w:rFonts w:ascii="Times New Roman" w:hAnsi="Times New Roman" w:cs="Times New Roman"/>
          <w:sz w:val="24"/>
          <w:szCs w:val="24"/>
        </w:rPr>
        <w:t>or impacto en empresas pequeñas</w:t>
      </w:r>
    </w:p>
    <w:p w:rsidR="00161E9B" w:rsidRPr="00161E9B" w:rsidRDefault="00161E9B" w:rsidP="00161E9B">
      <w:pPr>
        <w:spacing w:line="240" w:lineRule="auto"/>
        <w:jc w:val="both"/>
        <w:rPr>
          <w:rFonts w:ascii="Times New Roman" w:hAnsi="Times New Roman" w:cs="Times New Roman"/>
          <w:color w:val="FF0000"/>
          <w:sz w:val="24"/>
          <w:szCs w:val="24"/>
          <w:u w:val="single"/>
        </w:rPr>
      </w:pPr>
      <w:r w:rsidRPr="00161E9B">
        <w:rPr>
          <w:rFonts w:ascii="Times New Roman" w:hAnsi="Times New Roman" w:cs="Times New Roman"/>
          <w:color w:val="FF0000"/>
          <w:sz w:val="24"/>
          <w:szCs w:val="24"/>
          <w:u w:val="single"/>
        </w:rPr>
        <w:t>El primer punto que resaltan es que la política monetaria tiene un impacto más fuerte en las empresas más pequeñas. Este punto es bastante comprensible. Las empresas pequeñas son las que tienen más necesidad de fondos y usualmente más dificultad para adquirirlos.</w:t>
      </w:r>
    </w:p>
    <w:p w:rsidR="00161E9B" w:rsidRPr="00B8604F" w:rsidRDefault="00161E9B" w:rsidP="00161E9B">
      <w:pPr>
        <w:spacing w:line="240" w:lineRule="auto"/>
        <w:jc w:val="both"/>
        <w:rPr>
          <w:rFonts w:ascii="Times New Roman" w:hAnsi="Times New Roman" w:cs="Times New Roman"/>
          <w:sz w:val="24"/>
          <w:szCs w:val="24"/>
        </w:rPr>
      </w:pPr>
      <w:r w:rsidRPr="00B8604F">
        <w:rPr>
          <w:rFonts w:ascii="Times New Roman" w:hAnsi="Times New Roman" w:cs="Times New Roman"/>
          <w:sz w:val="24"/>
          <w:szCs w:val="24"/>
        </w:rPr>
        <w:lastRenderedPageBreak/>
        <w:t>La idea es que una empresa pequeña precisamente está en proceso de crecimiento y eso conlleva una necesidad de fondos mucho mayor que la necesidad de una empresa grande y establecida. Por supuesto, esta necesidad de fondos se entiende que es relativa al tamaño de la empresa. Pero el principio general subsiste: 1.000 empresas pequeñas que en conjunto tengan el mismo tamaño que una empresa grande tienen más necesidades de fondos que la empresa grande.</w:t>
      </w:r>
    </w:p>
    <w:p w:rsidR="00161E9B" w:rsidRPr="00B8604F" w:rsidRDefault="00161E9B" w:rsidP="00161E9B">
      <w:pPr>
        <w:spacing w:line="240" w:lineRule="auto"/>
        <w:jc w:val="both"/>
        <w:rPr>
          <w:rFonts w:ascii="Times New Roman" w:hAnsi="Times New Roman" w:cs="Times New Roman"/>
          <w:sz w:val="24"/>
          <w:szCs w:val="24"/>
        </w:rPr>
      </w:pPr>
      <w:r w:rsidRPr="00B8604F">
        <w:rPr>
          <w:rFonts w:ascii="Times New Roman" w:hAnsi="Times New Roman" w:cs="Times New Roman"/>
          <w:sz w:val="24"/>
          <w:szCs w:val="24"/>
        </w:rPr>
        <w:t xml:space="preserve">Por otro lado, una empresa pequeña es una empresa que puede tener una potencialidad enorme, pero sobre la que también pesa de forma mucho más fuerte la losa de la incertidumbre. Esto hace que invertir en empresas pequeñas pueda ser una actividad muy lucrativa, pero también una muy arriesgada. Esto implica que el perfil de riesgo de una empresa pequeña es relativamente peor, a igualdad de circunstancias, que el de una empresa grande. Por este motivo, el tipo de interés que soportan las empresas pequeñas tiende a ser mayor </w:t>
      </w:r>
      <w:r>
        <w:rPr>
          <w:rFonts w:ascii="Times New Roman" w:hAnsi="Times New Roman" w:cs="Times New Roman"/>
          <w:sz w:val="24"/>
          <w:szCs w:val="24"/>
        </w:rPr>
        <w:t>que el de las empresas grandes.</w:t>
      </w:r>
    </w:p>
    <w:p w:rsidR="00161E9B" w:rsidRPr="00B8604F" w:rsidRDefault="00161E9B" w:rsidP="00161E9B">
      <w:pPr>
        <w:spacing w:line="240" w:lineRule="auto"/>
        <w:jc w:val="both"/>
        <w:rPr>
          <w:rFonts w:ascii="Times New Roman" w:hAnsi="Times New Roman" w:cs="Times New Roman"/>
          <w:sz w:val="24"/>
          <w:szCs w:val="24"/>
        </w:rPr>
      </w:pPr>
      <w:r w:rsidRPr="00B8604F">
        <w:rPr>
          <w:rFonts w:ascii="Times New Roman" w:hAnsi="Times New Roman" w:cs="Times New Roman"/>
          <w:sz w:val="24"/>
          <w:szCs w:val="24"/>
        </w:rPr>
        <w:t>Por los dos lados, mayor necesidad de fondos, y mayor perfil de riesgo, una política monetaria expansiva beneficia en mayor proporción a las empresas pequeñas. Al final el punto no es tan complicado, al hacer barata la deuda, se beneficia más a aquellos para los</w:t>
      </w:r>
      <w:r>
        <w:rPr>
          <w:rFonts w:ascii="Times New Roman" w:hAnsi="Times New Roman" w:cs="Times New Roman"/>
          <w:sz w:val="24"/>
          <w:szCs w:val="24"/>
        </w:rPr>
        <w:t xml:space="preserve"> que la deuda es más necesaria.</w:t>
      </w:r>
    </w:p>
    <w:p w:rsidR="00161E9B" w:rsidRPr="00B8604F" w:rsidRDefault="00161E9B" w:rsidP="00161E9B">
      <w:pPr>
        <w:spacing w:line="240" w:lineRule="auto"/>
        <w:jc w:val="both"/>
        <w:rPr>
          <w:rFonts w:ascii="Times New Roman" w:hAnsi="Times New Roman" w:cs="Times New Roman"/>
          <w:sz w:val="24"/>
          <w:szCs w:val="24"/>
        </w:rPr>
      </w:pPr>
      <w:r w:rsidRPr="00B8604F">
        <w:rPr>
          <w:rFonts w:ascii="Times New Roman" w:hAnsi="Times New Roman" w:cs="Times New Roman"/>
          <w:sz w:val="24"/>
          <w:szCs w:val="24"/>
        </w:rPr>
        <w:t>2. Mayor impacto en trabajadores con más ingresos</w:t>
      </w:r>
    </w:p>
    <w:p w:rsidR="00161E9B" w:rsidRPr="00161E9B" w:rsidRDefault="00161E9B" w:rsidP="00161E9B">
      <w:pPr>
        <w:spacing w:line="240" w:lineRule="auto"/>
        <w:jc w:val="both"/>
        <w:rPr>
          <w:rFonts w:ascii="Times New Roman" w:hAnsi="Times New Roman" w:cs="Times New Roman"/>
          <w:color w:val="FF0000"/>
          <w:sz w:val="24"/>
          <w:szCs w:val="24"/>
          <w:u w:val="single"/>
        </w:rPr>
      </w:pPr>
      <w:r w:rsidRPr="00161E9B">
        <w:rPr>
          <w:rFonts w:ascii="Times New Roman" w:hAnsi="Times New Roman" w:cs="Times New Roman"/>
          <w:color w:val="FF0000"/>
          <w:sz w:val="24"/>
          <w:szCs w:val="24"/>
          <w:u w:val="single"/>
        </w:rPr>
        <w:t>El segundo punto que resaltan los autores es que la política monetaria tiene un impacto más fuerte en los trabajadores con más educación y más ingresos laborales.</w:t>
      </w:r>
    </w:p>
    <w:p w:rsidR="00161E9B" w:rsidRPr="00161E9B" w:rsidRDefault="00161E9B" w:rsidP="00161E9B">
      <w:pPr>
        <w:spacing w:line="240" w:lineRule="auto"/>
        <w:jc w:val="both"/>
        <w:rPr>
          <w:rFonts w:ascii="Times New Roman" w:hAnsi="Times New Roman" w:cs="Times New Roman"/>
          <w:color w:val="FF0000"/>
          <w:sz w:val="24"/>
          <w:szCs w:val="24"/>
          <w:u w:val="single"/>
        </w:rPr>
      </w:pPr>
      <w:r w:rsidRPr="00161E9B">
        <w:rPr>
          <w:rFonts w:ascii="Times New Roman" w:hAnsi="Times New Roman" w:cs="Times New Roman"/>
          <w:color w:val="FF0000"/>
          <w:sz w:val="24"/>
          <w:szCs w:val="24"/>
          <w:u w:val="single"/>
        </w:rPr>
        <w:t>Después de recortar los tipos de interés, tanto las horas trabajadas como los ingresos recibidos por parte de los trabajadores con más educación incrementan mucho más que los de los trabajadores con menos educación.</w:t>
      </w:r>
    </w:p>
    <w:p w:rsidR="00161E9B" w:rsidRPr="00B8604F" w:rsidRDefault="00161E9B" w:rsidP="00161E9B">
      <w:pPr>
        <w:spacing w:line="240" w:lineRule="auto"/>
        <w:jc w:val="both"/>
        <w:rPr>
          <w:rFonts w:ascii="Times New Roman" w:hAnsi="Times New Roman" w:cs="Times New Roman"/>
          <w:sz w:val="24"/>
          <w:szCs w:val="24"/>
        </w:rPr>
      </w:pPr>
      <w:r w:rsidRPr="00B8604F">
        <w:rPr>
          <w:rFonts w:ascii="Times New Roman" w:hAnsi="Times New Roman" w:cs="Times New Roman"/>
          <w:sz w:val="24"/>
          <w:szCs w:val="24"/>
        </w:rPr>
        <w:t>Es interesante observar que el efecto es positivo para todos los trabajadores, tal y como esperaríamos con la teoría económica en la mano. Al final un tipo de interés más bajo disminuye el coste de oportunidad de iniciar proyectos productivos, por lo que incrementa la demanda de trabajo de las empresas que inician esos proyectos productivos. Por supuesto, esto generaría, por sí mismo, el ciclo económico tal y como nos advierten los economistas austriacos. Aunque este es un tema que se sale por completo del objeto del artículo, hubiera sido muy interesante analizar el impacto a largo plazo de las políticas monetarias laxas incluyendo el hecho de que generan endógenamente el ciclo económico o, en el peor de los casos, lo agravan sustancialmente. Es difícil saber si los mayores ingresos de hoy compensan la pérdida de ingresos derivados de una recesión (y más difícil todavía es saber el impacto sobre el bienestar económico de te</w:t>
      </w:r>
      <w:r>
        <w:rPr>
          <w:rFonts w:ascii="Times New Roman" w:hAnsi="Times New Roman" w:cs="Times New Roman"/>
          <w:sz w:val="24"/>
          <w:szCs w:val="24"/>
        </w:rPr>
        <w:t>ner unos ingresos fluctuantes).</w:t>
      </w:r>
    </w:p>
    <w:p w:rsidR="00161E9B" w:rsidRPr="00161E9B" w:rsidRDefault="00161E9B" w:rsidP="00161E9B">
      <w:pPr>
        <w:spacing w:line="240" w:lineRule="auto"/>
        <w:jc w:val="both"/>
        <w:rPr>
          <w:rFonts w:ascii="Times New Roman" w:hAnsi="Times New Roman" w:cs="Times New Roman"/>
          <w:sz w:val="24"/>
          <w:szCs w:val="24"/>
          <w:u w:val="single"/>
        </w:rPr>
      </w:pPr>
      <w:r w:rsidRPr="00161E9B">
        <w:rPr>
          <w:rFonts w:ascii="Times New Roman" w:hAnsi="Times New Roman" w:cs="Times New Roman"/>
          <w:sz w:val="24"/>
          <w:szCs w:val="24"/>
          <w:u w:val="single"/>
        </w:rPr>
        <w:t>Los autores comentan que, al existir bajadas de tipos, las mismas impulsan con más fuerza la inversión en pequeñas empresas, y es en ese momento donde se pueden permitir contratar a trabajadores más cualificados. Este sería uno de los efectos por los que el salario de los trabajadores con más educación incrementa mucho más que el de los trabajadores menos cualificados según ellos.</w:t>
      </w:r>
    </w:p>
    <w:p w:rsidR="00161E9B" w:rsidRPr="00B8604F" w:rsidRDefault="00161E9B" w:rsidP="00161E9B">
      <w:pPr>
        <w:spacing w:line="240" w:lineRule="auto"/>
        <w:jc w:val="both"/>
        <w:rPr>
          <w:rFonts w:ascii="Times New Roman" w:hAnsi="Times New Roman" w:cs="Times New Roman"/>
          <w:sz w:val="24"/>
          <w:szCs w:val="24"/>
        </w:rPr>
      </w:pPr>
      <w:r w:rsidRPr="00B8604F">
        <w:rPr>
          <w:rFonts w:ascii="Times New Roman" w:hAnsi="Times New Roman" w:cs="Times New Roman"/>
          <w:sz w:val="24"/>
          <w:szCs w:val="24"/>
        </w:rPr>
        <w:t>3. Impacta sólo en empresas que se e</w:t>
      </w:r>
      <w:r>
        <w:rPr>
          <w:rFonts w:ascii="Times New Roman" w:hAnsi="Times New Roman" w:cs="Times New Roman"/>
          <w:sz w:val="24"/>
          <w:szCs w:val="24"/>
        </w:rPr>
        <w:t>ndeudan (y en sus trabajadores)</w:t>
      </w:r>
    </w:p>
    <w:p w:rsidR="00161E9B" w:rsidRPr="00161E9B" w:rsidRDefault="00161E9B" w:rsidP="00161E9B">
      <w:pPr>
        <w:spacing w:line="240" w:lineRule="auto"/>
        <w:jc w:val="both"/>
        <w:rPr>
          <w:rFonts w:ascii="Times New Roman" w:hAnsi="Times New Roman" w:cs="Times New Roman"/>
          <w:color w:val="FF0000"/>
          <w:sz w:val="24"/>
          <w:szCs w:val="24"/>
          <w:u w:val="single"/>
        </w:rPr>
      </w:pPr>
      <w:r w:rsidRPr="00161E9B">
        <w:rPr>
          <w:rFonts w:ascii="Times New Roman" w:hAnsi="Times New Roman" w:cs="Times New Roman"/>
          <w:color w:val="FF0000"/>
          <w:sz w:val="24"/>
          <w:szCs w:val="24"/>
          <w:u w:val="single"/>
        </w:rPr>
        <w:t>En el punto tres, los autores señalan que el canal de crédito es el que explica principalmente el diferencial de salarios hacia trabajadores cualificados.</w:t>
      </w:r>
    </w:p>
    <w:p w:rsidR="00161E9B" w:rsidRPr="00B8604F" w:rsidRDefault="00161E9B" w:rsidP="00161E9B">
      <w:pPr>
        <w:spacing w:line="240" w:lineRule="auto"/>
        <w:jc w:val="both"/>
        <w:rPr>
          <w:rFonts w:ascii="Times New Roman" w:hAnsi="Times New Roman" w:cs="Times New Roman"/>
          <w:sz w:val="24"/>
          <w:szCs w:val="24"/>
        </w:rPr>
      </w:pPr>
      <w:r w:rsidRPr="00B8604F">
        <w:rPr>
          <w:rFonts w:ascii="Times New Roman" w:hAnsi="Times New Roman" w:cs="Times New Roman"/>
          <w:sz w:val="24"/>
          <w:szCs w:val="24"/>
        </w:rPr>
        <w:lastRenderedPageBreak/>
        <w:t>Con microdatos de varias encuestas en Portugal son capaces de separar el efecto de las bajadas de tipos en empresas pequeñas endeudadas y no endeudadas. Los autores concluyen que los incrementos en los salarios desaparecen por completo si las empresas n</w:t>
      </w:r>
      <w:r>
        <w:rPr>
          <w:rFonts w:ascii="Times New Roman" w:hAnsi="Times New Roman" w:cs="Times New Roman"/>
          <w:sz w:val="24"/>
          <w:szCs w:val="24"/>
        </w:rPr>
        <w:t>o incrementan su endeudamiento.</w:t>
      </w:r>
    </w:p>
    <w:p w:rsidR="00161E9B" w:rsidRPr="00B8604F" w:rsidRDefault="00161E9B" w:rsidP="00161E9B">
      <w:pPr>
        <w:spacing w:line="240" w:lineRule="auto"/>
        <w:jc w:val="both"/>
        <w:rPr>
          <w:rFonts w:ascii="Times New Roman" w:hAnsi="Times New Roman" w:cs="Times New Roman"/>
          <w:sz w:val="24"/>
          <w:szCs w:val="24"/>
        </w:rPr>
      </w:pPr>
      <w:r w:rsidRPr="00B8604F">
        <w:rPr>
          <w:rFonts w:ascii="Times New Roman" w:hAnsi="Times New Roman" w:cs="Times New Roman"/>
          <w:sz w:val="24"/>
          <w:szCs w:val="24"/>
        </w:rPr>
        <w:t xml:space="preserve">Esto también es perfectamente compatible con el hecho de que las empresas que no aprovechan las caídas de tipos de interés para incrementar la inversión e incrementar su cuota de mercado tienden a ser desplazadas por las empresas que sí lo hacen. En este caso podemos ver claramente como las empresas más prudentes que deciden no incrementar el endeudamiento aunque el crédito esté barato, podrían ver cómo su </w:t>
      </w:r>
      <w:r>
        <w:rPr>
          <w:rFonts w:ascii="Times New Roman" w:hAnsi="Times New Roman" w:cs="Times New Roman"/>
          <w:sz w:val="24"/>
          <w:szCs w:val="24"/>
        </w:rPr>
        <w:t>competencia menos prudente les “roba”</w:t>
      </w:r>
      <w:r w:rsidRPr="00B8604F">
        <w:rPr>
          <w:rFonts w:ascii="Times New Roman" w:hAnsi="Times New Roman" w:cs="Times New Roman"/>
          <w:sz w:val="24"/>
          <w:szCs w:val="24"/>
        </w:rPr>
        <w:t xml:space="preserve"> a sus trabajadores más cualifi</w:t>
      </w:r>
      <w:r>
        <w:rPr>
          <w:rFonts w:ascii="Times New Roman" w:hAnsi="Times New Roman" w:cs="Times New Roman"/>
          <w:sz w:val="24"/>
          <w:szCs w:val="24"/>
        </w:rPr>
        <w:t>cados.</w:t>
      </w:r>
    </w:p>
    <w:p w:rsidR="00161E9B" w:rsidRDefault="00161E9B" w:rsidP="00161E9B">
      <w:pPr>
        <w:spacing w:line="240" w:lineRule="auto"/>
        <w:jc w:val="both"/>
        <w:rPr>
          <w:rFonts w:ascii="Times New Roman" w:hAnsi="Times New Roman" w:cs="Times New Roman"/>
          <w:sz w:val="24"/>
          <w:szCs w:val="24"/>
        </w:rPr>
      </w:pPr>
      <w:r w:rsidRPr="00B8604F">
        <w:rPr>
          <w:rFonts w:ascii="Times New Roman" w:hAnsi="Times New Roman" w:cs="Times New Roman"/>
          <w:sz w:val="24"/>
          <w:szCs w:val="24"/>
        </w:rPr>
        <w:t xml:space="preserve">Esto daría respuesta a una de las principales críticas que han caído sobre la teoría austriaca del ciclo </w:t>
      </w:r>
      <w:r>
        <w:rPr>
          <w:rFonts w:ascii="Times New Roman" w:hAnsi="Times New Roman" w:cs="Times New Roman"/>
          <w:sz w:val="24"/>
          <w:szCs w:val="24"/>
        </w:rPr>
        <w:t>que dice así: “</w:t>
      </w:r>
      <w:r w:rsidRPr="00B8604F">
        <w:rPr>
          <w:rFonts w:ascii="Times New Roman" w:hAnsi="Times New Roman" w:cs="Times New Roman"/>
          <w:sz w:val="24"/>
          <w:szCs w:val="24"/>
        </w:rPr>
        <w:t>se puede entender que las bajadas de tipos engañen a los empresarios una vez, pero no que los engañen siempre, ya que los empresarios aprenden que la b</w:t>
      </w:r>
      <w:r>
        <w:rPr>
          <w:rFonts w:ascii="Times New Roman" w:hAnsi="Times New Roman" w:cs="Times New Roman"/>
          <w:sz w:val="24"/>
          <w:szCs w:val="24"/>
        </w:rPr>
        <w:t>ajada de tipos no es sostenible”</w:t>
      </w:r>
      <w:r w:rsidRPr="00B8604F">
        <w:rPr>
          <w:rFonts w:ascii="Times New Roman" w:hAnsi="Times New Roman" w:cs="Times New Roman"/>
          <w:sz w:val="24"/>
          <w:szCs w:val="24"/>
        </w:rPr>
        <w:t>. Esta crítica la generaron los proponentes de la teoría del ciclo real. El caso es que no pueden estar más equivocados: incluso si un empresario es consciente de que un ciclo económico se avecina por malas políticas monetarias, muchas veces no le queda más remedio que acomodarse a las circunstancias del momento o corre el riesgo de ser desplazado por su competencia que sí aprovecha los regalos envenenados en forma de política monetaria excesivamente laxa. En definitiva, que los austriacos siempre tuvieron razón y este artículo del BCE da una razón más de peso a la visión austriaca del ciclo económico.</w:t>
      </w:r>
    </w:p>
    <w:p w:rsidR="00161E9B" w:rsidRPr="00B8604F" w:rsidRDefault="00161E9B" w:rsidP="00161E9B">
      <w:pPr>
        <w:spacing w:line="240" w:lineRule="auto"/>
        <w:jc w:val="both"/>
        <w:rPr>
          <w:rFonts w:ascii="Times New Roman" w:hAnsi="Times New Roman" w:cs="Times New Roman"/>
          <w:sz w:val="24"/>
          <w:szCs w:val="24"/>
        </w:rPr>
      </w:pPr>
      <w:r w:rsidRPr="00B8604F">
        <w:rPr>
          <w:rFonts w:ascii="Times New Roman" w:hAnsi="Times New Roman" w:cs="Times New Roman"/>
          <w:sz w:val="24"/>
          <w:szCs w:val="24"/>
        </w:rPr>
        <w:t>El capitalismo y la desigualdad</w:t>
      </w:r>
    </w:p>
    <w:p w:rsidR="00161E9B" w:rsidRPr="00B8604F" w:rsidRDefault="00161E9B" w:rsidP="00161E9B">
      <w:pPr>
        <w:spacing w:line="240" w:lineRule="auto"/>
        <w:jc w:val="both"/>
        <w:rPr>
          <w:rFonts w:ascii="Times New Roman" w:hAnsi="Times New Roman" w:cs="Times New Roman"/>
          <w:sz w:val="24"/>
          <w:szCs w:val="24"/>
        </w:rPr>
      </w:pPr>
      <w:r w:rsidRPr="00B8604F">
        <w:rPr>
          <w:rFonts w:ascii="Times New Roman" w:hAnsi="Times New Roman" w:cs="Times New Roman"/>
          <w:sz w:val="24"/>
          <w:szCs w:val="24"/>
        </w:rPr>
        <w:t>Una de las críticas más feroces, y probablemente más injustas, al capitalismo, es su tendencia a generar una distribución desigual de ingresos. Desde un punto de vista teórico podemos afirmar que esto es completamente falso, el mercado es un proceso exitocrático, es decir, premia el éxito (no el mérito, aunque usualmente uno y otro tienden a ir de la mano). El premio se consigue, en un régimen de división del trabajo, por proveer a terceros de bienes y servicios que voluntaria y gustosamente compran. Es decir, no se puede tener éxito en un mercado desregulado sin aportar cosas de valor al prójimo. Pero lo que es más importante, en este proceso de mercado los que consiguen el éxito pueden estar perfectamente entre las capas menos favorecidas de la población. Es decir, incluso si hay desigualdad, e incluso si esta persiste en las sociedades capitalistas, no es una desigualdad preocupante ya que existe un ascensor social, los que hoy tienen éxito, mañana pueden no tenerlo y los que hoy se encuentran entre las personas con menos ingresos, mañana pueden llegar a la cima de la distri</w:t>
      </w:r>
      <w:r>
        <w:rPr>
          <w:rFonts w:ascii="Times New Roman" w:hAnsi="Times New Roman" w:cs="Times New Roman"/>
          <w:sz w:val="24"/>
          <w:szCs w:val="24"/>
        </w:rPr>
        <w:t>bución del ingreso.</w:t>
      </w:r>
    </w:p>
    <w:p w:rsidR="00161E9B" w:rsidRPr="00B8604F" w:rsidRDefault="00161E9B" w:rsidP="00161E9B">
      <w:pPr>
        <w:spacing w:line="240" w:lineRule="auto"/>
        <w:jc w:val="both"/>
        <w:rPr>
          <w:rFonts w:ascii="Times New Roman" w:hAnsi="Times New Roman" w:cs="Times New Roman"/>
          <w:sz w:val="24"/>
          <w:szCs w:val="24"/>
        </w:rPr>
      </w:pPr>
      <w:r w:rsidRPr="00B8604F">
        <w:rPr>
          <w:rFonts w:ascii="Times New Roman" w:hAnsi="Times New Roman" w:cs="Times New Roman"/>
          <w:sz w:val="24"/>
          <w:szCs w:val="24"/>
        </w:rPr>
        <w:t>Empíricamente podemos observar exactamente lo mismo que la teoría nos dice: y es que los procesos de mercado no tienden al incremento de la desigualdad, si bien es verdad que tampoco tienden a una distribución igualitaria de los ingres</w:t>
      </w:r>
      <w:r>
        <w:rPr>
          <w:rFonts w:ascii="Times New Roman" w:hAnsi="Times New Roman" w:cs="Times New Roman"/>
          <w:sz w:val="24"/>
          <w:szCs w:val="24"/>
        </w:rPr>
        <w:t>os.</w:t>
      </w:r>
    </w:p>
    <w:p w:rsidR="00161E9B" w:rsidRPr="00B8604F" w:rsidRDefault="00161E9B" w:rsidP="00161E9B">
      <w:pPr>
        <w:spacing w:line="240" w:lineRule="auto"/>
        <w:jc w:val="both"/>
        <w:rPr>
          <w:rFonts w:ascii="Times New Roman" w:hAnsi="Times New Roman" w:cs="Times New Roman"/>
          <w:sz w:val="24"/>
          <w:szCs w:val="24"/>
        </w:rPr>
      </w:pPr>
      <w:r w:rsidRPr="00B8604F">
        <w:rPr>
          <w:rFonts w:ascii="Times New Roman" w:hAnsi="Times New Roman" w:cs="Times New Roman"/>
          <w:sz w:val="24"/>
          <w:szCs w:val="24"/>
        </w:rPr>
        <w:t>Fomentando la desigualdad desde el poder</w:t>
      </w:r>
    </w:p>
    <w:p w:rsidR="00161E9B" w:rsidRPr="00161E9B" w:rsidRDefault="00161E9B" w:rsidP="00161E9B">
      <w:pPr>
        <w:spacing w:line="240" w:lineRule="auto"/>
        <w:jc w:val="both"/>
        <w:rPr>
          <w:rFonts w:ascii="Times New Roman" w:hAnsi="Times New Roman" w:cs="Times New Roman"/>
          <w:sz w:val="24"/>
          <w:szCs w:val="24"/>
          <w:u w:val="single"/>
        </w:rPr>
      </w:pPr>
      <w:r w:rsidRPr="00161E9B">
        <w:rPr>
          <w:rFonts w:ascii="Times New Roman" w:hAnsi="Times New Roman" w:cs="Times New Roman"/>
          <w:sz w:val="24"/>
          <w:szCs w:val="24"/>
          <w:u w:val="single"/>
        </w:rPr>
        <w:t>Quizá uno de los temas más interesantes que apenas explora el artículo es el fomento de la desigualdad que se hace desde el poder.</w:t>
      </w:r>
    </w:p>
    <w:p w:rsidR="00161E9B" w:rsidRPr="00B8604F" w:rsidRDefault="00161E9B" w:rsidP="00161E9B">
      <w:pPr>
        <w:spacing w:line="240" w:lineRule="auto"/>
        <w:jc w:val="both"/>
        <w:rPr>
          <w:rFonts w:ascii="Times New Roman" w:hAnsi="Times New Roman" w:cs="Times New Roman"/>
          <w:sz w:val="24"/>
          <w:szCs w:val="24"/>
        </w:rPr>
      </w:pPr>
      <w:r w:rsidRPr="00B8604F">
        <w:rPr>
          <w:rFonts w:ascii="Times New Roman" w:hAnsi="Times New Roman" w:cs="Times New Roman"/>
          <w:sz w:val="24"/>
          <w:szCs w:val="24"/>
        </w:rPr>
        <w:t>1. El poder público se</w:t>
      </w:r>
      <w:r>
        <w:rPr>
          <w:rFonts w:ascii="Times New Roman" w:hAnsi="Times New Roman" w:cs="Times New Roman"/>
          <w:sz w:val="24"/>
          <w:szCs w:val="24"/>
        </w:rPr>
        <w:t xml:space="preserve"> jacta de disminuir desigualdad</w:t>
      </w:r>
    </w:p>
    <w:p w:rsidR="00161E9B" w:rsidRPr="008F0249" w:rsidRDefault="00161E9B" w:rsidP="00161E9B">
      <w:pPr>
        <w:spacing w:line="240" w:lineRule="auto"/>
        <w:jc w:val="both"/>
        <w:rPr>
          <w:rFonts w:ascii="Times New Roman" w:hAnsi="Times New Roman" w:cs="Times New Roman"/>
          <w:sz w:val="24"/>
          <w:szCs w:val="24"/>
          <w:u w:val="single"/>
        </w:rPr>
      </w:pPr>
      <w:r w:rsidRPr="008F0249">
        <w:rPr>
          <w:rFonts w:ascii="Times New Roman" w:hAnsi="Times New Roman" w:cs="Times New Roman"/>
          <w:sz w:val="24"/>
          <w:szCs w:val="24"/>
          <w:u w:val="single"/>
        </w:rPr>
        <w:t xml:space="preserve">Los Estados tienden a intervenir los mercados, entre otras cosas, para modificar una distribución del ingreso que consideran, por razones equivocadas, injusta. Por supuesto no es </w:t>
      </w:r>
      <w:r w:rsidRPr="008F0249">
        <w:rPr>
          <w:rFonts w:ascii="Times New Roman" w:hAnsi="Times New Roman" w:cs="Times New Roman"/>
          <w:sz w:val="24"/>
          <w:szCs w:val="24"/>
          <w:u w:val="single"/>
        </w:rPr>
        <w:lastRenderedPageBreak/>
        <w:t>la única excusa para intervenir los mercados, ni mucho menos, pero desde luego es una de peso y, además, es una de la</w:t>
      </w:r>
      <w:r w:rsidR="008F0249" w:rsidRPr="008F0249">
        <w:rPr>
          <w:rFonts w:ascii="Times New Roman" w:hAnsi="Times New Roman" w:cs="Times New Roman"/>
          <w:sz w:val="24"/>
          <w:szCs w:val="24"/>
          <w:u w:val="single"/>
        </w:rPr>
        <w:t xml:space="preserve"> que el poder público se jac</w:t>
      </w:r>
      <w:r w:rsidRPr="008F0249">
        <w:rPr>
          <w:rFonts w:ascii="Times New Roman" w:hAnsi="Times New Roman" w:cs="Times New Roman"/>
          <w:sz w:val="24"/>
          <w:szCs w:val="24"/>
          <w:u w:val="single"/>
        </w:rPr>
        <w:t>ta.</w:t>
      </w:r>
    </w:p>
    <w:p w:rsidR="00161E9B" w:rsidRDefault="00161E9B" w:rsidP="00161E9B">
      <w:pPr>
        <w:spacing w:line="240" w:lineRule="auto"/>
        <w:jc w:val="both"/>
        <w:rPr>
          <w:rFonts w:ascii="Times New Roman" w:hAnsi="Times New Roman" w:cs="Times New Roman"/>
          <w:sz w:val="24"/>
          <w:szCs w:val="24"/>
        </w:rPr>
      </w:pPr>
      <w:r w:rsidRPr="00B8604F">
        <w:rPr>
          <w:rFonts w:ascii="Times New Roman" w:hAnsi="Times New Roman" w:cs="Times New Roman"/>
          <w:sz w:val="24"/>
          <w:szCs w:val="24"/>
        </w:rPr>
        <w:t>Por ejemplo, aquí tenemos el índice Gini, que es un índice de desigualdad, bastante criticable por otra parte, de una selección de países.</w:t>
      </w:r>
    </w:p>
    <w:p w:rsidR="00161E9B" w:rsidRPr="00B8604F" w:rsidRDefault="00161E9B" w:rsidP="00161E9B">
      <w:pPr>
        <w:spacing w:line="240" w:lineRule="auto"/>
        <w:jc w:val="both"/>
        <w:rPr>
          <w:rFonts w:ascii="Times New Roman" w:hAnsi="Times New Roman" w:cs="Times New Roman"/>
          <w:sz w:val="24"/>
          <w:szCs w:val="24"/>
        </w:rPr>
      </w:pPr>
      <w:r>
        <w:rPr>
          <w:noProof/>
          <w:lang w:eastAsia="es-ES"/>
        </w:rPr>
        <w:drawing>
          <wp:inline distT="0" distB="0" distL="0" distR="0" wp14:anchorId="48B40F83" wp14:editId="3EC3FFF6">
            <wp:extent cx="4876800" cy="2749550"/>
            <wp:effectExtent l="0" t="0" r="0" b="0"/>
            <wp:docPr id="45" name="Imagen 45" desc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jpg"/>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4876800" cy="2749550"/>
                    </a:xfrm>
                    <a:prstGeom prst="rect">
                      <a:avLst/>
                    </a:prstGeom>
                    <a:noFill/>
                    <a:ln>
                      <a:noFill/>
                    </a:ln>
                  </pic:spPr>
                </pic:pic>
              </a:graphicData>
            </a:graphic>
          </wp:inline>
        </w:drawing>
      </w:r>
    </w:p>
    <w:p w:rsidR="00161E9B" w:rsidRPr="00B8604F" w:rsidRDefault="00161E9B" w:rsidP="00161E9B">
      <w:pPr>
        <w:spacing w:line="240" w:lineRule="auto"/>
        <w:jc w:val="both"/>
        <w:rPr>
          <w:rFonts w:ascii="Times New Roman" w:hAnsi="Times New Roman" w:cs="Times New Roman"/>
          <w:sz w:val="24"/>
          <w:szCs w:val="24"/>
        </w:rPr>
      </w:pPr>
      <w:r w:rsidRPr="00B8604F">
        <w:rPr>
          <w:rFonts w:ascii="Times New Roman" w:hAnsi="Times New Roman" w:cs="Times New Roman"/>
          <w:sz w:val="24"/>
          <w:szCs w:val="24"/>
        </w:rPr>
        <w:t>Gráfico 1</w:t>
      </w:r>
    </w:p>
    <w:p w:rsidR="00161E9B" w:rsidRPr="008F0249" w:rsidRDefault="00161E9B" w:rsidP="00161E9B">
      <w:pPr>
        <w:spacing w:line="240" w:lineRule="auto"/>
        <w:jc w:val="both"/>
        <w:rPr>
          <w:rFonts w:ascii="Times New Roman" w:hAnsi="Times New Roman" w:cs="Times New Roman"/>
          <w:sz w:val="24"/>
          <w:szCs w:val="24"/>
          <w:u w:val="single"/>
        </w:rPr>
      </w:pPr>
      <w:r w:rsidRPr="008F0249">
        <w:rPr>
          <w:rFonts w:ascii="Times New Roman" w:hAnsi="Times New Roman" w:cs="Times New Roman"/>
          <w:sz w:val="24"/>
          <w:szCs w:val="24"/>
          <w:u w:val="single"/>
        </w:rPr>
        <w:t>En la gráfica 1, cortesía también del blog del Banco Central Europeo, podemos ver este índice de desigualdad antes y después de impuestos y redistribución del gasto que hace el poder público</w:t>
      </w:r>
      <w:r w:rsidRPr="00B8604F">
        <w:rPr>
          <w:rFonts w:ascii="Times New Roman" w:hAnsi="Times New Roman" w:cs="Times New Roman"/>
          <w:sz w:val="24"/>
          <w:szCs w:val="24"/>
        </w:rPr>
        <w:t xml:space="preserve">. </w:t>
      </w:r>
      <w:r w:rsidRPr="008F0249">
        <w:rPr>
          <w:rFonts w:ascii="Times New Roman" w:hAnsi="Times New Roman" w:cs="Times New Roman"/>
          <w:sz w:val="24"/>
          <w:szCs w:val="24"/>
          <w:u w:val="single"/>
        </w:rPr>
        <w:t>Como vemos, el índice de desigualdad cae después de la intervención del Estado en todos los países en una cuantía más que considerable.</w:t>
      </w:r>
    </w:p>
    <w:p w:rsidR="00161E9B" w:rsidRPr="00B8604F" w:rsidRDefault="00161E9B" w:rsidP="00161E9B">
      <w:pPr>
        <w:spacing w:line="240" w:lineRule="auto"/>
        <w:jc w:val="both"/>
        <w:rPr>
          <w:rFonts w:ascii="Times New Roman" w:hAnsi="Times New Roman" w:cs="Times New Roman"/>
          <w:sz w:val="24"/>
          <w:szCs w:val="24"/>
        </w:rPr>
      </w:pPr>
      <w:r w:rsidRPr="00B8604F">
        <w:rPr>
          <w:rFonts w:ascii="Times New Roman" w:hAnsi="Times New Roman" w:cs="Times New Roman"/>
          <w:sz w:val="24"/>
          <w:szCs w:val="24"/>
        </w:rPr>
        <w:t>2. La intervención de los bancos centrales incrementa la desigualdad</w:t>
      </w:r>
    </w:p>
    <w:p w:rsidR="00161E9B" w:rsidRPr="00B8604F" w:rsidRDefault="00161E9B" w:rsidP="00161E9B">
      <w:pPr>
        <w:spacing w:line="240" w:lineRule="auto"/>
        <w:jc w:val="both"/>
        <w:rPr>
          <w:rFonts w:ascii="Times New Roman" w:hAnsi="Times New Roman" w:cs="Times New Roman"/>
          <w:sz w:val="24"/>
          <w:szCs w:val="24"/>
        </w:rPr>
      </w:pPr>
      <w:r w:rsidRPr="00B8604F">
        <w:rPr>
          <w:rFonts w:ascii="Times New Roman" w:hAnsi="Times New Roman" w:cs="Times New Roman"/>
          <w:sz w:val="24"/>
          <w:szCs w:val="24"/>
        </w:rPr>
        <w:t>Quizá lo interesante es que en estas gráficas no se incluye lo que el propio poder público hace por incrementar la desigualdad (vendería un poco menos lo bond</w:t>
      </w:r>
      <w:r>
        <w:rPr>
          <w:rFonts w:ascii="Times New Roman" w:hAnsi="Times New Roman" w:cs="Times New Roman"/>
          <w:sz w:val="24"/>
          <w:szCs w:val="24"/>
        </w:rPr>
        <w:t>adoso de sus intervenciones).</w:t>
      </w:r>
    </w:p>
    <w:p w:rsidR="00161E9B" w:rsidRPr="008F0249" w:rsidRDefault="00161E9B" w:rsidP="00161E9B">
      <w:pPr>
        <w:spacing w:line="240" w:lineRule="auto"/>
        <w:jc w:val="both"/>
        <w:rPr>
          <w:rFonts w:ascii="Times New Roman" w:hAnsi="Times New Roman" w:cs="Times New Roman"/>
          <w:color w:val="FF0000"/>
          <w:sz w:val="24"/>
          <w:szCs w:val="24"/>
          <w:u w:val="single"/>
        </w:rPr>
      </w:pPr>
      <w:r w:rsidRPr="008F0249">
        <w:rPr>
          <w:rFonts w:ascii="Times New Roman" w:hAnsi="Times New Roman" w:cs="Times New Roman"/>
          <w:color w:val="FF0000"/>
          <w:sz w:val="24"/>
          <w:szCs w:val="24"/>
          <w:u w:val="single"/>
        </w:rPr>
        <w:t>Una de las actividades que el poder público realiza y genera incrementos en la desigualdad tiene que ver con la enorme intervención y regulación del mercado financiero. Una de sus manifestaciones precisamente es la que nos están señalando los autores del artículo publicado en el blog del BCE. Como ya hemos comentado, estos autores nos están diciendo que la intervención pública en forma de bajadas de tipos de interés incrementa la desigualdad, beneficiando a los trabajadores que ya tienen mejores salarios.</w:t>
      </w:r>
    </w:p>
    <w:p w:rsidR="0030344B" w:rsidRPr="00B8604F" w:rsidRDefault="00161E9B" w:rsidP="00161E9B">
      <w:pPr>
        <w:spacing w:line="240" w:lineRule="auto"/>
        <w:jc w:val="both"/>
        <w:rPr>
          <w:rFonts w:ascii="Times New Roman" w:hAnsi="Times New Roman" w:cs="Times New Roman"/>
          <w:sz w:val="24"/>
          <w:szCs w:val="24"/>
        </w:rPr>
      </w:pPr>
      <w:r w:rsidRPr="00B8604F">
        <w:rPr>
          <w:rFonts w:ascii="Times New Roman" w:hAnsi="Times New Roman" w:cs="Times New Roman"/>
          <w:sz w:val="24"/>
          <w:szCs w:val="24"/>
        </w:rPr>
        <w:t>Por desgracia, esta desigualdad fomentada desde el poder público con intervenciones en el mundo financiero no va a aparecer en las gráficas de desigualdad que hemos comentado anteriormente (de hecho, nos van a vender que esa es la desig</w:t>
      </w:r>
      <w:r>
        <w:rPr>
          <w:rFonts w:ascii="Times New Roman" w:hAnsi="Times New Roman" w:cs="Times New Roman"/>
          <w:sz w:val="24"/>
          <w:szCs w:val="24"/>
        </w:rPr>
        <w:t>ualdad generada en el mercado).</w:t>
      </w:r>
    </w:p>
    <w:p w:rsidR="00161E9B" w:rsidRPr="00B8604F" w:rsidRDefault="00161E9B" w:rsidP="00161E9B">
      <w:pPr>
        <w:spacing w:line="240" w:lineRule="auto"/>
        <w:jc w:val="both"/>
        <w:rPr>
          <w:rFonts w:ascii="Times New Roman" w:hAnsi="Times New Roman" w:cs="Times New Roman"/>
          <w:sz w:val="24"/>
          <w:szCs w:val="24"/>
        </w:rPr>
      </w:pPr>
      <w:r w:rsidRPr="00B8604F">
        <w:rPr>
          <w:rFonts w:ascii="Times New Roman" w:hAnsi="Times New Roman" w:cs="Times New Roman"/>
          <w:sz w:val="24"/>
          <w:szCs w:val="24"/>
        </w:rPr>
        <w:t>3. ¿Se incrementa má</w:t>
      </w:r>
      <w:r>
        <w:rPr>
          <w:rFonts w:ascii="Times New Roman" w:hAnsi="Times New Roman" w:cs="Times New Roman"/>
          <w:sz w:val="24"/>
          <w:szCs w:val="24"/>
        </w:rPr>
        <w:t>s el ingreso de los más pobres?</w:t>
      </w:r>
    </w:p>
    <w:p w:rsidR="00161E9B" w:rsidRDefault="00161E9B" w:rsidP="00161E9B">
      <w:pPr>
        <w:spacing w:line="240" w:lineRule="auto"/>
        <w:jc w:val="both"/>
        <w:rPr>
          <w:rFonts w:ascii="Times New Roman" w:hAnsi="Times New Roman" w:cs="Times New Roman"/>
          <w:sz w:val="24"/>
          <w:szCs w:val="24"/>
        </w:rPr>
      </w:pPr>
      <w:r w:rsidRPr="00B8604F">
        <w:rPr>
          <w:rFonts w:ascii="Times New Roman" w:hAnsi="Times New Roman" w:cs="Times New Roman"/>
          <w:sz w:val="24"/>
          <w:szCs w:val="24"/>
        </w:rPr>
        <w:t>Los resultados que encuentran estos investigadores son todavía más increíbles si tenemos en cuenta que usualmente los ingresos de las capas de población más pobres tienden a ser mucho más sensibles al crecimiento económico. Esto es, el crecimiento económico mejora la vida de todos, pero mejora especialmente la de las capas menos favorecidas de la población.</w:t>
      </w:r>
    </w:p>
    <w:p w:rsidR="00161E9B" w:rsidRPr="00B8604F" w:rsidRDefault="00161E9B" w:rsidP="00161E9B">
      <w:pPr>
        <w:spacing w:line="240" w:lineRule="auto"/>
        <w:jc w:val="both"/>
        <w:rPr>
          <w:rFonts w:ascii="Times New Roman" w:hAnsi="Times New Roman" w:cs="Times New Roman"/>
          <w:sz w:val="24"/>
          <w:szCs w:val="24"/>
        </w:rPr>
      </w:pPr>
      <w:r>
        <w:rPr>
          <w:noProof/>
          <w:lang w:eastAsia="es-ES"/>
        </w:rPr>
        <w:lastRenderedPageBreak/>
        <w:drawing>
          <wp:inline distT="0" distB="0" distL="0" distR="0" wp14:anchorId="003F6560" wp14:editId="1B20C1A9">
            <wp:extent cx="4876800" cy="2400300"/>
            <wp:effectExtent l="0" t="0" r="0" b="0"/>
            <wp:docPr id="74" name="Imagen 74" descr="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2.jpg"/>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4876800" cy="2400300"/>
                    </a:xfrm>
                    <a:prstGeom prst="rect">
                      <a:avLst/>
                    </a:prstGeom>
                    <a:noFill/>
                    <a:ln>
                      <a:noFill/>
                    </a:ln>
                  </pic:spPr>
                </pic:pic>
              </a:graphicData>
            </a:graphic>
          </wp:inline>
        </w:drawing>
      </w:r>
    </w:p>
    <w:p w:rsidR="00161E9B" w:rsidRPr="00B8604F" w:rsidRDefault="00161E9B" w:rsidP="00161E9B">
      <w:pPr>
        <w:spacing w:line="240" w:lineRule="auto"/>
        <w:jc w:val="both"/>
        <w:rPr>
          <w:rFonts w:ascii="Times New Roman" w:hAnsi="Times New Roman" w:cs="Times New Roman"/>
          <w:sz w:val="24"/>
          <w:szCs w:val="24"/>
        </w:rPr>
      </w:pPr>
      <w:r w:rsidRPr="00B8604F">
        <w:rPr>
          <w:rFonts w:ascii="Times New Roman" w:hAnsi="Times New Roman" w:cs="Times New Roman"/>
          <w:sz w:val="24"/>
          <w:szCs w:val="24"/>
        </w:rPr>
        <w:t>Gráfico 2</w:t>
      </w:r>
    </w:p>
    <w:p w:rsidR="00161E9B" w:rsidRPr="008F0249" w:rsidRDefault="00161E9B" w:rsidP="00161E9B">
      <w:pPr>
        <w:spacing w:line="240" w:lineRule="auto"/>
        <w:jc w:val="both"/>
        <w:rPr>
          <w:rFonts w:ascii="Times New Roman" w:hAnsi="Times New Roman" w:cs="Times New Roman"/>
          <w:sz w:val="24"/>
          <w:szCs w:val="24"/>
          <w:u w:val="single"/>
        </w:rPr>
      </w:pPr>
      <w:r w:rsidRPr="00B8604F">
        <w:rPr>
          <w:rFonts w:ascii="Times New Roman" w:hAnsi="Times New Roman" w:cs="Times New Roman"/>
          <w:sz w:val="24"/>
          <w:szCs w:val="24"/>
        </w:rPr>
        <w:t xml:space="preserve">En el gráfico 2 podemos ver la sensibilidad del ingreso con relación al crecimiento económico por quintiles de ingreso para Alemania, España, Francia e Italia. Un ingreso dividido en quintiles divide a la población en 5 grupos, desde el 20% que tiene menos ingreso hasta el 20% que cuenta con mayores ingresos. </w:t>
      </w:r>
      <w:r w:rsidRPr="008F0249">
        <w:rPr>
          <w:rFonts w:ascii="Times New Roman" w:hAnsi="Times New Roman" w:cs="Times New Roman"/>
          <w:sz w:val="24"/>
          <w:szCs w:val="24"/>
          <w:u w:val="single"/>
        </w:rPr>
        <w:t>El gráfico 2 muestra que la sensibilidad del ingreso con respecto al crecimiento económico para el quintil más pobre es enorme. Por cada 1% que crece el PIB, el ingreso de los más pobres incrementa un 1.5%, sensiblemente por encima de lo que crecería el ingreso del resto de personas.</w:t>
      </w:r>
    </w:p>
    <w:p w:rsidR="00161E9B" w:rsidRPr="008F0249" w:rsidRDefault="00161E9B" w:rsidP="00161E9B">
      <w:pPr>
        <w:spacing w:line="240" w:lineRule="auto"/>
        <w:jc w:val="both"/>
        <w:rPr>
          <w:rFonts w:ascii="Times New Roman" w:hAnsi="Times New Roman" w:cs="Times New Roman"/>
          <w:sz w:val="24"/>
          <w:szCs w:val="24"/>
          <w:u w:val="single"/>
        </w:rPr>
      </w:pPr>
      <w:r w:rsidRPr="008F0249">
        <w:rPr>
          <w:rFonts w:ascii="Times New Roman" w:hAnsi="Times New Roman" w:cs="Times New Roman"/>
          <w:sz w:val="24"/>
          <w:szCs w:val="24"/>
          <w:u w:val="single"/>
        </w:rPr>
        <w:t>Lo curioso es que la bajada de tipos suele promocionar el crecimiento económico a corto plazo, y por tanto, los trabajadores con menos ingresos deberían verse beneficiados de este movimiento.</w:t>
      </w:r>
    </w:p>
    <w:p w:rsidR="00161E9B" w:rsidRPr="008F0249" w:rsidRDefault="00161E9B" w:rsidP="00161E9B">
      <w:pPr>
        <w:spacing w:line="240" w:lineRule="auto"/>
        <w:jc w:val="both"/>
        <w:rPr>
          <w:rFonts w:ascii="Times New Roman" w:hAnsi="Times New Roman" w:cs="Times New Roman"/>
          <w:sz w:val="24"/>
          <w:szCs w:val="24"/>
          <w:u w:val="single"/>
        </w:rPr>
      </w:pPr>
      <w:r w:rsidRPr="008F0249">
        <w:rPr>
          <w:rFonts w:ascii="Times New Roman" w:hAnsi="Times New Roman" w:cs="Times New Roman"/>
          <w:sz w:val="24"/>
          <w:szCs w:val="24"/>
          <w:u w:val="single"/>
        </w:rPr>
        <w:t>En este sentido, parece que la explicación del mayor ingreso de los trabajadores con menos ingresos viene más por el lado la caída del desempleo que por el incremento del salario.</w:t>
      </w:r>
    </w:p>
    <w:p w:rsidR="00161E9B" w:rsidRPr="00B8604F" w:rsidRDefault="00161E9B" w:rsidP="00161E9B">
      <w:pPr>
        <w:spacing w:line="240" w:lineRule="auto"/>
        <w:jc w:val="both"/>
        <w:rPr>
          <w:rFonts w:ascii="Times New Roman" w:hAnsi="Times New Roman" w:cs="Times New Roman"/>
          <w:sz w:val="24"/>
          <w:szCs w:val="24"/>
        </w:rPr>
      </w:pPr>
      <w:r>
        <w:rPr>
          <w:noProof/>
          <w:lang w:eastAsia="es-ES"/>
        </w:rPr>
        <w:drawing>
          <wp:inline distT="0" distB="0" distL="0" distR="0" wp14:anchorId="52B22332" wp14:editId="16FD233D">
            <wp:extent cx="4876800" cy="2476500"/>
            <wp:effectExtent l="0" t="0" r="0" b="0"/>
            <wp:docPr id="76" name="Imagen 76" descr="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3.jpg"/>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4876800" cy="2476500"/>
                    </a:xfrm>
                    <a:prstGeom prst="rect">
                      <a:avLst/>
                    </a:prstGeom>
                    <a:noFill/>
                    <a:ln>
                      <a:noFill/>
                    </a:ln>
                  </pic:spPr>
                </pic:pic>
              </a:graphicData>
            </a:graphic>
          </wp:inline>
        </w:drawing>
      </w:r>
    </w:p>
    <w:p w:rsidR="00161E9B" w:rsidRPr="00B8604F" w:rsidRDefault="00161E9B" w:rsidP="00161E9B">
      <w:pPr>
        <w:spacing w:line="240" w:lineRule="auto"/>
        <w:jc w:val="both"/>
        <w:rPr>
          <w:rFonts w:ascii="Times New Roman" w:hAnsi="Times New Roman" w:cs="Times New Roman"/>
          <w:sz w:val="24"/>
          <w:szCs w:val="24"/>
        </w:rPr>
      </w:pPr>
      <w:r w:rsidRPr="00B8604F">
        <w:rPr>
          <w:rFonts w:ascii="Times New Roman" w:hAnsi="Times New Roman" w:cs="Times New Roman"/>
          <w:sz w:val="24"/>
          <w:szCs w:val="24"/>
        </w:rPr>
        <w:t>Gráfico 3</w:t>
      </w:r>
    </w:p>
    <w:p w:rsidR="00161E9B" w:rsidRPr="008F0249" w:rsidRDefault="00161E9B" w:rsidP="00161E9B">
      <w:pPr>
        <w:spacing w:line="240" w:lineRule="auto"/>
        <w:jc w:val="both"/>
        <w:rPr>
          <w:rFonts w:ascii="Times New Roman" w:hAnsi="Times New Roman" w:cs="Times New Roman"/>
          <w:color w:val="FF0000"/>
          <w:sz w:val="24"/>
          <w:szCs w:val="24"/>
          <w:u w:val="single"/>
        </w:rPr>
      </w:pPr>
      <w:r w:rsidRPr="008F0249">
        <w:rPr>
          <w:rFonts w:ascii="Times New Roman" w:hAnsi="Times New Roman" w:cs="Times New Roman"/>
          <w:color w:val="FF0000"/>
          <w:sz w:val="24"/>
          <w:szCs w:val="24"/>
          <w:u w:val="single"/>
        </w:rPr>
        <w:t xml:space="preserve">En el gráfico 3 se puede ver cómo afecta la caída de 1% en el tipo de interés por quintiles de ingreso. Casi todo el crecimiento en el ingreso de los más pobres viene dado por conseguir un empleo del que no disponían anteriormente. Mientras que los ingresos de los trabajadores ya </w:t>
      </w:r>
      <w:r w:rsidRPr="008F0249">
        <w:rPr>
          <w:rFonts w:ascii="Times New Roman" w:hAnsi="Times New Roman" w:cs="Times New Roman"/>
          <w:color w:val="FF0000"/>
          <w:sz w:val="24"/>
          <w:szCs w:val="24"/>
          <w:u w:val="single"/>
        </w:rPr>
        <w:lastRenderedPageBreak/>
        <w:t>empleados incrementan más conforme incrementa el quintil de ingreso, es decir, conforme son más ricos.</w:t>
      </w:r>
    </w:p>
    <w:p w:rsidR="00161E9B" w:rsidRPr="008F0249" w:rsidRDefault="00161E9B" w:rsidP="00161E9B">
      <w:pPr>
        <w:spacing w:line="240" w:lineRule="auto"/>
        <w:jc w:val="both"/>
        <w:rPr>
          <w:rFonts w:ascii="Times New Roman" w:hAnsi="Times New Roman" w:cs="Times New Roman"/>
          <w:sz w:val="24"/>
          <w:szCs w:val="24"/>
          <w:u w:val="single"/>
        </w:rPr>
      </w:pPr>
      <w:r w:rsidRPr="008F0249">
        <w:rPr>
          <w:rFonts w:ascii="Times New Roman" w:hAnsi="Times New Roman" w:cs="Times New Roman"/>
          <w:sz w:val="24"/>
          <w:szCs w:val="24"/>
          <w:u w:val="single"/>
        </w:rPr>
        <w:t>Así se puede explicar el aparente conundrum. El Banco Central Europeo parece que nos dice que los ingresos de los más pobres incrementan más cuanto más laxa es la política monetaria y menores los tipos de interés. Y, a la vez, nos dice que los ingresos de los trabajadores más ricos incrementan más que los ingresos de los trabajadores más pobres.</w:t>
      </w:r>
    </w:p>
    <w:p w:rsidR="00161E9B" w:rsidRPr="00B8604F" w:rsidRDefault="00161E9B" w:rsidP="00161E9B">
      <w:pPr>
        <w:spacing w:line="240" w:lineRule="auto"/>
        <w:jc w:val="both"/>
        <w:rPr>
          <w:rFonts w:ascii="Times New Roman" w:hAnsi="Times New Roman" w:cs="Times New Roman"/>
          <w:sz w:val="24"/>
          <w:szCs w:val="24"/>
        </w:rPr>
      </w:pPr>
      <w:r w:rsidRPr="00B8604F">
        <w:rPr>
          <w:rFonts w:ascii="Times New Roman" w:hAnsi="Times New Roman" w:cs="Times New Roman"/>
          <w:sz w:val="24"/>
          <w:szCs w:val="24"/>
        </w:rPr>
        <w:t>Pero el conundrum es sólo aparente. El trabajo inicial del BCE que estamos desgranando sólo estudiaba a los trabajadores que ya están trabajando, mientras que no entraban en el análisis</w:t>
      </w:r>
      <w:r w:rsidR="00A540F0">
        <w:rPr>
          <w:rFonts w:ascii="Times New Roman" w:hAnsi="Times New Roman" w:cs="Times New Roman"/>
          <w:sz w:val="24"/>
          <w:szCs w:val="24"/>
        </w:rPr>
        <w:t>,</w:t>
      </w:r>
      <w:r w:rsidRPr="00B8604F">
        <w:rPr>
          <w:rFonts w:ascii="Times New Roman" w:hAnsi="Times New Roman" w:cs="Times New Roman"/>
          <w:sz w:val="24"/>
          <w:szCs w:val="24"/>
        </w:rPr>
        <w:t xml:space="preserve"> aquellos trabajadores que consiguen empleo como resultado de</w:t>
      </w:r>
      <w:r>
        <w:rPr>
          <w:rFonts w:ascii="Times New Roman" w:hAnsi="Times New Roman" w:cs="Times New Roman"/>
          <w:sz w:val="24"/>
          <w:szCs w:val="24"/>
        </w:rPr>
        <w:t xml:space="preserve"> la bajada de tipos de interés.</w:t>
      </w:r>
    </w:p>
    <w:p w:rsidR="00161E9B" w:rsidRPr="00B8604F" w:rsidRDefault="00161E9B" w:rsidP="00161E9B">
      <w:pPr>
        <w:spacing w:line="240" w:lineRule="auto"/>
        <w:jc w:val="both"/>
        <w:rPr>
          <w:rFonts w:ascii="Times New Roman" w:hAnsi="Times New Roman" w:cs="Times New Roman"/>
          <w:sz w:val="24"/>
          <w:szCs w:val="24"/>
        </w:rPr>
      </w:pPr>
      <w:r w:rsidRPr="00B8604F">
        <w:rPr>
          <w:rFonts w:ascii="Times New Roman" w:hAnsi="Times New Roman" w:cs="Times New Roman"/>
          <w:sz w:val="24"/>
          <w:szCs w:val="24"/>
        </w:rPr>
        <w:t>4. Legislación la</w:t>
      </w:r>
      <w:r>
        <w:rPr>
          <w:rFonts w:ascii="Times New Roman" w:hAnsi="Times New Roman" w:cs="Times New Roman"/>
          <w:sz w:val="24"/>
          <w:szCs w:val="24"/>
        </w:rPr>
        <w:t>boral como causa de desigualdad</w:t>
      </w:r>
    </w:p>
    <w:p w:rsidR="00161E9B" w:rsidRPr="008F0249" w:rsidRDefault="00161E9B" w:rsidP="00161E9B">
      <w:pPr>
        <w:spacing w:line="240" w:lineRule="auto"/>
        <w:jc w:val="both"/>
        <w:rPr>
          <w:rFonts w:ascii="Times New Roman" w:hAnsi="Times New Roman" w:cs="Times New Roman"/>
          <w:sz w:val="24"/>
          <w:szCs w:val="24"/>
          <w:u w:val="single"/>
        </w:rPr>
      </w:pPr>
      <w:r w:rsidRPr="008F0249">
        <w:rPr>
          <w:rFonts w:ascii="Times New Roman" w:hAnsi="Times New Roman" w:cs="Times New Roman"/>
          <w:sz w:val="24"/>
          <w:szCs w:val="24"/>
          <w:u w:val="single"/>
        </w:rPr>
        <w:t>Entonces, ¿cómo puede ser que el desempleo sea tan sensible para los más pobres y menos sensible para los que disfrutan de mayores ingresos?</w:t>
      </w:r>
    </w:p>
    <w:p w:rsidR="00161E9B" w:rsidRPr="008F0249" w:rsidRDefault="00161E9B" w:rsidP="00161E9B">
      <w:pPr>
        <w:spacing w:line="240" w:lineRule="auto"/>
        <w:jc w:val="both"/>
        <w:rPr>
          <w:rFonts w:ascii="Times New Roman" w:hAnsi="Times New Roman" w:cs="Times New Roman"/>
          <w:sz w:val="24"/>
          <w:szCs w:val="24"/>
          <w:u w:val="single"/>
        </w:rPr>
      </w:pPr>
      <w:r w:rsidRPr="008F0249">
        <w:rPr>
          <w:rFonts w:ascii="Times New Roman" w:hAnsi="Times New Roman" w:cs="Times New Roman"/>
          <w:sz w:val="24"/>
          <w:szCs w:val="24"/>
          <w:u w:val="single"/>
        </w:rPr>
        <w:t>La respuesta principal está en las draconianas leyes laborales que sufren de sobremanera los más pobres en la sociedad. Las leyes de salario mínimo, las onerosas cotizaciones sociales a cargo de la empresa y un largo etcétera en restricciones al mercado laboral consiguen que se incremente muchísimo el coste laboral por empleado para las empresas.</w:t>
      </w:r>
    </w:p>
    <w:p w:rsidR="00161E9B" w:rsidRPr="00B8604F" w:rsidRDefault="00161E9B" w:rsidP="00161E9B">
      <w:pPr>
        <w:spacing w:line="240" w:lineRule="auto"/>
        <w:jc w:val="both"/>
        <w:rPr>
          <w:rFonts w:ascii="Times New Roman" w:hAnsi="Times New Roman" w:cs="Times New Roman"/>
          <w:sz w:val="24"/>
          <w:szCs w:val="24"/>
        </w:rPr>
      </w:pPr>
      <w:r w:rsidRPr="00B8604F">
        <w:rPr>
          <w:rFonts w:ascii="Times New Roman" w:hAnsi="Times New Roman" w:cs="Times New Roman"/>
          <w:sz w:val="24"/>
          <w:szCs w:val="24"/>
        </w:rPr>
        <w:t>El problema es que el límite de lo que puede pagar una empresa viene dado por la productividad económica que calcula que tendrá cada trabajador: las empresas no pagan a nadie por encima de lo que espera que produzca. De esta manera, las leyes laborales que hacen muy caro contratar a las empresas perjudican, principalmente, a las capas menos productivas de la sociedad. Los menos productivos en una sociedad no podrán</w:t>
      </w:r>
      <w:r w:rsidR="008F0249">
        <w:rPr>
          <w:rFonts w:ascii="Times New Roman" w:hAnsi="Times New Roman" w:cs="Times New Roman"/>
          <w:sz w:val="24"/>
          <w:szCs w:val="24"/>
        </w:rPr>
        <w:t xml:space="preserve"> ni siquiera encontrar trabajo “gracias”</w:t>
      </w:r>
      <w:r w:rsidRPr="00B8604F">
        <w:rPr>
          <w:rFonts w:ascii="Times New Roman" w:hAnsi="Times New Roman" w:cs="Times New Roman"/>
          <w:sz w:val="24"/>
          <w:szCs w:val="24"/>
        </w:rPr>
        <w:t xml:space="preserve"> a las restrictivas leyes laborales. Por eso, tanto los ingresos como el empleo de los más desfavorecidos crece</w:t>
      </w:r>
      <w:r w:rsidR="008F0249">
        <w:rPr>
          <w:rFonts w:ascii="Times New Roman" w:hAnsi="Times New Roman" w:cs="Times New Roman"/>
          <w:sz w:val="24"/>
          <w:szCs w:val="24"/>
        </w:rPr>
        <w:t>n</w:t>
      </w:r>
      <w:r w:rsidRPr="00B8604F">
        <w:rPr>
          <w:rFonts w:ascii="Times New Roman" w:hAnsi="Times New Roman" w:cs="Times New Roman"/>
          <w:sz w:val="24"/>
          <w:szCs w:val="24"/>
        </w:rPr>
        <w:t xml:space="preserve"> mucho en épocas de crecimiento económico. En los momentos en los que existe crecimiento económico, las buenas perspectivas provocan que incremente la productividad esperada de los trabajadores, por lo que una parte de los menos productivos puede encontrar ahora trabajo. Como las restrictivas leyes laborales afectan mucho menos a los trabajadores más productivos, no hay apenas incremento en su contratación, porque ya producían con anterioridad más que el </w:t>
      </w:r>
      <w:r>
        <w:rPr>
          <w:rFonts w:ascii="Times New Roman" w:hAnsi="Times New Roman" w:cs="Times New Roman"/>
          <w:sz w:val="24"/>
          <w:szCs w:val="24"/>
        </w:rPr>
        <w:t>mínimo exigido para emplearlos.</w:t>
      </w:r>
    </w:p>
    <w:p w:rsidR="00161E9B" w:rsidRPr="008F0249" w:rsidRDefault="00161E9B" w:rsidP="00161E9B">
      <w:pPr>
        <w:spacing w:line="240" w:lineRule="auto"/>
        <w:jc w:val="both"/>
        <w:rPr>
          <w:rFonts w:ascii="Times New Roman" w:hAnsi="Times New Roman" w:cs="Times New Roman"/>
          <w:color w:val="FF0000"/>
          <w:sz w:val="24"/>
          <w:szCs w:val="24"/>
          <w:u w:val="single"/>
        </w:rPr>
      </w:pPr>
      <w:r w:rsidRPr="008F0249">
        <w:rPr>
          <w:rFonts w:ascii="Times New Roman" w:hAnsi="Times New Roman" w:cs="Times New Roman"/>
          <w:color w:val="FF0000"/>
          <w:sz w:val="24"/>
          <w:szCs w:val="24"/>
          <w:u w:val="single"/>
        </w:rPr>
        <w:t>En otras palabras, no es que las bajadas de tipos de interés disminuyan la desigualdad en el ingreso. De he</w:t>
      </w:r>
      <w:r w:rsidR="008F0249" w:rsidRPr="008F0249">
        <w:rPr>
          <w:rFonts w:ascii="Times New Roman" w:hAnsi="Times New Roman" w:cs="Times New Roman"/>
          <w:color w:val="FF0000"/>
          <w:sz w:val="24"/>
          <w:szCs w:val="24"/>
          <w:u w:val="single"/>
        </w:rPr>
        <w:t>cho, el artículo del BCE estaba</w:t>
      </w:r>
      <w:r w:rsidRPr="008F0249">
        <w:rPr>
          <w:rFonts w:ascii="Times New Roman" w:hAnsi="Times New Roman" w:cs="Times New Roman"/>
          <w:color w:val="FF0000"/>
          <w:sz w:val="24"/>
          <w:szCs w:val="24"/>
          <w:u w:val="single"/>
        </w:rPr>
        <w:t xml:space="preserve"> en lo cierto, la incrementan. Lo que está ocurriendo es que están interaccionando dos variables al mismo tiempo (en realidad están interaccionando miles de variables). Las leyes laborales incrementan la desigualdad haciendo que la parte más desfavorecida de la población sea incapaz de acceder a un trabajo. La política monetaria expansiva y la bajada de tipos sólo </w:t>
      </w:r>
      <w:r w:rsidR="00A540F0" w:rsidRPr="008F0249">
        <w:rPr>
          <w:rFonts w:ascii="Times New Roman" w:hAnsi="Times New Roman" w:cs="Times New Roman"/>
          <w:color w:val="FF0000"/>
          <w:sz w:val="24"/>
          <w:szCs w:val="24"/>
          <w:u w:val="single"/>
        </w:rPr>
        <w:t>maquillan</w:t>
      </w:r>
      <w:r w:rsidRPr="008F0249">
        <w:rPr>
          <w:rFonts w:ascii="Times New Roman" w:hAnsi="Times New Roman" w:cs="Times New Roman"/>
          <w:color w:val="FF0000"/>
          <w:sz w:val="24"/>
          <w:szCs w:val="24"/>
          <w:u w:val="single"/>
        </w:rPr>
        <w:t xml:space="preserve"> temporalmente los perniciosos efectos de la política laboral en los trabajadores más pobres.</w:t>
      </w:r>
    </w:p>
    <w:p w:rsidR="00161E9B" w:rsidRDefault="00161E9B" w:rsidP="00161E9B">
      <w:pPr>
        <w:spacing w:line="240" w:lineRule="auto"/>
        <w:jc w:val="both"/>
        <w:rPr>
          <w:rFonts w:ascii="Times New Roman" w:hAnsi="Times New Roman" w:cs="Times New Roman"/>
          <w:color w:val="FF0000"/>
          <w:sz w:val="24"/>
          <w:szCs w:val="24"/>
          <w:u w:val="single"/>
        </w:rPr>
      </w:pPr>
      <w:r w:rsidRPr="008F0249">
        <w:rPr>
          <w:rFonts w:ascii="Times New Roman" w:hAnsi="Times New Roman" w:cs="Times New Roman"/>
          <w:color w:val="FF0000"/>
          <w:sz w:val="24"/>
          <w:szCs w:val="24"/>
          <w:u w:val="single"/>
        </w:rPr>
        <w:t>En definitiva, ya tenemos dos vías por las que los Estados incrementan la desigualdad. La intervención laboral y la intervención en el sistema financiero. Por desgracia eso no lo recogen las gráficas de desigualdad que con mucho ahínco nos enseñan los que justifican la intervención del sector público para disminuir la desigualdad.</w:t>
      </w:r>
    </w:p>
    <w:p w:rsidR="00161E9B" w:rsidRPr="00B8604F" w:rsidRDefault="00161E9B" w:rsidP="00161E9B">
      <w:pPr>
        <w:spacing w:line="240" w:lineRule="auto"/>
        <w:jc w:val="both"/>
        <w:rPr>
          <w:rFonts w:ascii="Times New Roman" w:hAnsi="Times New Roman" w:cs="Times New Roman"/>
          <w:sz w:val="24"/>
          <w:szCs w:val="24"/>
        </w:rPr>
      </w:pPr>
      <w:r w:rsidRPr="00B8604F">
        <w:rPr>
          <w:rFonts w:ascii="Times New Roman" w:hAnsi="Times New Roman" w:cs="Times New Roman"/>
          <w:sz w:val="24"/>
          <w:szCs w:val="24"/>
        </w:rPr>
        <w:t>5. La política monetaria incre</w:t>
      </w:r>
      <w:r>
        <w:rPr>
          <w:rFonts w:ascii="Times New Roman" w:hAnsi="Times New Roman" w:cs="Times New Roman"/>
          <w:sz w:val="24"/>
          <w:szCs w:val="24"/>
        </w:rPr>
        <w:t>menta la desigualdad de riqueza</w:t>
      </w:r>
    </w:p>
    <w:p w:rsidR="00161E9B" w:rsidRPr="008F0249" w:rsidRDefault="00161E9B" w:rsidP="00161E9B">
      <w:pPr>
        <w:spacing w:line="240" w:lineRule="auto"/>
        <w:jc w:val="both"/>
        <w:rPr>
          <w:rFonts w:ascii="Times New Roman" w:hAnsi="Times New Roman" w:cs="Times New Roman"/>
          <w:color w:val="FF0000"/>
          <w:sz w:val="24"/>
          <w:szCs w:val="24"/>
          <w:u w:val="single"/>
        </w:rPr>
      </w:pPr>
      <w:r w:rsidRPr="008F0249">
        <w:rPr>
          <w:rFonts w:ascii="Times New Roman" w:hAnsi="Times New Roman" w:cs="Times New Roman"/>
          <w:color w:val="FF0000"/>
          <w:sz w:val="24"/>
          <w:szCs w:val="24"/>
          <w:u w:val="single"/>
        </w:rPr>
        <w:t>Pero quizá el mayor efecto del exceso de intervención en el mundo financiero sea la forma en la que se fomenta la desigualdad de riqueza (vs desigualdad ingreso).</w:t>
      </w:r>
    </w:p>
    <w:p w:rsidR="00161E9B" w:rsidRPr="008F0249" w:rsidRDefault="00161E9B" w:rsidP="00161E9B">
      <w:pPr>
        <w:spacing w:line="240" w:lineRule="auto"/>
        <w:jc w:val="both"/>
        <w:rPr>
          <w:rFonts w:ascii="Times New Roman" w:hAnsi="Times New Roman" w:cs="Times New Roman"/>
          <w:color w:val="FF0000"/>
          <w:sz w:val="24"/>
          <w:szCs w:val="24"/>
          <w:u w:val="single"/>
        </w:rPr>
      </w:pPr>
      <w:r w:rsidRPr="008F0249">
        <w:rPr>
          <w:rFonts w:ascii="Times New Roman" w:hAnsi="Times New Roman" w:cs="Times New Roman"/>
          <w:color w:val="FF0000"/>
          <w:sz w:val="24"/>
          <w:szCs w:val="24"/>
          <w:u w:val="single"/>
        </w:rPr>
        <w:lastRenderedPageBreak/>
        <w:t>La bajada de tipos de interés incrementa mucho el valor presente de todas las inversiones, especialmente de las inversiones a largo plazo, con especial mención al mercado de valores. Como muy posiblemente el lector ya sabe, los hogares tienden a mantener su riqueza en activos que tienden a ser mucho más líquidos, como dinero y sustitutos del dinero. La clase media tiende a concentrar su riqueza en su vivienda habitual. La clase alta, por su parte, es la que tiende a mostrar más inversión en los mercados de valores.</w:t>
      </w:r>
    </w:p>
    <w:p w:rsidR="0030344B" w:rsidRDefault="00161E9B" w:rsidP="00161E9B">
      <w:pPr>
        <w:spacing w:line="240" w:lineRule="auto"/>
        <w:jc w:val="both"/>
        <w:rPr>
          <w:rFonts w:ascii="Times New Roman" w:hAnsi="Times New Roman" w:cs="Times New Roman"/>
          <w:sz w:val="24"/>
          <w:szCs w:val="24"/>
        </w:rPr>
      </w:pPr>
      <w:r>
        <w:rPr>
          <w:noProof/>
          <w:lang w:eastAsia="es-ES"/>
        </w:rPr>
        <w:drawing>
          <wp:inline distT="0" distB="0" distL="0" distR="0" wp14:anchorId="083D881F" wp14:editId="3B9BC023">
            <wp:extent cx="4876800" cy="2628900"/>
            <wp:effectExtent l="0" t="0" r="0" b="0"/>
            <wp:docPr id="78" name="Imagen 78" descr="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4.jpg"/>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4876800" cy="2628900"/>
                    </a:xfrm>
                    <a:prstGeom prst="rect">
                      <a:avLst/>
                    </a:prstGeom>
                    <a:noFill/>
                    <a:ln>
                      <a:noFill/>
                    </a:ln>
                  </pic:spPr>
                </pic:pic>
              </a:graphicData>
            </a:graphic>
          </wp:inline>
        </w:drawing>
      </w:r>
    </w:p>
    <w:p w:rsidR="00161E9B" w:rsidRPr="00B8604F" w:rsidRDefault="00161E9B" w:rsidP="00161E9B">
      <w:pPr>
        <w:spacing w:line="240" w:lineRule="auto"/>
        <w:jc w:val="both"/>
        <w:rPr>
          <w:rFonts w:ascii="Times New Roman" w:hAnsi="Times New Roman" w:cs="Times New Roman"/>
          <w:sz w:val="24"/>
          <w:szCs w:val="24"/>
        </w:rPr>
      </w:pPr>
      <w:r w:rsidRPr="00B8604F">
        <w:rPr>
          <w:rFonts w:ascii="Times New Roman" w:hAnsi="Times New Roman" w:cs="Times New Roman"/>
          <w:sz w:val="24"/>
          <w:szCs w:val="24"/>
        </w:rPr>
        <w:t>Gráfico 4</w:t>
      </w:r>
    </w:p>
    <w:p w:rsidR="00161E9B" w:rsidRPr="00714DB3" w:rsidRDefault="00161E9B" w:rsidP="00161E9B">
      <w:pPr>
        <w:spacing w:line="240" w:lineRule="auto"/>
        <w:jc w:val="both"/>
        <w:rPr>
          <w:rFonts w:ascii="Times New Roman" w:hAnsi="Times New Roman" w:cs="Times New Roman"/>
          <w:sz w:val="24"/>
          <w:szCs w:val="24"/>
          <w:u w:val="single"/>
        </w:rPr>
      </w:pPr>
      <w:r w:rsidRPr="00714DB3">
        <w:rPr>
          <w:rFonts w:ascii="Times New Roman" w:hAnsi="Times New Roman" w:cs="Times New Roman"/>
          <w:sz w:val="24"/>
          <w:szCs w:val="24"/>
          <w:u w:val="single"/>
        </w:rPr>
        <w:t>Pues bien, eso es lo que muestra el gráfico 4. Este gráfico muestra la distribución de riqueza en diferentes tipos de activos en función de la riqueza por hogar.</w:t>
      </w:r>
      <w:r w:rsidRPr="00B8604F">
        <w:rPr>
          <w:rFonts w:ascii="Times New Roman" w:hAnsi="Times New Roman" w:cs="Times New Roman"/>
          <w:sz w:val="24"/>
          <w:szCs w:val="24"/>
        </w:rPr>
        <w:t xml:space="preserve"> En amarillo están los activos líquidos, generalmente cuentas corrientes y similares en instituciones financieras. </w:t>
      </w:r>
      <w:r w:rsidRPr="00714DB3">
        <w:rPr>
          <w:rFonts w:ascii="Times New Roman" w:hAnsi="Times New Roman" w:cs="Times New Roman"/>
          <w:sz w:val="24"/>
          <w:szCs w:val="24"/>
          <w:u w:val="single"/>
        </w:rPr>
        <w:t>Los más pobres tienen prácticamente toda su riqueza en forma de cuentas corrientes</w:t>
      </w:r>
      <w:r w:rsidRPr="00B8604F">
        <w:rPr>
          <w:rFonts w:ascii="Times New Roman" w:hAnsi="Times New Roman" w:cs="Times New Roman"/>
          <w:sz w:val="24"/>
          <w:szCs w:val="24"/>
        </w:rPr>
        <w:t xml:space="preserve">. En negro, de forma curiosa, están la riqueza en forma de vehículos automotores. En color verde vemos la riqueza invertida en vivienda. </w:t>
      </w:r>
      <w:r w:rsidRPr="00714DB3">
        <w:rPr>
          <w:rFonts w:ascii="Times New Roman" w:hAnsi="Times New Roman" w:cs="Times New Roman"/>
          <w:sz w:val="24"/>
          <w:szCs w:val="24"/>
          <w:u w:val="single"/>
        </w:rPr>
        <w:t>Como se puede observar, la vivienda es importante para las capas intermedias de la población, ni los más pobres ni tampoco los más ricos tienen gran parte de su patrimonio invertido en vivienda. La mayor parte de riqueza de los más ricos proviene de inversiones en mercados de valores y de sus propias empresas.</w:t>
      </w:r>
    </w:p>
    <w:p w:rsidR="00161E9B" w:rsidRPr="00714DB3" w:rsidRDefault="00161E9B" w:rsidP="00161E9B">
      <w:pPr>
        <w:spacing w:line="240" w:lineRule="auto"/>
        <w:jc w:val="both"/>
        <w:rPr>
          <w:rFonts w:ascii="Times New Roman" w:hAnsi="Times New Roman" w:cs="Times New Roman"/>
          <w:sz w:val="24"/>
          <w:szCs w:val="24"/>
          <w:u w:val="single"/>
        </w:rPr>
      </w:pPr>
      <w:r w:rsidRPr="00714DB3">
        <w:rPr>
          <w:rFonts w:ascii="Times New Roman" w:hAnsi="Times New Roman" w:cs="Times New Roman"/>
          <w:sz w:val="24"/>
          <w:szCs w:val="24"/>
          <w:u w:val="single"/>
        </w:rPr>
        <w:t>Es posible que el lector haya visto que el primer cuartil de riqueza deja fuera al primer 10% de población (ya no sería un cuartil). Pues bien, ese 10% se encuentra fuera del análisis básicamente porque tienen riqueza negativa, es decir, tienen más deudas que activos.</w:t>
      </w:r>
    </w:p>
    <w:p w:rsidR="00161E9B" w:rsidRPr="00714DB3" w:rsidRDefault="00161E9B" w:rsidP="00161E9B">
      <w:pPr>
        <w:spacing w:line="240" w:lineRule="auto"/>
        <w:jc w:val="both"/>
        <w:rPr>
          <w:rFonts w:ascii="Times New Roman" w:hAnsi="Times New Roman" w:cs="Times New Roman"/>
          <w:b/>
          <w:color w:val="FF0000"/>
          <w:sz w:val="24"/>
          <w:szCs w:val="24"/>
          <w:u w:val="single"/>
        </w:rPr>
      </w:pPr>
      <w:r w:rsidRPr="00714DB3">
        <w:rPr>
          <w:rFonts w:ascii="Times New Roman" w:hAnsi="Times New Roman" w:cs="Times New Roman"/>
          <w:b/>
          <w:color w:val="FF0000"/>
          <w:sz w:val="24"/>
          <w:szCs w:val="24"/>
          <w:u w:val="single"/>
        </w:rPr>
        <w:t>Por tanto, los tipos de interés bajos fomentan que los ricos sean más ricos mientras dejan a los pobres igual que estaban antes. De forma curiosa, los artículos del Banco Central Europeo omiten prácticamente hablar de la desigualdad en la riqueza, probablemente porque es una de las vías principales por la que ellos mismos fomentan la desigualdad. Por cierto, la desigualdad de riqueza es mucho más acusada que la desigualdad en ingresos.</w:t>
      </w:r>
    </w:p>
    <w:p w:rsidR="00161E9B" w:rsidRPr="00714DB3" w:rsidRDefault="00161E9B" w:rsidP="00161E9B">
      <w:pPr>
        <w:spacing w:line="240" w:lineRule="auto"/>
        <w:jc w:val="both"/>
        <w:rPr>
          <w:rFonts w:ascii="Times New Roman" w:hAnsi="Times New Roman" w:cs="Times New Roman"/>
          <w:b/>
          <w:color w:val="FF0000"/>
          <w:sz w:val="24"/>
          <w:szCs w:val="24"/>
          <w:u w:val="single"/>
        </w:rPr>
      </w:pPr>
      <w:r w:rsidRPr="00714DB3">
        <w:rPr>
          <w:rFonts w:ascii="Times New Roman" w:hAnsi="Times New Roman" w:cs="Times New Roman"/>
          <w:b/>
          <w:color w:val="FF0000"/>
          <w:sz w:val="24"/>
          <w:szCs w:val="24"/>
          <w:u w:val="single"/>
        </w:rPr>
        <w:t xml:space="preserve">Por si fuera poco, y con rarísimas excepciones, cada vez que una recesión financiera acecha, los bancos centrales de medio mundo se ponen nerviosos y realizan salvatajes financieros a gran escala. Esto tiene la ventaja de que evita que el pánico financiero se extienda, aunque tiene múltiples desventajas. Entre otras, fomenta comportamientos irresponsables en agentes económicos, el denominado moral Hazard o riesgo moral. En lo que atañe al propósito de este artículo, incrementa las desigualdades entre ricos y </w:t>
      </w:r>
      <w:r w:rsidRPr="00714DB3">
        <w:rPr>
          <w:rFonts w:ascii="Times New Roman" w:hAnsi="Times New Roman" w:cs="Times New Roman"/>
          <w:b/>
          <w:color w:val="FF0000"/>
          <w:sz w:val="24"/>
          <w:szCs w:val="24"/>
          <w:u w:val="single"/>
        </w:rPr>
        <w:lastRenderedPageBreak/>
        <w:t>pobres. Y es que los pobres que viven de su trabajo ven como lo pierden, mientras los ricos ven cómo se sostiene el valor de sus activos financieros de forma artificial por los bancos centrales.</w:t>
      </w:r>
    </w:p>
    <w:p w:rsidR="00161E9B" w:rsidRPr="00714DB3" w:rsidRDefault="00161E9B" w:rsidP="00161E9B">
      <w:pPr>
        <w:spacing w:line="240" w:lineRule="auto"/>
        <w:jc w:val="both"/>
        <w:rPr>
          <w:rFonts w:ascii="Times New Roman" w:hAnsi="Times New Roman" w:cs="Times New Roman"/>
          <w:b/>
          <w:color w:val="FF0000"/>
          <w:sz w:val="24"/>
          <w:szCs w:val="24"/>
          <w:u w:val="single"/>
        </w:rPr>
      </w:pPr>
      <w:r w:rsidRPr="00714DB3">
        <w:rPr>
          <w:rFonts w:ascii="Times New Roman" w:hAnsi="Times New Roman" w:cs="Times New Roman"/>
          <w:b/>
          <w:color w:val="FF0000"/>
          <w:sz w:val="24"/>
          <w:szCs w:val="24"/>
          <w:u w:val="single"/>
        </w:rPr>
        <w:t>Para poner la guinda al pastel de la desigualdad fomentada desde el sector público, la inflación tiende a aparecer cuando la política monetaria es demasiada laxa. Los poseedores de activos financieros o incluso de viviendas pueden sostener relativamente bien el valor de sus activos en ambientes inflacionarios (no tanto en recesiones). Pero como ya hemos visto, los pobres tienen la mayor parte de su riqueza en activos muy líquidos, casi todos cuentas corrientes en bancos. Esos activos son literalmente masacrados por la inflación (es prácticamente lo mismo que tener dinero debajo del colchón). Es decir, la inflación es un golpe muy duro, especialmente para los más pobres. Y los tipos bajos y la política monetaria expansiva como impulsan situaciones inflacionarias en la economía.</w:t>
      </w:r>
    </w:p>
    <w:p w:rsidR="00161E9B" w:rsidRPr="00B8604F" w:rsidRDefault="00161E9B" w:rsidP="00161E9B">
      <w:pPr>
        <w:spacing w:line="240" w:lineRule="auto"/>
        <w:jc w:val="both"/>
        <w:rPr>
          <w:rFonts w:ascii="Times New Roman" w:hAnsi="Times New Roman" w:cs="Times New Roman"/>
          <w:sz w:val="24"/>
          <w:szCs w:val="24"/>
        </w:rPr>
      </w:pPr>
      <w:r w:rsidRPr="00B8604F">
        <w:rPr>
          <w:rFonts w:ascii="Times New Roman" w:hAnsi="Times New Roman" w:cs="Times New Roman"/>
          <w:sz w:val="24"/>
          <w:szCs w:val="24"/>
        </w:rPr>
        <w:t>Conclusión</w:t>
      </w:r>
    </w:p>
    <w:p w:rsidR="00161E9B" w:rsidRPr="00714DB3" w:rsidRDefault="00161E9B" w:rsidP="00161E9B">
      <w:pPr>
        <w:spacing w:line="240" w:lineRule="auto"/>
        <w:jc w:val="both"/>
        <w:rPr>
          <w:rFonts w:ascii="Times New Roman" w:hAnsi="Times New Roman" w:cs="Times New Roman"/>
          <w:color w:val="FF0000"/>
          <w:sz w:val="24"/>
          <w:szCs w:val="24"/>
          <w:u w:val="single"/>
        </w:rPr>
      </w:pPr>
      <w:r w:rsidRPr="00B8604F">
        <w:rPr>
          <w:rFonts w:ascii="Times New Roman" w:hAnsi="Times New Roman" w:cs="Times New Roman"/>
          <w:sz w:val="24"/>
          <w:szCs w:val="24"/>
        </w:rPr>
        <w:t xml:space="preserve">En resumen, el Banco Central Europeo ha publicado un artículo o una serie de artículos de lo más interesante en lo que tiene que ver con los resultados de su política en la desigualdad. Por desgracia, o coincidentemente, se olvida mencionar el aspecto de su política que más afecta a la desigualdad, y es la desigualdad de riqueza. </w:t>
      </w:r>
      <w:r w:rsidRPr="00714DB3">
        <w:rPr>
          <w:rFonts w:ascii="Times New Roman" w:hAnsi="Times New Roman" w:cs="Times New Roman"/>
          <w:color w:val="FF0000"/>
          <w:sz w:val="24"/>
          <w:szCs w:val="24"/>
          <w:u w:val="single"/>
        </w:rPr>
        <w:t>Tanto por el lado de sostener la riqueza de los más ricos como por el lado de destruir la riqueza de los más pobres, la intervención de los bancos centrales dispara la desigualdad de riqueza en nuestras sociedades. Y recordamos, la desigualdad de riqueza es mucho más acusada que la desigualdad de ingreso de la que se queja todo el mundo.</w:t>
      </w:r>
    </w:p>
    <w:p w:rsidR="00161E9B" w:rsidRPr="00714DB3" w:rsidRDefault="00161E9B" w:rsidP="00161E9B">
      <w:pPr>
        <w:spacing w:line="240" w:lineRule="auto"/>
        <w:jc w:val="both"/>
        <w:rPr>
          <w:rFonts w:ascii="Times New Roman" w:hAnsi="Times New Roman" w:cs="Times New Roman"/>
          <w:color w:val="FF0000"/>
          <w:sz w:val="24"/>
          <w:szCs w:val="24"/>
          <w:u w:val="single"/>
        </w:rPr>
      </w:pPr>
      <w:r w:rsidRPr="00714DB3">
        <w:rPr>
          <w:rFonts w:ascii="Times New Roman" w:hAnsi="Times New Roman" w:cs="Times New Roman"/>
          <w:color w:val="FF0000"/>
          <w:sz w:val="24"/>
          <w:szCs w:val="24"/>
          <w:u w:val="single"/>
        </w:rPr>
        <w:t>Por tanto, hemos visto que una de las mayores críticas a las economías libres es la supuesta desigualdad inaceptable que genera dicho sistema. Lo que parece que pocas personas se cuestionan es el incremento de desigualdad que generan las políticas públicas. Políticas públicas que muchas veces están destinadas a, se supone, proteger a los más débiles, y que terminan favoreciendo a los más ricos.</w:t>
      </w:r>
    </w:p>
    <w:p w:rsidR="00161E9B" w:rsidRPr="00714DB3" w:rsidRDefault="00161E9B" w:rsidP="00161E9B">
      <w:pPr>
        <w:spacing w:line="240" w:lineRule="auto"/>
        <w:jc w:val="both"/>
        <w:rPr>
          <w:rFonts w:ascii="Times New Roman" w:hAnsi="Times New Roman" w:cs="Times New Roman"/>
          <w:b/>
          <w:color w:val="FF0000"/>
          <w:sz w:val="24"/>
          <w:szCs w:val="24"/>
          <w:u w:val="single"/>
        </w:rPr>
      </w:pPr>
      <w:r w:rsidRPr="00714DB3">
        <w:rPr>
          <w:rFonts w:ascii="Times New Roman" w:hAnsi="Times New Roman" w:cs="Times New Roman"/>
          <w:b/>
          <w:color w:val="FF0000"/>
          <w:sz w:val="24"/>
          <w:szCs w:val="24"/>
          <w:u w:val="single"/>
        </w:rPr>
        <w:t>El problema, además, es que la desigualdad que se fomenta en el mercado desregulado es una desigualdad que fomenta el crecimiento económico sano y es una desigualdad poco preocupante en la medida en la que el ascensor social siga activo. La desigualdad fomentada desde el Estado tiende a fosilizar las distribuciones de ingreso de la sociedad y a destruir el ascensor social. Cuando eso pasa, se tiene la sensación, acertada, de que la desigualdad es injusta.</w:t>
      </w:r>
    </w:p>
    <w:p w:rsidR="00161E9B" w:rsidRPr="00714DB3" w:rsidRDefault="00161E9B" w:rsidP="00161E9B">
      <w:pPr>
        <w:spacing w:line="240" w:lineRule="auto"/>
        <w:jc w:val="both"/>
        <w:rPr>
          <w:rFonts w:ascii="Times New Roman" w:hAnsi="Times New Roman" w:cs="Times New Roman"/>
          <w:b/>
          <w:color w:val="FF0000"/>
          <w:sz w:val="24"/>
          <w:szCs w:val="24"/>
          <w:u w:val="single"/>
        </w:rPr>
      </w:pPr>
      <w:r w:rsidRPr="00B8604F">
        <w:rPr>
          <w:rFonts w:ascii="Times New Roman" w:hAnsi="Times New Roman" w:cs="Times New Roman"/>
          <w:sz w:val="24"/>
          <w:szCs w:val="24"/>
        </w:rPr>
        <w:t xml:space="preserve">El problema con el asunto de la desigualdad es poner la atención en el lugar incorrecto. La desigualdad no es intrínsecamente un aspecto negativo y a combatir. La desigualdad conseguida sin esfuerzo y sin haber generado algo de valor para otros es lo realmente condenable. </w:t>
      </w:r>
      <w:r w:rsidRPr="00714DB3">
        <w:rPr>
          <w:rFonts w:ascii="Times New Roman" w:hAnsi="Times New Roman" w:cs="Times New Roman"/>
          <w:b/>
          <w:color w:val="FF0000"/>
          <w:sz w:val="24"/>
          <w:szCs w:val="24"/>
          <w:u w:val="single"/>
        </w:rPr>
        <w:t>Por tanto, pongamos el foco allí donde debe ponerse, y es en la desigualdad injusta incentivada desde organismos públicos con desnortadas políticas públicas que solo favorecen a los que ya son ricos y no a los que podrían serlo. Esta es, la diferencia principal entre el capitalismo de amigos (crony capitalism) y el capitalismo de libre mercado.</w:t>
      </w:r>
    </w:p>
    <w:p w:rsidR="00161E9B" w:rsidRPr="00B8604F" w:rsidRDefault="00161E9B" w:rsidP="00161E9B">
      <w:pPr>
        <w:spacing w:line="240" w:lineRule="auto"/>
        <w:jc w:val="both"/>
        <w:rPr>
          <w:rFonts w:ascii="Times New Roman" w:hAnsi="Times New Roman" w:cs="Times New Roman"/>
          <w:sz w:val="24"/>
          <w:szCs w:val="24"/>
        </w:rPr>
      </w:pPr>
      <w:r w:rsidRPr="00161E9B">
        <w:rPr>
          <w:rFonts w:ascii="Times New Roman" w:hAnsi="Times New Roman" w:cs="Times New Roman"/>
          <w:sz w:val="24"/>
          <w:szCs w:val="24"/>
          <w:u w:val="single"/>
        </w:rPr>
        <w:t>The ECB Blog</w:t>
      </w:r>
      <w:r w:rsidRPr="00161E9B">
        <w:rPr>
          <w:rFonts w:ascii="Times New Roman" w:hAnsi="Times New Roman" w:cs="Times New Roman"/>
          <w:sz w:val="24"/>
          <w:szCs w:val="24"/>
        </w:rPr>
        <w:t xml:space="preserve"> (</w:t>
      </w:r>
      <w:r w:rsidRPr="00B8604F">
        <w:rPr>
          <w:rFonts w:ascii="Times New Roman" w:hAnsi="Times New Roman" w:cs="Times New Roman"/>
          <w:sz w:val="24"/>
          <w:szCs w:val="24"/>
        </w:rPr>
        <w:t>El artículo del Banco Central Europeo</w:t>
      </w:r>
      <w:r>
        <w:rPr>
          <w:rFonts w:ascii="Times New Roman" w:hAnsi="Times New Roman" w:cs="Times New Roman"/>
          <w:sz w:val="24"/>
          <w:szCs w:val="24"/>
        </w:rPr>
        <w:t>)</w:t>
      </w:r>
    </w:p>
    <w:p w:rsidR="00161E9B" w:rsidRPr="00801D60" w:rsidRDefault="00161E9B" w:rsidP="00161E9B">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sidRPr="00801D60">
        <w:rPr>
          <w:rFonts w:ascii="Times New Roman" w:hAnsi="Times New Roman" w:cs="Times New Roman"/>
          <w:sz w:val="24"/>
          <w:szCs w:val="24"/>
          <w:u w:val="single"/>
          <w:lang w:val="en-US"/>
        </w:rPr>
        <w:t>Which workers are most affected by changes in the policy rate</w:t>
      </w:r>
      <w:r w:rsidRPr="00801D60">
        <w:rPr>
          <w:rFonts w:ascii="Times New Roman" w:hAnsi="Times New Roman" w:cs="Times New Roman"/>
          <w:sz w:val="24"/>
          <w:szCs w:val="24"/>
          <w:lang w:val="en-US"/>
        </w:rPr>
        <w:t>?</w:t>
      </w:r>
      <w:r>
        <w:rPr>
          <w:rFonts w:ascii="Times New Roman" w:hAnsi="Times New Roman" w:cs="Times New Roman"/>
          <w:sz w:val="24"/>
          <w:szCs w:val="24"/>
          <w:lang w:val="en-US"/>
        </w:rPr>
        <w:t xml:space="preserve"> (ECB - </w:t>
      </w:r>
      <w:r w:rsidRPr="00714DB3">
        <w:rPr>
          <w:rFonts w:ascii="Times New Roman" w:hAnsi="Times New Roman" w:cs="Times New Roman"/>
          <w:b/>
          <w:sz w:val="24"/>
          <w:szCs w:val="24"/>
          <w:lang w:val="en-US"/>
        </w:rPr>
        <w:t>19 October 2022</w:t>
      </w:r>
      <w:r>
        <w:rPr>
          <w:rFonts w:ascii="Times New Roman" w:hAnsi="Times New Roman" w:cs="Times New Roman"/>
          <w:sz w:val="24"/>
          <w:szCs w:val="24"/>
          <w:lang w:val="en-US"/>
        </w:rPr>
        <w:t>)</w:t>
      </w:r>
    </w:p>
    <w:p w:rsidR="00161E9B" w:rsidRPr="00801D60" w:rsidRDefault="00161E9B" w:rsidP="00161E9B">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r w:rsidRPr="00801D60">
        <w:rPr>
          <w:rFonts w:ascii="Times New Roman" w:hAnsi="Times New Roman" w:cs="Times New Roman"/>
          <w:sz w:val="24"/>
          <w:szCs w:val="24"/>
          <w:lang w:val="en-US"/>
        </w:rPr>
        <w:t>By Martina Jasova, Caterina Mendicino and Dominik Supera</w:t>
      </w:r>
      <w:r>
        <w:rPr>
          <w:rFonts w:ascii="Times New Roman" w:hAnsi="Times New Roman" w:cs="Times New Roman"/>
          <w:sz w:val="24"/>
          <w:szCs w:val="24"/>
          <w:lang w:val="en-US"/>
        </w:rPr>
        <w:t>)</w:t>
      </w:r>
    </w:p>
    <w:p w:rsidR="00161E9B" w:rsidRPr="00801D60" w:rsidRDefault="00161E9B" w:rsidP="00161E9B">
      <w:pPr>
        <w:spacing w:line="240" w:lineRule="auto"/>
        <w:jc w:val="both"/>
        <w:rPr>
          <w:rFonts w:ascii="Times New Roman" w:hAnsi="Times New Roman" w:cs="Times New Roman"/>
          <w:sz w:val="24"/>
          <w:szCs w:val="24"/>
          <w:lang w:val="en-US"/>
        </w:rPr>
      </w:pPr>
      <w:r w:rsidRPr="00801D60">
        <w:rPr>
          <w:rFonts w:ascii="Times New Roman" w:hAnsi="Times New Roman" w:cs="Times New Roman"/>
          <w:sz w:val="24"/>
          <w:szCs w:val="24"/>
          <w:lang w:val="en-US"/>
        </w:rPr>
        <w:lastRenderedPageBreak/>
        <w:t>The ECB Blog investigates how change in the policy rate affects wages very differently depending on characteristics of employees and firms, such as firms’ size and their access to credit. Results show that the effects are symmetric during times of easing and tightening.</w:t>
      </w:r>
    </w:p>
    <w:p w:rsidR="00161E9B" w:rsidRPr="00801D60" w:rsidRDefault="00161E9B" w:rsidP="00161E9B">
      <w:pPr>
        <w:spacing w:line="240" w:lineRule="auto"/>
        <w:jc w:val="both"/>
        <w:rPr>
          <w:rFonts w:ascii="Times New Roman" w:hAnsi="Times New Roman" w:cs="Times New Roman"/>
          <w:sz w:val="24"/>
          <w:szCs w:val="24"/>
          <w:lang w:val="en-US"/>
        </w:rPr>
      </w:pPr>
      <w:r w:rsidRPr="00801D60">
        <w:rPr>
          <w:rFonts w:ascii="Times New Roman" w:hAnsi="Times New Roman" w:cs="Times New Roman"/>
          <w:sz w:val="24"/>
          <w:szCs w:val="24"/>
          <w:lang w:val="en-US"/>
        </w:rPr>
        <w:t>The ECB uses its policy rates to achieve price stability. But its decisions also have side effects on labour markets. To better understand how interest rate cuts and hikes affect labour market outcomes we look at workers, firms and credit. We investigate how characteristics such as workers’ age and education, or the size of the companies where they are employed, determine the extent to which payslips and hours worked are affecte</w:t>
      </w:r>
      <w:r>
        <w:rPr>
          <w:rFonts w:ascii="Times New Roman" w:hAnsi="Times New Roman" w:cs="Times New Roman"/>
          <w:sz w:val="24"/>
          <w:szCs w:val="24"/>
          <w:lang w:val="en-US"/>
        </w:rPr>
        <w:t>d by monetary policy decisions.</w:t>
      </w:r>
    </w:p>
    <w:p w:rsidR="00161E9B" w:rsidRPr="00801D60" w:rsidRDefault="00161E9B" w:rsidP="00161E9B">
      <w:pPr>
        <w:spacing w:line="240" w:lineRule="auto"/>
        <w:jc w:val="both"/>
        <w:rPr>
          <w:rFonts w:ascii="Times New Roman" w:hAnsi="Times New Roman" w:cs="Times New Roman"/>
          <w:sz w:val="24"/>
          <w:szCs w:val="24"/>
          <w:lang w:val="en-US"/>
        </w:rPr>
      </w:pPr>
      <w:r w:rsidRPr="00801D60">
        <w:rPr>
          <w:rFonts w:ascii="Times New Roman" w:hAnsi="Times New Roman" w:cs="Times New Roman"/>
          <w:sz w:val="24"/>
          <w:szCs w:val="24"/>
          <w:lang w:val="en-US"/>
        </w:rPr>
        <w:t>But how can we gather the necessary information? We link two datasets from Portugal: one dataset provides detailed information on the employees of firms, and the other, inform</w:t>
      </w:r>
      <w:r>
        <w:rPr>
          <w:rFonts w:ascii="Times New Roman" w:hAnsi="Times New Roman" w:cs="Times New Roman"/>
          <w:sz w:val="24"/>
          <w:szCs w:val="24"/>
          <w:lang w:val="en-US"/>
        </w:rPr>
        <w:t>ation on loans to those firms.</w:t>
      </w:r>
      <w:r w:rsidRPr="00801D60">
        <w:rPr>
          <w:rFonts w:ascii="Times New Roman" w:hAnsi="Times New Roman" w:cs="Times New Roman"/>
          <w:sz w:val="24"/>
          <w:szCs w:val="24"/>
          <w:lang w:val="en-US"/>
        </w:rPr>
        <w:t xml:space="preserve"> Both date back to the launch of the euro. This allows us to match data on individual workers and the firms they work for, with the bank loans the firms drew down over two decades which includes periods of monetary</w:t>
      </w:r>
      <w:r>
        <w:rPr>
          <w:rFonts w:ascii="Times New Roman" w:hAnsi="Times New Roman" w:cs="Times New Roman"/>
          <w:sz w:val="24"/>
          <w:szCs w:val="24"/>
          <w:lang w:val="en-US"/>
        </w:rPr>
        <w:t xml:space="preserve"> policy easing and tightening.</w:t>
      </w:r>
    </w:p>
    <w:p w:rsidR="00161E9B" w:rsidRPr="00801D60" w:rsidRDefault="00161E9B" w:rsidP="00161E9B">
      <w:pPr>
        <w:spacing w:line="240" w:lineRule="auto"/>
        <w:jc w:val="both"/>
        <w:rPr>
          <w:rFonts w:ascii="Times New Roman" w:hAnsi="Times New Roman" w:cs="Times New Roman"/>
          <w:sz w:val="24"/>
          <w:szCs w:val="24"/>
          <w:lang w:val="en-US"/>
        </w:rPr>
      </w:pPr>
      <w:r w:rsidRPr="00801D60">
        <w:rPr>
          <w:rFonts w:ascii="Times New Roman" w:hAnsi="Times New Roman" w:cs="Times New Roman"/>
          <w:sz w:val="24"/>
          <w:szCs w:val="24"/>
          <w:lang w:val="en-US"/>
        </w:rPr>
        <w:t>Our work began before the recent monetary policy normalisation and was initially focused on periods of monetary easing but we can prove that the effects are symmetric, for both policy easing and tightening. For example, workers with high education tend to benefit most after rate cuts in terms of wage increases and hours worked. But they are also among the most affected when the ECB increases policy interest rates, which slows wage growth. At the same time, workers in small and young firms are the most positively affected by policy rate cuts in terms of wage increases and hours worked. But they are also among the most aff</w:t>
      </w:r>
      <w:r>
        <w:rPr>
          <w:rFonts w:ascii="Times New Roman" w:hAnsi="Times New Roman" w:cs="Times New Roman"/>
          <w:sz w:val="24"/>
          <w:szCs w:val="24"/>
          <w:lang w:val="en-US"/>
        </w:rPr>
        <w:t>ected during policy rate hikes.</w:t>
      </w:r>
    </w:p>
    <w:p w:rsidR="00161E9B" w:rsidRPr="00801D60" w:rsidRDefault="00161E9B" w:rsidP="00161E9B">
      <w:pPr>
        <w:spacing w:line="240" w:lineRule="auto"/>
        <w:jc w:val="both"/>
        <w:rPr>
          <w:rFonts w:ascii="Times New Roman" w:hAnsi="Times New Roman" w:cs="Times New Roman"/>
          <w:sz w:val="24"/>
          <w:szCs w:val="24"/>
          <w:lang w:val="en-US"/>
        </w:rPr>
      </w:pPr>
      <w:r w:rsidRPr="00801D60">
        <w:rPr>
          <w:rFonts w:ascii="Times New Roman" w:hAnsi="Times New Roman" w:cs="Times New Roman"/>
          <w:sz w:val="24"/>
          <w:szCs w:val="24"/>
          <w:lang w:val="en-US"/>
        </w:rPr>
        <w:t>But let us take a step back and l</w:t>
      </w:r>
      <w:r>
        <w:rPr>
          <w:rFonts w:ascii="Times New Roman" w:hAnsi="Times New Roman" w:cs="Times New Roman"/>
          <w:sz w:val="24"/>
          <w:szCs w:val="24"/>
          <w:lang w:val="en-US"/>
        </w:rPr>
        <w:t>ook at the design of our study.</w:t>
      </w:r>
    </w:p>
    <w:p w:rsidR="00161E9B" w:rsidRPr="00801D60" w:rsidRDefault="00161E9B" w:rsidP="00161E9B">
      <w:pPr>
        <w:spacing w:line="240" w:lineRule="auto"/>
        <w:jc w:val="both"/>
        <w:rPr>
          <w:rFonts w:ascii="Times New Roman" w:hAnsi="Times New Roman" w:cs="Times New Roman"/>
          <w:sz w:val="24"/>
          <w:szCs w:val="24"/>
          <w:lang w:val="en-US"/>
        </w:rPr>
      </w:pPr>
      <w:r w:rsidRPr="00801D60">
        <w:rPr>
          <w:rFonts w:ascii="Times New Roman" w:hAnsi="Times New Roman" w:cs="Times New Roman"/>
          <w:sz w:val="24"/>
          <w:szCs w:val="24"/>
          <w:lang w:val="en-US"/>
        </w:rPr>
        <w:t>Rate cuts affect wages more in small firms</w:t>
      </w:r>
    </w:p>
    <w:p w:rsidR="00161E9B" w:rsidRPr="00801D60" w:rsidRDefault="00161E9B" w:rsidP="00161E9B">
      <w:pPr>
        <w:spacing w:line="240" w:lineRule="auto"/>
        <w:jc w:val="both"/>
        <w:rPr>
          <w:rFonts w:ascii="Times New Roman" w:hAnsi="Times New Roman" w:cs="Times New Roman"/>
          <w:sz w:val="24"/>
          <w:szCs w:val="24"/>
          <w:lang w:val="en-US"/>
        </w:rPr>
      </w:pPr>
      <w:r w:rsidRPr="00801D60">
        <w:rPr>
          <w:rFonts w:ascii="Times New Roman" w:hAnsi="Times New Roman" w:cs="Times New Roman"/>
          <w:sz w:val="24"/>
          <w:szCs w:val="24"/>
          <w:lang w:val="en-US"/>
        </w:rPr>
        <w:t>The recent public debate about the distributive effects of monetary policy has focused on worker</w:t>
      </w:r>
      <w:r>
        <w:rPr>
          <w:rFonts w:ascii="Times New Roman" w:hAnsi="Times New Roman" w:cs="Times New Roman"/>
          <w:sz w:val="24"/>
          <w:szCs w:val="24"/>
          <w:lang w:val="en-US"/>
        </w:rPr>
        <w:t xml:space="preserve">s’ income, age, race </w:t>
      </w:r>
      <w:r w:rsidRPr="00801D60">
        <w:rPr>
          <w:rFonts w:ascii="Times New Roman" w:hAnsi="Times New Roman" w:cs="Times New Roman"/>
          <w:sz w:val="24"/>
          <w:szCs w:val="24"/>
          <w:lang w:val="en-US"/>
        </w:rPr>
        <w:t>and origin. There is also evidence that employers’ characteristics drive wage differences. To fin</w:t>
      </w:r>
      <w:r>
        <w:rPr>
          <w:rFonts w:ascii="Times New Roman" w:hAnsi="Times New Roman" w:cs="Times New Roman"/>
          <w:sz w:val="24"/>
          <w:szCs w:val="24"/>
          <w:lang w:val="en-US"/>
        </w:rPr>
        <w:t>d out more we took three steps:</w:t>
      </w:r>
    </w:p>
    <w:p w:rsidR="00161E9B" w:rsidRPr="00801D60" w:rsidRDefault="00161E9B" w:rsidP="00161E9B">
      <w:pPr>
        <w:spacing w:line="240" w:lineRule="auto"/>
        <w:jc w:val="both"/>
        <w:rPr>
          <w:rFonts w:ascii="Times New Roman" w:hAnsi="Times New Roman" w:cs="Times New Roman"/>
          <w:sz w:val="24"/>
          <w:szCs w:val="24"/>
          <w:lang w:val="en-US"/>
        </w:rPr>
      </w:pPr>
      <w:r w:rsidRPr="00801D60">
        <w:rPr>
          <w:rFonts w:ascii="Times New Roman" w:hAnsi="Times New Roman" w:cs="Times New Roman"/>
          <w:sz w:val="24"/>
          <w:szCs w:val="24"/>
          <w:lang w:val="en-US"/>
        </w:rPr>
        <w:t>We investigated which firms benefit the most from policy rate changes</w:t>
      </w:r>
    </w:p>
    <w:p w:rsidR="00161E9B" w:rsidRPr="00801D60" w:rsidRDefault="00161E9B" w:rsidP="00161E9B">
      <w:pPr>
        <w:spacing w:line="240" w:lineRule="auto"/>
        <w:jc w:val="both"/>
        <w:rPr>
          <w:rFonts w:ascii="Times New Roman" w:hAnsi="Times New Roman" w:cs="Times New Roman"/>
          <w:sz w:val="24"/>
          <w:szCs w:val="24"/>
          <w:lang w:val="en-US"/>
        </w:rPr>
      </w:pPr>
      <w:r w:rsidRPr="00801D60">
        <w:rPr>
          <w:rFonts w:ascii="Times New Roman" w:hAnsi="Times New Roman" w:cs="Times New Roman"/>
          <w:sz w:val="24"/>
          <w:szCs w:val="24"/>
          <w:lang w:val="en-US"/>
        </w:rPr>
        <w:t>We then assessed which employees in these firms benefited the most</w:t>
      </w:r>
    </w:p>
    <w:p w:rsidR="00161E9B" w:rsidRPr="00801D60" w:rsidRDefault="00161E9B" w:rsidP="00161E9B">
      <w:pPr>
        <w:spacing w:line="240" w:lineRule="auto"/>
        <w:jc w:val="both"/>
        <w:rPr>
          <w:rFonts w:ascii="Times New Roman" w:hAnsi="Times New Roman" w:cs="Times New Roman"/>
          <w:sz w:val="24"/>
          <w:szCs w:val="24"/>
          <w:lang w:val="en-US"/>
        </w:rPr>
      </w:pPr>
      <w:r w:rsidRPr="00801D60">
        <w:rPr>
          <w:rFonts w:ascii="Times New Roman" w:hAnsi="Times New Roman" w:cs="Times New Roman"/>
          <w:sz w:val="24"/>
          <w:szCs w:val="24"/>
          <w:lang w:val="en-US"/>
        </w:rPr>
        <w:t>We looked at the loan data to understand the role of credit in this context</w:t>
      </w:r>
    </w:p>
    <w:p w:rsidR="00161E9B" w:rsidRPr="00801D60" w:rsidRDefault="00161E9B" w:rsidP="00161E9B">
      <w:pPr>
        <w:spacing w:line="240" w:lineRule="auto"/>
        <w:jc w:val="both"/>
        <w:rPr>
          <w:rFonts w:ascii="Times New Roman" w:hAnsi="Times New Roman" w:cs="Times New Roman"/>
          <w:sz w:val="24"/>
          <w:szCs w:val="24"/>
          <w:lang w:val="en-US"/>
        </w:rPr>
      </w:pPr>
      <w:r w:rsidRPr="00801D60">
        <w:rPr>
          <w:rFonts w:ascii="Times New Roman" w:hAnsi="Times New Roman" w:cs="Times New Roman"/>
          <w:sz w:val="24"/>
          <w:szCs w:val="24"/>
          <w:lang w:val="en-US"/>
        </w:rPr>
        <w:t xml:space="preserve">Step 1: In which type of firms do workers benefit </w:t>
      </w:r>
      <w:r>
        <w:rPr>
          <w:rFonts w:ascii="Times New Roman" w:hAnsi="Times New Roman" w:cs="Times New Roman"/>
          <w:sz w:val="24"/>
          <w:szCs w:val="24"/>
          <w:lang w:val="en-US"/>
        </w:rPr>
        <w:t>the most from ECB rate changes?</w:t>
      </w:r>
    </w:p>
    <w:p w:rsidR="00161E9B" w:rsidRPr="00801D60" w:rsidRDefault="00161E9B" w:rsidP="00161E9B">
      <w:pPr>
        <w:spacing w:line="240" w:lineRule="auto"/>
        <w:jc w:val="both"/>
        <w:rPr>
          <w:rFonts w:ascii="Times New Roman" w:hAnsi="Times New Roman" w:cs="Times New Roman"/>
          <w:sz w:val="24"/>
          <w:szCs w:val="24"/>
          <w:lang w:val="en-US"/>
        </w:rPr>
      </w:pPr>
      <w:r w:rsidRPr="00801D60">
        <w:rPr>
          <w:rFonts w:ascii="Times New Roman" w:hAnsi="Times New Roman" w:cs="Times New Roman"/>
          <w:sz w:val="24"/>
          <w:szCs w:val="24"/>
          <w:lang w:val="en-US"/>
        </w:rPr>
        <w:t>We address this question by estimating the heterogeneous impact of monetary policy conditions on wages, hours worked and employment across different types of firms. We estimate that a 1 percentage point (pp) decrease in the monetary policy rate is associated with a 1.16 pp stronger increase in wages of workers in small firms compared to large firms, as shown by Chart 1. Smaller firms increase wages more after a rate cut than bigger firms. We also estimate that workers in young firms benefit the most compared to workers in old firms. Since workers in smaller and younger firms tend to earn lower wages, policy rate cuts narrow the wage differenti</w:t>
      </w:r>
      <w:r>
        <w:rPr>
          <w:rFonts w:ascii="Times New Roman" w:hAnsi="Times New Roman" w:cs="Times New Roman"/>
          <w:sz w:val="24"/>
          <w:szCs w:val="24"/>
          <w:lang w:val="en-US"/>
        </w:rPr>
        <w:t>al across firms in the economy.</w:t>
      </w:r>
    </w:p>
    <w:p w:rsidR="0030344B" w:rsidRDefault="0030344B" w:rsidP="00161E9B">
      <w:pPr>
        <w:spacing w:line="240" w:lineRule="auto"/>
        <w:jc w:val="both"/>
        <w:rPr>
          <w:rFonts w:ascii="Times New Roman" w:hAnsi="Times New Roman" w:cs="Times New Roman"/>
          <w:sz w:val="24"/>
          <w:szCs w:val="24"/>
          <w:lang w:val="en-US"/>
        </w:rPr>
      </w:pPr>
    </w:p>
    <w:p w:rsidR="0030344B" w:rsidRDefault="0030344B" w:rsidP="00161E9B">
      <w:pPr>
        <w:spacing w:line="240" w:lineRule="auto"/>
        <w:jc w:val="both"/>
        <w:rPr>
          <w:rFonts w:ascii="Times New Roman" w:hAnsi="Times New Roman" w:cs="Times New Roman"/>
          <w:sz w:val="24"/>
          <w:szCs w:val="24"/>
          <w:lang w:val="en-US"/>
        </w:rPr>
      </w:pPr>
    </w:p>
    <w:p w:rsidR="00161E9B" w:rsidRPr="00801D60" w:rsidRDefault="00161E9B" w:rsidP="00161E9B">
      <w:pPr>
        <w:spacing w:line="240" w:lineRule="auto"/>
        <w:jc w:val="both"/>
        <w:rPr>
          <w:rFonts w:ascii="Times New Roman" w:hAnsi="Times New Roman" w:cs="Times New Roman"/>
          <w:sz w:val="24"/>
          <w:szCs w:val="24"/>
          <w:lang w:val="en-US"/>
        </w:rPr>
      </w:pPr>
      <w:r w:rsidRPr="00801D60">
        <w:rPr>
          <w:rFonts w:ascii="Times New Roman" w:hAnsi="Times New Roman" w:cs="Times New Roman"/>
          <w:sz w:val="24"/>
          <w:szCs w:val="24"/>
          <w:lang w:val="en-US"/>
        </w:rPr>
        <w:lastRenderedPageBreak/>
        <w:t>Step 2: Which type of workers benefit the</w:t>
      </w:r>
      <w:r>
        <w:rPr>
          <w:rFonts w:ascii="Times New Roman" w:hAnsi="Times New Roman" w:cs="Times New Roman"/>
          <w:sz w:val="24"/>
          <w:szCs w:val="24"/>
          <w:lang w:val="en-US"/>
        </w:rPr>
        <w:t xml:space="preserve"> most from policy rate changes?</w:t>
      </w:r>
    </w:p>
    <w:p w:rsidR="00161E9B" w:rsidRPr="00801D60" w:rsidRDefault="00161E9B" w:rsidP="00161E9B">
      <w:pPr>
        <w:spacing w:line="240" w:lineRule="auto"/>
        <w:jc w:val="both"/>
        <w:rPr>
          <w:rFonts w:ascii="Times New Roman" w:hAnsi="Times New Roman" w:cs="Times New Roman"/>
          <w:sz w:val="24"/>
          <w:szCs w:val="24"/>
          <w:lang w:val="en-US"/>
        </w:rPr>
      </w:pPr>
      <w:r w:rsidRPr="00801D60">
        <w:rPr>
          <w:rFonts w:ascii="Times New Roman" w:hAnsi="Times New Roman" w:cs="Times New Roman"/>
          <w:sz w:val="24"/>
          <w:szCs w:val="24"/>
          <w:lang w:val="en-US"/>
        </w:rPr>
        <w:t>To address this question, we assess the impact of monetary policy on workers with high vs low levels of education. Following a monetary policy rate cut, the hours worked and wages earned by employees with more education increase by more than those of less educated workers. In particular, the labour market effects are most pronounced for better educated workers in small firms. Interest rate cuts are associated with the movement of highly educated workers towards small firms. In turn, this is coupled with a stronger increase in capital investment in small firms. What could be the reason for that? One interpretation is that small firms can often have less success securing credit than larger firms. This handicap is reduced in the aftermath of monetary policy easing. Small firms use improved access to finance for more capital investment, and this increases the value for better educated employees. So, we took a closer look at credit in our third step.</w:t>
      </w:r>
    </w:p>
    <w:p w:rsidR="00161E9B" w:rsidRDefault="00714DB3" w:rsidP="00161E9B">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Chart 1 - </w:t>
      </w:r>
      <w:r w:rsidR="00161E9B" w:rsidRPr="00801D60">
        <w:rPr>
          <w:rFonts w:ascii="Times New Roman" w:hAnsi="Times New Roman" w:cs="Times New Roman"/>
          <w:sz w:val="24"/>
          <w:szCs w:val="24"/>
          <w:lang w:val="en-US"/>
        </w:rPr>
        <w:t>Monetary policy, wages and firm size</w:t>
      </w:r>
    </w:p>
    <w:p w:rsidR="00161E9B" w:rsidRPr="00801D60" w:rsidRDefault="00161E9B" w:rsidP="00161E9B">
      <w:pPr>
        <w:spacing w:line="240" w:lineRule="auto"/>
        <w:jc w:val="both"/>
        <w:rPr>
          <w:rFonts w:ascii="Times New Roman" w:hAnsi="Times New Roman" w:cs="Times New Roman"/>
          <w:sz w:val="24"/>
          <w:szCs w:val="24"/>
          <w:lang w:val="en-US"/>
        </w:rPr>
      </w:pPr>
      <w:r>
        <w:rPr>
          <w:noProof/>
          <w:lang w:eastAsia="es-ES"/>
        </w:rPr>
        <w:drawing>
          <wp:inline distT="0" distB="0" distL="0" distR="0" wp14:anchorId="6126E55D" wp14:editId="2C3A1B25">
            <wp:extent cx="5734050" cy="2076450"/>
            <wp:effectExtent l="0" t="0" r="0" b="0"/>
            <wp:docPr id="40" name="Imagen 40" descr="https://www.ecb.europa.eu/press/blog/date/2022/html/blog221019/ecb.blog221019.en_img0.png?35a09aa80abf40d5053ffe2e5ff87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www.ecb.europa.eu/press/blog/date/2022/html/blog221019/ecb.blog221019.en_img0.png?35a09aa80abf40d5053ffe2e5ff87277"/>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731510" cy="2075530"/>
                    </a:xfrm>
                    <a:prstGeom prst="rect">
                      <a:avLst/>
                    </a:prstGeom>
                    <a:noFill/>
                    <a:ln>
                      <a:noFill/>
                    </a:ln>
                  </pic:spPr>
                </pic:pic>
              </a:graphicData>
            </a:graphic>
          </wp:inline>
        </w:drawing>
      </w:r>
    </w:p>
    <w:p w:rsidR="00161E9B" w:rsidRPr="00801D60" w:rsidRDefault="00161E9B" w:rsidP="00161E9B">
      <w:pPr>
        <w:spacing w:line="240" w:lineRule="auto"/>
        <w:jc w:val="both"/>
        <w:rPr>
          <w:rFonts w:ascii="Times New Roman" w:hAnsi="Times New Roman" w:cs="Times New Roman"/>
          <w:sz w:val="24"/>
          <w:szCs w:val="24"/>
          <w:lang w:val="en-US"/>
        </w:rPr>
      </w:pPr>
      <w:r w:rsidRPr="00801D60">
        <w:rPr>
          <w:rFonts w:ascii="Times New Roman" w:hAnsi="Times New Roman" w:cs="Times New Roman"/>
          <w:sz w:val="24"/>
          <w:szCs w:val="24"/>
          <w:lang w:val="en-US"/>
        </w:rPr>
        <w:t>Estimated impact of one percentage point policy rate cut, on average wage</w:t>
      </w:r>
      <w:r>
        <w:rPr>
          <w:rFonts w:ascii="Times New Roman" w:hAnsi="Times New Roman" w:cs="Times New Roman"/>
          <w:sz w:val="24"/>
          <w:szCs w:val="24"/>
          <w:lang w:val="en-US"/>
        </w:rPr>
        <w:t>s, of firms of different sizes.</w:t>
      </w:r>
    </w:p>
    <w:p w:rsidR="00161E9B" w:rsidRPr="00801D60" w:rsidRDefault="00161E9B" w:rsidP="00161E9B">
      <w:pPr>
        <w:spacing w:line="240" w:lineRule="auto"/>
        <w:jc w:val="both"/>
        <w:rPr>
          <w:rFonts w:ascii="Times New Roman" w:hAnsi="Times New Roman" w:cs="Times New Roman"/>
          <w:sz w:val="24"/>
          <w:szCs w:val="24"/>
          <w:lang w:val="en-US"/>
        </w:rPr>
      </w:pPr>
      <w:r w:rsidRPr="00801D60">
        <w:rPr>
          <w:rFonts w:ascii="Times New Roman" w:hAnsi="Times New Roman" w:cs="Times New Roman"/>
          <w:sz w:val="24"/>
          <w:szCs w:val="24"/>
          <w:lang w:val="en-US"/>
        </w:rPr>
        <w:t>Dots represent the mean estimates of impact on wages. The vertical lines represent the variation in these e</w:t>
      </w:r>
      <w:r>
        <w:rPr>
          <w:rFonts w:ascii="Times New Roman" w:hAnsi="Times New Roman" w:cs="Times New Roman"/>
          <w:sz w:val="24"/>
          <w:szCs w:val="24"/>
          <w:lang w:val="en-US"/>
        </w:rPr>
        <w:t>stimates (‘’margin of error’’).</w:t>
      </w:r>
    </w:p>
    <w:p w:rsidR="00161E9B" w:rsidRDefault="00161E9B" w:rsidP="00161E9B">
      <w:pPr>
        <w:spacing w:line="240" w:lineRule="auto"/>
        <w:jc w:val="both"/>
        <w:rPr>
          <w:rFonts w:ascii="Times New Roman" w:hAnsi="Times New Roman" w:cs="Times New Roman"/>
          <w:sz w:val="24"/>
          <w:szCs w:val="24"/>
          <w:lang w:val="en-US"/>
        </w:rPr>
      </w:pPr>
      <w:r w:rsidRPr="00801D60">
        <w:rPr>
          <w:rFonts w:ascii="Times New Roman" w:hAnsi="Times New Roman" w:cs="Times New Roman"/>
          <w:sz w:val="24"/>
          <w:szCs w:val="24"/>
          <w:lang w:val="en-US"/>
        </w:rPr>
        <w:t xml:space="preserve">Sources: Jasova, Mendicino, Panetti, Peydro, Supera (2022). Notes: X-axis shows the size of firms. They increase in size relative to each other as you move right along the x-axis. The y-axis shows the estimated wage increase of employees in the firms represented on the x-axis. The wage increase estimated on the y-axis is always relative to the increases in wages in the largest firms (these firms are visible in the 80-100 quintile). In all cases, the impact on wages has been caused by a 1 percentage point cut in the </w:t>
      </w:r>
      <w:r>
        <w:rPr>
          <w:rFonts w:ascii="Times New Roman" w:hAnsi="Times New Roman" w:cs="Times New Roman"/>
          <w:sz w:val="24"/>
          <w:szCs w:val="24"/>
          <w:lang w:val="en-US"/>
        </w:rPr>
        <w:t>monetary policy rate.</w:t>
      </w:r>
    </w:p>
    <w:p w:rsidR="00161E9B" w:rsidRPr="00801D60" w:rsidRDefault="00161E9B" w:rsidP="00161E9B">
      <w:pPr>
        <w:spacing w:line="240" w:lineRule="auto"/>
        <w:jc w:val="both"/>
        <w:rPr>
          <w:rFonts w:ascii="Times New Roman" w:hAnsi="Times New Roman" w:cs="Times New Roman"/>
          <w:sz w:val="24"/>
          <w:szCs w:val="24"/>
          <w:lang w:val="en-US"/>
        </w:rPr>
      </w:pPr>
      <w:r w:rsidRPr="00801D60">
        <w:rPr>
          <w:rFonts w:ascii="Times New Roman" w:hAnsi="Times New Roman" w:cs="Times New Roman"/>
          <w:sz w:val="24"/>
          <w:szCs w:val="24"/>
          <w:lang w:val="en-US"/>
        </w:rPr>
        <w:t>Monetary easing improves access to credit for small firms</w:t>
      </w:r>
    </w:p>
    <w:p w:rsidR="00161E9B" w:rsidRPr="00801D60" w:rsidRDefault="00161E9B" w:rsidP="00161E9B">
      <w:pPr>
        <w:spacing w:line="240" w:lineRule="auto"/>
        <w:jc w:val="both"/>
        <w:rPr>
          <w:rFonts w:ascii="Times New Roman" w:hAnsi="Times New Roman" w:cs="Times New Roman"/>
          <w:sz w:val="24"/>
          <w:szCs w:val="24"/>
          <w:lang w:val="en-US"/>
        </w:rPr>
      </w:pPr>
      <w:r w:rsidRPr="00801D60">
        <w:rPr>
          <w:rFonts w:ascii="Times New Roman" w:hAnsi="Times New Roman" w:cs="Times New Roman"/>
          <w:sz w:val="24"/>
          <w:szCs w:val="24"/>
          <w:lang w:val="en-US"/>
        </w:rPr>
        <w:t xml:space="preserve">Step 3: What is the role of credit in driving wage </w:t>
      </w:r>
      <w:r>
        <w:rPr>
          <w:rFonts w:ascii="Times New Roman" w:hAnsi="Times New Roman" w:cs="Times New Roman"/>
          <w:sz w:val="24"/>
          <w:szCs w:val="24"/>
          <w:lang w:val="en-US"/>
        </w:rPr>
        <w:t>differentials after a rate cut?</w:t>
      </w:r>
    </w:p>
    <w:p w:rsidR="00161E9B" w:rsidRPr="00801D60" w:rsidRDefault="00161E9B" w:rsidP="00161E9B">
      <w:pPr>
        <w:spacing w:line="240" w:lineRule="auto"/>
        <w:jc w:val="both"/>
        <w:rPr>
          <w:rFonts w:ascii="Times New Roman" w:hAnsi="Times New Roman" w:cs="Times New Roman"/>
          <w:sz w:val="24"/>
          <w:szCs w:val="24"/>
          <w:lang w:val="en-US"/>
        </w:rPr>
      </w:pPr>
      <w:r w:rsidRPr="00801D60">
        <w:rPr>
          <w:rFonts w:ascii="Times New Roman" w:hAnsi="Times New Roman" w:cs="Times New Roman"/>
          <w:sz w:val="24"/>
          <w:szCs w:val="24"/>
          <w:lang w:val="en-US"/>
        </w:rPr>
        <w:t xml:space="preserve">We start by comparing the impact of a rate cut on wages for firms with and without bank credit. We find that credit plays an important role in explaining the effects of monetary rate changes on the distribution of wages. The wage outcomes for workers in small firms is fully driven by firms with an existing bank-borrowing relationship. In fact, for small firms without bank credit, it simply does not matter. Next, we use a novel measure of firm-level credit sensitivity to monetary policy, as well as measures of bank health, to capture financial constraints that firm and/or banks, respectively, might be experiencing. By alleviating </w:t>
      </w:r>
      <w:r w:rsidRPr="00801D60">
        <w:rPr>
          <w:rFonts w:ascii="Times New Roman" w:hAnsi="Times New Roman" w:cs="Times New Roman"/>
          <w:sz w:val="24"/>
          <w:szCs w:val="24"/>
          <w:lang w:val="en-US"/>
        </w:rPr>
        <w:lastRenderedPageBreak/>
        <w:t>financial constraints, monetary policy rate cuts allow easier access to credit for constrained firms and for firms borrowing from more constrained banks. Workers in these firms benefit more in terms of wages earned and hours worked when rates are falling. In particular, we also find that these effects depend on the state of the economy and are 2 to 3.5 times stronger in crisi</w:t>
      </w:r>
      <w:r>
        <w:rPr>
          <w:rFonts w:ascii="Times New Roman" w:hAnsi="Times New Roman" w:cs="Times New Roman"/>
          <w:sz w:val="24"/>
          <w:szCs w:val="24"/>
          <w:lang w:val="en-US"/>
        </w:rPr>
        <w:t>s periods than in normal times.</w:t>
      </w:r>
    </w:p>
    <w:p w:rsidR="00161E9B" w:rsidRPr="00801D60" w:rsidRDefault="00161E9B" w:rsidP="00161E9B">
      <w:pPr>
        <w:spacing w:line="240" w:lineRule="auto"/>
        <w:jc w:val="both"/>
        <w:rPr>
          <w:rFonts w:ascii="Times New Roman" w:hAnsi="Times New Roman" w:cs="Times New Roman"/>
          <w:sz w:val="24"/>
          <w:szCs w:val="24"/>
          <w:lang w:val="en-US"/>
        </w:rPr>
      </w:pPr>
      <w:r w:rsidRPr="00801D60">
        <w:rPr>
          <w:rFonts w:ascii="Times New Roman" w:hAnsi="Times New Roman" w:cs="Times New Roman"/>
          <w:sz w:val="24"/>
          <w:szCs w:val="24"/>
          <w:lang w:val="en-US"/>
        </w:rPr>
        <w:t>What is most relevant at present is that the effects of policy rate changes are symmetric for times of easing and tightening. So, in times of increasing policy rates, the wages of workers in larger firms are less negatively affected than those in smaller firms. This increases the wage differential across firms in the economy. But, at the same time, workers with less education are less affected. Since low-education workers tend to earn lower wages, rate increases narrow the wage differential</w:t>
      </w:r>
      <w:r>
        <w:rPr>
          <w:rFonts w:ascii="Times New Roman" w:hAnsi="Times New Roman" w:cs="Times New Roman"/>
          <w:sz w:val="24"/>
          <w:szCs w:val="24"/>
          <w:lang w:val="en-US"/>
        </w:rPr>
        <w:t xml:space="preserve"> across workers in the economy.</w:t>
      </w:r>
    </w:p>
    <w:p w:rsidR="0030344B" w:rsidRDefault="00161E9B" w:rsidP="00161E9B">
      <w:pPr>
        <w:spacing w:line="240" w:lineRule="auto"/>
        <w:jc w:val="both"/>
        <w:rPr>
          <w:rFonts w:ascii="Times New Roman" w:hAnsi="Times New Roman" w:cs="Times New Roman"/>
          <w:sz w:val="24"/>
          <w:szCs w:val="24"/>
          <w:lang w:val="en-US"/>
        </w:rPr>
      </w:pPr>
      <w:r w:rsidRPr="00801D60">
        <w:rPr>
          <w:rFonts w:ascii="Times New Roman" w:hAnsi="Times New Roman" w:cs="Times New Roman"/>
          <w:sz w:val="24"/>
          <w:szCs w:val="24"/>
          <w:lang w:val="en-US"/>
        </w:rPr>
        <w:t>While the traditional view in macroeconomics focuses on aggregate effects, more recent research sheds a light on how heterogeneous the effects of monetary policy can be. It is important for policymakers to be aware that their decisions affect different types of workers and firms differently for at least two reasons. First, understanding the distributional consequences of monetary policy can help policymakers understand the impact of their actions on inequality. In this respect, earnings are a relevant source of inequality. Second, understanding heterogeneity can also be important to draw conclusions for aggregate effects, and especially so, in a monetary union where countries differ in their compositions of workers and firms. In this post we have argued that the repercussions of monetary policy on workers’ individual wages vary depending on whether they work in small or large firms as well as on their education level. Hence, the overall impact of policy rate changes in a country is going to be affected by the share of small vs large firms as well as by the share of workers with high vs low education levels.</w:t>
      </w:r>
      <w:r w:rsidR="007D3DA0">
        <w:rPr>
          <w:rFonts w:ascii="Times New Roman" w:hAnsi="Times New Roman" w:cs="Times New Roman"/>
          <w:sz w:val="24"/>
          <w:szCs w:val="24"/>
          <w:lang w:val="en-US"/>
        </w:rPr>
        <w:t xml:space="preserve"> </w:t>
      </w:r>
    </w:p>
    <w:p w:rsidR="00161E9B" w:rsidRPr="00801D60" w:rsidRDefault="00161E9B" w:rsidP="00161E9B">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r w:rsidRPr="00801D60">
        <w:rPr>
          <w:rFonts w:ascii="Times New Roman" w:hAnsi="Times New Roman" w:cs="Times New Roman"/>
          <w:sz w:val="24"/>
          <w:szCs w:val="24"/>
          <w:lang w:val="en-US"/>
        </w:rPr>
        <w:t xml:space="preserve">The views expressed in each article are those of the authors and do not necessarily represent the views of the European </w:t>
      </w:r>
      <w:r>
        <w:rPr>
          <w:rFonts w:ascii="Times New Roman" w:hAnsi="Times New Roman" w:cs="Times New Roman"/>
          <w:sz w:val="24"/>
          <w:szCs w:val="24"/>
          <w:lang w:val="en-US"/>
        </w:rPr>
        <w:t>Central Bank and the Eurosystem)</w:t>
      </w:r>
    </w:p>
    <w:p w:rsidR="007D3DA0" w:rsidRPr="00A540F0" w:rsidRDefault="007D3DA0" w:rsidP="007D3DA0">
      <w:pPr>
        <w:spacing w:line="240" w:lineRule="auto"/>
        <w:jc w:val="both"/>
        <w:rPr>
          <w:rFonts w:ascii="Times New Roman" w:hAnsi="Times New Roman" w:cs="Times New Roman"/>
          <w:sz w:val="24"/>
          <w:szCs w:val="24"/>
        </w:rPr>
      </w:pPr>
      <w:r w:rsidRPr="00A540F0">
        <w:rPr>
          <w:rFonts w:ascii="Times New Roman" w:hAnsi="Times New Roman" w:cs="Times New Roman"/>
          <w:b/>
          <w:sz w:val="24"/>
          <w:szCs w:val="24"/>
        </w:rPr>
        <w:t>Nota</w:t>
      </w:r>
      <w:r w:rsidRPr="00A540F0">
        <w:rPr>
          <w:rFonts w:ascii="Times New Roman" w:hAnsi="Times New Roman" w:cs="Times New Roman"/>
          <w:sz w:val="24"/>
          <w:szCs w:val="24"/>
        </w:rPr>
        <w:t xml:space="preserve"> (perdón, pero no puedo dejar pasar la oportunidad): Y con esto se dice todo: “do not necessarily represent the views of the European Central Bank and the Eurosystem”, parece que en el equipo del BCE tan sólo se escuchan aisladas vocecillas melindrosas, ignorantes quizás de lo que se ha de hacer y, muy especialmente, de cómo. Ciegos voluntarios, negadores de evidencias, </w:t>
      </w:r>
      <w:r w:rsidR="00252667" w:rsidRPr="00A540F0">
        <w:rPr>
          <w:rFonts w:ascii="Times New Roman" w:hAnsi="Times New Roman" w:cs="Times New Roman"/>
          <w:sz w:val="24"/>
          <w:szCs w:val="24"/>
        </w:rPr>
        <w:t>caniches de guardia,</w:t>
      </w:r>
      <w:r w:rsidRPr="00A540F0">
        <w:rPr>
          <w:rFonts w:ascii="Times New Roman" w:hAnsi="Times New Roman" w:cs="Times New Roman"/>
          <w:sz w:val="24"/>
          <w:szCs w:val="24"/>
        </w:rPr>
        <w:t xml:space="preserve"> calentadores de poltrona, burócratas estabulados: insustanciales, sopistas, agradadores, lacayos, serviles, y genuflexos… Demasiadas palomas (dovish), y muy pocos halcones (hawkish). </w:t>
      </w:r>
    </w:p>
    <w:p w:rsidR="0030344B" w:rsidRPr="00A540F0" w:rsidRDefault="007D3DA0" w:rsidP="007D3DA0">
      <w:pPr>
        <w:spacing w:line="240" w:lineRule="auto"/>
        <w:jc w:val="both"/>
        <w:rPr>
          <w:rFonts w:ascii="Times New Roman" w:hAnsi="Times New Roman" w:cs="Times New Roman"/>
          <w:sz w:val="24"/>
          <w:szCs w:val="24"/>
        </w:rPr>
      </w:pPr>
      <w:r w:rsidRPr="00A540F0">
        <w:rPr>
          <w:rFonts w:ascii="Times New Roman" w:hAnsi="Times New Roman" w:cs="Times New Roman"/>
          <w:sz w:val="24"/>
          <w:szCs w:val="24"/>
        </w:rPr>
        <w:t>Todo banco central de un país avanzado debería contar con un equipo solvente y poderoso (que sepa cuidar la moneda y se haga respetar -mejor temer-). Que ni siquiera necesite apelar a las “circulares” (disposiciones, resoluciones), que le baste con la palabra para imponer su prudencia, y su criterio, ante políticos y banqueros.</w:t>
      </w:r>
      <w:r w:rsidR="0030344B" w:rsidRPr="00A540F0">
        <w:rPr>
          <w:rFonts w:ascii="Times New Roman" w:hAnsi="Times New Roman" w:cs="Times New Roman"/>
          <w:sz w:val="24"/>
          <w:szCs w:val="24"/>
        </w:rPr>
        <w:t xml:space="preserve"> </w:t>
      </w:r>
    </w:p>
    <w:p w:rsidR="007D3DA0" w:rsidRPr="00A540F0" w:rsidRDefault="007D3DA0" w:rsidP="007D3DA0">
      <w:pPr>
        <w:spacing w:line="240" w:lineRule="auto"/>
        <w:jc w:val="both"/>
        <w:rPr>
          <w:rFonts w:ascii="Times New Roman" w:hAnsi="Times New Roman" w:cs="Times New Roman"/>
          <w:sz w:val="24"/>
          <w:szCs w:val="24"/>
        </w:rPr>
      </w:pPr>
      <w:r w:rsidRPr="00A540F0">
        <w:rPr>
          <w:rFonts w:ascii="Times New Roman" w:hAnsi="Times New Roman" w:cs="Times New Roman"/>
          <w:sz w:val="24"/>
          <w:szCs w:val="24"/>
        </w:rPr>
        <w:t>Sin embargo, esos mismos bancos centrales (y en particular el BCE) están desbordados de huecos, atravesados de agujeros, inundados de vacíos por cubrir. Parece que en vez de empujar (dirigir) la política monetaria, van a remolque (socorrista) de las crisis sistémicas.</w:t>
      </w:r>
    </w:p>
    <w:p w:rsidR="00A540F0" w:rsidRPr="00A540F0" w:rsidRDefault="00252667" w:rsidP="00A540F0">
      <w:pPr>
        <w:pStyle w:val="Ttulo2"/>
        <w:shd w:val="clear" w:color="auto" w:fill="FFFFFF"/>
        <w:rPr>
          <w:rFonts w:ascii="Times New Roman" w:hAnsi="Times New Roman" w:cs="Times New Roman"/>
          <w:b w:val="0"/>
          <w:bCs w:val="0"/>
          <w:color w:val="auto"/>
          <w:sz w:val="24"/>
          <w:szCs w:val="24"/>
        </w:rPr>
      </w:pPr>
      <w:r w:rsidRPr="00A540F0">
        <w:rPr>
          <w:rFonts w:ascii="Times New Roman" w:hAnsi="Times New Roman" w:cs="Times New Roman"/>
          <w:b w:val="0"/>
          <w:bCs w:val="0"/>
          <w:color w:val="auto"/>
          <w:sz w:val="24"/>
          <w:szCs w:val="24"/>
        </w:rPr>
        <w:t>¿Tienen acaso taponada la capacidad de pensar? ¿No saben discernir entre cuáles hechos son verdad y cuáles son mentira?</w:t>
      </w:r>
    </w:p>
    <w:p w:rsidR="00A540F0" w:rsidRDefault="00A540F0" w:rsidP="007D3DA0">
      <w:pPr>
        <w:spacing w:line="240" w:lineRule="auto"/>
        <w:jc w:val="both"/>
        <w:rPr>
          <w:rFonts w:ascii="Times New Roman" w:hAnsi="Times New Roman" w:cs="Times New Roman"/>
          <w:sz w:val="24"/>
          <w:szCs w:val="24"/>
        </w:rPr>
      </w:pPr>
    </w:p>
    <w:p w:rsidR="0030344B" w:rsidRPr="0030344B" w:rsidRDefault="0030344B" w:rsidP="007D3DA0">
      <w:pPr>
        <w:spacing w:line="240" w:lineRule="auto"/>
        <w:jc w:val="both"/>
        <w:rPr>
          <w:rFonts w:ascii="Times New Roman" w:hAnsi="Times New Roman" w:cs="Times New Roman"/>
          <w:sz w:val="24"/>
          <w:szCs w:val="24"/>
        </w:rPr>
      </w:pPr>
      <w:r w:rsidRPr="0030344B">
        <w:rPr>
          <w:rFonts w:ascii="Times New Roman" w:hAnsi="Times New Roman" w:cs="Times New Roman"/>
          <w:sz w:val="24"/>
          <w:szCs w:val="24"/>
        </w:rPr>
        <w:t>(Ahora, volvamos a la “maldita hemeroteca”)</w:t>
      </w:r>
    </w:p>
    <w:p w:rsidR="007D3DA0" w:rsidRPr="00ED574C" w:rsidRDefault="007D3DA0" w:rsidP="007D3DA0">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ED574C">
        <w:rPr>
          <w:rFonts w:ascii="Times New Roman" w:hAnsi="Times New Roman" w:cs="Times New Roman"/>
          <w:sz w:val="24"/>
          <w:szCs w:val="24"/>
          <w:u w:val="single"/>
        </w:rPr>
        <w:t>El Banco de Inglaterra eleva los tipos al 3% en la mayor subida en 33 años</w:t>
      </w:r>
      <w:r>
        <w:rPr>
          <w:rFonts w:ascii="Times New Roman" w:hAnsi="Times New Roman" w:cs="Times New Roman"/>
          <w:sz w:val="24"/>
          <w:szCs w:val="24"/>
        </w:rPr>
        <w:t xml:space="preserve"> (Cinco Días - </w:t>
      </w:r>
      <w:r w:rsidRPr="00ED574C">
        <w:rPr>
          <w:rFonts w:ascii="Times New Roman" w:hAnsi="Times New Roman" w:cs="Times New Roman"/>
          <w:b/>
          <w:sz w:val="24"/>
          <w:szCs w:val="24"/>
        </w:rPr>
        <w:t>3/11/22</w:t>
      </w:r>
      <w:r>
        <w:rPr>
          <w:rFonts w:ascii="Times New Roman" w:hAnsi="Times New Roman" w:cs="Times New Roman"/>
          <w:sz w:val="24"/>
          <w:szCs w:val="24"/>
        </w:rPr>
        <w:t>)</w:t>
      </w:r>
    </w:p>
    <w:p w:rsidR="007D3DA0" w:rsidRPr="007D3DA0" w:rsidRDefault="007D3DA0" w:rsidP="007D3DA0">
      <w:pPr>
        <w:spacing w:line="240" w:lineRule="auto"/>
        <w:jc w:val="both"/>
        <w:rPr>
          <w:rFonts w:ascii="Times New Roman" w:hAnsi="Times New Roman" w:cs="Times New Roman"/>
          <w:color w:val="FF0000"/>
          <w:sz w:val="24"/>
          <w:szCs w:val="24"/>
          <w:u w:val="single"/>
        </w:rPr>
      </w:pPr>
      <w:r w:rsidRPr="007D3DA0">
        <w:rPr>
          <w:rFonts w:ascii="Times New Roman" w:hAnsi="Times New Roman" w:cs="Times New Roman"/>
          <w:color w:val="FF0000"/>
          <w:sz w:val="24"/>
          <w:szCs w:val="24"/>
          <w:u w:val="single"/>
        </w:rPr>
        <w:t>Al Banco de Inglaterra no le ha temblado el pulso y ha elevado hoy los tipos de interés en 75 puntos básicos, al 3%, el nivel más alto en 14 años. Lo ha hecho aún con mayor intensidad que en reuniones anteriores, en que decidió aumentos de medio punto, y lo hace a pesar de la recesión en la que ya se adentra la economía británica y de la convulsión financiera que causó el anterior gobierno de Liz Truss, que requirió la intervención urgente del banco central para estabilizar un mercado financiero que aún no ha recobrado del todo la calma.</w:t>
      </w:r>
    </w:p>
    <w:p w:rsidR="007D3DA0" w:rsidRPr="007D3DA0" w:rsidRDefault="007D3DA0" w:rsidP="007D3DA0">
      <w:pPr>
        <w:spacing w:line="240" w:lineRule="auto"/>
        <w:jc w:val="both"/>
        <w:rPr>
          <w:rFonts w:ascii="Times New Roman" w:hAnsi="Times New Roman" w:cs="Times New Roman"/>
          <w:color w:val="FF0000"/>
          <w:sz w:val="24"/>
          <w:szCs w:val="24"/>
          <w:u w:val="single"/>
        </w:rPr>
      </w:pPr>
      <w:r w:rsidRPr="007D3DA0">
        <w:rPr>
          <w:rFonts w:ascii="Times New Roman" w:hAnsi="Times New Roman" w:cs="Times New Roman"/>
          <w:color w:val="FF0000"/>
          <w:sz w:val="24"/>
          <w:szCs w:val="24"/>
          <w:u w:val="single"/>
        </w:rPr>
        <w:t>La inflación, ahora en el 10,1% en Reino Unido, es la máxima prioridad para el Banco de Inglaterra, que ha optado por acelerar el ritmo de alzas de tipos por una mayoría de 7 votos a favor y dos en contra. Uno de los votos discrepantes defendió una subida de tipos de medio punto y otro, de 25 puntos básicos.</w:t>
      </w:r>
    </w:p>
    <w:p w:rsidR="007D3DA0" w:rsidRPr="00ED574C" w:rsidRDefault="007D3DA0" w:rsidP="007D3DA0">
      <w:pPr>
        <w:spacing w:line="240" w:lineRule="auto"/>
        <w:jc w:val="both"/>
        <w:rPr>
          <w:rFonts w:ascii="Times New Roman" w:hAnsi="Times New Roman" w:cs="Times New Roman"/>
          <w:sz w:val="24"/>
          <w:szCs w:val="24"/>
        </w:rPr>
      </w:pPr>
      <w:r w:rsidRPr="00ED574C">
        <w:rPr>
          <w:rFonts w:ascii="Times New Roman" w:hAnsi="Times New Roman" w:cs="Times New Roman"/>
          <w:sz w:val="24"/>
          <w:szCs w:val="24"/>
        </w:rPr>
        <w:t xml:space="preserve">La institución se suma a la oleada de intensos incrementos del precio del dinero entre los bancos centrales de las economías desarrolladas. Los sube en 75 puntos básicos un día después de que la Fed haya elevado tipos en esa cuantía por cuarta vez consecutiva y una semana después de que el BCE los haya subido en la misma magnitud por segunda vez. Para el Banco de Inglaterra, el alza de tipos decidida hoy es la mayor en 33 años y la octava subida consecutiva. Los tipos de interés han subido sin pausa en Reino Unido desde el 0,1% de </w:t>
      </w:r>
      <w:r>
        <w:rPr>
          <w:rFonts w:ascii="Times New Roman" w:hAnsi="Times New Roman" w:cs="Times New Roman"/>
          <w:sz w:val="24"/>
          <w:szCs w:val="24"/>
        </w:rPr>
        <w:t>diciembre de 2021 al 3% actual.</w:t>
      </w:r>
    </w:p>
    <w:p w:rsidR="007D3DA0" w:rsidRPr="00ED574C" w:rsidRDefault="007D3DA0" w:rsidP="007D3DA0">
      <w:pPr>
        <w:spacing w:line="240" w:lineRule="auto"/>
        <w:jc w:val="both"/>
        <w:rPr>
          <w:rFonts w:ascii="Times New Roman" w:hAnsi="Times New Roman" w:cs="Times New Roman"/>
          <w:sz w:val="24"/>
          <w:szCs w:val="24"/>
        </w:rPr>
      </w:pPr>
      <w:r w:rsidRPr="00ED574C">
        <w:rPr>
          <w:rFonts w:ascii="Times New Roman" w:hAnsi="Times New Roman" w:cs="Times New Roman"/>
          <w:sz w:val="24"/>
          <w:szCs w:val="24"/>
        </w:rPr>
        <w:t>La institución sí ha sugerido en todo caso que las siguientes subidas serán más moderadas, por debajo de lo que pronostica el mercado</w:t>
      </w:r>
      <w:r>
        <w:rPr>
          <w:rFonts w:ascii="Times New Roman" w:hAnsi="Times New Roman" w:cs="Times New Roman"/>
          <w:sz w:val="24"/>
          <w:szCs w:val="24"/>
        </w:rPr>
        <w:t>…</w:t>
      </w:r>
      <w:r w:rsidRPr="00ED574C">
        <w:rPr>
          <w:rFonts w:ascii="Times New Roman" w:hAnsi="Times New Roman" w:cs="Times New Roman"/>
          <w:sz w:val="24"/>
          <w:szCs w:val="24"/>
        </w:rPr>
        <w:t xml:space="preserve"> El Banco de Inglaterra ha advertido del horizonte “desafiante” para la economía británica, que podría afrontar una recesión de una duración potencial de dos años, superior a la de la crisis financiera de 2008. La institución prevé que el PIB británico se contraiga alrededor de un 0,75% durante el segundo semestre de 2022, en parte como reflejo de la reducción de los ingresos reales por el aumento de los p</w:t>
      </w:r>
      <w:r>
        <w:rPr>
          <w:rFonts w:ascii="Times New Roman" w:hAnsi="Times New Roman" w:cs="Times New Roman"/>
          <w:sz w:val="24"/>
          <w:szCs w:val="24"/>
        </w:rPr>
        <w:t>recios mundiales de la energía...</w:t>
      </w:r>
    </w:p>
    <w:p w:rsidR="007D3DA0" w:rsidRPr="00ED574C" w:rsidRDefault="007D3DA0" w:rsidP="007D3DA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BD043D">
        <w:rPr>
          <w:rFonts w:ascii="Times New Roman" w:hAnsi="Times New Roman" w:cs="Times New Roman"/>
          <w:sz w:val="24"/>
          <w:szCs w:val="24"/>
          <w:u w:val="single"/>
        </w:rPr>
        <w:t>Lagarde avisa de que la re</w:t>
      </w:r>
      <w:r>
        <w:rPr>
          <w:rFonts w:ascii="Times New Roman" w:hAnsi="Times New Roman" w:cs="Times New Roman"/>
          <w:sz w:val="24"/>
          <w:szCs w:val="24"/>
          <w:u w:val="single"/>
        </w:rPr>
        <w:t>cesión no será suficiente para “domar”</w:t>
      </w:r>
      <w:r w:rsidRPr="00BD043D">
        <w:rPr>
          <w:rFonts w:ascii="Times New Roman" w:hAnsi="Times New Roman" w:cs="Times New Roman"/>
          <w:sz w:val="24"/>
          <w:szCs w:val="24"/>
          <w:u w:val="single"/>
        </w:rPr>
        <w:t xml:space="preserve"> la inflación</w:t>
      </w:r>
      <w:r>
        <w:rPr>
          <w:rFonts w:ascii="Times New Roman" w:hAnsi="Times New Roman" w:cs="Times New Roman"/>
          <w:sz w:val="24"/>
          <w:szCs w:val="24"/>
        </w:rPr>
        <w:t xml:space="preserve"> (Cinco Días - </w:t>
      </w:r>
      <w:r w:rsidRPr="00BD043D">
        <w:rPr>
          <w:rFonts w:ascii="Times New Roman" w:hAnsi="Times New Roman" w:cs="Times New Roman"/>
          <w:b/>
          <w:sz w:val="24"/>
          <w:szCs w:val="24"/>
        </w:rPr>
        <w:t>3/11/22</w:t>
      </w:r>
      <w:r>
        <w:rPr>
          <w:rFonts w:ascii="Times New Roman" w:hAnsi="Times New Roman" w:cs="Times New Roman"/>
          <w:sz w:val="24"/>
          <w:szCs w:val="24"/>
        </w:rPr>
        <w:t>)</w:t>
      </w:r>
    </w:p>
    <w:p w:rsidR="007D3DA0" w:rsidRPr="007D3DA0" w:rsidRDefault="007D3DA0" w:rsidP="007D3DA0">
      <w:pPr>
        <w:spacing w:line="240" w:lineRule="auto"/>
        <w:jc w:val="both"/>
        <w:rPr>
          <w:rFonts w:ascii="Times New Roman" w:hAnsi="Times New Roman" w:cs="Times New Roman"/>
          <w:color w:val="FF0000"/>
          <w:sz w:val="24"/>
          <w:szCs w:val="24"/>
        </w:rPr>
      </w:pPr>
      <w:r w:rsidRPr="007D3DA0">
        <w:rPr>
          <w:rFonts w:ascii="Times New Roman" w:hAnsi="Times New Roman" w:cs="Times New Roman"/>
          <w:color w:val="FF0000"/>
          <w:sz w:val="24"/>
          <w:szCs w:val="24"/>
        </w:rPr>
        <w:t>El BCE prevé seguir subiendo los tipos después de un alza de 200 puntos básicos desde julio</w:t>
      </w:r>
    </w:p>
    <w:p w:rsidR="007D3DA0" w:rsidRPr="00ED574C" w:rsidRDefault="007D3DA0" w:rsidP="007D3DA0">
      <w:pPr>
        <w:spacing w:line="240" w:lineRule="auto"/>
        <w:jc w:val="both"/>
        <w:rPr>
          <w:rFonts w:ascii="Times New Roman" w:hAnsi="Times New Roman" w:cs="Times New Roman"/>
          <w:sz w:val="24"/>
          <w:szCs w:val="24"/>
        </w:rPr>
      </w:pPr>
      <w:r w:rsidRPr="00ED574C">
        <w:rPr>
          <w:rFonts w:ascii="Times New Roman" w:hAnsi="Times New Roman" w:cs="Times New Roman"/>
          <w:sz w:val="24"/>
          <w:szCs w:val="24"/>
        </w:rPr>
        <w:t>La presidenta del Banco Central Europeo (BCE), Christine Lagarde, considera que la recesión suave contemplada en las previsiones de la institución no será suficiente para calmar las presiones</w:t>
      </w:r>
      <w:r>
        <w:rPr>
          <w:rFonts w:ascii="Times New Roman" w:hAnsi="Times New Roman" w:cs="Times New Roman"/>
          <w:sz w:val="24"/>
          <w:szCs w:val="24"/>
        </w:rPr>
        <w:t xml:space="preserve"> inflacionistas en la eurozona.</w:t>
      </w:r>
    </w:p>
    <w:p w:rsidR="007D3DA0" w:rsidRPr="007D3DA0" w:rsidRDefault="007D3DA0" w:rsidP="007D3DA0">
      <w:pPr>
        <w:spacing w:line="240" w:lineRule="auto"/>
        <w:jc w:val="both"/>
        <w:rPr>
          <w:rFonts w:ascii="Times New Roman" w:hAnsi="Times New Roman" w:cs="Times New Roman"/>
          <w:color w:val="FF0000"/>
          <w:sz w:val="24"/>
          <w:szCs w:val="24"/>
          <w:u w:val="single"/>
        </w:rPr>
      </w:pPr>
      <w:r w:rsidRPr="007D3DA0">
        <w:rPr>
          <w:rFonts w:ascii="Times New Roman" w:hAnsi="Times New Roman" w:cs="Times New Roman"/>
          <w:color w:val="FF0000"/>
          <w:sz w:val="24"/>
          <w:szCs w:val="24"/>
          <w:u w:val="single"/>
        </w:rPr>
        <w:t>“Nuestras previsiones contemplan la posibilidad de una recesión suave en la eurozona, pero no creemos que esa recesión sea suficiente para domar la inflación”, ha señalado Lagarde en un coloquio organizado por el Banco de Letonia.</w:t>
      </w:r>
    </w:p>
    <w:p w:rsidR="007D3DA0" w:rsidRPr="007D3DA0" w:rsidRDefault="007D3DA0" w:rsidP="007D3DA0">
      <w:pPr>
        <w:spacing w:line="240" w:lineRule="auto"/>
        <w:jc w:val="both"/>
        <w:rPr>
          <w:rFonts w:ascii="Times New Roman" w:hAnsi="Times New Roman" w:cs="Times New Roman"/>
          <w:color w:val="FF0000"/>
          <w:sz w:val="24"/>
          <w:szCs w:val="24"/>
          <w:u w:val="single"/>
        </w:rPr>
      </w:pPr>
      <w:r w:rsidRPr="007D3DA0">
        <w:rPr>
          <w:rFonts w:ascii="Times New Roman" w:hAnsi="Times New Roman" w:cs="Times New Roman"/>
          <w:color w:val="FF0000"/>
          <w:sz w:val="24"/>
          <w:szCs w:val="24"/>
          <w:u w:val="single"/>
        </w:rPr>
        <w:t>En este sentido, la banquera central de la zona euro ha reiterado la determinación del BCE para cumplir su mandato y usar para ello todas las herramientas a su disposición. “Decidiendo reunión a reunión la manera más eficaz de alcanzar nuestra meta”, ha subrayado.</w:t>
      </w:r>
    </w:p>
    <w:p w:rsidR="007D3DA0" w:rsidRPr="00ED574C" w:rsidRDefault="007D3DA0" w:rsidP="007D3DA0">
      <w:pPr>
        <w:spacing w:line="240" w:lineRule="auto"/>
        <w:jc w:val="both"/>
        <w:rPr>
          <w:rFonts w:ascii="Times New Roman" w:hAnsi="Times New Roman" w:cs="Times New Roman"/>
          <w:sz w:val="24"/>
          <w:szCs w:val="24"/>
        </w:rPr>
      </w:pPr>
      <w:r w:rsidRPr="00ED574C">
        <w:rPr>
          <w:rFonts w:ascii="Times New Roman" w:hAnsi="Times New Roman" w:cs="Times New Roman"/>
          <w:sz w:val="24"/>
          <w:szCs w:val="24"/>
        </w:rPr>
        <w:t xml:space="preserve">Por otro lado, Lagarde ha insistido en las diferentes situaciones en Estados Unidos y la zona euro, después de que la Reserva Federal (Fed) subiera ayer otros 0,75 puntos los tipos de interés, señalando que la inflación estadounidense está impulsada por una fuerte demanda y </w:t>
      </w:r>
      <w:r w:rsidRPr="00ED574C">
        <w:rPr>
          <w:rFonts w:ascii="Times New Roman" w:hAnsi="Times New Roman" w:cs="Times New Roman"/>
          <w:sz w:val="24"/>
          <w:szCs w:val="24"/>
        </w:rPr>
        <w:lastRenderedPageBreak/>
        <w:t>un mercado laboral con más vacantes que demandantes de empleo, aunque ha reconocido la int</w:t>
      </w:r>
      <w:r>
        <w:rPr>
          <w:rFonts w:ascii="Times New Roman" w:hAnsi="Times New Roman" w:cs="Times New Roman"/>
          <w:sz w:val="24"/>
          <w:szCs w:val="24"/>
        </w:rPr>
        <w:t>erdependencia de las economías.</w:t>
      </w:r>
    </w:p>
    <w:p w:rsidR="007D3DA0" w:rsidRDefault="00031E4C" w:rsidP="007D3DA0">
      <w:pPr>
        <w:spacing w:line="240" w:lineRule="auto"/>
        <w:jc w:val="both"/>
        <w:rPr>
          <w:rFonts w:ascii="Times New Roman" w:hAnsi="Times New Roman" w:cs="Times New Roman"/>
          <w:color w:val="FF0000"/>
          <w:sz w:val="24"/>
          <w:szCs w:val="24"/>
        </w:rPr>
      </w:pPr>
      <w:r w:rsidRPr="00031E4C">
        <w:rPr>
          <w:rFonts w:ascii="Times New Roman" w:hAnsi="Times New Roman" w:cs="Times New Roman"/>
          <w:color w:val="FF0000"/>
          <w:sz w:val="24"/>
          <w:szCs w:val="24"/>
          <w:u w:val="single"/>
        </w:rPr>
        <w:t>“</w:t>
      </w:r>
      <w:r w:rsidR="007D3DA0" w:rsidRPr="00031E4C">
        <w:rPr>
          <w:rFonts w:ascii="Times New Roman" w:hAnsi="Times New Roman" w:cs="Times New Roman"/>
          <w:color w:val="FF0000"/>
          <w:sz w:val="24"/>
          <w:szCs w:val="24"/>
          <w:u w:val="single"/>
        </w:rPr>
        <w:t>No somos iguales y no podemos avanzar al mismo ritmo y con el mismo diagnóstico, pero también nos influyen las consecuencias (de las decisiones de la Fed)</w:t>
      </w:r>
      <w:r w:rsidRPr="00031E4C">
        <w:rPr>
          <w:rFonts w:ascii="Times New Roman" w:hAnsi="Times New Roman" w:cs="Times New Roman"/>
          <w:color w:val="FF0000"/>
          <w:sz w:val="24"/>
          <w:szCs w:val="24"/>
          <w:u w:val="single"/>
        </w:rPr>
        <w:t xml:space="preserve"> en los mercados”</w:t>
      </w:r>
      <w:r>
        <w:rPr>
          <w:rFonts w:ascii="Times New Roman" w:hAnsi="Times New Roman" w:cs="Times New Roman"/>
          <w:color w:val="FF0000"/>
          <w:sz w:val="24"/>
          <w:szCs w:val="24"/>
          <w:u w:val="single"/>
        </w:rPr>
        <w:t>, ha apuntado</w:t>
      </w:r>
      <w:r>
        <w:rPr>
          <w:rFonts w:ascii="Times New Roman" w:hAnsi="Times New Roman" w:cs="Times New Roman"/>
          <w:color w:val="FF0000"/>
          <w:sz w:val="24"/>
          <w:szCs w:val="24"/>
        </w:rPr>
        <w:t>...</w:t>
      </w:r>
    </w:p>
    <w:p w:rsidR="00031E4C" w:rsidRPr="00ED574C" w:rsidRDefault="00031E4C" w:rsidP="00031E4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ED574C">
        <w:rPr>
          <w:rFonts w:ascii="Times New Roman" w:hAnsi="Times New Roman" w:cs="Times New Roman"/>
          <w:sz w:val="24"/>
          <w:szCs w:val="24"/>
          <w:u w:val="single"/>
        </w:rPr>
        <w:t>La lucha contra la inflación devuelve valor al dinero</w:t>
      </w:r>
      <w:r>
        <w:rPr>
          <w:rFonts w:ascii="Times New Roman" w:hAnsi="Times New Roman" w:cs="Times New Roman"/>
          <w:sz w:val="24"/>
          <w:szCs w:val="24"/>
        </w:rPr>
        <w:t xml:space="preserve"> (Cinco Días - </w:t>
      </w:r>
      <w:r w:rsidRPr="00ED574C">
        <w:rPr>
          <w:rFonts w:ascii="Times New Roman" w:hAnsi="Times New Roman" w:cs="Times New Roman"/>
          <w:b/>
          <w:sz w:val="24"/>
          <w:szCs w:val="24"/>
        </w:rPr>
        <w:t>4/11/22</w:t>
      </w:r>
      <w:r>
        <w:rPr>
          <w:rFonts w:ascii="Times New Roman" w:hAnsi="Times New Roman" w:cs="Times New Roman"/>
          <w:sz w:val="24"/>
          <w:szCs w:val="24"/>
        </w:rPr>
        <w:t>)</w:t>
      </w:r>
    </w:p>
    <w:p w:rsidR="00031E4C" w:rsidRPr="00031E4C" w:rsidRDefault="00031E4C" w:rsidP="00031E4C">
      <w:pPr>
        <w:spacing w:line="240" w:lineRule="auto"/>
        <w:jc w:val="both"/>
        <w:rPr>
          <w:rFonts w:ascii="Times New Roman" w:hAnsi="Times New Roman" w:cs="Times New Roman"/>
          <w:color w:val="FF0000"/>
          <w:sz w:val="24"/>
          <w:szCs w:val="24"/>
        </w:rPr>
      </w:pPr>
      <w:r w:rsidRPr="00031E4C">
        <w:rPr>
          <w:rFonts w:ascii="Times New Roman" w:hAnsi="Times New Roman" w:cs="Times New Roman"/>
          <w:color w:val="FF0000"/>
          <w:sz w:val="24"/>
          <w:szCs w:val="24"/>
        </w:rPr>
        <w:t>Los bancos volverán a pagar el ahorro ante el atractivo tipo que les ofrece el BCE, el rendimiento de la deuda pública y la necesidad de devolver los TLTRO</w:t>
      </w:r>
    </w:p>
    <w:p w:rsidR="00031E4C" w:rsidRPr="00ED574C" w:rsidRDefault="00031E4C" w:rsidP="00031E4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ED574C">
        <w:rPr>
          <w:rFonts w:ascii="Times New Roman" w:hAnsi="Times New Roman" w:cs="Times New Roman"/>
          <w:sz w:val="24"/>
          <w:szCs w:val="24"/>
        </w:rPr>
        <w:t>Aurelio Medel Vicente</w:t>
      </w:r>
      <w:r>
        <w:rPr>
          <w:rFonts w:ascii="Times New Roman" w:hAnsi="Times New Roman" w:cs="Times New Roman"/>
          <w:sz w:val="24"/>
          <w:szCs w:val="24"/>
        </w:rPr>
        <w:t>)</w:t>
      </w:r>
    </w:p>
    <w:p w:rsidR="00031E4C" w:rsidRPr="00031E4C" w:rsidRDefault="00031E4C" w:rsidP="00031E4C">
      <w:pPr>
        <w:spacing w:line="240" w:lineRule="auto"/>
        <w:jc w:val="both"/>
        <w:rPr>
          <w:rFonts w:ascii="Times New Roman" w:hAnsi="Times New Roman" w:cs="Times New Roman"/>
          <w:color w:val="FF0000"/>
          <w:sz w:val="24"/>
          <w:szCs w:val="24"/>
          <w:u w:val="single"/>
        </w:rPr>
      </w:pPr>
      <w:r w:rsidRPr="00031E4C">
        <w:rPr>
          <w:rFonts w:ascii="Times New Roman" w:hAnsi="Times New Roman" w:cs="Times New Roman"/>
          <w:color w:val="FF0000"/>
          <w:sz w:val="24"/>
          <w:szCs w:val="24"/>
          <w:u w:val="single"/>
        </w:rPr>
        <w:t>La maldita inflación está provocando que los bancos centrales suban los tipos de interés y pongan punto final a la fiesta de la liquidez organizada a través de la barra libre de dinero para bancos (TLTRO) y Gobiernos (Quanti</w:t>
      </w:r>
      <w:r w:rsidR="001D02F7">
        <w:rPr>
          <w:rFonts w:ascii="Times New Roman" w:hAnsi="Times New Roman" w:cs="Times New Roman"/>
          <w:color w:val="FF0000"/>
          <w:sz w:val="24"/>
          <w:szCs w:val="24"/>
          <w:u w:val="single"/>
        </w:rPr>
        <w:t>t</w:t>
      </w:r>
      <w:r w:rsidRPr="00031E4C">
        <w:rPr>
          <w:rFonts w:ascii="Times New Roman" w:hAnsi="Times New Roman" w:cs="Times New Roman"/>
          <w:color w:val="FF0000"/>
          <w:sz w:val="24"/>
          <w:szCs w:val="24"/>
          <w:u w:val="single"/>
        </w:rPr>
        <w:t>ative Easing). Finalmente, el intento de control de los precios va a ser la gran excusa para poner orden en la política monetaria y volver a la ortodoxia perdida por la necesidad de ayudar a las economías a salir de la recesión de 2008-2014 y de la pandemia.</w:t>
      </w:r>
    </w:p>
    <w:p w:rsidR="00031E4C" w:rsidRPr="00031E4C" w:rsidRDefault="00031E4C" w:rsidP="00031E4C">
      <w:pPr>
        <w:spacing w:line="240" w:lineRule="auto"/>
        <w:jc w:val="both"/>
        <w:rPr>
          <w:rFonts w:ascii="Times New Roman" w:hAnsi="Times New Roman" w:cs="Times New Roman"/>
          <w:b/>
          <w:color w:val="FF0000"/>
          <w:sz w:val="24"/>
          <w:szCs w:val="24"/>
          <w:u w:val="single"/>
        </w:rPr>
      </w:pPr>
      <w:r w:rsidRPr="00031E4C">
        <w:rPr>
          <w:rFonts w:ascii="Times New Roman" w:hAnsi="Times New Roman" w:cs="Times New Roman"/>
          <w:b/>
          <w:color w:val="FF0000"/>
          <w:sz w:val="24"/>
          <w:szCs w:val="24"/>
          <w:u w:val="single"/>
        </w:rPr>
        <w:t>En los últimos años se han roto varios fundamentos de la economía, que son esenciales para la transmisión a la economía real de las decisiones de política monetaria de los bancos centrales. El primero es que el dinero tiene un valor, de manera que el ahorro se remunera y el crédito tiene un coste. El precio del dinero es el instrumento para abrir o cerrar la compuerta de la liquidez del mercado.</w:t>
      </w:r>
    </w:p>
    <w:p w:rsidR="00031E4C" w:rsidRPr="00031E4C" w:rsidRDefault="00031E4C" w:rsidP="00031E4C">
      <w:pPr>
        <w:spacing w:line="240" w:lineRule="auto"/>
        <w:jc w:val="both"/>
        <w:rPr>
          <w:rFonts w:ascii="Times New Roman" w:hAnsi="Times New Roman" w:cs="Times New Roman"/>
          <w:color w:val="FF0000"/>
          <w:sz w:val="24"/>
          <w:szCs w:val="24"/>
          <w:u w:val="single"/>
        </w:rPr>
      </w:pPr>
      <w:r w:rsidRPr="00031E4C">
        <w:rPr>
          <w:rFonts w:ascii="Times New Roman" w:hAnsi="Times New Roman" w:cs="Times New Roman"/>
          <w:b/>
          <w:color w:val="FF0000"/>
          <w:sz w:val="24"/>
          <w:szCs w:val="24"/>
          <w:u w:val="single"/>
        </w:rPr>
        <w:t>Pues bien, durante casi una década todo esto saltó por los aires. Muchas empresas tenían que pagar al banco por mantener saldos altos en sus cuentas y los particulares recibían cero por su ahorro. Al tiempo, el coste de los créditos era realmente ridículo, con tipos de interés debajo del 1% para hipotecas a tipo de interés fijo para plazos de hasta 25 años. Estas aberraciones económicas se habían instalado igualmente en la renta fija pública.</w:t>
      </w:r>
      <w:r w:rsidRPr="00031E4C">
        <w:rPr>
          <w:rFonts w:ascii="Times New Roman" w:hAnsi="Times New Roman" w:cs="Times New Roman"/>
          <w:color w:val="FF0000"/>
          <w:sz w:val="24"/>
          <w:szCs w:val="24"/>
        </w:rPr>
        <w:t xml:space="preserve"> </w:t>
      </w:r>
      <w:r w:rsidRPr="00031E4C">
        <w:rPr>
          <w:rFonts w:ascii="Times New Roman" w:hAnsi="Times New Roman" w:cs="Times New Roman"/>
          <w:color w:val="FF0000"/>
          <w:sz w:val="24"/>
          <w:szCs w:val="24"/>
          <w:u w:val="single"/>
        </w:rPr>
        <w:t>Así, el Reino de España, por ejemplo, que en 2007 pagaba más del 4% a los inversores que compraban las letras del Tesoro a plazo de un año, lleva desde 2015 cobrando a estos mismos inversores que financiaban su déficit.</w:t>
      </w:r>
    </w:p>
    <w:p w:rsidR="00031E4C" w:rsidRPr="00031E4C" w:rsidRDefault="00031E4C" w:rsidP="00031E4C">
      <w:pPr>
        <w:spacing w:line="240" w:lineRule="auto"/>
        <w:jc w:val="both"/>
        <w:rPr>
          <w:rFonts w:ascii="Times New Roman" w:hAnsi="Times New Roman" w:cs="Times New Roman"/>
          <w:b/>
          <w:color w:val="FF0000"/>
          <w:sz w:val="24"/>
          <w:szCs w:val="24"/>
          <w:u w:val="single"/>
        </w:rPr>
      </w:pPr>
      <w:r w:rsidRPr="00031E4C">
        <w:rPr>
          <w:rFonts w:ascii="Times New Roman" w:hAnsi="Times New Roman" w:cs="Times New Roman"/>
          <w:color w:val="FF0000"/>
          <w:sz w:val="24"/>
          <w:szCs w:val="24"/>
          <w:u w:val="single"/>
        </w:rPr>
        <w:t xml:space="preserve">Esta ruptura de principios fue consecuencia de que las medidas para gestionar la crisis de 2007 y el enorme endeudamiento que generó a los Estados. El BCE y la UE se pusieron muy rigurosos con los países más pobres y se disparó el coste de la deuda de los países del sur de Europa hasta el punto de que casi se rompe el euro. </w:t>
      </w:r>
      <w:r w:rsidRPr="00031E4C">
        <w:rPr>
          <w:rFonts w:ascii="Times New Roman" w:hAnsi="Times New Roman" w:cs="Times New Roman"/>
          <w:b/>
          <w:color w:val="FF0000"/>
          <w:sz w:val="24"/>
          <w:szCs w:val="24"/>
          <w:u w:val="single"/>
        </w:rPr>
        <w:t>A finales de julio de 2012, Mario Draghi, presidente del BCE, tuvo que salir para frenar la especulación enseñando sus capacidades de intervención. “Haremos lo que sea necesario para preservar el euro. Créanme, será suficiente”. Estas palabras cambiaron el rumbo de la historia económica.</w:t>
      </w:r>
    </w:p>
    <w:p w:rsidR="00031E4C" w:rsidRPr="00ED574C" w:rsidRDefault="00031E4C" w:rsidP="00031E4C">
      <w:pPr>
        <w:spacing w:line="240" w:lineRule="auto"/>
        <w:jc w:val="both"/>
        <w:rPr>
          <w:rFonts w:ascii="Times New Roman" w:hAnsi="Times New Roman" w:cs="Times New Roman"/>
          <w:sz w:val="24"/>
          <w:szCs w:val="24"/>
        </w:rPr>
      </w:pPr>
      <w:r w:rsidRPr="00031E4C">
        <w:rPr>
          <w:rFonts w:ascii="Times New Roman" w:hAnsi="Times New Roman" w:cs="Times New Roman"/>
          <w:b/>
          <w:color w:val="FF0000"/>
          <w:sz w:val="24"/>
          <w:szCs w:val="24"/>
          <w:u w:val="single"/>
        </w:rPr>
        <w:t>Entonces el tipo de interés del BCE estaba en un 0,75%, de manera que mucho no lo podía bajar, aunque terminó por llevarlo al 0% en marzo de 2016. El cambio radical fue y aún sigue siendo que el banco central empezó a intervenir con toda claridad los mercados de la renta fija emitida por los países de la zona euro, realizando compras masivas de deuda</w:t>
      </w:r>
      <w:r w:rsidRPr="00ED574C">
        <w:rPr>
          <w:rFonts w:ascii="Times New Roman" w:hAnsi="Times New Roman" w:cs="Times New Roman"/>
          <w:sz w:val="24"/>
          <w:szCs w:val="24"/>
        </w:rPr>
        <w:t>. El resultado concreto fue que el Tesoro de España pasó de la lógica de pagar por la deuda a cobrar desde noviembre de 2015 hasta mayo de este año por las letras a 12 meses. Ahora, con el cambio en la política monetaria ya tiene que volver a remunerar a los inversores con casi un 2% y el viernes de la semana que viene, que es la próxima subasta, te</w:t>
      </w:r>
      <w:r>
        <w:rPr>
          <w:rFonts w:ascii="Times New Roman" w:hAnsi="Times New Roman" w:cs="Times New Roman"/>
          <w:sz w:val="24"/>
          <w:szCs w:val="24"/>
        </w:rPr>
        <w:t>rminará pagando cerca del 2,5%.</w:t>
      </w:r>
    </w:p>
    <w:p w:rsidR="00031E4C" w:rsidRPr="00031E4C" w:rsidRDefault="00031E4C" w:rsidP="00031E4C">
      <w:pPr>
        <w:spacing w:line="240" w:lineRule="auto"/>
        <w:jc w:val="both"/>
        <w:rPr>
          <w:rFonts w:ascii="Times New Roman" w:hAnsi="Times New Roman" w:cs="Times New Roman"/>
          <w:color w:val="FF0000"/>
          <w:sz w:val="24"/>
          <w:szCs w:val="24"/>
          <w:u w:val="single"/>
        </w:rPr>
      </w:pPr>
      <w:r w:rsidRPr="00031E4C">
        <w:rPr>
          <w:rFonts w:ascii="Times New Roman" w:hAnsi="Times New Roman" w:cs="Times New Roman"/>
          <w:color w:val="FF0000"/>
          <w:sz w:val="24"/>
          <w:szCs w:val="24"/>
          <w:u w:val="single"/>
        </w:rPr>
        <w:lastRenderedPageBreak/>
        <w:t>La semana pasada el BCE también anunció el final del Targeted Longer-Term Refinancing Operations (TLTRO), un sistema por el que el banco central facilita fondos a los bancos a buen precio con el fin de que estos faciliten gas a la economía. Este mecanismo ha tenido tres ediciones (2014, 2016 y 2019) con sus diferentes condiciones. La última fue prolongada para hacer frente a los daños de la pandemia desatada en 2020. Para ello el BCE ofreció a los bancos dinero a coste prácticamente cero (hubo momentos que incluso les pagó), para que éstos lo prestaran, ya que si lo depositaban de nuevo en el BCE, éste les cobraba medio punto, que era el tipo de interés de la facilidad de depósito desde septiembre de 2019 hasta el 9 de junio de este año.</w:t>
      </w:r>
    </w:p>
    <w:p w:rsidR="00031E4C" w:rsidRPr="00031E4C" w:rsidRDefault="00031E4C" w:rsidP="00031E4C">
      <w:pPr>
        <w:spacing w:line="240" w:lineRule="auto"/>
        <w:jc w:val="both"/>
        <w:rPr>
          <w:rFonts w:ascii="Times New Roman" w:hAnsi="Times New Roman" w:cs="Times New Roman"/>
          <w:b/>
          <w:color w:val="FF0000"/>
          <w:sz w:val="24"/>
          <w:szCs w:val="24"/>
          <w:u w:val="single"/>
        </w:rPr>
      </w:pPr>
      <w:r w:rsidRPr="00031E4C">
        <w:rPr>
          <w:rFonts w:ascii="Times New Roman" w:hAnsi="Times New Roman" w:cs="Times New Roman"/>
          <w:b/>
          <w:color w:val="FF0000"/>
          <w:sz w:val="24"/>
          <w:szCs w:val="24"/>
          <w:u w:val="single"/>
        </w:rPr>
        <w:t>Pero todo cambia desde que el BCE apuesta por subir los tipos y el 8 de septiembre sitúa el tipo de interés de la facilidad de depósito en el 0,75%. Hacía diez años (julio de 2012) que el banco central había situado esa referencia en el 0% y después en negativo. Por tanto, ahora los bancos pueden colocar su exceso de liquidez en el BCE, que desde el pasado 2 de noviembre se la remunera al 1,5%. La anomalía es que pueden colocar ahí los 2,1 billones que les ha prestado a través del TLTRO a tipos subvencionados, de los que 253.000 millones han ido a parar a los cinco grandes bancos españoles, y ganarse un dinero inesperado.</w:t>
      </w:r>
    </w:p>
    <w:p w:rsidR="00031E4C" w:rsidRPr="003E7405" w:rsidRDefault="00031E4C" w:rsidP="00031E4C">
      <w:pPr>
        <w:spacing w:line="240" w:lineRule="auto"/>
        <w:jc w:val="both"/>
        <w:rPr>
          <w:rFonts w:ascii="Times New Roman" w:hAnsi="Times New Roman" w:cs="Times New Roman"/>
          <w:color w:val="FF0000"/>
          <w:sz w:val="24"/>
          <w:szCs w:val="24"/>
          <w:u w:val="single"/>
        </w:rPr>
      </w:pPr>
      <w:r w:rsidRPr="003E7405">
        <w:rPr>
          <w:rFonts w:ascii="Times New Roman" w:hAnsi="Times New Roman" w:cs="Times New Roman"/>
          <w:color w:val="FF0000"/>
          <w:sz w:val="24"/>
          <w:szCs w:val="24"/>
          <w:u w:val="single"/>
        </w:rPr>
        <w:t>Como es lógico, Christine Lagarde, a la vez que anunciaba la subida de tipos de interés, comunicaba que este mecanismo tiene fecha de defunción, el 23 de noviembre. Un instrumento que nació para reanimar la economía no tiene ningún sentido cuando lo que estás haciendo ahora es subir los tipos de interés para frenar la inflación, lo que de facto pasa por parar la actividad, y encima supone una ruina para el BCE y una bicoca inesperada para los bancos.</w:t>
      </w:r>
    </w:p>
    <w:p w:rsidR="00031E4C" w:rsidRPr="003E7405" w:rsidRDefault="00031E4C" w:rsidP="00031E4C">
      <w:pPr>
        <w:spacing w:line="240" w:lineRule="auto"/>
        <w:jc w:val="both"/>
        <w:rPr>
          <w:rFonts w:ascii="Times New Roman" w:hAnsi="Times New Roman" w:cs="Times New Roman"/>
          <w:b/>
          <w:color w:val="FF0000"/>
          <w:sz w:val="24"/>
          <w:szCs w:val="24"/>
          <w:u w:val="single"/>
        </w:rPr>
      </w:pPr>
      <w:r w:rsidRPr="003E7405">
        <w:rPr>
          <w:rFonts w:ascii="Times New Roman" w:hAnsi="Times New Roman" w:cs="Times New Roman"/>
          <w:b/>
          <w:color w:val="FF0000"/>
          <w:sz w:val="24"/>
          <w:szCs w:val="24"/>
          <w:u w:val="single"/>
        </w:rPr>
        <w:t>La consecuencia de todo esto es que los bancos van a tener que devolver anticipadamente esos 2,1 billones, en unas condiciones que se conocerán antes de fin de mes. Por tanto, a los bancos les va a volver a interesar captar depósitos por tres razones recientes: el BCE ya paga a los bancos un interesante 1,5% por el dinero que le depositen, los Estados empiezan a ofrecer rentabilidades atractivas por invertir en su deuda pública y, además, el conjunto de bancos tiene que sacar de sus balances los 2,1 billones que tienen que devolver al BCE.</w:t>
      </w:r>
    </w:p>
    <w:p w:rsidR="00031E4C" w:rsidRPr="003E7405" w:rsidRDefault="00031E4C" w:rsidP="00031E4C">
      <w:pPr>
        <w:spacing w:line="240" w:lineRule="auto"/>
        <w:jc w:val="both"/>
        <w:rPr>
          <w:rFonts w:ascii="Times New Roman" w:hAnsi="Times New Roman" w:cs="Times New Roman"/>
          <w:b/>
          <w:color w:val="FF0000"/>
          <w:sz w:val="24"/>
          <w:szCs w:val="24"/>
          <w:u w:val="single"/>
        </w:rPr>
      </w:pPr>
      <w:r w:rsidRPr="003E7405">
        <w:rPr>
          <w:rFonts w:ascii="Times New Roman" w:hAnsi="Times New Roman" w:cs="Times New Roman"/>
          <w:b/>
          <w:color w:val="FF0000"/>
          <w:sz w:val="24"/>
          <w:szCs w:val="24"/>
          <w:u w:val="single"/>
        </w:rPr>
        <w:t>En definitiva, la subida de los tipos de interés está devolviendo poco a poco la ortodoxia al sistema. Los bancos centrales van a intentar tener los tipos de interés en tasas altas (el 5% en USA y algo por debajo en la zona Euro) no sólo para controlar los precios, si no para poder bajarlos cuando llegue la siguiente crisis. Pero todo esto es futuro incierto. Lo que es seguro, es que mientras la inflación esté por encima del 2% los rendimientos sin riesgo (2%) serán negativos en términos reales.</w:t>
      </w:r>
    </w:p>
    <w:p w:rsidR="00031E4C" w:rsidRDefault="00031E4C" w:rsidP="00031E4C">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ED574C">
        <w:rPr>
          <w:rFonts w:ascii="Times New Roman" w:hAnsi="Times New Roman" w:cs="Times New Roman"/>
          <w:sz w:val="24"/>
          <w:szCs w:val="24"/>
        </w:rPr>
        <w:t>Aurelio Medel es Doctor en Ciencias de la Información. Profesor de la Universidad Complutense</w:t>
      </w:r>
      <w:r>
        <w:rPr>
          <w:rFonts w:ascii="Times New Roman" w:hAnsi="Times New Roman" w:cs="Times New Roman"/>
          <w:sz w:val="24"/>
          <w:szCs w:val="24"/>
        </w:rPr>
        <w:t>)</w:t>
      </w:r>
    </w:p>
    <w:p w:rsidR="003E7405" w:rsidRPr="00FF0453" w:rsidRDefault="003E7405" w:rsidP="003E7405">
      <w:pPr>
        <w:shd w:val="clear" w:color="auto" w:fill="FFFFFF"/>
        <w:spacing w:line="240" w:lineRule="auto"/>
        <w:jc w:val="both"/>
        <w:textAlignment w:val="baseline"/>
        <w:rPr>
          <w:rFonts w:ascii="Times New Roman" w:hAnsi="Times New Roman" w:cs="Times New Roman"/>
          <w:color w:val="000000"/>
          <w:sz w:val="24"/>
          <w:szCs w:val="24"/>
        </w:rPr>
      </w:pPr>
      <w:r>
        <w:rPr>
          <w:rFonts w:ascii="Times New Roman" w:hAnsi="Times New Roman" w:cs="Times New Roman"/>
          <w:color w:val="000000"/>
          <w:sz w:val="24"/>
          <w:szCs w:val="24"/>
        </w:rPr>
        <w:t xml:space="preserve">- </w:t>
      </w:r>
      <w:r w:rsidRPr="00FF0453">
        <w:rPr>
          <w:rFonts w:ascii="Times New Roman" w:hAnsi="Times New Roman" w:cs="Times New Roman"/>
          <w:color w:val="000000"/>
          <w:sz w:val="24"/>
          <w:szCs w:val="24"/>
          <w:u w:val="single"/>
        </w:rPr>
        <w:t>La Fed llevará los tipos de interés máximos al 5,25% frente al 3,5% del BCE</w:t>
      </w:r>
      <w:r>
        <w:rPr>
          <w:rFonts w:ascii="Times New Roman" w:hAnsi="Times New Roman" w:cs="Times New Roman"/>
          <w:color w:val="000000"/>
          <w:sz w:val="24"/>
          <w:szCs w:val="24"/>
        </w:rPr>
        <w:t xml:space="preserve"> (El Economista - </w:t>
      </w:r>
      <w:r w:rsidRPr="00FF0453">
        <w:rPr>
          <w:rFonts w:ascii="Times New Roman" w:hAnsi="Times New Roman" w:cs="Times New Roman"/>
          <w:b/>
          <w:color w:val="000000"/>
          <w:sz w:val="24"/>
          <w:szCs w:val="24"/>
        </w:rPr>
        <w:t>5/11/22</w:t>
      </w:r>
      <w:r>
        <w:rPr>
          <w:rFonts w:ascii="Times New Roman" w:hAnsi="Times New Roman" w:cs="Times New Roman"/>
          <w:color w:val="000000"/>
          <w:sz w:val="24"/>
          <w:szCs w:val="24"/>
        </w:rPr>
        <w:t>)</w:t>
      </w:r>
    </w:p>
    <w:p w:rsidR="003E7405" w:rsidRPr="003E7405" w:rsidRDefault="003E7405" w:rsidP="003E7405">
      <w:pPr>
        <w:shd w:val="clear" w:color="auto" w:fill="FFFFFF"/>
        <w:spacing w:line="240" w:lineRule="auto"/>
        <w:jc w:val="both"/>
        <w:textAlignment w:val="baseline"/>
        <w:rPr>
          <w:rFonts w:ascii="Times New Roman" w:hAnsi="Times New Roman" w:cs="Times New Roman"/>
          <w:color w:val="FF0000"/>
          <w:sz w:val="24"/>
          <w:szCs w:val="24"/>
          <w:u w:val="single"/>
        </w:rPr>
      </w:pPr>
      <w:r w:rsidRPr="003E7405">
        <w:rPr>
          <w:rFonts w:ascii="Times New Roman" w:hAnsi="Times New Roman" w:cs="Times New Roman"/>
          <w:color w:val="FF0000"/>
          <w:sz w:val="24"/>
          <w:szCs w:val="24"/>
          <w:u w:val="single"/>
        </w:rPr>
        <w:t>La Reserva Federal de Estados Unidos echó por tierra las aspiraciones de aquellos que contaban con divisar el final del camino de las subidas de tipos de interés. Puede que a partir de ahora no se vean incrementos del precio del dinero tan drásticos como en lo que va de 2022 en las principales economías del mundo, pero el horizonte de los bancos centrales se ha extendido tras la última intervención del presidente de la Reserva Federal (Fed).</w:t>
      </w:r>
    </w:p>
    <w:p w:rsidR="003E7405" w:rsidRPr="003E7405" w:rsidRDefault="003E7405" w:rsidP="003E7405">
      <w:pPr>
        <w:shd w:val="clear" w:color="auto" w:fill="FFFFFF"/>
        <w:spacing w:line="240" w:lineRule="auto"/>
        <w:jc w:val="both"/>
        <w:textAlignment w:val="baseline"/>
        <w:rPr>
          <w:rFonts w:ascii="Times New Roman" w:hAnsi="Times New Roman" w:cs="Times New Roman"/>
          <w:color w:val="FF0000"/>
          <w:sz w:val="24"/>
          <w:szCs w:val="24"/>
          <w:u w:val="single"/>
        </w:rPr>
      </w:pPr>
      <w:r w:rsidRPr="003E7405">
        <w:rPr>
          <w:rFonts w:ascii="Times New Roman" w:hAnsi="Times New Roman" w:cs="Times New Roman"/>
          <w:color w:val="FF0000"/>
          <w:sz w:val="24"/>
          <w:szCs w:val="24"/>
          <w:u w:val="single"/>
        </w:rPr>
        <w:lastRenderedPageBreak/>
        <w:t>Es decir, se prevén escalones más cortos en una escalera más larga hasta contener a la inflación. Por lo pronto, se descuenta que la Fed fijará los tipos de referencia en Estados Unidos por encima del 5% de cara al año que viene. Eso son casi dos puntos porcentuales por encima de lo que se espera ver en Europa del 3,5% también en 2023. Por ahora.</w:t>
      </w:r>
    </w:p>
    <w:p w:rsidR="003E7405" w:rsidRDefault="003E7405" w:rsidP="003E7405">
      <w:pPr>
        <w:shd w:val="clear" w:color="auto" w:fill="FFFFFF"/>
        <w:spacing w:line="240" w:lineRule="auto"/>
        <w:jc w:val="both"/>
        <w:textAlignment w:val="baseline"/>
        <w:rPr>
          <w:rFonts w:ascii="Times New Roman" w:hAnsi="Times New Roman" w:cs="Times New Roman"/>
          <w:color w:val="FF0000"/>
          <w:sz w:val="24"/>
          <w:szCs w:val="24"/>
        </w:rPr>
      </w:pPr>
      <w:r w:rsidRPr="003E7405">
        <w:rPr>
          <w:rFonts w:ascii="Times New Roman" w:hAnsi="Times New Roman" w:cs="Times New Roman"/>
          <w:color w:val="FF0000"/>
          <w:sz w:val="24"/>
          <w:szCs w:val="24"/>
          <w:u w:val="single"/>
        </w:rPr>
        <w:t>El presidente de la Reserva Federal, Jerome Powell anunció la semana pasada una subida de 75 puntos básicos, la cuarta consecutiva de este calado y que hacen un total de seis movimientos al alza en 2022. El mercado ya daba por seguro que los tipos de referencia en el país se situarían en el 4% al cierre de la cita de noviembre. Pero con lo que no contaban ni inversores ni analistas era con el tono de Jerome Powell en su última intervención. El presidente de la Fed dejó claro que no tiene miedo a elevar los tipos de interés en Estados Unidos más de lo previsto tras el verano o dejarlos así el tiempo que sea necesario hasta que c</w:t>
      </w:r>
      <w:r>
        <w:rPr>
          <w:rFonts w:ascii="Times New Roman" w:hAnsi="Times New Roman" w:cs="Times New Roman"/>
          <w:color w:val="FF0000"/>
          <w:sz w:val="24"/>
          <w:szCs w:val="24"/>
          <w:u w:val="single"/>
        </w:rPr>
        <w:t>onsigan doblegar a la inflación</w:t>
      </w:r>
      <w:r>
        <w:rPr>
          <w:rFonts w:ascii="Times New Roman" w:hAnsi="Times New Roman" w:cs="Times New Roman"/>
          <w:color w:val="FF0000"/>
          <w:sz w:val="24"/>
          <w:szCs w:val="24"/>
        </w:rPr>
        <w:t>…</w:t>
      </w:r>
    </w:p>
    <w:p w:rsidR="0030344B" w:rsidRPr="003E7405" w:rsidRDefault="0030344B" w:rsidP="003E7405">
      <w:pPr>
        <w:shd w:val="clear" w:color="auto" w:fill="FFFFFF"/>
        <w:spacing w:line="240" w:lineRule="auto"/>
        <w:jc w:val="both"/>
        <w:textAlignment w:val="baseline"/>
        <w:rPr>
          <w:rFonts w:ascii="Times New Roman" w:hAnsi="Times New Roman" w:cs="Times New Roman"/>
          <w:color w:val="FF0000"/>
          <w:sz w:val="24"/>
          <w:szCs w:val="24"/>
        </w:rPr>
      </w:pPr>
    </w:p>
    <w:p w:rsidR="003E7405" w:rsidRPr="00FF0453" w:rsidRDefault="003E7405" w:rsidP="003E7405">
      <w:pPr>
        <w:shd w:val="clear" w:color="auto" w:fill="FFFFFF"/>
        <w:spacing w:line="240" w:lineRule="auto"/>
        <w:jc w:val="both"/>
        <w:textAlignment w:val="baseline"/>
        <w:rPr>
          <w:rFonts w:ascii="Times New Roman" w:hAnsi="Times New Roman" w:cs="Times New Roman"/>
          <w:color w:val="000000"/>
          <w:sz w:val="24"/>
          <w:szCs w:val="24"/>
        </w:rPr>
      </w:pPr>
      <w:r w:rsidRPr="00FF0453">
        <w:rPr>
          <w:rFonts w:ascii="Times New Roman" w:hAnsi="Times New Roman" w:cs="Times New Roman"/>
          <w:noProof/>
          <w:color w:val="000000"/>
          <w:sz w:val="24"/>
          <w:szCs w:val="24"/>
          <w:lang w:eastAsia="es-ES"/>
        </w:rPr>
        <w:drawing>
          <wp:inline distT="0" distB="0" distL="0" distR="0" wp14:anchorId="06102B41" wp14:editId="3558157C">
            <wp:extent cx="5727700" cy="3524250"/>
            <wp:effectExtent l="0" t="0" r="6350" b="0"/>
            <wp:docPr id="105" name="Imagen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stretch>
                      <a:fillRect/>
                    </a:stretch>
                  </pic:blipFill>
                  <pic:spPr>
                    <a:xfrm>
                      <a:off x="0" y="0"/>
                      <a:ext cx="5731510" cy="3526594"/>
                    </a:xfrm>
                    <a:prstGeom prst="rect">
                      <a:avLst/>
                    </a:prstGeom>
                  </pic:spPr>
                </pic:pic>
              </a:graphicData>
            </a:graphic>
          </wp:inline>
        </w:drawing>
      </w:r>
    </w:p>
    <w:p w:rsidR="004A134F" w:rsidRDefault="004A134F" w:rsidP="003E7405">
      <w:pPr>
        <w:shd w:val="clear" w:color="auto" w:fill="FFFFFF"/>
        <w:spacing w:line="240" w:lineRule="auto"/>
        <w:jc w:val="both"/>
        <w:textAlignment w:val="baseline"/>
        <w:rPr>
          <w:rFonts w:ascii="Times New Roman" w:hAnsi="Times New Roman" w:cs="Times New Roman"/>
          <w:color w:val="FF0000"/>
          <w:sz w:val="24"/>
          <w:szCs w:val="24"/>
          <w:u w:val="single"/>
        </w:rPr>
      </w:pPr>
    </w:p>
    <w:p w:rsidR="003E7405" w:rsidRPr="003E7405" w:rsidRDefault="003E7405" w:rsidP="003E7405">
      <w:pPr>
        <w:shd w:val="clear" w:color="auto" w:fill="FFFFFF"/>
        <w:spacing w:line="240" w:lineRule="auto"/>
        <w:jc w:val="both"/>
        <w:textAlignment w:val="baseline"/>
        <w:rPr>
          <w:rFonts w:ascii="Times New Roman" w:hAnsi="Times New Roman" w:cs="Times New Roman"/>
          <w:color w:val="FF0000"/>
          <w:sz w:val="24"/>
          <w:szCs w:val="24"/>
          <w:u w:val="single"/>
        </w:rPr>
      </w:pPr>
      <w:r w:rsidRPr="003E7405">
        <w:rPr>
          <w:rFonts w:ascii="Times New Roman" w:hAnsi="Times New Roman" w:cs="Times New Roman"/>
          <w:color w:val="FF0000"/>
          <w:sz w:val="24"/>
          <w:szCs w:val="24"/>
          <w:u w:val="single"/>
        </w:rPr>
        <w:t>Del mismo modo que se prevé que Jerome Powell llegue antes y más alto en sus alzas que Lagarde en la eurozona, también se espera que empiecen a reducir antes los tipos de interés en el país. El mercado sigue considerando como probable que la Reserva Federal comience a bajar el precio oficial del dinero en 2023 aunque ha retrasado esa posibilidad desde casi la mitad del ejercicio que viene hasta la reunión prevista en noviembre, dentro de doce meses. Un caso que no se verá en Europa donde no se esperan movimientos a la baja por parte del Banco Central Europeo en todo el 2023.</w:t>
      </w:r>
    </w:p>
    <w:p w:rsidR="003E7405" w:rsidRPr="00FF0453" w:rsidRDefault="003E7405" w:rsidP="003E7405">
      <w:pPr>
        <w:shd w:val="clear" w:color="auto" w:fill="FFFFFF"/>
        <w:spacing w:line="240" w:lineRule="auto"/>
        <w:jc w:val="both"/>
        <w:textAlignment w:val="baseline"/>
        <w:rPr>
          <w:rFonts w:ascii="Times New Roman" w:hAnsi="Times New Roman" w:cs="Times New Roman"/>
          <w:color w:val="000000"/>
          <w:sz w:val="24"/>
          <w:szCs w:val="24"/>
        </w:rPr>
      </w:pPr>
      <w:r w:rsidRPr="00FF0453">
        <w:rPr>
          <w:rFonts w:ascii="Times New Roman" w:hAnsi="Times New Roman" w:cs="Times New Roman"/>
          <w:noProof/>
          <w:color w:val="000000"/>
          <w:sz w:val="24"/>
          <w:szCs w:val="24"/>
          <w:lang w:eastAsia="es-ES"/>
        </w:rPr>
        <w:lastRenderedPageBreak/>
        <w:drawing>
          <wp:inline distT="0" distB="0" distL="0" distR="0" wp14:anchorId="0F3D0AB8" wp14:editId="33D0F210">
            <wp:extent cx="5727024" cy="3467100"/>
            <wp:effectExtent l="0" t="0" r="7620" b="0"/>
            <wp:docPr id="106" name="Imagen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5731510" cy="3469816"/>
                    </a:xfrm>
                    <a:prstGeom prst="rect">
                      <a:avLst/>
                    </a:prstGeom>
                  </pic:spPr>
                </pic:pic>
              </a:graphicData>
            </a:graphic>
          </wp:inline>
        </w:drawing>
      </w:r>
    </w:p>
    <w:p w:rsidR="004A134F" w:rsidRDefault="004A134F" w:rsidP="003E7405">
      <w:pPr>
        <w:shd w:val="clear" w:color="auto" w:fill="FFFFFF"/>
        <w:spacing w:line="240" w:lineRule="auto"/>
        <w:jc w:val="both"/>
        <w:textAlignment w:val="baseline"/>
        <w:rPr>
          <w:rFonts w:ascii="Times New Roman" w:hAnsi="Times New Roman" w:cs="Times New Roman"/>
          <w:color w:val="000000"/>
          <w:sz w:val="24"/>
          <w:szCs w:val="24"/>
        </w:rPr>
      </w:pPr>
    </w:p>
    <w:p w:rsidR="003E7405" w:rsidRPr="00FF0453" w:rsidRDefault="003E7405" w:rsidP="003E7405">
      <w:pPr>
        <w:shd w:val="clear" w:color="auto" w:fill="FFFFFF"/>
        <w:spacing w:line="240" w:lineRule="auto"/>
        <w:jc w:val="both"/>
        <w:textAlignment w:val="baseline"/>
        <w:rPr>
          <w:rFonts w:ascii="Times New Roman" w:hAnsi="Times New Roman" w:cs="Times New Roman"/>
          <w:color w:val="000000"/>
          <w:sz w:val="24"/>
          <w:szCs w:val="24"/>
        </w:rPr>
      </w:pPr>
      <w:r w:rsidRPr="00FF0453">
        <w:rPr>
          <w:rFonts w:ascii="Times New Roman" w:hAnsi="Times New Roman" w:cs="Times New Roman"/>
          <w:color w:val="000000"/>
          <w:sz w:val="24"/>
          <w:szCs w:val="24"/>
        </w:rPr>
        <w:t>Es cierto que la posibilidad de ver los tipos de interés fijados por la Fed en el 5,15% en 2023 no se contemplaba hace dos semanas, cuando el Banco Central Europeo anunció su propia subida de tipos de interés de noviembre de 75 puntos básicos. Pero el cambio de rumbo de la Fed puede replantear el calendario que tenía planificado Christine Lagarde y obligar a la institución europea a no quedarse atrás respect</w:t>
      </w:r>
      <w:r>
        <w:rPr>
          <w:rFonts w:ascii="Times New Roman" w:hAnsi="Times New Roman" w:cs="Times New Roman"/>
          <w:color w:val="000000"/>
          <w:sz w:val="24"/>
          <w:szCs w:val="24"/>
        </w:rPr>
        <w:t>o a su homólogo estadounidense.</w:t>
      </w:r>
    </w:p>
    <w:p w:rsidR="003E7405" w:rsidRPr="00FF0453" w:rsidRDefault="003E7405" w:rsidP="003E7405">
      <w:pPr>
        <w:shd w:val="clear" w:color="auto" w:fill="FFFFFF"/>
        <w:spacing w:line="240" w:lineRule="auto"/>
        <w:jc w:val="both"/>
        <w:textAlignment w:val="baseline"/>
        <w:rPr>
          <w:rFonts w:ascii="Times New Roman" w:hAnsi="Times New Roman" w:cs="Times New Roman"/>
          <w:color w:val="000000"/>
          <w:sz w:val="24"/>
          <w:szCs w:val="24"/>
        </w:rPr>
      </w:pPr>
      <w:r w:rsidRPr="00FF0453">
        <w:rPr>
          <w:rFonts w:ascii="Times New Roman" w:hAnsi="Times New Roman" w:cs="Times New Roman"/>
          <w:color w:val="000000"/>
          <w:sz w:val="24"/>
          <w:szCs w:val="24"/>
        </w:rPr>
        <w:t xml:space="preserve">No obstante, la presidenta del Banco Central Europeo ya explicó al mercado que hay diferencias entre las grandes economías a ambos lados del </w:t>
      </w:r>
      <w:r>
        <w:rPr>
          <w:rFonts w:ascii="Times New Roman" w:hAnsi="Times New Roman" w:cs="Times New Roman"/>
          <w:color w:val="000000"/>
          <w:sz w:val="24"/>
          <w:szCs w:val="24"/>
        </w:rPr>
        <w:t>Atlántico y que, por tanto, el “diagnóstico es diferente”</w:t>
      </w:r>
      <w:r w:rsidRPr="00FF0453">
        <w:rPr>
          <w:rFonts w:ascii="Times New Roman" w:hAnsi="Times New Roman" w:cs="Times New Roman"/>
          <w:color w:val="000000"/>
          <w:sz w:val="24"/>
          <w:szCs w:val="24"/>
        </w:rPr>
        <w:t xml:space="preserve"> dado que las expectativas de inflación y los motivos que la prov</w:t>
      </w:r>
      <w:r>
        <w:rPr>
          <w:rFonts w:ascii="Times New Roman" w:hAnsi="Times New Roman" w:cs="Times New Roman"/>
          <w:color w:val="000000"/>
          <w:sz w:val="24"/>
          <w:szCs w:val="24"/>
        </w:rPr>
        <w:t>ocan juegan a favor de Lagarde…</w:t>
      </w:r>
    </w:p>
    <w:p w:rsidR="003E7405" w:rsidRPr="00FF0453" w:rsidRDefault="003E7405" w:rsidP="003E740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FF0453">
        <w:rPr>
          <w:rFonts w:ascii="Times New Roman" w:hAnsi="Times New Roman" w:cs="Times New Roman"/>
          <w:sz w:val="24"/>
          <w:szCs w:val="24"/>
          <w:u w:val="single"/>
        </w:rPr>
        <w:t>El BCE juega con fuego: duplicar los tipos nos hundirá en recesión</w:t>
      </w:r>
      <w:r>
        <w:rPr>
          <w:rFonts w:ascii="Times New Roman" w:hAnsi="Times New Roman" w:cs="Times New Roman"/>
          <w:sz w:val="24"/>
          <w:szCs w:val="24"/>
        </w:rPr>
        <w:t xml:space="preserve"> (El Economista - </w:t>
      </w:r>
      <w:r w:rsidRPr="00FF0453">
        <w:rPr>
          <w:rFonts w:ascii="Times New Roman" w:hAnsi="Times New Roman" w:cs="Times New Roman"/>
          <w:b/>
          <w:sz w:val="24"/>
          <w:szCs w:val="24"/>
        </w:rPr>
        <w:t>5/11/22</w:t>
      </w:r>
      <w:r>
        <w:rPr>
          <w:rFonts w:ascii="Times New Roman" w:hAnsi="Times New Roman" w:cs="Times New Roman"/>
          <w:sz w:val="24"/>
          <w:szCs w:val="24"/>
        </w:rPr>
        <w:t>)</w:t>
      </w:r>
    </w:p>
    <w:p w:rsidR="003E7405" w:rsidRPr="00FF0453" w:rsidRDefault="003E7405" w:rsidP="003E740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FF0453">
        <w:rPr>
          <w:rFonts w:ascii="Times New Roman" w:hAnsi="Times New Roman" w:cs="Times New Roman"/>
          <w:sz w:val="24"/>
          <w:szCs w:val="24"/>
        </w:rPr>
        <w:t>Amador G. Ayora</w:t>
      </w:r>
      <w:r>
        <w:rPr>
          <w:rFonts w:ascii="Times New Roman" w:hAnsi="Times New Roman" w:cs="Times New Roman"/>
          <w:sz w:val="24"/>
          <w:szCs w:val="24"/>
        </w:rPr>
        <w:t>)</w:t>
      </w:r>
    </w:p>
    <w:p w:rsidR="003E7405" w:rsidRPr="003E7405" w:rsidRDefault="003E7405" w:rsidP="003E7405">
      <w:pPr>
        <w:spacing w:line="240" w:lineRule="auto"/>
        <w:jc w:val="both"/>
        <w:rPr>
          <w:rFonts w:ascii="Times New Roman" w:hAnsi="Times New Roman" w:cs="Times New Roman"/>
          <w:color w:val="FF0000"/>
          <w:sz w:val="24"/>
          <w:szCs w:val="24"/>
          <w:u w:val="single"/>
        </w:rPr>
      </w:pPr>
      <w:r w:rsidRPr="003E7405">
        <w:rPr>
          <w:rFonts w:ascii="Times New Roman" w:hAnsi="Times New Roman" w:cs="Times New Roman"/>
          <w:color w:val="FF0000"/>
          <w:sz w:val="24"/>
          <w:szCs w:val="24"/>
          <w:u w:val="single"/>
        </w:rPr>
        <w:t>El presidente de la Reserva Federal, Jerome Powell, volvió a destapar este miércoles la caja de los truenos y de las incertidumbres, algo que siempre es pésimo para la economía. Como ya había hecho en la conferencia de banqueros centrales de Jackson Hole, celebrada a finales del verano, echó un jarro de agua fría sobre la denominada normalización de la política monetaria. Después de acordar cuatro alzas seguidas en los tipos de interés de 0,75 puntos básicos en el último medio año, Powell confirmó que a partir de ahora subirán de manera más pausada. Pero a renglón seguido matizó que llegarán más lejos, es decir, que superarán el 5% previsto hasta ahora por los mercados.</w:t>
      </w:r>
    </w:p>
    <w:p w:rsidR="003E7405" w:rsidRPr="003E7405" w:rsidRDefault="003E7405" w:rsidP="003E7405">
      <w:pPr>
        <w:spacing w:line="240" w:lineRule="auto"/>
        <w:jc w:val="both"/>
        <w:rPr>
          <w:rFonts w:ascii="Times New Roman" w:hAnsi="Times New Roman" w:cs="Times New Roman"/>
          <w:sz w:val="24"/>
          <w:szCs w:val="24"/>
          <w:u w:val="single"/>
        </w:rPr>
      </w:pPr>
      <w:r w:rsidRPr="003E7405">
        <w:rPr>
          <w:rFonts w:ascii="Times New Roman" w:hAnsi="Times New Roman" w:cs="Times New Roman"/>
          <w:sz w:val="24"/>
          <w:szCs w:val="24"/>
          <w:u w:val="single"/>
        </w:rPr>
        <w:t>La inflación americana alcanzó el 8,2% en septiembre</w:t>
      </w:r>
      <w:r w:rsidRPr="00FF0453">
        <w:rPr>
          <w:rFonts w:ascii="Times New Roman" w:hAnsi="Times New Roman" w:cs="Times New Roman"/>
          <w:sz w:val="24"/>
          <w:szCs w:val="24"/>
        </w:rPr>
        <w:t xml:space="preserve">, una décima menos del mes precedente, pero mayor que lo previsto, </w:t>
      </w:r>
      <w:r w:rsidRPr="003E7405">
        <w:rPr>
          <w:rFonts w:ascii="Times New Roman" w:hAnsi="Times New Roman" w:cs="Times New Roman"/>
          <w:sz w:val="24"/>
          <w:szCs w:val="24"/>
          <w:u w:val="single"/>
        </w:rPr>
        <w:t>mientras que el desempleo está en el 3,7% y la economía salió de la recesión técnica en que estaba en el tercer trimestre, con un incremento interanual del 2,6% gracias a la robustez del consumo.</w:t>
      </w:r>
    </w:p>
    <w:p w:rsidR="003E7405" w:rsidRPr="003E7405" w:rsidRDefault="003E7405" w:rsidP="003E7405">
      <w:pPr>
        <w:spacing w:line="240" w:lineRule="auto"/>
        <w:jc w:val="both"/>
        <w:rPr>
          <w:rFonts w:ascii="Times New Roman" w:hAnsi="Times New Roman" w:cs="Times New Roman"/>
          <w:sz w:val="24"/>
          <w:szCs w:val="24"/>
          <w:u w:val="single"/>
        </w:rPr>
      </w:pPr>
      <w:r w:rsidRPr="003E7405">
        <w:rPr>
          <w:rFonts w:ascii="Times New Roman" w:hAnsi="Times New Roman" w:cs="Times New Roman"/>
          <w:sz w:val="24"/>
          <w:szCs w:val="24"/>
          <w:u w:val="single"/>
        </w:rPr>
        <w:lastRenderedPageBreak/>
        <w:t>Con estos datos, pleno empleo y crecimiento al alza, es normal que Powell siga preocupado por la inflación. El repunte de la actividad presionará a los precios y alejará el alcance del objetivo de inflación del 2% a medio plazo.</w:t>
      </w:r>
    </w:p>
    <w:p w:rsidR="003E7405" w:rsidRPr="003E7405" w:rsidRDefault="003E7405" w:rsidP="003E7405">
      <w:pPr>
        <w:spacing w:line="240" w:lineRule="auto"/>
        <w:jc w:val="both"/>
        <w:rPr>
          <w:rFonts w:ascii="Times New Roman" w:hAnsi="Times New Roman" w:cs="Times New Roman"/>
          <w:color w:val="FF0000"/>
          <w:sz w:val="24"/>
          <w:szCs w:val="24"/>
          <w:u w:val="single"/>
        </w:rPr>
      </w:pPr>
      <w:r w:rsidRPr="003E7405">
        <w:rPr>
          <w:rFonts w:ascii="Times New Roman" w:hAnsi="Times New Roman" w:cs="Times New Roman"/>
          <w:color w:val="FF0000"/>
          <w:sz w:val="24"/>
          <w:szCs w:val="24"/>
          <w:u w:val="single"/>
        </w:rPr>
        <w:t>En la Eurozona, el panorama es muy distinto al de Estados Unidos. La mayoría de los países está al borde de la recesión o con crecimiento plano, mientras que la inflación está disparada y la llegada del invierno augura que los costes energéticos pueden experimentar mayores incrementos por culpa del frío y de las bajas temperaturas.</w:t>
      </w:r>
    </w:p>
    <w:p w:rsidR="003E7405" w:rsidRPr="003E7405" w:rsidRDefault="003E7405" w:rsidP="003E7405">
      <w:pPr>
        <w:spacing w:line="240" w:lineRule="auto"/>
        <w:jc w:val="both"/>
        <w:rPr>
          <w:rFonts w:ascii="Times New Roman" w:hAnsi="Times New Roman" w:cs="Times New Roman"/>
          <w:color w:val="FF0000"/>
          <w:sz w:val="24"/>
          <w:szCs w:val="24"/>
          <w:u w:val="single"/>
        </w:rPr>
      </w:pPr>
      <w:r w:rsidRPr="003E7405">
        <w:rPr>
          <w:rFonts w:ascii="Times New Roman" w:hAnsi="Times New Roman" w:cs="Times New Roman"/>
          <w:color w:val="FF0000"/>
          <w:sz w:val="24"/>
          <w:szCs w:val="24"/>
          <w:u w:val="single"/>
        </w:rPr>
        <w:t>Muchos analistas e instituciones pronostican que los grandes países europeos entrarán en recesión técnica (dos trimestres seguidos de crecimiento negativo) entre finales de este ejercicio y comienzos del nuevo. Además, la producción industrial está en toda Europa por debajo de la frontera de los 50 puntos, que marca la diferencia entre u</w:t>
      </w:r>
      <w:r>
        <w:rPr>
          <w:rFonts w:ascii="Times New Roman" w:hAnsi="Times New Roman" w:cs="Times New Roman"/>
          <w:color w:val="FF0000"/>
          <w:sz w:val="24"/>
          <w:szCs w:val="24"/>
          <w:u w:val="single"/>
        </w:rPr>
        <w:t>n periodo recesivo o</w:t>
      </w:r>
      <w:r w:rsidRPr="003E7405">
        <w:rPr>
          <w:rFonts w:ascii="Times New Roman" w:hAnsi="Times New Roman" w:cs="Times New Roman"/>
          <w:color w:val="FF0000"/>
          <w:sz w:val="24"/>
          <w:szCs w:val="24"/>
          <w:u w:val="single"/>
        </w:rPr>
        <w:t xml:space="preserve"> expansivo.</w:t>
      </w:r>
    </w:p>
    <w:p w:rsidR="003E7405" w:rsidRPr="00FF0453" w:rsidRDefault="003E7405" w:rsidP="003E7405">
      <w:pPr>
        <w:spacing w:line="240" w:lineRule="auto"/>
        <w:jc w:val="both"/>
        <w:rPr>
          <w:rFonts w:ascii="Times New Roman" w:hAnsi="Times New Roman" w:cs="Times New Roman"/>
          <w:sz w:val="24"/>
          <w:szCs w:val="24"/>
        </w:rPr>
      </w:pPr>
      <w:r w:rsidRPr="00FF0453">
        <w:rPr>
          <w:rFonts w:ascii="Times New Roman" w:hAnsi="Times New Roman" w:cs="Times New Roman"/>
          <w:sz w:val="24"/>
          <w:szCs w:val="24"/>
        </w:rPr>
        <w:t>Aunque es difícil hacer previsiones más allá de abril, ante esta situación tan delicada el gobernador del Banco de España, Pablo Hernández de Cos, recomendaba, en la recepción del premio Echegaray por parte de elEconomista, que había que se</w:t>
      </w:r>
      <w:r>
        <w:rPr>
          <w:rFonts w:ascii="Times New Roman" w:hAnsi="Times New Roman" w:cs="Times New Roman"/>
          <w:sz w:val="24"/>
          <w:szCs w:val="24"/>
        </w:rPr>
        <w:t>r</w:t>
      </w:r>
      <w:r w:rsidRPr="00FF0453">
        <w:rPr>
          <w:rFonts w:ascii="Times New Roman" w:hAnsi="Times New Roman" w:cs="Times New Roman"/>
          <w:sz w:val="24"/>
          <w:szCs w:val="24"/>
        </w:rPr>
        <w:t xml:space="preserve"> cautel</w:t>
      </w:r>
      <w:r>
        <w:rPr>
          <w:rFonts w:ascii="Times New Roman" w:hAnsi="Times New Roman" w:cs="Times New Roman"/>
          <w:sz w:val="24"/>
          <w:szCs w:val="24"/>
        </w:rPr>
        <w:t>osos con la política monetaria.</w:t>
      </w:r>
    </w:p>
    <w:p w:rsidR="003E7405" w:rsidRPr="003E7405" w:rsidRDefault="003E7405" w:rsidP="003E7405">
      <w:pPr>
        <w:spacing w:line="240" w:lineRule="auto"/>
        <w:jc w:val="both"/>
        <w:rPr>
          <w:rFonts w:ascii="Times New Roman" w:hAnsi="Times New Roman" w:cs="Times New Roman"/>
          <w:sz w:val="24"/>
          <w:szCs w:val="24"/>
          <w:u w:val="single"/>
        </w:rPr>
      </w:pPr>
      <w:r w:rsidRPr="003E7405">
        <w:rPr>
          <w:rFonts w:ascii="Times New Roman" w:hAnsi="Times New Roman" w:cs="Times New Roman"/>
          <w:sz w:val="24"/>
          <w:szCs w:val="24"/>
          <w:u w:val="single"/>
        </w:rPr>
        <w:t>¿Eso significa que los tipos van a subir menos y más despacio que en Estados Unidos? La respuesta es sí. Pero la inflación en Europa se disparó en septiembre dos puntos y medio por encima de la americana, al 10,7%. Además, la tasa subyacente, que excluye petróleo y alimentos frescos, alcanzó el 5%, lo que muestra que se extiende ya a todos los ámbitos de la economía. Una prueba de que será duradera, no se corregirá en unos meses, como creían los bancos centrales al principio,</w:t>
      </w:r>
    </w:p>
    <w:p w:rsidR="003E7405" w:rsidRPr="00C85A76" w:rsidRDefault="003E7405" w:rsidP="003E7405">
      <w:pPr>
        <w:spacing w:line="240" w:lineRule="auto"/>
        <w:jc w:val="both"/>
        <w:rPr>
          <w:rFonts w:ascii="Times New Roman" w:hAnsi="Times New Roman" w:cs="Times New Roman"/>
          <w:sz w:val="24"/>
          <w:szCs w:val="24"/>
          <w:u w:val="single"/>
        </w:rPr>
      </w:pPr>
      <w:r w:rsidRPr="00C85A76">
        <w:rPr>
          <w:rFonts w:ascii="Times New Roman" w:hAnsi="Times New Roman" w:cs="Times New Roman"/>
          <w:sz w:val="24"/>
          <w:szCs w:val="24"/>
          <w:u w:val="single"/>
        </w:rPr>
        <w:t>Existen factores geopolíticos tendentes a apuntalar los precios a largo plazo. El fin de la globalización encarecerá los procesos productivos, a causa de factores como la mano de obra, que será local o de regiones más ricas, mientras que el envejecimiento de la población restringirá su oferta, como ya está pasando en algunos oficios.</w:t>
      </w:r>
    </w:p>
    <w:p w:rsidR="003E7405" w:rsidRPr="00C85A76" w:rsidRDefault="003E7405" w:rsidP="003E7405">
      <w:pPr>
        <w:spacing w:line="240" w:lineRule="auto"/>
        <w:jc w:val="both"/>
        <w:rPr>
          <w:rFonts w:ascii="Times New Roman" w:hAnsi="Times New Roman" w:cs="Times New Roman"/>
          <w:sz w:val="24"/>
          <w:szCs w:val="24"/>
          <w:u w:val="single"/>
        </w:rPr>
      </w:pPr>
      <w:r w:rsidRPr="00C85A76">
        <w:rPr>
          <w:rFonts w:ascii="Times New Roman" w:hAnsi="Times New Roman" w:cs="Times New Roman"/>
          <w:color w:val="FF0000"/>
          <w:sz w:val="24"/>
          <w:szCs w:val="24"/>
          <w:u w:val="single"/>
        </w:rPr>
        <w:t>Ya hemos dicho que los precios seguirán subiendo este invierno por culpa de la energía. ¿Y descenderán en primavera y se resolverá el asunto? Eso tampoco está claro.</w:t>
      </w:r>
      <w:r w:rsidRPr="00C85A76">
        <w:rPr>
          <w:rFonts w:ascii="Times New Roman" w:hAnsi="Times New Roman" w:cs="Times New Roman"/>
          <w:sz w:val="24"/>
          <w:szCs w:val="24"/>
          <w:u w:val="single"/>
        </w:rPr>
        <w:t xml:space="preserve"> Después de afectar a la mayoría de los bienes de consumo, desde </w:t>
      </w:r>
      <w:r w:rsidR="00C85A76" w:rsidRPr="00C85A76">
        <w:rPr>
          <w:rFonts w:ascii="Times New Roman" w:hAnsi="Times New Roman" w:cs="Times New Roman"/>
          <w:sz w:val="24"/>
          <w:szCs w:val="24"/>
          <w:u w:val="single"/>
        </w:rPr>
        <w:t>alimentos básico a automóviles o</w:t>
      </w:r>
      <w:r w:rsidRPr="00C85A76">
        <w:rPr>
          <w:rFonts w:ascii="Times New Roman" w:hAnsi="Times New Roman" w:cs="Times New Roman"/>
          <w:sz w:val="24"/>
          <w:szCs w:val="24"/>
          <w:u w:val="single"/>
        </w:rPr>
        <w:t xml:space="preserve"> vivienda, la inflación comienza a trasladarse a los salarios.</w:t>
      </w:r>
    </w:p>
    <w:p w:rsidR="003E7405" w:rsidRPr="00C85A76" w:rsidRDefault="003E7405" w:rsidP="003E7405">
      <w:pPr>
        <w:spacing w:line="240" w:lineRule="auto"/>
        <w:jc w:val="both"/>
        <w:rPr>
          <w:rFonts w:ascii="Times New Roman" w:hAnsi="Times New Roman" w:cs="Times New Roman"/>
          <w:color w:val="FF0000"/>
          <w:sz w:val="24"/>
          <w:szCs w:val="24"/>
          <w:u w:val="single"/>
        </w:rPr>
      </w:pPr>
      <w:r w:rsidRPr="00C85A76">
        <w:rPr>
          <w:rFonts w:ascii="Times New Roman" w:hAnsi="Times New Roman" w:cs="Times New Roman"/>
          <w:color w:val="FF0000"/>
          <w:sz w:val="24"/>
          <w:szCs w:val="24"/>
          <w:u w:val="single"/>
        </w:rPr>
        <w:t xml:space="preserve">Los sindicatos reclaman, con razón, incrementos de los sueldos para mantener el poder adquisitivo de los ciudadanos, que a su vez provocará alzas de los productos y servicios de estas empresas para poder sufragar los salarios de sus empleados. Los expertos llaman </w:t>
      </w:r>
      <w:r w:rsidR="00C85A76">
        <w:rPr>
          <w:rFonts w:ascii="Times New Roman" w:hAnsi="Times New Roman" w:cs="Times New Roman"/>
          <w:color w:val="FF0000"/>
          <w:sz w:val="24"/>
          <w:szCs w:val="24"/>
          <w:u w:val="single"/>
        </w:rPr>
        <w:t>a esto efecto de segunda ronda o</w:t>
      </w:r>
      <w:r w:rsidRPr="00C85A76">
        <w:rPr>
          <w:rFonts w:ascii="Times New Roman" w:hAnsi="Times New Roman" w:cs="Times New Roman"/>
          <w:color w:val="FF0000"/>
          <w:sz w:val="24"/>
          <w:szCs w:val="24"/>
          <w:u w:val="single"/>
        </w:rPr>
        <w:t xml:space="preserve"> espiral inflacionista, porque puede ser dañino para la actividad económica.</w:t>
      </w:r>
    </w:p>
    <w:p w:rsidR="003E7405" w:rsidRPr="00FF0453" w:rsidRDefault="003E7405" w:rsidP="003E7405">
      <w:pPr>
        <w:spacing w:line="240" w:lineRule="auto"/>
        <w:jc w:val="both"/>
        <w:rPr>
          <w:rFonts w:ascii="Times New Roman" w:hAnsi="Times New Roman" w:cs="Times New Roman"/>
          <w:sz w:val="24"/>
          <w:szCs w:val="24"/>
        </w:rPr>
      </w:pPr>
      <w:r w:rsidRPr="00C85A76">
        <w:rPr>
          <w:rFonts w:ascii="Times New Roman" w:hAnsi="Times New Roman" w:cs="Times New Roman"/>
          <w:sz w:val="24"/>
          <w:szCs w:val="24"/>
          <w:u w:val="single"/>
        </w:rPr>
        <w:t>De nuevo, hay que diferenciar Estados Unidos de Europa. En América, los salarios mejoran a tasas próximas al 5%, mucho más que en Europa, donde hasta ahora lo hacen en torno al 3% anual.</w:t>
      </w:r>
      <w:r w:rsidRPr="00FF0453">
        <w:rPr>
          <w:rFonts w:ascii="Times New Roman" w:hAnsi="Times New Roman" w:cs="Times New Roman"/>
          <w:sz w:val="24"/>
          <w:szCs w:val="24"/>
        </w:rPr>
        <w:t xml:space="preserve"> En España, sólo un tercio de los convenios está indiciado a la inflación, pero poco a poco irán actualizándose, de manera que el incremento medio para el año que viene puede rondar entre el cuatro y el 5%, la mitad de la tasa de inflación. Aquí tenemos otro indicador de que los precios continuarían incrementándose, aunque la guerr</w:t>
      </w:r>
      <w:r>
        <w:rPr>
          <w:rFonts w:ascii="Times New Roman" w:hAnsi="Times New Roman" w:cs="Times New Roman"/>
          <w:sz w:val="24"/>
          <w:szCs w:val="24"/>
        </w:rPr>
        <w:t>a de Ucrania se acabara mañana.</w:t>
      </w:r>
    </w:p>
    <w:p w:rsidR="003E7405" w:rsidRPr="00C85A76" w:rsidRDefault="003E7405" w:rsidP="003E7405">
      <w:pPr>
        <w:spacing w:line="240" w:lineRule="auto"/>
        <w:jc w:val="both"/>
        <w:rPr>
          <w:rFonts w:ascii="Times New Roman" w:hAnsi="Times New Roman" w:cs="Times New Roman"/>
          <w:color w:val="FF0000"/>
          <w:sz w:val="24"/>
          <w:szCs w:val="24"/>
          <w:u w:val="single"/>
        </w:rPr>
      </w:pPr>
      <w:r w:rsidRPr="00C85A76">
        <w:rPr>
          <w:rFonts w:ascii="Times New Roman" w:hAnsi="Times New Roman" w:cs="Times New Roman"/>
          <w:color w:val="FF0000"/>
          <w:sz w:val="24"/>
          <w:szCs w:val="24"/>
          <w:u w:val="single"/>
        </w:rPr>
        <w:t xml:space="preserve">Cualquiera análisis de la coyuntura económica llegaría a la misma conclusión que nosotros. La inflación seguirá al alza y se mantendrá alta durante más tiempo de lo previsto. ¿Qué hará </w:t>
      </w:r>
      <w:r w:rsidRPr="00C85A76">
        <w:rPr>
          <w:rFonts w:ascii="Times New Roman" w:hAnsi="Times New Roman" w:cs="Times New Roman"/>
          <w:color w:val="FF0000"/>
          <w:sz w:val="24"/>
          <w:szCs w:val="24"/>
          <w:u w:val="single"/>
        </w:rPr>
        <w:lastRenderedPageBreak/>
        <w:t>el BCE en esta coyuntura? En Europa, los tipos están en el 2%, la mitad que en Estados Unidos.</w:t>
      </w:r>
    </w:p>
    <w:p w:rsidR="003E7405" w:rsidRPr="00C85A76" w:rsidRDefault="003E7405" w:rsidP="003E7405">
      <w:pPr>
        <w:spacing w:line="240" w:lineRule="auto"/>
        <w:jc w:val="both"/>
        <w:rPr>
          <w:rFonts w:ascii="Times New Roman" w:hAnsi="Times New Roman" w:cs="Times New Roman"/>
          <w:b/>
          <w:color w:val="FF0000"/>
          <w:sz w:val="24"/>
          <w:szCs w:val="24"/>
          <w:u w:val="single"/>
        </w:rPr>
      </w:pPr>
      <w:r w:rsidRPr="00C85A76">
        <w:rPr>
          <w:rFonts w:ascii="Times New Roman" w:hAnsi="Times New Roman" w:cs="Times New Roman"/>
          <w:b/>
          <w:color w:val="FF0000"/>
          <w:sz w:val="24"/>
          <w:szCs w:val="24"/>
          <w:u w:val="single"/>
        </w:rPr>
        <w:t>La explicación dada hasta ahora por la presidenta del BCE, Christine Lagarde, es que se trata de una inflación causada por la falta de oferta, en vez de por el exceso de demanda. Me explico, la escasez de petróleo, gas, de materias primas o incluso de chips para los productos tecnológicos, junto con la ruptura de las cadenas de suministro, es responsable de la subida de dos tercios de su precio, mientras que el resto sería por la demanda. Esto va a seguir siendo así durante mucho tiempo con una economía en punto muerto o en recesión.</w:t>
      </w:r>
    </w:p>
    <w:p w:rsidR="003E7405" w:rsidRPr="00C85A76" w:rsidRDefault="003E7405" w:rsidP="003E7405">
      <w:pPr>
        <w:spacing w:line="240" w:lineRule="auto"/>
        <w:jc w:val="both"/>
        <w:rPr>
          <w:rFonts w:ascii="Times New Roman" w:hAnsi="Times New Roman" w:cs="Times New Roman"/>
          <w:b/>
          <w:color w:val="FF0000"/>
          <w:sz w:val="24"/>
          <w:szCs w:val="24"/>
          <w:u w:val="single"/>
        </w:rPr>
      </w:pPr>
      <w:r w:rsidRPr="00C85A76">
        <w:rPr>
          <w:rFonts w:ascii="Times New Roman" w:hAnsi="Times New Roman" w:cs="Times New Roman"/>
          <w:b/>
          <w:color w:val="FF0000"/>
          <w:sz w:val="24"/>
          <w:szCs w:val="24"/>
          <w:u w:val="single"/>
        </w:rPr>
        <w:t>De acuerdo con esta visión, el BCE no debería endurecer ahora su política monetaria, sino todo lo contrario, debería relajarla a fin de incentivar el consumo y, por ende, el crecimiento, como se hizo en la pandemia.</w:t>
      </w:r>
    </w:p>
    <w:p w:rsidR="003E7405" w:rsidRPr="00FF0453" w:rsidRDefault="003E7405" w:rsidP="003E7405">
      <w:pPr>
        <w:spacing w:line="240" w:lineRule="auto"/>
        <w:jc w:val="both"/>
        <w:rPr>
          <w:rFonts w:ascii="Times New Roman" w:hAnsi="Times New Roman" w:cs="Times New Roman"/>
          <w:sz w:val="24"/>
          <w:szCs w:val="24"/>
        </w:rPr>
      </w:pPr>
      <w:r w:rsidRPr="00C85A76">
        <w:rPr>
          <w:rFonts w:ascii="Times New Roman" w:hAnsi="Times New Roman" w:cs="Times New Roman"/>
          <w:b/>
          <w:color w:val="FF0000"/>
          <w:sz w:val="24"/>
          <w:szCs w:val="24"/>
          <w:u w:val="single"/>
        </w:rPr>
        <w:t>El problema es la inflación. El mandato del BCE, como el de la FED es situarla en el 2% a medio plazo</w:t>
      </w:r>
      <w:r w:rsidRPr="00FF0453">
        <w:rPr>
          <w:rFonts w:ascii="Times New Roman" w:hAnsi="Times New Roman" w:cs="Times New Roman"/>
          <w:sz w:val="24"/>
          <w:szCs w:val="24"/>
        </w:rPr>
        <w:t xml:space="preserve">. La previsión es que acabe este año en torno al 8,1%, el que viene en el 5,5 y al siguiente en el 2,3. Sólo tres décimas superiores al objetivo que se marca el BCE. Pero la inflación se revisó al alza en los últimos trimestres. La previsión puede cambiar a medida </w:t>
      </w:r>
      <w:r>
        <w:rPr>
          <w:rFonts w:ascii="Times New Roman" w:hAnsi="Times New Roman" w:cs="Times New Roman"/>
          <w:sz w:val="24"/>
          <w:szCs w:val="24"/>
        </w:rPr>
        <w:t>que nos acerquemos a esa fecha.</w:t>
      </w:r>
    </w:p>
    <w:p w:rsidR="003E7405" w:rsidRPr="00C85A76" w:rsidRDefault="003E7405" w:rsidP="003E7405">
      <w:pPr>
        <w:spacing w:line="240" w:lineRule="auto"/>
        <w:jc w:val="both"/>
        <w:rPr>
          <w:rFonts w:ascii="Times New Roman" w:hAnsi="Times New Roman" w:cs="Times New Roman"/>
          <w:color w:val="FF0000"/>
          <w:sz w:val="24"/>
          <w:szCs w:val="24"/>
          <w:u w:val="single"/>
        </w:rPr>
      </w:pPr>
      <w:r w:rsidRPr="00C85A76">
        <w:rPr>
          <w:rFonts w:ascii="Times New Roman" w:hAnsi="Times New Roman" w:cs="Times New Roman"/>
          <w:color w:val="FF0000"/>
          <w:sz w:val="24"/>
          <w:szCs w:val="24"/>
          <w:u w:val="single"/>
        </w:rPr>
        <w:t>Con este escenario, los analistas prevén que los tipos de interés se vayan a finales del año que viene al 3,5%, dos puntos por debajo de la FED, ya que después de la</w:t>
      </w:r>
      <w:r w:rsidR="00C85A76" w:rsidRPr="00C85A76">
        <w:rPr>
          <w:rFonts w:ascii="Times New Roman" w:hAnsi="Times New Roman" w:cs="Times New Roman"/>
          <w:color w:val="FF0000"/>
          <w:sz w:val="24"/>
          <w:szCs w:val="24"/>
          <w:u w:val="single"/>
        </w:rPr>
        <w:t>s</w:t>
      </w:r>
      <w:r w:rsidRPr="00C85A76">
        <w:rPr>
          <w:rFonts w:ascii="Times New Roman" w:hAnsi="Times New Roman" w:cs="Times New Roman"/>
          <w:color w:val="FF0000"/>
          <w:sz w:val="24"/>
          <w:szCs w:val="24"/>
          <w:u w:val="single"/>
        </w:rPr>
        <w:t xml:space="preserve"> palabras de Powell, los mercados elevan un mínimo de medio punto su previsión, al 5,5.</w:t>
      </w:r>
    </w:p>
    <w:p w:rsidR="003E7405" w:rsidRPr="00C85A76" w:rsidRDefault="003E7405" w:rsidP="003E7405">
      <w:pPr>
        <w:spacing w:line="240" w:lineRule="auto"/>
        <w:jc w:val="both"/>
        <w:rPr>
          <w:rFonts w:ascii="Times New Roman" w:hAnsi="Times New Roman" w:cs="Times New Roman"/>
          <w:color w:val="FF0000"/>
          <w:sz w:val="24"/>
          <w:szCs w:val="24"/>
          <w:u w:val="single"/>
        </w:rPr>
      </w:pPr>
      <w:r w:rsidRPr="00C85A76">
        <w:rPr>
          <w:rFonts w:ascii="Times New Roman" w:hAnsi="Times New Roman" w:cs="Times New Roman"/>
          <w:color w:val="FF0000"/>
          <w:sz w:val="24"/>
          <w:szCs w:val="24"/>
          <w:u w:val="single"/>
        </w:rPr>
        <w:t>En Europa, el contagio de los salarios por la inflación y el aumento de los costes energéticos este invierno también presionará sobre los tipos de interés, hasta niveles en torno a 4% a finales del próximo año, según fuentes monetarias próximas al BCE. Eso supone que el precio del dinero se volverá a duplicar el próximo año, aunque sea de manera más pausada que hasta ahora. Nos queda mucho sufrimiento por delante.</w:t>
      </w:r>
    </w:p>
    <w:p w:rsidR="003E7405" w:rsidRPr="00FF0453" w:rsidRDefault="003E7405" w:rsidP="003E7405">
      <w:pPr>
        <w:spacing w:line="240" w:lineRule="auto"/>
        <w:jc w:val="both"/>
        <w:rPr>
          <w:rFonts w:ascii="Times New Roman" w:hAnsi="Times New Roman" w:cs="Times New Roman"/>
          <w:sz w:val="24"/>
          <w:szCs w:val="24"/>
        </w:rPr>
      </w:pPr>
      <w:r w:rsidRPr="00FF0453">
        <w:rPr>
          <w:rFonts w:ascii="Times New Roman" w:hAnsi="Times New Roman" w:cs="Times New Roman"/>
          <w:sz w:val="24"/>
          <w:szCs w:val="24"/>
        </w:rPr>
        <w:t xml:space="preserve">Con el suspense añadido, de que Lagarde anunciará a final de año cuando comenzará a reducir las compras de deuda de los estados miembros a medida que venzan las emisiones y a qué ritmo. El recorte de la cartera del denominado APP (programa de compra de activos) adquirido por el BCE podría adelantarse a 2023 y resucitar las tensiones sobre las primas de riesgo </w:t>
      </w:r>
      <w:r>
        <w:rPr>
          <w:rFonts w:ascii="Times New Roman" w:hAnsi="Times New Roman" w:cs="Times New Roman"/>
          <w:sz w:val="24"/>
          <w:szCs w:val="24"/>
        </w:rPr>
        <w:t>de país</w:t>
      </w:r>
      <w:r w:rsidR="00C85A76">
        <w:rPr>
          <w:rFonts w:ascii="Times New Roman" w:hAnsi="Times New Roman" w:cs="Times New Roman"/>
          <w:sz w:val="24"/>
          <w:szCs w:val="24"/>
        </w:rPr>
        <w:t>es como España o</w:t>
      </w:r>
      <w:r>
        <w:rPr>
          <w:rFonts w:ascii="Times New Roman" w:hAnsi="Times New Roman" w:cs="Times New Roman"/>
          <w:sz w:val="24"/>
          <w:szCs w:val="24"/>
        </w:rPr>
        <w:t xml:space="preserve"> Italia.</w:t>
      </w:r>
    </w:p>
    <w:p w:rsidR="003E7405" w:rsidRDefault="003E7405" w:rsidP="003E7405">
      <w:pPr>
        <w:spacing w:line="240" w:lineRule="auto"/>
        <w:jc w:val="both"/>
        <w:rPr>
          <w:rFonts w:ascii="Times New Roman" w:hAnsi="Times New Roman" w:cs="Times New Roman"/>
          <w:color w:val="FF0000"/>
          <w:sz w:val="24"/>
          <w:szCs w:val="24"/>
        </w:rPr>
      </w:pPr>
      <w:r w:rsidRPr="00C85A76">
        <w:rPr>
          <w:rFonts w:ascii="Times New Roman" w:hAnsi="Times New Roman" w:cs="Times New Roman"/>
          <w:b/>
          <w:color w:val="FF0000"/>
          <w:sz w:val="24"/>
          <w:szCs w:val="24"/>
          <w:u w:val="single"/>
        </w:rPr>
        <w:t>Solo si la economía se hunde en una recesión profunda, el BCE refrenará sus impulsos, porque como hemos visto la demanda interna sólo aporta un tercio de la inflación. Como suele decirse, muerto el perro, se acabó la rabia. Pero en este caso, sería peor el remedio que la enfermedad. Lagarde juega con fuego, porque con una economía tan debilitada, el endurecimiento de la política monetaria nos conducirá inevitablemente a la recesión. Y a part</w:t>
      </w:r>
      <w:r w:rsidR="00C85A76">
        <w:rPr>
          <w:rFonts w:ascii="Times New Roman" w:hAnsi="Times New Roman" w:cs="Times New Roman"/>
          <w:b/>
          <w:color w:val="FF0000"/>
          <w:sz w:val="24"/>
          <w:szCs w:val="24"/>
          <w:u w:val="single"/>
        </w:rPr>
        <w:t>ir de ahí, ya se verá qué pasa</w:t>
      </w:r>
      <w:r w:rsidR="00C85A76" w:rsidRPr="00C85A76">
        <w:rPr>
          <w:rFonts w:ascii="Times New Roman" w:hAnsi="Times New Roman" w:cs="Times New Roman"/>
          <w:color w:val="FF0000"/>
          <w:sz w:val="24"/>
          <w:szCs w:val="24"/>
        </w:rPr>
        <w:t>…</w:t>
      </w:r>
    </w:p>
    <w:p w:rsidR="00BE2592" w:rsidRPr="00F25E47" w:rsidRDefault="00BE2592" w:rsidP="00BE259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F25E47">
        <w:rPr>
          <w:rFonts w:ascii="Times New Roman" w:hAnsi="Times New Roman" w:cs="Times New Roman"/>
          <w:sz w:val="24"/>
          <w:szCs w:val="24"/>
          <w:u w:val="single"/>
        </w:rPr>
        <w:t>La tecnocracia tras la subida de tipos</w:t>
      </w:r>
      <w:r>
        <w:rPr>
          <w:rFonts w:ascii="Times New Roman" w:hAnsi="Times New Roman" w:cs="Times New Roman"/>
          <w:sz w:val="24"/>
          <w:szCs w:val="24"/>
        </w:rPr>
        <w:t xml:space="preserve"> (Vozpópuli - </w:t>
      </w:r>
      <w:r w:rsidRPr="00F25E47">
        <w:rPr>
          <w:rFonts w:ascii="Times New Roman" w:hAnsi="Times New Roman" w:cs="Times New Roman"/>
          <w:b/>
          <w:sz w:val="24"/>
          <w:szCs w:val="24"/>
        </w:rPr>
        <w:t>7/11/22</w:t>
      </w:r>
      <w:r>
        <w:rPr>
          <w:rFonts w:ascii="Times New Roman" w:hAnsi="Times New Roman" w:cs="Times New Roman"/>
          <w:sz w:val="24"/>
          <w:szCs w:val="24"/>
        </w:rPr>
        <w:t>)</w:t>
      </w:r>
    </w:p>
    <w:p w:rsidR="00BE2592" w:rsidRPr="00BE2592" w:rsidRDefault="00BE2592" w:rsidP="00BE2592">
      <w:pPr>
        <w:spacing w:line="240" w:lineRule="auto"/>
        <w:jc w:val="both"/>
        <w:rPr>
          <w:rFonts w:ascii="Times New Roman" w:hAnsi="Times New Roman" w:cs="Times New Roman"/>
          <w:color w:val="FF0000"/>
          <w:sz w:val="24"/>
          <w:szCs w:val="24"/>
        </w:rPr>
      </w:pPr>
      <w:r w:rsidRPr="00BE2592">
        <w:rPr>
          <w:rFonts w:ascii="Times New Roman" w:hAnsi="Times New Roman" w:cs="Times New Roman"/>
          <w:color w:val="FF0000"/>
          <w:sz w:val="24"/>
          <w:szCs w:val="24"/>
        </w:rPr>
        <w:t>El papel desempeñado en este 2022 por los Bancos Centrales los pone en la tesitura de dañar a la economía para salvarla</w:t>
      </w:r>
    </w:p>
    <w:p w:rsidR="00BE2592" w:rsidRPr="00F25E47" w:rsidRDefault="00BE2592" w:rsidP="00BE2592">
      <w:pPr>
        <w:spacing w:line="240" w:lineRule="auto"/>
        <w:jc w:val="both"/>
        <w:rPr>
          <w:rFonts w:ascii="Times New Roman" w:hAnsi="Times New Roman" w:cs="Times New Roman"/>
          <w:sz w:val="24"/>
          <w:szCs w:val="24"/>
        </w:rPr>
      </w:pPr>
      <w:r>
        <w:rPr>
          <w:rFonts w:ascii="Times New Roman" w:hAnsi="Times New Roman" w:cs="Times New Roman"/>
          <w:sz w:val="24"/>
          <w:szCs w:val="24"/>
        </w:rPr>
        <w:t>(Por Manuel Hidalgo)</w:t>
      </w:r>
    </w:p>
    <w:p w:rsidR="00BE2592" w:rsidRPr="00F25E47" w:rsidRDefault="00BE2592" w:rsidP="00BE2592">
      <w:pPr>
        <w:spacing w:line="240" w:lineRule="auto"/>
        <w:jc w:val="both"/>
        <w:rPr>
          <w:rFonts w:ascii="Times New Roman" w:hAnsi="Times New Roman" w:cs="Times New Roman"/>
          <w:sz w:val="24"/>
          <w:szCs w:val="24"/>
        </w:rPr>
      </w:pPr>
      <w:r w:rsidRPr="00F25E47">
        <w:rPr>
          <w:rFonts w:ascii="Times New Roman" w:hAnsi="Times New Roman" w:cs="Times New Roman"/>
          <w:sz w:val="24"/>
          <w:szCs w:val="24"/>
        </w:rPr>
        <w:t xml:space="preserve">Hoy voy a robarles poco tiempo. Creo que lo que les quiero contar no necesita de demasiada argumentación, aunque es, cuando menos, importante dejarla bien clara. Sin embargo, en esta </w:t>
      </w:r>
      <w:r w:rsidRPr="00F25E47">
        <w:rPr>
          <w:rFonts w:ascii="Times New Roman" w:hAnsi="Times New Roman" w:cs="Times New Roman"/>
          <w:sz w:val="24"/>
          <w:szCs w:val="24"/>
        </w:rPr>
        <w:lastRenderedPageBreak/>
        <w:t xml:space="preserve">ocasión, las razones por las que voy a defender mi idea son sencillas y directas, de ahí que no exija demasiadas </w:t>
      </w:r>
      <w:r>
        <w:rPr>
          <w:rFonts w:ascii="Times New Roman" w:hAnsi="Times New Roman" w:cs="Times New Roman"/>
          <w:sz w:val="24"/>
          <w:szCs w:val="24"/>
        </w:rPr>
        <w:t>líneas ni palabras.</w:t>
      </w:r>
    </w:p>
    <w:p w:rsidR="00BE2592" w:rsidRPr="00BE2592" w:rsidRDefault="00BE2592" w:rsidP="00BE2592">
      <w:pPr>
        <w:spacing w:line="240" w:lineRule="auto"/>
        <w:jc w:val="both"/>
        <w:rPr>
          <w:rFonts w:ascii="Times New Roman" w:hAnsi="Times New Roman" w:cs="Times New Roman"/>
          <w:color w:val="FF0000"/>
          <w:sz w:val="24"/>
          <w:szCs w:val="24"/>
          <w:u w:val="single"/>
        </w:rPr>
      </w:pPr>
      <w:r w:rsidRPr="00BE2592">
        <w:rPr>
          <w:rFonts w:ascii="Times New Roman" w:hAnsi="Times New Roman" w:cs="Times New Roman"/>
          <w:color w:val="FF0000"/>
          <w:sz w:val="24"/>
          <w:szCs w:val="24"/>
          <w:u w:val="single"/>
        </w:rPr>
        <w:t>En estas semanas, como consecuencia del endurecimiento de la política monetaria, hemos conocido de no pocas personas, algunas de elevada responsabilidad en algún gobierno, criticar los movimientos de los bancos centrales de varios países (BCs). En particular, se ha hablado de no tener en cuenta que las decisiones que acompañan a sus políticas pueden estar dañando a la economía y a los ciudadanos. Es más, se ha dicho que una institución independiente y cuyos tecnócratas no han sido elegidos democráticamente no deberían tener tanta influencia en nuestras vidas. Esto, y de nuevo en boca de algún responsable, en sociedades que se creen a sí mismas libres y democráticas no es de recibo. Por esto creo que se debe, una vez más, explicar en unas breves líneas la razón de las políticas monetarias de ahora y por qué estas son necesarias. Luego iré a la justificación de la independencia del BC.</w:t>
      </w:r>
    </w:p>
    <w:p w:rsidR="00BE2592" w:rsidRPr="00F25E47" w:rsidRDefault="00BE2592" w:rsidP="00BE2592">
      <w:pPr>
        <w:spacing w:line="240" w:lineRule="auto"/>
        <w:jc w:val="both"/>
        <w:rPr>
          <w:rFonts w:ascii="Times New Roman" w:hAnsi="Times New Roman" w:cs="Times New Roman"/>
          <w:sz w:val="24"/>
          <w:szCs w:val="24"/>
        </w:rPr>
      </w:pPr>
      <w:r w:rsidRPr="00BE2592">
        <w:rPr>
          <w:rFonts w:ascii="Times New Roman" w:hAnsi="Times New Roman" w:cs="Times New Roman"/>
          <w:color w:val="FF0000"/>
          <w:sz w:val="24"/>
          <w:szCs w:val="24"/>
          <w:u w:val="single"/>
        </w:rPr>
        <w:t>Como bien sabemos, el episodio de inflación actual es un episodio que hunde sus raíces en sendos shocks negativos de oferta</w:t>
      </w:r>
      <w:r w:rsidRPr="00F25E47">
        <w:rPr>
          <w:rFonts w:ascii="Times New Roman" w:hAnsi="Times New Roman" w:cs="Times New Roman"/>
          <w:sz w:val="24"/>
          <w:szCs w:val="24"/>
        </w:rPr>
        <w:t xml:space="preserve">. La semana que viene trataré de nuevo este asunto con nuevas evidencias que así nos lo muestran. Esto quiere decir que tenemos más inflación, por ejemplo, en España, porque han subido el precio del gas, del petróleo, de algunos alimentos y, del resto, porque han trasladado este mayor coste energético a través de sus cadenas de producción. </w:t>
      </w:r>
      <w:r w:rsidRPr="00BE2592">
        <w:rPr>
          <w:rFonts w:ascii="Times New Roman" w:hAnsi="Times New Roman" w:cs="Times New Roman"/>
          <w:color w:val="FF0000"/>
          <w:sz w:val="24"/>
          <w:szCs w:val="24"/>
          <w:u w:val="single"/>
        </w:rPr>
        <w:t>Además, muy buena parte de esta subida se debe a la importación de inflación, es decir, de las subidas de precios vía importaciones. Ante esto, como muy bien se dice, es muy difícil doblegar a la inflación solo mediante subidas de tipos</w:t>
      </w:r>
      <w:r w:rsidRPr="00F25E47">
        <w:rPr>
          <w:rFonts w:ascii="Times New Roman" w:hAnsi="Times New Roman" w:cs="Times New Roman"/>
          <w:sz w:val="24"/>
          <w:szCs w:val="24"/>
        </w:rPr>
        <w:t xml:space="preserve">. </w:t>
      </w:r>
      <w:r w:rsidRPr="00BE2592">
        <w:rPr>
          <w:rFonts w:ascii="Times New Roman" w:hAnsi="Times New Roman" w:cs="Times New Roman"/>
          <w:color w:val="FF0000"/>
          <w:sz w:val="24"/>
          <w:szCs w:val="24"/>
          <w:u w:val="single"/>
        </w:rPr>
        <w:t>Estas subidas, como sabemos, estarían más pensadas para deprimir una demanda si esta fuera la causante de la inflación. Pero no es el caso, por lo que simplemente estaríamos castigando a un inocente.</w:t>
      </w:r>
      <w:r w:rsidRPr="00F25E47">
        <w:rPr>
          <w:rFonts w:ascii="Times New Roman" w:hAnsi="Times New Roman" w:cs="Times New Roman"/>
          <w:sz w:val="24"/>
          <w:szCs w:val="24"/>
        </w:rPr>
        <w:t xml:space="preserve"> Sin </w:t>
      </w:r>
      <w:r>
        <w:rPr>
          <w:rFonts w:ascii="Times New Roman" w:hAnsi="Times New Roman" w:cs="Times New Roman"/>
          <w:sz w:val="24"/>
          <w:szCs w:val="24"/>
        </w:rPr>
        <w:t>embargo, vayamos a los matices.</w:t>
      </w:r>
    </w:p>
    <w:p w:rsidR="00BE2592" w:rsidRPr="00F25E47" w:rsidRDefault="00BE2592" w:rsidP="00BE2592">
      <w:pPr>
        <w:spacing w:line="240" w:lineRule="auto"/>
        <w:jc w:val="both"/>
        <w:rPr>
          <w:rFonts w:ascii="Times New Roman" w:hAnsi="Times New Roman" w:cs="Times New Roman"/>
          <w:sz w:val="24"/>
          <w:szCs w:val="24"/>
        </w:rPr>
      </w:pPr>
      <w:r w:rsidRPr="00BE2592">
        <w:rPr>
          <w:rFonts w:ascii="Times New Roman" w:hAnsi="Times New Roman" w:cs="Times New Roman"/>
          <w:b/>
          <w:color w:val="FF0000"/>
          <w:sz w:val="24"/>
          <w:szCs w:val="24"/>
          <w:u w:val="single"/>
        </w:rPr>
        <w:t>En primer lugar, no es del todo verdad que una subida de tipos no ayude a rebajar la inflación actual aun siendo principalmente de oferta. Es cierto que se castiga a la demanda, pero al hacerlo se pueden moderar parte de estos precios como consecuencia de crear una recesión.</w:t>
      </w:r>
      <w:r w:rsidRPr="00BE2592">
        <w:rPr>
          <w:rFonts w:ascii="Times New Roman" w:hAnsi="Times New Roman" w:cs="Times New Roman"/>
          <w:color w:val="FF0000"/>
          <w:sz w:val="24"/>
          <w:szCs w:val="24"/>
        </w:rPr>
        <w:t xml:space="preserve"> </w:t>
      </w:r>
      <w:r w:rsidRPr="00F25E47">
        <w:rPr>
          <w:rFonts w:ascii="Times New Roman" w:hAnsi="Times New Roman" w:cs="Times New Roman"/>
          <w:sz w:val="24"/>
          <w:szCs w:val="24"/>
        </w:rPr>
        <w:t xml:space="preserve">Solo miren el precio del crudo cuando la Reserva Federal suele anunciar subida de tipos. En todo caso, </w:t>
      </w:r>
      <w:r w:rsidRPr="00BE2592">
        <w:rPr>
          <w:rFonts w:ascii="Times New Roman" w:hAnsi="Times New Roman" w:cs="Times New Roman"/>
          <w:color w:val="FF0000"/>
          <w:sz w:val="24"/>
          <w:szCs w:val="24"/>
          <w:u w:val="single"/>
        </w:rPr>
        <w:t>siendo esto cierto, es también verdad que podemos estar generando un injusto dolor a quienes no son los responsables</w:t>
      </w:r>
      <w:r w:rsidRPr="00F25E47">
        <w:rPr>
          <w:rFonts w:ascii="Times New Roman" w:hAnsi="Times New Roman" w:cs="Times New Roman"/>
          <w:sz w:val="24"/>
          <w:szCs w:val="24"/>
        </w:rPr>
        <w:t>. Quizás por ello se echa de menos la intervención de otras instituciones con capacidad para arrimar el hombro en esta lucha, evitando así mayores subidas. Por poner un ejemplo de actuaciones que pueden ayudar tenemos el tope al gas español que, aunque habiendo generado ciertas distorsiones, es indudable que ha ayudado a que la inflación española se haya doblegado antes que en muchos otros países. Y es que, a veces, dejamos solos a los BCs con una responsabilidad que les sobrepasa, lo que no deja de ser paradójico y contradictorio cuando les criticamos que, precisamente por ello, deban tomar acciones tan agresivas. Aquí encuentro un poco de cinismo.</w:t>
      </w:r>
    </w:p>
    <w:p w:rsidR="00BE2592" w:rsidRPr="006E6BC9" w:rsidRDefault="00BE2592" w:rsidP="00BE2592">
      <w:pPr>
        <w:spacing w:line="240" w:lineRule="auto"/>
        <w:jc w:val="both"/>
        <w:rPr>
          <w:rFonts w:ascii="Times New Roman" w:hAnsi="Times New Roman" w:cs="Times New Roman"/>
          <w:color w:val="FF0000"/>
          <w:sz w:val="24"/>
          <w:szCs w:val="24"/>
          <w:u w:val="single"/>
        </w:rPr>
      </w:pPr>
      <w:r w:rsidRPr="006E6BC9">
        <w:rPr>
          <w:rFonts w:ascii="Times New Roman" w:hAnsi="Times New Roman" w:cs="Times New Roman"/>
          <w:b/>
          <w:color w:val="FF0000"/>
          <w:sz w:val="24"/>
          <w:szCs w:val="24"/>
          <w:u w:val="single"/>
        </w:rPr>
        <w:t>En segundo lugar, ya he explicado en otra ocasión que el objetivo de los BCs no es tanto doblegar la inflación actual cómo evitar que esta se transforme en permanente</w:t>
      </w:r>
      <w:r w:rsidRPr="00F25E47">
        <w:rPr>
          <w:rFonts w:ascii="Times New Roman" w:hAnsi="Times New Roman" w:cs="Times New Roman"/>
          <w:sz w:val="24"/>
          <w:szCs w:val="24"/>
        </w:rPr>
        <w:t xml:space="preserve">. </w:t>
      </w:r>
      <w:r w:rsidRPr="006E6BC9">
        <w:rPr>
          <w:rFonts w:ascii="Times New Roman" w:hAnsi="Times New Roman" w:cs="Times New Roman"/>
          <w:color w:val="FF0000"/>
          <w:sz w:val="24"/>
          <w:szCs w:val="24"/>
          <w:u w:val="single"/>
        </w:rPr>
        <w:t xml:space="preserve">Debo recordar e insistir que la inflación es, en una buena parte, una derivada de las expectativas de subida de precios, por mucho que haya quienes </w:t>
      </w:r>
      <w:r w:rsidR="006E6BC9" w:rsidRPr="006E6BC9">
        <w:rPr>
          <w:rFonts w:ascii="Times New Roman" w:hAnsi="Times New Roman" w:cs="Times New Roman"/>
          <w:color w:val="FF0000"/>
          <w:sz w:val="24"/>
          <w:szCs w:val="24"/>
          <w:u w:val="single"/>
        </w:rPr>
        <w:t>aún</w:t>
      </w:r>
      <w:r w:rsidRPr="006E6BC9">
        <w:rPr>
          <w:rFonts w:ascii="Times New Roman" w:hAnsi="Times New Roman" w:cs="Times New Roman"/>
          <w:color w:val="FF0000"/>
          <w:sz w:val="24"/>
          <w:szCs w:val="24"/>
          <w:u w:val="single"/>
        </w:rPr>
        <w:t xml:space="preserve"> esto no lo quieran entender. Es evitar que esas expectativas se metan hasta el tuétano de la economía en niveles elevados lo que se pretende lograr. Es, simplemente, como dijo un alumno mío en una clase de la semana pasada, elegir el mal menor: o susto ahora o muerte más adelante.</w:t>
      </w:r>
    </w:p>
    <w:p w:rsidR="00BE2592" w:rsidRPr="006E6BC9" w:rsidRDefault="00BE2592" w:rsidP="00BE2592">
      <w:pPr>
        <w:spacing w:line="240" w:lineRule="auto"/>
        <w:jc w:val="both"/>
        <w:rPr>
          <w:rFonts w:ascii="Times New Roman" w:hAnsi="Times New Roman" w:cs="Times New Roman"/>
          <w:b/>
          <w:color w:val="FF0000"/>
          <w:sz w:val="24"/>
          <w:szCs w:val="24"/>
          <w:u w:val="single"/>
        </w:rPr>
      </w:pPr>
      <w:r w:rsidRPr="006E6BC9">
        <w:rPr>
          <w:rFonts w:ascii="Times New Roman" w:hAnsi="Times New Roman" w:cs="Times New Roman"/>
          <w:b/>
          <w:color w:val="FF0000"/>
          <w:sz w:val="24"/>
          <w:szCs w:val="24"/>
          <w:u w:val="single"/>
        </w:rPr>
        <w:t xml:space="preserve">Y esta es la labor de los BCs en estos momentos. Es cierto que algunos tienen explícito un mandato doble, como es lograr el pleno empleo junto con la estabilidad de precios. </w:t>
      </w:r>
      <w:r w:rsidRPr="006E6BC9">
        <w:rPr>
          <w:rFonts w:ascii="Times New Roman" w:hAnsi="Times New Roman" w:cs="Times New Roman"/>
          <w:b/>
          <w:color w:val="FF0000"/>
          <w:sz w:val="24"/>
          <w:szCs w:val="24"/>
          <w:u w:val="single"/>
        </w:rPr>
        <w:lastRenderedPageBreak/>
        <w:t>Pero como a veces tener ambos objetivos en el corto plazo es imposible, se debe elegir uno para lograr alcanzar ambos en el largo plazo. Dejar que la inflación campe a sus anchas sin dar un necesario golpe en la mesa puede que evite hoy tener más desempleo, pero nos aseguraría lustros o décadas de uno mayor si no se hace.</w:t>
      </w:r>
    </w:p>
    <w:p w:rsidR="00BE2592" w:rsidRPr="00F25E47" w:rsidRDefault="00BE2592" w:rsidP="00BE2592">
      <w:pPr>
        <w:spacing w:line="240" w:lineRule="auto"/>
        <w:jc w:val="both"/>
        <w:rPr>
          <w:rFonts w:ascii="Times New Roman" w:hAnsi="Times New Roman" w:cs="Times New Roman"/>
          <w:sz w:val="24"/>
          <w:szCs w:val="24"/>
        </w:rPr>
      </w:pPr>
      <w:r w:rsidRPr="006E6BC9">
        <w:rPr>
          <w:rFonts w:ascii="Times New Roman" w:hAnsi="Times New Roman" w:cs="Times New Roman"/>
          <w:color w:val="FF0000"/>
          <w:sz w:val="24"/>
          <w:szCs w:val="24"/>
          <w:u w:val="single"/>
        </w:rPr>
        <w:t>Y dicho esto, para que se pueda desempeñar la labor hace falta independencia. Esta, para empezar, no es antidemocrática. Que haya instituciones que, una vez elegido sus mandos por quienes nos representan, actúen conforme a unas reglas (estatutos) aprobadas por nosotros y que no admita discusión por parte de los que gobiernan puede ser necesario en varios ámbitos de nuestra gobernanza</w:t>
      </w:r>
      <w:r w:rsidRPr="00F25E47">
        <w:rPr>
          <w:rFonts w:ascii="Times New Roman" w:hAnsi="Times New Roman" w:cs="Times New Roman"/>
          <w:sz w:val="24"/>
          <w:szCs w:val="24"/>
        </w:rPr>
        <w:t>. Países donde los BCs son menos independientes suelen presentar mayores niveles de inflación, y no solo porque sí, en estos casos, la inflación puede ser en parte un fenómeno monetario, aunque fuertemente influenciada por una política fiscal indómita, sino porque la confianza en los BCs tiene una derivada en la creencia en su capacidad para doblegar a las expectativas de inflaci</w:t>
      </w:r>
      <w:r>
        <w:rPr>
          <w:rFonts w:ascii="Times New Roman" w:hAnsi="Times New Roman" w:cs="Times New Roman"/>
          <w:sz w:val="24"/>
          <w:szCs w:val="24"/>
        </w:rPr>
        <w:t>ón.</w:t>
      </w:r>
    </w:p>
    <w:p w:rsidR="00BE2592" w:rsidRDefault="00BE2592" w:rsidP="00BE2592">
      <w:pPr>
        <w:spacing w:line="240" w:lineRule="auto"/>
        <w:jc w:val="both"/>
        <w:rPr>
          <w:rFonts w:ascii="Times New Roman" w:hAnsi="Times New Roman" w:cs="Times New Roman"/>
          <w:sz w:val="24"/>
          <w:szCs w:val="24"/>
        </w:rPr>
      </w:pPr>
      <w:r w:rsidRPr="006E6BC9">
        <w:rPr>
          <w:rFonts w:ascii="Times New Roman" w:hAnsi="Times New Roman" w:cs="Times New Roman"/>
          <w:b/>
          <w:color w:val="FF0000"/>
          <w:sz w:val="24"/>
          <w:szCs w:val="24"/>
          <w:u w:val="single"/>
        </w:rPr>
        <w:t>En resumen, el papel desempeñado en</w:t>
      </w:r>
      <w:r w:rsidR="006E6BC9" w:rsidRPr="006E6BC9">
        <w:rPr>
          <w:rFonts w:ascii="Times New Roman" w:hAnsi="Times New Roman" w:cs="Times New Roman"/>
          <w:b/>
          <w:color w:val="FF0000"/>
          <w:sz w:val="24"/>
          <w:szCs w:val="24"/>
          <w:u w:val="single"/>
        </w:rPr>
        <w:t xml:space="preserve"> este 2022 por los BCs los pone</w:t>
      </w:r>
      <w:r w:rsidRPr="006E6BC9">
        <w:rPr>
          <w:rFonts w:ascii="Times New Roman" w:hAnsi="Times New Roman" w:cs="Times New Roman"/>
          <w:b/>
          <w:color w:val="FF0000"/>
          <w:sz w:val="24"/>
          <w:szCs w:val="24"/>
          <w:u w:val="single"/>
        </w:rPr>
        <w:t xml:space="preserve"> en la tesitura de dañar a la economía para salvarla. Y esto es muy difícil de entender por quienes no comprenden la magnitud de lo que sucede o, simplemente, no comprenden la relevancia y lo que ganamos con tener a una institución independiente en el manejo de los dineros.</w:t>
      </w:r>
      <w:r w:rsidRPr="00F25E47">
        <w:rPr>
          <w:rFonts w:ascii="Times New Roman" w:hAnsi="Times New Roman" w:cs="Times New Roman"/>
          <w:sz w:val="24"/>
          <w:szCs w:val="24"/>
        </w:rPr>
        <w:t xml:space="preserve"> Sé que no habré convencido a nadie que no quiera ser convencido, pero he aquí las razones. Si les gusta, cójanlas y si no, pues no tengo otras.</w:t>
      </w:r>
    </w:p>
    <w:p w:rsidR="004A134F" w:rsidRPr="008E1B77" w:rsidRDefault="004A134F" w:rsidP="004A134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8E1B77">
        <w:rPr>
          <w:rFonts w:ascii="Times New Roman" w:hAnsi="Times New Roman" w:cs="Times New Roman"/>
          <w:sz w:val="24"/>
          <w:szCs w:val="24"/>
          <w:u w:val="single"/>
        </w:rPr>
        <w:t>La banca europea prepara este mes la devolución de unos 400.000 millones al BCE</w:t>
      </w:r>
      <w:r>
        <w:rPr>
          <w:rFonts w:ascii="Times New Roman" w:hAnsi="Times New Roman" w:cs="Times New Roman"/>
          <w:sz w:val="24"/>
          <w:szCs w:val="24"/>
        </w:rPr>
        <w:t xml:space="preserve"> (Cinco Días - </w:t>
      </w:r>
      <w:r w:rsidRPr="008E1B77">
        <w:rPr>
          <w:rFonts w:ascii="Times New Roman" w:hAnsi="Times New Roman" w:cs="Times New Roman"/>
          <w:b/>
          <w:sz w:val="24"/>
          <w:szCs w:val="24"/>
        </w:rPr>
        <w:t>8/11/22</w:t>
      </w:r>
      <w:r>
        <w:rPr>
          <w:rFonts w:ascii="Times New Roman" w:hAnsi="Times New Roman" w:cs="Times New Roman"/>
          <w:sz w:val="24"/>
          <w:szCs w:val="24"/>
        </w:rPr>
        <w:t>)</w:t>
      </w:r>
    </w:p>
    <w:p w:rsidR="004A134F" w:rsidRPr="008E1B77" w:rsidRDefault="004A134F" w:rsidP="004A134F">
      <w:pPr>
        <w:spacing w:line="240" w:lineRule="auto"/>
        <w:jc w:val="both"/>
        <w:rPr>
          <w:rFonts w:ascii="Times New Roman" w:hAnsi="Times New Roman" w:cs="Times New Roman"/>
          <w:sz w:val="24"/>
          <w:szCs w:val="24"/>
        </w:rPr>
      </w:pPr>
      <w:r>
        <w:rPr>
          <w:noProof/>
          <w:lang w:eastAsia="es-ES"/>
        </w:rPr>
        <w:drawing>
          <wp:inline distT="0" distB="0" distL="0" distR="0" wp14:anchorId="63D5C5D5" wp14:editId="1B136DAC">
            <wp:extent cx="5731510" cy="3119189"/>
            <wp:effectExtent l="0" t="0" r="2540" b="5080"/>
            <wp:docPr id="108" name="Imagen 108" descr="Liquidez ban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iquidez banca"/>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731510" cy="3119189"/>
                    </a:xfrm>
                    <a:prstGeom prst="rect">
                      <a:avLst/>
                    </a:prstGeom>
                    <a:noFill/>
                    <a:ln>
                      <a:noFill/>
                    </a:ln>
                  </pic:spPr>
                </pic:pic>
              </a:graphicData>
            </a:graphic>
          </wp:inline>
        </w:drawing>
      </w:r>
    </w:p>
    <w:p w:rsidR="004A134F" w:rsidRPr="004A134F" w:rsidRDefault="004A134F" w:rsidP="004A134F">
      <w:pPr>
        <w:spacing w:line="240" w:lineRule="auto"/>
        <w:jc w:val="both"/>
        <w:rPr>
          <w:rFonts w:ascii="Times New Roman" w:hAnsi="Times New Roman" w:cs="Times New Roman"/>
          <w:sz w:val="24"/>
          <w:szCs w:val="24"/>
          <w:u w:val="single"/>
        </w:rPr>
      </w:pPr>
      <w:r w:rsidRPr="004A134F">
        <w:rPr>
          <w:rFonts w:ascii="Times New Roman" w:hAnsi="Times New Roman" w:cs="Times New Roman"/>
          <w:sz w:val="24"/>
          <w:szCs w:val="24"/>
          <w:u w:val="single"/>
        </w:rPr>
        <w:t>La banca de la zona euro va a comenzar a devolver este mes buena parte de la liquidez bonificada que le concedió el BCE, las denominadas líneas TLTRO III, activadas a raíz de la pandemia y con las que se quiso garantizar en 2020 la continuidad en la concesión de crédito. El BCE decidió en la pasada reunión de octubre cambiar las condiciones de esas TLTRO, con el objetivo de poner fin al inesperado negocio que ha encontrado la banca con las alzas de tipos.</w:t>
      </w:r>
    </w:p>
    <w:p w:rsidR="004A134F" w:rsidRPr="004A134F" w:rsidRDefault="004A134F" w:rsidP="004A134F">
      <w:pPr>
        <w:spacing w:line="240" w:lineRule="auto"/>
        <w:jc w:val="both"/>
        <w:rPr>
          <w:rFonts w:ascii="Times New Roman" w:hAnsi="Times New Roman" w:cs="Times New Roman"/>
          <w:b/>
          <w:color w:val="FF0000"/>
          <w:sz w:val="24"/>
          <w:szCs w:val="24"/>
          <w:u w:val="single"/>
        </w:rPr>
      </w:pPr>
      <w:r w:rsidRPr="004A134F">
        <w:rPr>
          <w:rFonts w:ascii="Times New Roman" w:hAnsi="Times New Roman" w:cs="Times New Roman"/>
          <w:b/>
          <w:color w:val="FF0000"/>
          <w:sz w:val="24"/>
          <w:szCs w:val="24"/>
          <w:u w:val="single"/>
        </w:rPr>
        <w:lastRenderedPageBreak/>
        <w:t>Buena parte de esa liquidez, que asciende a un total de 2,1 billones de euros, ha sido depositada por las entidades en la facilidad de depósito del BCE, para obtener una rentabilidad sin ningún tipo de riesgo que ahora asciende al 1,5%. El BCE desea incentivar su devolución anticipada, que defiende como una medida más de endurecimiento de su política, y ha abierto una nueva ventana para ello el 23 de noviembre. Fuentes financieras calculan que las entidades acudirán de forma activa y podrían devolver ya al BCE unos 400.000 millones de euros.</w:t>
      </w:r>
    </w:p>
    <w:p w:rsidR="004A134F" w:rsidRPr="004A134F" w:rsidRDefault="004A134F" w:rsidP="004A134F">
      <w:pPr>
        <w:spacing w:line="240" w:lineRule="auto"/>
        <w:jc w:val="both"/>
        <w:rPr>
          <w:rFonts w:ascii="Times New Roman" w:hAnsi="Times New Roman" w:cs="Times New Roman"/>
          <w:color w:val="FF0000"/>
          <w:sz w:val="24"/>
          <w:szCs w:val="24"/>
          <w:u w:val="single"/>
        </w:rPr>
      </w:pPr>
      <w:r w:rsidRPr="004A134F">
        <w:rPr>
          <w:rFonts w:ascii="Times New Roman" w:hAnsi="Times New Roman" w:cs="Times New Roman"/>
          <w:color w:val="FF0000"/>
          <w:sz w:val="24"/>
          <w:szCs w:val="24"/>
          <w:u w:val="single"/>
        </w:rPr>
        <w:t>Alrededor de la mitad de los 2,1 billones de euros de liquidez TLTRO estaría siendo aparcada en la hucha del BCE, según cálculos de Pimco. El banco central anulará a partir del 23 de noviembre el arbitraje por el que la banca recibe el 1,5% de la tasa de depósito, al igualar a ese nivel el tipo de las TLTRO. Y ha introducido tres oportunidades más al calendario con el que cuenta la banca para repagar esa liquidez: el primero este noviembre, junto con nuevas ventanas en enero y febrero próximos. En JP Morgan calculan que las entidades europeas podrían devolver entre 500.000 y 700.000 millones de euros ya en esta primera ventana de noviembre. Y en Citi manejan una horquilla de entre 370.000 y 460.000 millones de euros.</w:t>
      </w:r>
    </w:p>
    <w:p w:rsidR="004A134F" w:rsidRPr="008E1B77" w:rsidRDefault="004A134F" w:rsidP="004A134F">
      <w:pPr>
        <w:spacing w:line="240" w:lineRule="auto"/>
        <w:jc w:val="both"/>
        <w:rPr>
          <w:rFonts w:ascii="Times New Roman" w:hAnsi="Times New Roman" w:cs="Times New Roman"/>
          <w:sz w:val="24"/>
          <w:szCs w:val="24"/>
        </w:rPr>
      </w:pPr>
      <w:r w:rsidRPr="008E1B77">
        <w:rPr>
          <w:rFonts w:ascii="Times New Roman" w:hAnsi="Times New Roman" w:cs="Times New Roman"/>
          <w:sz w:val="24"/>
          <w:szCs w:val="24"/>
        </w:rPr>
        <w:t xml:space="preserve">Fuentes bancarias españolas apuntan a una cifra de entorno a los 400.000 millones de euros y explican que en todo caso, el sector ya estaba trabajando en cómo graduar la devolución de los 2,1 billones de euros pendientes sin que su pago provocara apuros de liquidez. Desde Scope Rating esperan que sean los bancos de Alemania, Francia y Países Bajos, que amasan entorno al 50% de la TLTRO, los que acudan con mayor intensidad a la ventana de devolución anticipada de este mes. Las firmas alemanas, francesas y austríacas son además los que han hecho este año mayores emisiones de cédulas hipotecarias, preparando así el terreno para esas devoluciones anticipadas y asegurándose fuentes alternativas de liquidez, según explica la agencia. Scope añade que la banca española, en especial las entidades más pequeñas, junto a la italiana o la griega puede en cambio verse más afectada puesto que su </w:t>
      </w:r>
      <w:r>
        <w:rPr>
          <w:rFonts w:ascii="Times New Roman" w:hAnsi="Times New Roman" w:cs="Times New Roman"/>
          <w:sz w:val="24"/>
          <w:szCs w:val="24"/>
        </w:rPr>
        <w:t>exceso de liquidez es inferior</w:t>
      </w:r>
      <w:r w:rsidR="00E7489D">
        <w:rPr>
          <w:rFonts w:ascii="Times New Roman" w:hAnsi="Times New Roman" w:cs="Times New Roman"/>
          <w:sz w:val="24"/>
          <w:szCs w:val="24"/>
        </w:rPr>
        <w:t>…</w:t>
      </w:r>
    </w:p>
    <w:p w:rsidR="00E7489D" w:rsidRDefault="004A134F" w:rsidP="004A134F">
      <w:pPr>
        <w:spacing w:line="240" w:lineRule="auto"/>
        <w:jc w:val="both"/>
        <w:rPr>
          <w:rFonts w:ascii="Times New Roman" w:hAnsi="Times New Roman" w:cs="Times New Roman"/>
          <w:sz w:val="24"/>
          <w:szCs w:val="24"/>
        </w:rPr>
      </w:pPr>
      <w:r w:rsidRPr="008E1B77">
        <w:rPr>
          <w:rFonts w:ascii="Times New Roman" w:hAnsi="Times New Roman" w:cs="Times New Roman"/>
          <w:sz w:val="24"/>
          <w:szCs w:val="24"/>
        </w:rPr>
        <w:t>El gran reto para la planificación financiera es la devolución en junio de 2023 de los 1,3 billones que los bancos pidieron al BCE en junio de 2020 y de los que aún habría 1,2 billones por repagar</w:t>
      </w:r>
      <w:r w:rsidR="00E7489D">
        <w:rPr>
          <w:rFonts w:ascii="Times New Roman" w:hAnsi="Times New Roman" w:cs="Times New Roman"/>
          <w:sz w:val="24"/>
          <w:szCs w:val="24"/>
        </w:rPr>
        <w:t>…</w:t>
      </w:r>
      <w:r w:rsidRPr="008E1B77">
        <w:rPr>
          <w:rFonts w:ascii="Times New Roman" w:hAnsi="Times New Roman" w:cs="Times New Roman"/>
          <w:sz w:val="24"/>
          <w:szCs w:val="24"/>
        </w:rPr>
        <w:t xml:space="preserve"> </w:t>
      </w:r>
    </w:p>
    <w:p w:rsidR="004A134F" w:rsidRPr="00E7489D" w:rsidRDefault="004A134F" w:rsidP="004A134F">
      <w:pPr>
        <w:spacing w:line="240" w:lineRule="auto"/>
        <w:jc w:val="both"/>
        <w:rPr>
          <w:rFonts w:ascii="Times New Roman" w:hAnsi="Times New Roman" w:cs="Times New Roman"/>
          <w:color w:val="FF0000"/>
          <w:sz w:val="24"/>
          <w:szCs w:val="24"/>
          <w:u w:val="single"/>
        </w:rPr>
      </w:pPr>
      <w:r w:rsidRPr="00E7489D">
        <w:rPr>
          <w:rFonts w:ascii="Times New Roman" w:hAnsi="Times New Roman" w:cs="Times New Roman"/>
          <w:color w:val="FF0000"/>
          <w:sz w:val="24"/>
          <w:szCs w:val="24"/>
          <w:u w:val="single"/>
        </w:rPr>
        <w:t>Alzas de tipos. La presidenta del BCE, Christine Lagarde, justificó la decisión de cambiar las condiciones de las TLTRO en razones puramente de política monetaria, más allá de que su uso esté generando un polémico beneficio extraordinario para la banca. La devolución anticipada de esta liquidez va a servir, según defiende el BCE, para trasladar las alzas de tipos también al mercado monetario ya que esta financiación está ligada a un colateral. Es decir, para su solicitud, los bancos debieron ofrecer al BCE como garantía bonos soberanos o sus propias emisiones de cédulas hipotecarias. Al repagar esa liquidez, esos bonos soberanos les serán devueltos y habrá más abundancia de colaterales. “Habrá más colaterales para ofrecer en garantía en el mercado monetario y esto ayudará a elevar el interés de los repos”, explican fuentes financieras. En definitiva, el interés para obtener liquidez a un día en el mercado también se elevará.</w:t>
      </w:r>
    </w:p>
    <w:p w:rsidR="004A134F" w:rsidRPr="00B126E1" w:rsidRDefault="004A134F" w:rsidP="004A134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B126E1">
        <w:rPr>
          <w:rFonts w:ascii="Times New Roman" w:hAnsi="Times New Roman" w:cs="Times New Roman"/>
          <w:sz w:val="24"/>
          <w:szCs w:val="24"/>
          <w:u w:val="single"/>
        </w:rPr>
        <w:t>Bancos centrales: encadenados hacia tipos de interés del 6%</w:t>
      </w:r>
      <w:r>
        <w:rPr>
          <w:rFonts w:ascii="Times New Roman" w:hAnsi="Times New Roman" w:cs="Times New Roman"/>
          <w:sz w:val="24"/>
          <w:szCs w:val="24"/>
        </w:rPr>
        <w:t xml:space="preserve"> (Cinco Días - </w:t>
      </w:r>
      <w:r w:rsidRPr="00B126E1">
        <w:rPr>
          <w:rFonts w:ascii="Times New Roman" w:hAnsi="Times New Roman" w:cs="Times New Roman"/>
          <w:b/>
          <w:sz w:val="24"/>
          <w:szCs w:val="24"/>
        </w:rPr>
        <w:t>9/11/22</w:t>
      </w:r>
      <w:r>
        <w:rPr>
          <w:rFonts w:ascii="Times New Roman" w:hAnsi="Times New Roman" w:cs="Times New Roman"/>
          <w:sz w:val="24"/>
          <w:szCs w:val="24"/>
        </w:rPr>
        <w:t>)</w:t>
      </w:r>
    </w:p>
    <w:p w:rsidR="004A134F" w:rsidRPr="00E7489D" w:rsidRDefault="00E7489D" w:rsidP="004A134F">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La tarea “macedónica”</w:t>
      </w:r>
      <w:r w:rsidR="004A134F" w:rsidRPr="00E7489D">
        <w:rPr>
          <w:rFonts w:ascii="Times New Roman" w:hAnsi="Times New Roman" w:cs="Times New Roman"/>
          <w:color w:val="FF0000"/>
          <w:sz w:val="24"/>
          <w:szCs w:val="24"/>
        </w:rPr>
        <w:t xml:space="preserve"> de las autoridades monetarias choca con la terquedad de los Gobiernos, que ignoran las advertencias contra las ayudas fiscales</w:t>
      </w:r>
    </w:p>
    <w:p w:rsidR="004A134F" w:rsidRPr="00B126E1" w:rsidRDefault="004A134F" w:rsidP="004A134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B126E1">
        <w:rPr>
          <w:rFonts w:ascii="Times New Roman" w:hAnsi="Times New Roman" w:cs="Times New Roman"/>
          <w:sz w:val="24"/>
          <w:szCs w:val="24"/>
        </w:rPr>
        <w:t>Carlos Balado García</w:t>
      </w:r>
      <w:r>
        <w:rPr>
          <w:rFonts w:ascii="Times New Roman" w:hAnsi="Times New Roman" w:cs="Times New Roman"/>
          <w:sz w:val="24"/>
          <w:szCs w:val="24"/>
        </w:rPr>
        <w:t>)</w:t>
      </w:r>
    </w:p>
    <w:p w:rsidR="004A134F" w:rsidRPr="00E7489D" w:rsidRDefault="004A134F" w:rsidP="004A134F">
      <w:pPr>
        <w:spacing w:line="240" w:lineRule="auto"/>
        <w:jc w:val="both"/>
        <w:rPr>
          <w:rFonts w:ascii="Times New Roman" w:hAnsi="Times New Roman" w:cs="Times New Roman"/>
          <w:sz w:val="24"/>
          <w:szCs w:val="24"/>
          <w:u w:val="single"/>
        </w:rPr>
      </w:pPr>
      <w:r w:rsidRPr="00B126E1">
        <w:rPr>
          <w:rFonts w:ascii="Times New Roman" w:hAnsi="Times New Roman" w:cs="Times New Roman"/>
          <w:sz w:val="24"/>
          <w:szCs w:val="24"/>
        </w:rPr>
        <w:lastRenderedPageBreak/>
        <w:t xml:space="preserve">Parece que allá por el año 335 a.C., difícil verificarlo, al llegar a las costas de Fenicia, Alejandro Magno se dio cuenta de que sus enemigos le triplicaban en número y su tropa se veía derrotada incluso antes de pisar el campo de batalla. Desembarcó, mandó quemar todas las naves, reunió a todos sus hombres y les dijo: “Observad cómo se queman los barcos. Debemos salir victoriosos en esta batalla, ya que solo hay un camino de vuelta y es por el mar. Caballeros, cuando regresemos a casa lo haremos de la única forma posible, en los barcos de nuestros enemigos”. De una manera menos solemne, </w:t>
      </w:r>
      <w:r w:rsidRPr="00E7489D">
        <w:rPr>
          <w:rFonts w:ascii="Times New Roman" w:hAnsi="Times New Roman" w:cs="Times New Roman"/>
          <w:sz w:val="24"/>
          <w:szCs w:val="24"/>
          <w:u w:val="single"/>
        </w:rPr>
        <w:t>los bancos centrales han quemado sus naves y se han encadenado en la lucha contra la inflación y, como han hecho evidente, sincronizan sus medidas y también su lenguaje: la herramienta afilada de la política monetaria.</w:t>
      </w:r>
    </w:p>
    <w:p w:rsidR="004A134F" w:rsidRPr="00B126E1" w:rsidRDefault="004A134F" w:rsidP="004A134F">
      <w:pPr>
        <w:spacing w:line="240" w:lineRule="auto"/>
        <w:jc w:val="both"/>
        <w:rPr>
          <w:rFonts w:ascii="Times New Roman" w:hAnsi="Times New Roman" w:cs="Times New Roman"/>
          <w:sz w:val="24"/>
          <w:szCs w:val="24"/>
        </w:rPr>
      </w:pPr>
      <w:r w:rsidRPr="00E7489D">
        <w:rPr>
          <w:rFonts w:ascii="Times New Roman" w:hAnsi="Times New Roman" w:cs="Times New Roman"/>
          <w:sz w:val="24"/>
          <w:szCs w:val="24"/>
          <w:u w:val="single"/>
        </w:rPr>
        <w:t>Jerome Powell, tras aplicar una cuarta subida de tipos que los sitúa en el rango del 3,75%-4%, los niveles más altos desde 2008, dejó claro que con los nuevos datos de inflación y de empleo el tipo oficial máximo a alcanzar será más alto</w:t>
      </w:r>
      <w:r w:rsidRPr="00B126E1">
        <w:rPr>
          <w:rFonts w:ascii="Times New Roman" w:hAnsi="Times New Roman" w:cs="Times New Roman"/>
          <w:sz w:val="24"/>
          <w:szCs w:val="24"/>
        </w:rPr>
        <w:t xml:space="preserve">. Un día después, el gobernador del Banco de España, Pablo </w:t>
      </w:r>
      <w:r w:rsidR="001D02F7" w:rsidRPr="00B126E1">
        <w:rPr>
          <w:rFonts w:ascii="Times New Roman" w:hAnsi="Times New Roman" w:cs="Times New Roman"/>
          <w:sz w:val="24"/>
          <w:szCs w:val="24"/>
        </w:rPr>
        <w:t>Hernández</w:t>
      </w:r>
      <w:r w:rsidRPr="00B126E1">
        <w:rPr>
          <w:rFonts w:ascii="Times New Roman" w:hAnsi="Times New Roman" w:cs="Times New Roman"/>
          <w:sz w:val="24"/>
          <w:szCs w:val="24"/>
        </w:rPr>
        <w:t xml:space="preserve"> de Cos, afirmaba que la convergencia de la inflación en el objetivo del 2% a medio plazo exigirá incrementos de tipos de interés adicionales. En otras palabras, nos queda todavía camino por recorrer, porque están dispuestos a arriesgar y seguir adelante pase lo que pase.</w:t>
      </w:r>
    </w:p>
    <w:p w:rsidR="004A134F" w:rsidRPr="00E7489D" w:rsidRDefault="004A134F" w:rsidP="004A134F">
      <w:pPr>
        <w:spacing w:line="240" w:lineRule="auto"/>
        <w:jc w:val="both"/>
        <w:rPr>
          <w:rFonts w:ascii="Times New Roman" w:hAnsi="Times New Roman" w:cs="Times New Roman"/>
          <w:b/>
          <w:color w:val="FF0000"/>
          <w:sz w:val="24"/>
          <w:szCs w:val="24"/>
          <w:u w:val="single"/>
        </w:rPr>
      </w:pPr>
      <w:r w:rsidRPr="00E7489D">
        <w:rPr>
          <w:rFonts w:ascii="Times New Roman" w:hAnsi="Times New Roman" w:cs="Times New Roman"/>
          <w:b/>
          <w:color w:val="FF0000"/>
          <w:sz w:val="24"/>
          <w:szCs w:val="24"/>
          <w:u w:val="single"/>
        </w:rPr>
        <w:t xml:space="preserve">Aunque las razones para actuar contra la inflación son las mismas en Estados Unidos y Europa, el origen de esta es muy diferente. Para combatir el parón económico de la pandemia, Estados Unidos inyectó en marzo de 2021 un total de 5,6 billones de dólares, el 32% de su PIB, en ayudas contra el coronavirus y en la Ley de Recuperación de América, el programa más radical desde el New Deal de Roosvelt en la década de 1930. Por su parte, la Unión Europea, inyectó cerca de dos billones de euros en forma de subvenciones y </w:t>
      </w:r>
      <w:r w:rsidR="00E7489D" w:rsidRPr="00E7489D">
        <w:rPr>
          <w:rFonts w:ascii="Times New Roman" w:hAnsi="Times New Roman" w:cs="Times New Roman"/>
          <w:b/>
          <w:color w:val="FF0000"/>
          <w:sz w:val="24"/>
          <w:szCs w:val="24"/>
          <w:u w:val="single"/>
        </w:rPr>
        <w:t>préstamos</w:t>
      </w:r>
      <w:r w:rsidRPr="00E7489D">
        <w:rPr>
          <w:rFonts w:ascii="Times New Roman" w:hAnsi="Times New Roman" w:cs="Times New Roman"/>
          <w:b/>
          <w:color w:val="FF0000"/>
          <w:sz w:val="24"/>
          <w:szCs w:val="24"/>
          <w:u w:val="single"/>
        </w:rPr>
        <w:t xml:space="preserve"> por medio del conocido y tan anhelado en España Next Generation para hacer una Europa más ecológica, digital y resiliente.</w:t>
      </w:r>
    </w:p>
    <w:p w:rsidR="004A134F" w:rsidRPr="00B126E1" w:rsidRDefault="004A134F" w:rsidP="004A134F">
      <w:pPr>
        <w:spacing w:line="240" w:lineRule="auto"/>
        <w:jc w:val="both"/>
        <w:rPr>
          <w:rFonts w:ascii="Times New Roman" w:hAnsi="Times New Roman" w:cs="Times New Roman"/>
          <w:sz w:val="24"/>
          <w:szCs w:val="24"/>
        </w:rPr>
      </w:pPr>
      <w:r w:rsidRPr="00E7489D">
        <w:rPr>
          <w:rFonts w:ascii="Times New Roman" w:hAnsi="Times New Roman" w:cs="Times New Roman"/>
          <w:color w:val="FF0000"/>
          <w:sz w:val="24"/>
          <w:szCs w:val="24"/>
          <w:u w:val="single"/>
        </w:rPr>
        <w:t>En el caso de Estados Unidos, su programa de gasto disparó la inflación al 8,5% en mayo de este año, el nivel más alto desde principios de la década de 1980, cuando hubo que subir los tipos hasta cotas muy altas para poder domesticarla, y se produjo una contracción de la economía del 1,4%. Es decir, allí la inflación ha subido por la fortaleza de la demanda, con un empleo que se mantiene fuerte y la tasa de desempleo a la baja</w:t>
      </w:r>
      <w:r w:rsidRPr="00B126E1">
        <w:rPr>
          <w:rFonts w:ascii="Times New Roman" w:hAnsi="Times New Roman" w:cs="Times New Roman"/>
          <w:sz w:val="24"/>
          <w:szCs w:val="24"/>
        </w:rPr>
        <w:t>. Ahora bien, el ahorro acumulado por las familias durante el Covid se ha gastado, la tasa de ahorro de las familias llegó al 33,8% en abril de</w:t>
      </w:r>
      <w:r>
        <w:rPr>
          <w:rFonts w:ascii="Times New Roman" w:hAnsi="Times New Roman" w:cs="Times New Roman"/>
          <w:sz w:val="24"/>
          <w:szCs w:val="24"/>
        </w:rPr>
        <w:t xml:space="preserve"> 2020, y está ahora en el 3,1%.</w:t>
      </w:r>
    </w:p>
    <w:p w:rsidR="004A134F" w:rsidRPr="00B126E1" w:rsidRDefault="004A134F" w:rsidP="004A134F">
      <w:pPr>
        <w:spacing w:line="240" w:lineRule="auto"/>
        <w:jc w:val="both"/>
        <w:rPr>
          <w:rFonts w:ascii="Times New Roman" w:hAnsi="Times New Roman" w:cs="Times New Roman"/>
          <w:sz w:val="24"/>
          <w:szCs w:val="24"/>
        </w:rPr>
      </w:pPr>
      <w:r w:rsidRPr="00E7489D">
        <w:rPr>
          <w:rFonts w:ascii="Times New Roman" w:hAnsi="Times New Roman" w:cs="Times New Roman"/>
          <w:color w:val="FF0000"/>
          <w:sz w:val="24"/>
          <w:szCs w:val="24"/>
          <w:u w:val="single"/>
        </w:rPr>
        <w:t>En la zona euro los problemas de inflación se deben a la oferta. De hecho, alrededor del 75% del incremento de la inflación en el último año es consecuencia de la energía y de los alimentos. Pero detrás de ese aumento hay también un componente de demanda, de magnitud y persistencia “extraordinarias”, calificativo del Banco de España, y se ha ido extendiendo a cada vez un número mayor de componentes de la cesta de consumo. Todo ello aumenta a su vez la probabilidad de efectos de segunda ronda</w:t>
      </w:r>
      <w:r w:rsidRPr="00B126E1">
        <w:rPr>
          <w:rFonts w:ascii="Times New Roman" w:hAnsi="Times New Roman" w:cs="Times New Roman"/>
          <w:sz w:val="24"/>
          <w:szCs w:val="24"/>
        </w:rPr>
        <w:t>. Y para complicar más el panorama, las disrupciones en la oferta de gas han empeorado aún más la situación y se ha producido una caída rápida de la confianza de familias y empresas. Tras el fuerte crecimiento en la primera parte del año derivado de la eliminación de las restricciones causadas por la pandemia, la demanda en el sector servicios se está frenando y las encuestas muestran caídas de la activi</w:t>
      </w:r>
      <w:r>
        <w:rPr>
          <w:rFonts w:ascii="Times New Roman" w:hAnsi="Times New Roman" w:cs="Times New Roman"/>
          <w:sz w:val="24"/>
          <w:szCs w:val="24"/>
        </w:rPr>
        <w:t>dad en el sector manufacturero.</w:t>
      </w:r>
    </w:p>
    <w:p w:rsidR="004A134F" w:rsidRPr="00E7489D" w:rsidRDefault="004A134F" w:rsidP="004A134F">
      <w:pPr>
        <w:spacing w:line="240" w:lineRule="auto"/>
        <w:jc w:val="both"/>
        <w:rPr>
          <w:rFonts w:ascii="Times New Roman" w:hAnsi="Times New Roman" w:cs="Times New Roman"/>
          <w:color w:val="FF0000"/>
          <w:sz w:val="24"/>
          <w:szCs w:val="24"/>
          <w:u w:val="single"/>
        </w:rPr>
      </w:pPr>
      <w:r w:rsidRPr="00B126E1">
        <w:rPr>
          <w:rFonts w:ascii="Times New Roman" w:hAnsi="Times New Roman" w:cs="Times New Roman"/>
          <w:sz w:val="24"/>
          <w:szCs w:val="24"/>
        </w:rPr>
        <w:t xml:space="preserve">En España, la elevada inflación ha reducido la renta real de las familias y ha aumentado los costes de las empresas. Por ahora los salarios aumentan una cuarta parte de lo que sube la inflación, pero cae el poder de compra, bajan las exportaciones a la zona euro y la industria </w:t>
      </w:r>
      <w:r w:rsidRPr="00B126E1">
        <w:rPr>
          <w:rFonts w:ascii="Times New Roman" w:hAnsi="Times New Roman" w:cs="Times New Roman"/>
          <w:sz w:val="24"/>
          <w:szCs w:val="24"/>
        </w:rPr>
        <w:lastRenderedPageBreak/>
        <w:t xml:space="preserve">afronta una crisis severa. Se ha producido también una desaceleración significativa del crecimiento en el tercer trimestre y se espera un debilitamiento adicional en lo que queda de año y en la primera parte de 2023. </w:t>
      </w:r>
      <w:r w:rsidRPr="00E7489D">
        <w:rPr>
          <w:rFonts w:ascii="Times New Roman" w:hAnsi="Times New Roman" w:cs="Times New Roman"/>
          <w:color w:val="FF0000"/>
          <w:sz w:val="24"/>
          <w:szCs w:val="24"/>
          <w:u w:val="single"/>
        </w:rPr>
        <w:t>Al mismo tiempo que sube la inflación, Estados Unidos, la zona euro y China se desaceleran, y en el caso de las dos primeras con altas probabilidades de entrar en recesión. Desde 1970 cada recesión ha estado precedida por un debilitamiento del crecimiento global durante el año anterior. Así ocurrió en 1973, 1981, 1982, 2009 y 2020 (por el Covid).</w:t>
      </w:r>
    </w:p>
    <w:p w:rsidR="004A134F" w:rsidRPr="00E7489D" w:rsidRDefault="004A134F" w:rsidP="004A134F">
      <w:pPr>
        <w:spacing w:line="240" w:lineRule="auto"/>
        <w:jc w:val="both"/>
        <w:rPr>
          <w:rFonts w:ascii="Times New Roman" w:hAnsi="Times New Roman" w:cs="Times New Roman"/>
          <w:b/>
          <w:color w:val="FF0000"/>
          <w:sz w:val="24"/>
          <w:szCs w:val="24"/>
          <w:u w:val="single"/>
        </w:rPr>
      </w:pPr>
      <w:r w:rsidRPr="00E7489D">
        <w:rPr>
          <w:rFonts w:ascii="Times New Roman" w:hAnsi="Times New Roman" w:cs="Times New Roman"/>
          <w:b/>
          <w:color w:val="FF0000"/>
          <w:sz w:val="24"/>
          <w:szCs w:val="24"/>
          <w:u w:val="single"/>
        </w:rPr>
        <w:t>La tarea macedónica de los bancos centrales choca con los Gobiernos, a los que avisan de que deben evitar un impulso fiscal generalizado que pudiera exacerbar las presiones inflacionistas ya existentes, y exigir un mayor endurecimiento de la política monetaria. Sea por la oferta o por la demanda, los bancos centrales son conscientes de que, a menos que las disrupciones en el suministro y las presiones del mercado laboral disminuyan, los aumentos de las tasas de interés podrían dejar la inflación básica mundial (sin incluir la energía) en alrededor del 5% en 2023, casi el doble del promedio quinquenal antes de la pandemia. Para reducirla a una tasa coherente con sus objetivos es probable que los bancos centrales deban aumentar las tasas de interés en dos puntos porcentuales adicionales, lo que los situaría en el entorno del 6%, como ha analizado el Banco Mundial.</w:t>
      </w:r>
    </w:p>
    <w:p w:rsidR="004A134F" w:rsidRPr="00B126E1" w:rsidRDefault="004A134F" w:rsidP="004A134F">
      <w:pPr>
        <w:spacing w:line="240" w:lineRule="auto"/>
        <w:jc w:val="both"/>
        <w:rPr>
          <w:rFonts w:ascii="Times New Roman" w:hAnsi="Times New Roman" w:cs="Times New Roman"/>
          <w:sz w:val="24"/>
          <w:szCs w:val="24"/>
        </w:rPr>
      </w:pPr>
      <w:r w:rsidRPr="00E7489D">
        <w:rPr>
          <w:rFonts w:ascii="Times New Roman" w:hAnsi="Times New Roman" w:cs="Times New Roman"/>
          <w:b/>
          <w:color w:val="FF0000"/>
          <w:sz w:val="24"/>
          <w:szCs w:val="24"/>
          <w:u w:val="single"/>
        </w:rPr>
        <w:t>El mensaje es claro, pero el efecto en los Gobiernos es nulo</w:t>
      </w:r>
      <w:r w:rsidRPr="00B126E1">
        <w:rPr>
          <w:rFonts w:ascii="Times New Roman" w:hAnsi="Times New Roman" w:cs="Times New Roman"/>
          <w:sz w:val="24"/>
          <w:szCs w:val="24"/>
        </w:rPr>
        <w:t xml:space="preserve">. Dos ejemplos: Alemania dedicará 200.000 millones a suavizar el impacto, y en nuestro país, el Gobierno se empecina en imponer un impuesto a la banca, sin fundamento alguno, según el BCE, y exige a los bancos cambios en los contratos para atenuar el impacto de la subida de los tipos de interés en las hipotecas variables, medidas contradictorias con las pretensiones de la autoridad monetaria. Como Penélope en la Odisea, el Gobierno deshace por la noche lo que tejen durante el día el Banco de España y el BCE. Así, es de temer que las cosas tarden en solucionarse porque los bancos centrales no van a retroceder, </w:t>
      </w:r>
      <w:r>
        <w:rPr>
          <w:rFonts w:ascii="Times New Roman" w:hAnsi="Times New Roman" w:cs="Times New Roman"/>
          <w:sz w:val="24"/>
          <w:szCs w:val="24"/>
        </w:rPr>
        <w:t>so pena de perder su prestigio.</w:t>
      </w:r>
    </w:p>
    <w:p w:rsidR="004A134F" w:rsidRDefault="004A134F" w:rsidP="004A134F">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B126E1">
        <w:rPr>
          <w:rFonts w:ascii="Times New Roman" w:hAnsi="Times New Roman" w:cs="Times New Roman"/>
          <w:sz w:val="24"/>
          <w:szCs w:val="24"/>
        </w:rPr>
        <w:t>Carlos Balado es Profesor de OBS Business School y director de Eurocofín</w:t>
      </w:r>
      <w:r>
        <w:rPr>
          <w:rFonts w:ascii="Times New Roman" w:hAnsi="Times New Roman" w:cs="Times New Roman"/>
          <w:sz w:val="24"/>
          <w:szCs w:val="24"/>
        </w:rPr>
        <w:t>)</w:t>
      </w:r>
    </w:p>
    <w:p w:rsidR="00BE2592" w:rsidRPr="005B142A" w:rsidRDefault="006E6BC9" w:rsidP="00BE2592">
      <w:pPr>
        <w:spacing w:line="240" w:lineRule="auto"/>
        <w:jc w:val="both"/>
        <w:rPr>
          <w:rFonts w:ascii="Times New Roman" w:hAnsi="Times New Roman" w:cs="Times New Roman"/>
          <w:b/>
          <w:sz w:val="24"/>
          <w:szCs w:val="24"/>
        </w:rPr>
      </w:pPr>
      <w:r w:rsidRPr="005B142A">
        <w:rPr>
          <w:rFonts w:ascii="Times New Roman" w:hAnsi="Times New Roman" w:cs="Times New Roman"/>
          <w:b/>
          <w:sz w:val="24"/>
          <w:szCs w:val="24"/>
        </w:rPr>
        <w:t xml:space="preserve">Nota (a buena hora mangas verdes): El fin de la Teoría Monetaria Moderna </w:t>
      </w:r>
    </w:p>
    <w:p w:rsidR="00BE2592" w:rsidRPr="00A540F0" w:rsidRDefault="00BE2592" w:rsidP="00BE2592">
      <w:pPr>
        <w:spacing w:line="240" w:lineRule="auto"/>
        <w:jc w:val="both"/>
        <w:rPr>
          <w:rFonts w:ascii="Times New Roman" w:hAnsi="Times New Roman" w:cs="Times New Roman"/>
          <w:sz w:val="24"/>
          <w:szCs w:val="24"/>
        </w:rPr>
      </w:pPr>
      <w:r w:rsidRPr="00A540F0">
        <w:rPr>
          <w:rFonts w:ascii="Times New Roman" w:hAnsi="Times New Roman" w:cs="Times New Roman"/>
          <w:sz w:val="24"/>
          <w:szCs w:val="24"/>
        </w:rPr>
        <w:t>Los gobiernos empiezan a meter la tijera y ponen fin a la liquidez infinita</w:t>
      </w:r>
    </w:p>
    <w:p w:rsidR="00BE2592" w:rsidRPr="00A540F0" w:rsidRDefault="00BE2592" w:rsidP="00BE2592">
      <w:pPr>
        <w:spacing w:line="240" w:lineRule="auto"/>
        <w:jc w:val="both"/>
        <w:rPr>
          <w:rFonts w:ascii="Times New Roman" w:hAnsi="Times New Roman" w:cs="Times New Roman"/>
          <w:sz w:val="24"/>
          <w:szCs w:val="24"/>
        </w:rPr>
      </w:pPr>
      <w:r w:rsidRPr="00A540F0">
        <w:rPr>
          <w:rFonts w:ascii="Times New Roman" w:hAnsi="Times New Roman" w:cs="Times New Roman"/>
          <w:sz w:val="24"/>
          <w:szCs w:val="24"/>
        </w:rPr>
        <w:t>La ilusión de emitir todo lo necesario para financiar el gasto público se desvanece. Esto, al menos, es lo que sostiene la patronal bancaria mundial. Un informe observa que ya han comenzado los ajustes</w:t>
      </w:r>
    </w:p>
    <w:p w:rsidR="00E7489D" w:rsidRPr="00A540F0" w:rsidRDefault="00BE2592" w:rsidP="00E7489D">
      <w:pPr>
        <w:spacing w:line="240" w:lineRule="auto"/>
        <w:jc w:val="both"/>
        <w:rPr>
          <w:rFonts w:ascii="Times New Roman" w:hAnsi="Times New Roman" w:cs="Times New Roman"/>
          <w:sz w:val="24"/>
          <w:szCs w:val="24"/>
        </w:rPr>
      </w:pPr>
      <w:r w:rsidRPr="00A540F0">
        <w:rPr>
          <w:rFonts w:ascii="Times New Roman" w:hAnsi="Times New Roman" w:cs="Times New Roman"/>
          <w:sz w:val="24"/>
          <w:szCs w:val="24"/>
        </w:rPr>
        <w:t>Los autores del estudio lo han llamado, no sin cierta</w:t>
      </w:r>
      <w:r w:rsidR="006E6BC9" w:rsidRPr="00A540F0">
        <w:rPr>
          <w:rFonts w:ascii="Times New Roman" w:hAnsi="Times New Roman" w:cs="Times New Roman"/>
          <w:sz w:val="24"/>
          <w:szCs w:val="24"/>
        </w:rPr>
        <w:t xml:space="preserve"> ironía, “el fin de la ilusión de la MMT”</w:t>
      </w:r>
      <w:r w:rsidRPr="00A540F0">
        <w:rPr>
          <w:rFonts w:ascii="Times New Roman" w:hAnsi="Times New Roman" w:cs="Times New Roman"/>
          <w:sz w:val="24"/>
          <w:szCs w:val="24"/>
        </w:rPr>
        <w:t xml:space="preserve">. O, lo que es </w:t>
      </w:r>
      <w:r w:rsidR="00E7489D" w:rsidRPr="00A540F0">
        <w:rPr>
          <w:rFonts w:ascii="Times New Roman" w:hAnsi="Times New Roman" w:cs="Times New Roman"/>
          <w:sz w:val="24"/>
          <w:szCs w:val="24"/>
        </w:rPr>
        <w:t>lo mismo, la liquidación de un “sueño”</w:t>
      </w:r>
      <w:r w:rsidRPr="00A540F0">
        <w:rPr>
          <w:rFonts w:ascii="Times New Roman" w:hAnsi="Times New Roman" w:cs="Times New Roman"/>
          <w:sz w:val="24"/>
          <w:szCs w:val="24"/>
        </w:rPr>
        <w:t xml:space="preserve"> que se puso de moda hace algunos años, y que responde a las siglas MMT (teoría monetaria moderna), según sus siglas en inglés.</w:t>
      </w:r>
    </w:p>
    <w:p w:rsidR="001D2FD6" w:rsidRPr="00A540F0" w:rsidRDefault="001D2FD6" w:rsidP="00E7489D">
      <w:pPr>
        <w:spacing w:line="240" w:lineRule="auto"/>
        <w:jc w:val="both"/>
        <w:rPr>
          <w:rFonts w:ascii="Times New Roman" w:hAnsi="Times New Roman" w:cs="Times New Roman"/>
          <w:bCs/>
          <w:sz w:val="24"/>
          <w:szCs w:val="24"/>
        </w:rPr>
      </w:pPr>
      <w:r w:rsidRPr="00A540F0">
        <w:rPr>
          <w:rFonts w:ascii="Times New Roman" w:hAnsi="Times New Roman" w:cs="Times New Roman"/>
          <w:bCs/>
          <w:sz w:val="24"/>
          <w:szCs w:val="24"/>
        </w:rPr>
        <w:t>Nos dijeron que el Estado podía gastar a manos llenas sin que nadie tuviera que financiarlo, porque la deuda pública no se paga nunca: es un almuerzo gratuito. Ahora, en cambio, nos estamos dando cuenta de que sí se paga… Pero los mismos “indocumentados” (los teóricos, los controladores y los aprovechados) siguen erre que erre.  Durante los últimos días (primera semana de noviembre 2022), los tres principales bancos centrales de Occidente (la Reserva Federal, el Banco Central Europeo y el Banco de Inglaterra) han subido sus tipos de interés en 75 puntos básicos. La eurozona los eleva hasta el 2%, Reino Unido hasta el 3% y EEUU hasta el 4%. Se esperan, además,</w:t>
      </w:r>
      <w:r w:rsidRPr="00A540F0">
        <w:rPr>
          <w:rFonts w:ascii="Times New Roman" w:hAnsi="Times New Roman" w:cs="Times New Roman"/>
          <w:b/>
          <w:bCs/>
          <w:sz w:val="24"/>
          <w:szCs w:val="24"/>
        </w:rPr>
        <w:t xml:space="preserve"> </w:t>
      </w:r>
      <w:r w:rsidRPr="00A540F0">
        <w:rPr>
          <w:rFonts w:ascii="Times New Roman" w:hAnsi="Times New Roman" w:cs="Times New Roman"/>
          <w:bCs/>
          <w:sz w:val="24"/>
          <w:szCs w:val="24"/>
        </w:rPr>
        <w:t>nuevas subidas en el futuro y ninguna de estas instituciones descarta el escenario de recesión en el corto-medio plazo.</w:t>
      </w:r>
    </w:p>
    <w:p w:rsidR="00031E4C" w:rsidRDefault="005B142A" w:rsidP="007D3DA0">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 </w:t>
      </w:r>
      <w:r w:rsidRPr="005B142A">
        <w:rPr>
          <w:rFonts w:ascii="Times New Roman" w:hAnsi="Times New Roman" w:cs="Times New Roman"/>
          <w:b/>
          <w:sz w:val="24"/>
          <w:szCs w:val="24"/>
        </w:rPr>
        <w:t>Más allá de palabras bon</w:t>
      </w:r>
      <w:r>
        <w:rPr>
          <w:rFonts w:ascii="Times New Roman" w:hAnsi="Times New Roman" w:cs="Times New Roman"/>
          <w:b/>
          <w:sz w:val="24"/>
          <w:szCs w:val="24"/>
        </w:rPr>
        <w:t xml:space="preserve">itas </w:t>
      </w:r>
      <w:r w:rsidRPr="005B142A">
        <w:rPr>
          <w:rFonts w:ascii="Times New Roman" w:hAnsi="Times New Roman" w:cs="Times New Roman"/>
          <w:b/>
          <w:sz w:val="24"/>
          <w:szCs w:val="24"/>
        </w:rPr>
        <w:t>¿Cómo definir</w:t>
      </w:r>
      <w:r>
        <w:rPr>
          <w:rFonts w:ascii="Times New Roman" w:hAnsi="Times New Roman" w:cs="Times New Roman"/>
          <w:b/>
          <w:sz w:val="24"/>
          <w:szCs w:val="24"/>
        </w:rPr>
        <w:t xml:space="preserve"> la</w:t>
      </w:r>
      <w:r w:rsidRPr="005B142A">
        <w:rPr>
          <w:rFonts w:ascii="Times New Roman" w:hAnsi="Times New Roman" w:cs="Times New Roman"/>
          <w:b/>
          <w:sz w:val="24"/>
          <w:szCs w:val="24"/>
        </w:rPr>
        <w:t xml:space="preserve"> solvencia moral?</w:t>
      </w:r>
    </w:p>
    <w:p w:rsidR="005B142A" w:rsidRPr="005B142A" w:rsidRDefault="005B142A" w:rsidP="007D3DA0">
      <w:pPr>
        <w:spacing w:line="240" w:lineRule="auto"/>
        <w:jc w:val="both"/>
        <w:rPr>
          <w:rFonts w:ascii="Times New Roman" w:hAnsi="Times New Roman" w:cs="Times New Roman"/>
          <w:b/>
          <w:sz w:val="24"/>
          <w:szCs w:val="24"/>
        </w:rPr>
      </w:pPr>
      <w:r w:rsidRPr="004B34E7">
        <w:rPr>
          <w:rFonts w:ascii="Times New Roman" w:hAnsi="Times New Roman" w:cs="Times New Roman"/>
          <w:noProof/>
          <w:sz w:val="24"/>
          <w:szCs w:val="24"/>
          <w:lang w:eastAsia="es-ES"/>
        </w:rPr>
        <w:drawing>
          <wp:inline distT="0" distB="0" distL="0" distR="0" wp14:anchorId="7C6A782D" wp14:editId="1B91514F">
            <wp:extent cx="5734049" cy="2628900"/>
            <wp:effectExtent l="0" t="0" r="635" b="0"/>
            <wp:docPr id="143" name="Imagen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5731510" cy="2627736"/>
                    </a:xfrm>
                    <a:prstGeom prst="rect">
                      <a:avLst/>
                    </a:prstGeom>
                  </pic:spPr>
                </pic:pic>
              </a:graphicData>
            </a:graphic>
          </wp:inline>
        </w:drawing>
      </w:r>
    </w:p>
    <w:p w:rsidR="00031E4C" w:rsidRPr="00D175FD" w:rsidRDefault="005B142A" w:rsidP="00031E4C">
      <w:pPr>
        <w:spacing w:line="240" w:lineRule="auto"/>
        <w:jc w:val="both"/>
        <w:rPr>
          <w:rFonts w:ascii="Times New Roman" w:hAnsi="Times New Roman" w:cs="Times New Roman"/>
          <w:sz w:val="24"/>
          <w:szCs w:val="24"/>
          <w:u w:val="single"/>
        </w:rPr>
      </w:pPr>
      <w:r w:rsidRPr="00D175FD">
        <w:rPr>
          <w:rFonts w:ascii="Times New Roman" w:hAnsi="Times New Roman" w:cs="Times New Roman"/>
          <w:sz w:val="24"/>
          <w:szCs w:val="24"/>
          <w:u w:val="single"/>
        </w:rPr>
        <w:t>(</w:t>
      </w:r>
      <w:r w:rsidRPr="00D175FD">
        <w:rPr>
          <w:rFonts w:ascii="Times New Roman" w:hAnsi="Times New Roman" w:cs="Times New Roman"/>
          <w:b/>
          <w:sz w:val="24"/>
          <w:szCs w:val="24"/>
          <w:u w:val="single"/>
        </w:rPr>
        <w:t>8/11/22</w:t>
      </w:r>
      <w:r w:rsidRPr="00D175FD">
        <w:rPr>
          <w:rFonts w:ascii="Times New Roman" w:hAnsi="Times New Roman" w:cs="Times New Roman"/>
          <w:sz w:val="24"/>
          <w:szCs w:val="24"/>
          <w:u w:val="single"/>
        </w:rPr>
        <w:t xml:space="preserve">) </w:t>
      </w:r>
      <w:r w:rsidR="00031E4C" w:rsidRPr="00D175FD">
        <w:rPr>
          <w:rFonts w:ascii="Times New Roman" w:hAnsi="Times New Roman" w:cs="Times New Roman"/>
          <w:sz w:val="24"/>
          <w:szCs w:val="24"/>
          <w:u w:val="single"/>
        </w:rPr>
        <w:t>Por ahora, la inflación sigue subiendo pese al alza de tipos del BCE</w:t>
      </w:r>
    </w:p>
    <w:p w:rsidR="00031E4C" w:rsidRPr="00D175FD" w:rsidRDefault="00031E4C" w:rsidP="00031E4C">
      <w:pPr>
        <w:spacing w:line="240" w:lineRule="auto"/>
        <w:jc w:val="both"/>
        <w:rPr>
          <w:rFonts w:ascii="Times New Roman" w:hAnsi="Times New Roman" w:cs="Times New Roman"/>
          <w:sz w:val="24"/>
          <w:szCs w:val="24"/>
        </w:rPr>
      </w:pPr>
      <w:r w:rsidRPr="00D175FD">
        <w:rPr>
          <w:rFonts w:ascii="Times New Roman" w:hAnsi="Times New Roman" w:cs="Times New Roman"/>
          <w:sz w:val="24"/>
          <w:szCs w:val="24"/>
        </w:rPr>
        <w:t>Algunos partidos políticos y medios de comunicación están empezando a perder la paciencia y comenzando a señalar al b</w:t>
      </w:r>
      <w:r w:rsidR="005B142A" w:rsidRPr="00D175FD">
        <w:rPr>
          <w:rFonts w:ascii="Times New Roman" w:hAnsi="Times New Roman" w:cs="Times New Roman"/>
          <w:sz w:val="24"/>
          <w:szCs w:val="24"/>
        </w:rPr>
        <w:t>anco central como culpable del “renovado”</w:t>
      </w:r>
      <w:r w:rsidRPr="00D175FD">
        <w:rPr>
          <w:rFonts w:ascii="Times New Roman" w:hAnsi="Times New Roman" w:cs="Times New Roman"/>
          <w:sz w:val="24"/>
          <w:szCs w:val="24"/>
        </w:rPr>
        <w:t xml:space="preserve"> auge de la inflación. ¿Se está equivocando el BCE con su política?</w:t>
      </w:r>
    </w:p>
    <w:p w:rsidR="00031E4C" w:rsidRPr="00D175FD" w:rsidRDefault="00031E4C" w:rsidP="00031E4C">
      <w:pPr>
        <w:spacing w:line="240" w:lineRule="auto"/>
        <w:jc w:val="both"/>
        <w:rPr>
          <w:rFonts w:ascii="Times New Roman" w:hAnsi="Times New Roman" w:cs="Times New Roman"/>
          <w:sz w:val="24"/>
          <w:szCs w:val="24"/>
        </w:rPr>
      </w:pPr>
      <w:r w:rsidRPr="00D175FD">
        <w:rPr>
          <w:rFonts w:ascii="Times New Roman" w:hAnsi="Times New Roman" w:cs="Times New Roman"/>
          <w:sz w:val="24"/>
          <w:szCs w:val="24"/>
        </w:rPr>
        <w:t>Después de haber subido los tipos de interés en 200 puntos básicos, la semana pasada se conoció que la inflación general en la zona euro se había situado en octubre en el 10,7%, un nuevo récord histórico que superó una vez más todas las previsiones. Todas las miradas se dirigen ahora al BCE, cuya respuesta vuelve a ser la misma: habrá que seguir subiendo tipos para devolver la estabilidad de precios a la región y evitar males mayores.</w:t>
      </w:r>
    </w:p>
    <w:p w:rsidR="00031E4C" w:rsidRPr="00D175FD" w:rsidRDefault="00031E4C" w:rsidP="00031E4C">
      <w:pPr>
        <w:spacing w:line="240" w:lineRule="auto"/>
        <w:jc w:val="both"/>
        <w:rPr>
          <w:rFonts w:ascii="Times New Roman" w:hAnsi="Times New Roman" w:cs="Times New Roman"/>
          <w:sz w:val="24"/>
          <w:szCs w:val="24"/>
        </w:rPr>
      </w:pPr>
      <w:r w:rsidRPr="00D175FD">
        <w:rPr>
          <w:rFonts w:ascii="Times New Roman" w:hAnsi="Times New Roman" w:cs="Times New Roman"/>
          <w:sz w:val="24"/>
          <w:szCs w:val="24"/>
        </w:rPr>
        <w:t>La teoría da la razón, por ahora, al BCE. Pese a las históricas subidas de tipos del banco central, aún no ha pasado tiempo suficiente para que estas políticas monetarias tengan un impacto visible en los precios. Los expertos coinciden en que la política monetaria no comienza a trasladarse de forma clara a la economía real hasta que transcurre un periodo de entre seis meses y un año desde la primera subida de tipos. Así te afectan las decisiones del BCE.</w:t>
      </w:r>
    </w:p>
    <w:p w:rsidR="00031E4C" w:rsidRPr="00D175FD" w:rsidRDefault="00031E4C" w:rsidP="00031E4C">
      <w:pPr>
        <w:spacing w:line="240" w:lineRule="auto"/>
        <w:jc w:val="both"/>
        <w:rPr>
          <w:rFonts w:ascii="Times New Roman" w:hAnsi="Times New Roman" w:cs="Times New Roman"/>
          <w:sz w:val="24"/>
          <w:szCs w:val="24"/>
        </w:rPr>
      </w:pPr>
      <w:r w:rsidRPr="00D175FD">
        <w:rPr>
          <w:rFonts w:ascii="Times New Roman" w:hAnsi="Times New Roman" w:cs="Times New Roman"/>
          <w:sz w:val="24"/>
          <w:szCs w:val="24"/>
        </w:rPr>
        <w:t>¿Qué busca el banco central con las subidas de tipos? Philip Lane, economista jefe del BCE, lo</w:t>
      </w:r>
      <w:r w:rsidR="005B142A" w:rsidRPr="00D175FD">
        <w:rPr>
          <w:rFonts w:ascii="Times New Roman" w:hAnsi="Times New Roman" w:cs="Times New Roman"/>
          <w:sz w:val="24"/>
          <w:szCs w:val="24"/>
        </w:rPr>
        <w:t xml:space="preserve"> explicaba así en un discurso: “</w:t>
      </w:r>
      <w:r w:rsidRPr="00D175FD">
        <w:rPr>
          <w:rFonts w:ascii="Times New Roman" w:hAnsi="Times New Roman" w:cs="Times New Roman"/>
          <w:sz w:val="24"/>
          <w:szCs w:val="24"/>
        </w:rPr>
        <w:t>Se puede considerar que la política monetaria afecta la inflación a través de dos canales principales: (a) reduce la presión inflacionaria al aumentar la holgura económica (reduciendo la demanda agregada en relación con la capacidad de oferta de la economía); y (b) garantizar que las expectativas de inflación a mediano plazo est</w:t>
      </w:r>
      <w:r w:rsidR="005B142A" w:rsidRPr="00D175FD">
        <w:rPr>
          <w:rFonts w:ascii="Times New Roman" w:hAnsi="Times New Roman" w:cs="Times New Roman"/>
          <w:sz w:val="24"/>
          <w:szCs w:val="24"/>
        </w:rPr>
        <w:t>én ancladas en la meta del 2%”</w:t>
      </w:r>
      <w:r w:rsidRPr="00D175FD">
        <w:rPr>
          <w:rFonts w:ascii="Times New Roman" w:hAnsi="Times New Roman" w:cs="Times New Roman"/>
          <w:sz w:val="24"/>
          <w:szCs w:val="24"/>
        </w:rPr>
        <w:t>.</w:t>
      </w:r>
    </w:p>
    <w:p w:rsidR="00031E4C" w:rsidRPr="00D175FD" w:rsidRDefault="00031E4C" w:rsidP="00031E4C">
      <w:pPr>
        <w:spacing w:line="240" w:lineRule="auto"/>
        <w:jc w:val="both"/>
        <w:rPr>
          <w:rFonts w:ascii="Times New Roman" w:hAnsi="Times New Roman" w:cs="Times New Roman"/>
          <w:sz w:val="24"/>
          <w:szCs w:val="24"/>
        </w:rPr>
      </w:pPr>
      <w:r w:rsidRPr="00D175FD">
        <w:rPr>
          <w:rFonts w:ascii="Times New Roman" w:hAnsi="Times New Roman" w:cs="Times New Roman"/>
          <w:sz w:val="24"/>
          <w:szCs w:val="24"/>
        </w:rPr>
        <w:t xml:space="preserve">El banco central busca enfriar la demanda (de hogares, empresas y gobiernos) con una política monetaria más restrictiva. Aunque suene </w:t>
      </w:r>
      <w:r w:rsidR="00D175FD">
        <w:rPr>
          <w:rFonts w:ascii="Times New Roman" w:hAnsi="Times New Roman" w:cs="Times New Roman"/>
          <w:sz w:val="24"/>
          <w:szCs w:val="24"/>
        </w:rPr>
        <w:t>duro, estas políticas intentan “destruir”</w:t>
      </w:r>
      <w:r w:rsidRPr="00D175FD">
        <w:rPr>
          <w:rFonts w:ascii="Times New Roman" w:hAnsi="Times New Roman" w:cs="Times New Roman"/>
          <w:sz w:val="24"/>
          <w:szCs w:val="24"/>
        </w:rPr>
        <w:t xml:space="preserve"> la economía por ese lado, para que la oferta y la demanda logren un punto de equilibrio más bajo (un precio menor). Esto no ocurre de la noche a la mañana. Un auge de los tipos de interés no tiene ningún impacto directo en la economía real en el muy corto plazo (mucho menos en la inflación), lo tiene en todo caso en los mercados financieros y algunas clases de activos (la vivienda también tarda en reaccionar).</w:t>
      </w:r>
    </w:p>
    <w:p w:rsidR="00031E4C" w:rsidRPr="00D175FD" w:rsidRDefault="00031E4C" w:rsidP="00031E4C">
      <w:pPr>
        <w:spacing w:line="240" w:lineRule="auto"/>
        <w:jc w:val="both"/>
        <w:rPr>
          <w:rFonts w:ascii="Times New Roman" w:hAnsi="Times New Roman" w:cs="Times New Roman"/>
          <w:sz w:val="24"/>
          <w:szCs w:val="24"/>
        </w:rPr>
      </w:pPr>
      <w:r w:rsidRPr="00D175FD">
        <w:rPr>
          <w:rFonts w:ascii="Times New Roman" w:hAnsi="Times New Roman" w:cs="Times New Roman"/>
          <w:sz w:val="24"/>
          <w:szCs w:val="24"/>
        </w:rPr>
        <w:lastRenderedPageBreak/>
        <w:t>Aunque los aumentos de tipos se trasladan casi automáticamente al interés de los bonos o al euríbor, las empresa</w:t>
      </w:r>
      <w:r w:rsidR="005B142A" w:rsidRPr="00D175FD">
        <w:rPr>
          <w:rFonts w:ascii="Times New Roman" w:hAnsi="Times New Roman" w:cs="Times New Roman"/>
          <w:sz w:val="24"/>
          <w:szCs w:val="24"/>
        </w:rPr>
        <w:t>s y los hogares no comienzan a “sufrir”</w:t>
      </w:r>
      <w:r w:rsidRPr="00D175FD">
        <w:rPr>
          <w:rFonts w:ascii="Times New Roman" w:hAnsi="Times New Roman" w:cs="Times New Roman"/>
          <w:sz w:val="24"/>
          <w:szCs w:val="24"/>
        </w:rPr>
        <w:t xml:space="preserve"> estos costes</w:t>
      </w:r>
      <w:r w:rsidR="00D175FD">
        <w:rPr>
          <w:rFonts w:ascii="Times New Roman" w:hAnsi="Times New Roman" w:cs="Times New Roman"/>
          <w:sz w:val="24"/>
          <w:szCs w:val="24"/>
        </w:rPr>
        <w:t>,</w:t>
      </w:r>
      <w:r w:rsidRPr="00D175FD">
        <w:rPr>
          <w:rFonts w:ascii="Times New Roman" w:hAnsi="Times New Roman" w:cs="Times New Roman"/>
          <w:sz w:val="24"/>
          <w:szCs w:val="24"/>
        </w:rPr>
        <w:t xml:space="preserve"> hasta pasado un tiempo. A día de hoy, el crédito sigue mostrando tasas de crecimiento positivas en la zona euro, mientras que el mercado laboral goza todavía de buena salud, lo que deja entrever que la política monetaria no circula todavía por las venas de la economía real.</w:t>
      </w:r>
    </w:p>
    <w:p w:rsidR="00031E4C" w:rsidRPr="00D175FD" w:rsidRDefault="00031E4C" w:rsidP="00031E4C">
      <w:pPr>
        <w:spacing w:line="240" w:lineRule="auto"/>
        <w:jc w:val="both"/>
        <w:rPr>
          <w:rFonts w:ascii="Times New Roman" w:hAnsi="Times New Roman" w:cs="Times New Roman"/>
          <w:sz w:val="24"/>
          <w:szCs w:val="24"/>
        </w:rPr>
      </w:pPr>
      <w:r w:rsidRPr="00D175FD">
        <w:rPr>
          <w:rFonts w:ascii="Times New Roman" w:hAnsi="Times New Roman" w:cs="Times New Roman"/>
          <w:sz w:val="24"/>
          <w:szCs w:val="24"/>
        </w:rPr>
        <w:t>Las explicaciones son muchas, pero de una forma sencilla se pueden exponer algunos ejemplos. Por un lado, las hipotecas ligadas al euríbor tardan meses en actualizarse, por lo que el impacto inicial de los tipos se produce solo en la nueva demanda de hipotecas y en las que se van revisando poco a poco (la revisión suele ser semestral). Además, los bancos también tardan en trasladar estos tipos de interés a sus ofertas nuevas. Los hogares que hayan pedido un nuevo crédito hipotecario se verán afectados por los mayores tipos de interés y tendrán que reducir su consumo en otras parcelas (lo que enfriaría la demanda), pero esto es solo una parte de los hogares con crédito hipotecario.</w:t>
      </w:r>
    </w:p>
    <w:p w:rsidR="00031E4C" w:rsidRPr="00D175FD" w:rsidRDefault="00031E4C" w:rsidP="00031E4C">
      <w:pPr>
        <w:spacing w:line="240" w:lineRule="auto"/>
        <w:jc w:val="both"/>
        <w:rPr>
          <w:rFonts w:ascii="Times New Roman" w:hAnsi="Times New Roman" w:cs="Times New Roman"/>
          <w:sz w:val="24"/>
          <w:szCs w:val="24"/>
        </w:rPr>
      </w:pPr>
      <w:r w:rsidRPr="00D175FD">
        <w:rPr>
          <w:rFonts w:ascii="Times New Roman" w:hAnsi="Times New Roman" w:cs="Times New Roman"/>
          <w:sz w:val="24"/>
          <w:szCs w:val="24"/>
        </w:rPr>
        <w:t>Algo similar ocurre con el crédito al consumo o con el coste de financiación para las empresas. Que suban hoy los tipos no quiere decir que una empresa se le dispare el coste de financiación de toda su deuda viva de un día para otro, sino que cuando esa compañía quiere emitir bonos o pedir un préstamo nuevo, entonces sí tendrá que pagar más por ello. En ese momento o más tarde, quizá, tendrá que comenzar a plantearse recortes de plantilla o lanzar un profit warning.</w:t>
      </w:r>
    </w:p>
    <w:p w:rsidR="00031E4C" w:rsidRPr="00D175FD" w:rsidRDefault="00031E4C" w:rsidP="00031E4C">
      <w:pPr>
        <w:spacing w:line="240" w:lineRule="auto"/>
        <w:jc w:val="both"/>
        <w:rPr>
          <w:rFonts w:ascii="Times New Roman" w:hAnsi="Times New Roman" w:cs="Times New Roman"/>
          <w:sz w:val="24"/>
          <w:szCs w:val="24"/>
        </w:rPr>
      </w:pPr>
      <w:r w:rsidRPr="00D175FD">
        <w:rPr>
          <w:rFonts w:ascii="Times New Roman" w:hAnsi="Times New Roman" w:cs="Times New Roman"/>
          <w:sz w:val="24"/>
          <w:szCs w:val="24"/>
        </w:rPr>
        <w:t>Así l</w:t>
      </w:r>
      <w:r w:rsidR="005B142A" w:rsidRPr="00D175FD">
        <w:rPr>
          <w:rFonts w:ascii="Times New Roman" w:hAnsi="Times New Roman" w:cs="Times New Roman"/>
          <w:sz w:val="24"/>
          <w:szCs w:val="24"/>
        </w:rPr>
        <w:t>o explicaba Philip Lane (BCE): “</w:t>
      </w:r>
      <w:r w:rsidRPr="00D175FD">
        <w:rPr>
          <w:rFonts w:ascii="Times New Roman" w:hAnsi="Times New Roman" w:cs="Times New Roman"/>
          <w:sz w:val="24"/>
          <w:szCs w:val="24"/>
        </w:rPr>
        <w:t>El retraso considerable entre las acciones de política monetaria y su impacto en los resultados de la inflación también implican que gran parte de la atención a corto plazo al evaluar las acciones de política monetaria se centra en la transmisión a las condiciones financieras (y, cuando sea factible, a las expectativas de inflación). Mientras tanto, evaluar el impacto final en la dinámica de la inflación debe basarse en herramientas analíticas que busquen aprovechar la evidencia histórica de la manera más informativa, reconociendo las diferencias relevantes entre epis</w:t>
      </w:r>
      <w:r w:rsidR="005B142A" w:rsidRPr="00D175FD">
        <w:rPr>
          <w:rFonts w:ascii="Times New Roman" w:hAnsi="Times New Roman" w:cs="Times New Roman"/>
          <w:sz w:val="24"/>
          <w:szCs w:val="24"/>
        </w:rPr>
        <w:t>odios inflacionarios anteriores”</w:t>
      </w:r>
      <w:r w:rsidRPr="00D175FD">
        <w:rPr>
          <w:rFonts w:ascii="Times New Roman" w:hAnsi="Times New Roman" w:cs="Times New Roman"/>
          <w:sz w:val="24"/>
          <w:szCs w:val="24"/>
        </w:rPr>
        <w:t>.</w:t>
      </w:r>
    </w:p>
    <w:p w:rsidR="00031E4C" w:rsidRPr="00D175FD" w:rsidRDefault="00031E4C" w:rsidP="00031E4C">
      <w:pPr>
        <w:spacing w:line="240" w:lineRule="auto"/>
        <w:jc w:val="both"/>
        <w:rPr>
          <w:rFonts w:ascii="Times New Roman" w:hAnsi="Times New Roman" w:cs="Times New Roman"/>
          <w:sz w:val="24"/>
          <w:szCs w:val="24"/>
        </w:rPr>
      </w:pPr>
      <w:r w:rsidRPr="00D175FD">
        <w:rPr>
          <w:rFonts w:ascii="Times New Roman" w:hAnsi="Times New Roman" w:cs="Times New Roman"/>
          <w:sz w:val="24"/>
          <w:szCs w:val="24"/>
        </w:rPr>
        <w:t>Lane seguía expli</w:t>
      </w:r>
      <w:r w:rsidR="005B142A" w:rsidRPr="00D175FD">
        <w:rPr>
          <w:rFonts w:ascii="Times New Roman" w:hAnsi="Times New Roman" w:cs="Times New Roman"/>
          <w:sz w:val="24"/>
          <w:szCs w:val="24"/>
        </w:rPr>
        <w:t>cando ese proceso y añadía que “</w:t>
      </w:r>
      <w:r w:rsidRPr="00D175FD">
        <w:rPr>
          <w:rFonts w:ascii="Times New Roman" w:hAnsi="Times New Roman" w:cs="Times New Roman"/>
          <w:sz w:val="24"/>
          <w:szCs w:val="24"/>
        </w:rPr>
        <w:t>como resultado de los diversos pasos en la transmisión de la política monetaria a través del sistema bancario, el traspaso de la política monetaria a los tipos activos de los nuevos préstamos es más lento, por ejemplo, que a la deuda basada en el mercado... En particular, un cambio en los tipos de interés de mercado se transmite por completo a un cambio correspondiente en los rendimientos de los bonos corporativos dentro del mismo trimestre, mientras que para el interés de los préstamos, por lo general lleva entre seis meses y un año hasta que los cambios en las tipos de mercado se trasladan a l</w:t>
      </w:r>
      <w:r w:rsidR="005B142A" w:rsidRPr="00D175FD">
        <w:rPr>
          <w:rFonts w:ascii="Times New Roman" w:hAnsi="Times New Roman" w:cs="Times New Roman"/>
          <w:sz w:val="24"/>
          <w:szCs w:val="24"/>
        </w:rPr>
        <w:t>os de los préstamos de la banca”</w:t>
      </w:r>
      <w:r w:rsidRPr="00D175FD">
        <w:rPr>
          <w:rFonts w:ascii="Times New Roman" w:hAnsi="Times New Roman" w:cs="Times New Roman"/>
          <w:sz w:val="24"/>
          <w:szCs w:val="24"/>
        </w:rPr>
        <w:t>, aseguraba el economista jefe del BCE. Desde que el BCE comenzó a subir tipos han pasado algo más de cuatro meses.</w:t>
      </w:r>
    </w:p>
    <w:p w:rsidR="00031E4C" w:rsidRPr="00D175FD" w:rsidRDefault="00031E4C" w:rsidP="00031E4C">
      <w:pPr>
        <w:spacing w:line="240" w:lineRule="auto"/>
        <w:jc w:val="both"/>
        <w:rPr>
          <w:rFonts w:ascii="Times New Roman" w:hAnsi="Times New Roman" w:cs="Times New Roman"/>
          <w:sz w:val="24"/>
          <w:szCs w:val="24"/>
        </w:rPr>
      </w:pPr>
      <w:r w:rsidRPr="00D175FD">
        <w:rPr>
          <w:rFonts w:ascii="Times New Roman" w:hAnsi="Times New Roman" w:cs="Times New Roman"/>
          <w:sz w:val="24"/>
          <w:szCs w:val="24"/>
        </w:rPr>
        <w:t xml:space="preserve">Otro factor que podría reducir la efectividad de la política monetaria del BCE es la composición de la inflación de la zona euro. Como se viene diciendo desde 2021, el BCE y la </w:t>
      </w:r>
      <w:r w:rsidR="005B142A" w:rsidRPr="00D175FD">
        <w:rPr>
          <w:rFonts w:ascii="Times New Roman" w:hAnsi="Times New Roman" w:cs="Times New Roman"/>
          <w:sz w:val="24"/>
          <w:szCs w:val="24"/>
        </w:rPr>
        <w:t>Reserva Federal se enfrentan a “monstruos”</w:t>
      </w:r>
      <w:r w:rsidRPr="00D175FD">
        <w:rPr>
          <w:rFonts w:ascii="Times New Roman" w:hAnsi="Times New Roman" w:cs="Times New Roman"/>
          <w:sz w:val="24"/>
          <w:szCs w:val="24"/>
        </w:rPr>
        <w:t xml:space="preserve"> (la inflación) diferentes. Mientras que en el caso de EEUU buena parte de la subida de precios se debe a factores de demanda (una economía sobrecalentada), en el caso de Europa la mayor parte sigue siendo factores de oferta (sobre todo energía). Por mucho que suba los tipos el BCE, el petróleo o el gas no van a bajar de precio, al menos en el corto plazo. No obstante, a medio y largo plazo, si las políticas del BCE enfrían la demanda, provocando un menor consumo de gasolina, electricidad o gas, sí podrían también enfriar esa inflación de oferta, al menos en parte.</w:t>
      </w:r>
    </w:p>
    <w:p w:rsidR="00031E4C" w:rsidRPr="00D175FD" w:rsidRDefault="00031E4C" w:rsidP="00031E4C">
      <w:pPr>
        <w:spacing w:line="240" w:lineRule="auto"/>
        <w:jc w:val="both"/>
        <w:rPr>
          <w:rFonts w:ascii="Times New Roman" w:hAnsi="Times New Roman" w:cs="Times New Roman"/>
          <w:sz w:val="24"/>
          <w:szCs w:val="24"/>
        </w:rPr>
      </w:pPr>
      <w:r w:rsidRPr="00D175FD">
        <w:rPr>
          <w:rFonts w:ascii="Times New Roman" w:hAnsi="Times New Roman" w:cs="Times New Roman"/>
          <w:sz w:val="24"/>
          <w:szCs w:val="24"/>
        </w:rPr>
        <w:t>Esto también lo reconocen los propios miembros del Consejo de Gobierno del BCE. Pablo Hernández de Cos, gobernador del Banco de España, comentaba este mié</w:t>
      </w:r>
      <w:r w:rsidR="005B142A" w:rsidRPr="00D175FD">
        <w:rPr>
          <w:rFonts w:ascii="Times New Roman" w:hAnsi="Times New Roman" w:cs="Times New Roman"/>
          <w:sz w:val="24"/>
          <w:szCs w:val="24"/>
        </w:rPr>
        <w:t xml:space="preserve">rcoles durante un </w:t>
      </w:r>
      <w:r w:rsidR="005B142A" w:rsidRPr="00D175FD">
        <w:rPr>
          <w:rFonts w:ascii="Times New Roman" w:hAnsi="Times New Roman" w:cs="Times New Roman"/>
          <w:sz w:val="24"/>
          <w:szCs w:val="24"/>
        </w:rPr>
        <w:lastRenderedPageBreak/>
        <w:t>discurso que “</w:t>
      </w:r>
      <w:r w:rsidRPr="00D175FD">
        <w:rPr>
          <w:rFonts w:ascii="Times New Roman" w:hAnsi="Times New Roman" w:cs="Times New Roman"/>
          <w:sz w:val="24"/>
          <w:szCs w:val="24"/>
        </w:rPr>
        <w:t>en cuanto a la inflación, es cierto que una parte importante de las perturbaciones que se encuentran detrás de su fuerte incremento en el área del euro son de oferta, lo que contrasta con la situación en Estados Unidos. De hecho, alrededor del 75% del incremento de la inflación en el último año se debe al efecto directo o indirecto de la energía y de los alimentos. Pero detrás de ese incremento hay también un componente de demanda, y su magnitud y persistencia son extraordinarias, y se ha ido extendido a cada vez un número mayor de componentes de la cesta de consumo. Todo ello aumenta, a su vez, la probabilida</w:t>
      </w:r>
      <w:r w:rsidR="005B142A" w:rsidRPr="00D175FD">
        <w:rPr>
          <w:rFonts w:ascii="Times New Roman" w:hAnsi="Times New Roman" w:cs="Times New Roman"/>
          <w:sz w:val="24"/>
          <w:szCs w:val="24"/>
        </w:rPr>
        <w:t>d de efectos de segunda ronda”</w:t>
      </w:r>
      <w:r w:rsidRPr="00D175FD">
        <w:rPr>
          <w:rFonts w:ascii="Times New Roman" w:hAnsi="Times New Roman" w:cs="Times New Roman"/>
          <w:sz w:val="24"/>
          <w:szCs w:val="24"/>
        </w:rPr>
        <w:t>.</w:t>
      </w:r>
    </w:p>
    <w:p w:rsidR="00031E4C" w:rsidRPr="00D175FD" w:rsidRDefault="00031E4C" w:rsidP="00031E4C">
      <w:pPr>
        <w:spacing w:line="240" w:lineRule="auto"/>
        <w:jc w:val="both"/>
        <w:rPr>
          <w:rFonts w:ascii="Times New Roman" w:hAnsi="Times New Roman" w:cs="Times New Roman"/>
          <w:sz w:val="24"/>
          <w:szCs w:val="24"/>
        </w:rPr>
      </w:pPr>
      <w:r w:rsidRPr="00D175FD">
        <w:rPr>
          <w:rFonts w:ascii="Times New Roman" w:hAnsi="Times New Roman" w:cs="Times New Roman"/>
          <w:sz w:val="24"/>
          <w:szCs w:val="24"/>
        </w:rPr>
        <w:t>Esa es otra de las claves. Una inflación de oferta puede terminar generando efectos de segunda ronda y generar una espiral precios-salarios muy nociva para la economía. El BCE interviene ahora para que esta inflación de oferta no desancle las expectativas de inflación futuras, que a su vez están casi directamente relacionadas con la inflación realizada (la inflación actual). Si los altos precios del gas, petróleo, electricidad terminan filtrándose al resto de componentes (tal y como ha pasado) y acaban llegando al mercado laboral, la inflación podría enquistarse y mantenerse elevada por mucho más tiempo provocando un daño superior y más duradero en la economía que el que puede generar un endurecimiento de la política monetaria, o al menos eso dice la historia.</w:t>
      </w:r>
    </w:p>
    <w:p w:rsidR="00031E4C" w:rsidRPr="00D175FD" w:rsidRDefault="005B142A" w:rsidP="00031E4C">
      <w:pPr>
        <w:spacing w:line="240" w:lineRule="auto"/>
        <w:jc w:val="both"/>
        <w:rPr>
          <w:rFonts w:ascii="Times New Roman" w:hAnsi="Times New Roman" w:cs="Times New Roman"/>
          <w:sz w:val="24"/>
          <w:szCs w:val="24"/>
        </w:rPr>
      </w:pPr>
      <w:r w:rsidRPr="00D175FD">
        <w:rPr>
          <w:rFonts w:ascii="Times New Roman" w:hAnsi="Times New Roman" w:cs="Times New Roman"/>
          <w:sz w:val="24"/>
          <w:szCs w:val="24"/>
        </w:rPr>
        <w:t>“</w:t>
      </w:r>
      <w:r w:rsidR="00031E4C" w:rsidRPr="00D175FD">
        <w:rPr>
          <w:rFonts w:ascii="Times New Roman" w:hAnsi="Times New Roman" w:cs="Times New Roman"/>
          <w:sz w:val="24"/>
          <w:szCs w:val="24"/>
        </w:rPr>
        <w:t>En este contexto, teniendo también en cuenta el extraordinario estímulo monetario que implementamos durante la pandemia, que llevó a unas condiciones financieras muy holgadas, en el Consejo de Gobierno del BCE iniciamos a finales de 2021 un proceso de normalización progresiv</w:t>
      </w:r>
      <w:r w:rsidRPr="00D175FD">
        <w:rPr>
          <w:rFonts w:ascii="Times New Roman" w:hAnsi="Times New Roman" w:cs="Times New Roman"/>
          <w:sz w:val="24"/>
          <w:szCs w:val="24"/>
        </w:rPr>
        <w:t>a de nuestra política monetaria”</w:t>
      </w:r>
      <w:r w:rsidR="00031E4C" w:rsidRPr="00D175FD">
        <w:rPr>
          <w:rFonts w:ascii="Times New Roman" w:hAnsi="Times New Roman" w:cs="Times New Roman"/>
          <w:sz w:val="24"/>
          <w:szCs w:val="24"/>
        </w:rPr>
        <w:t>, sentenciaba de Cos.</w:t>
      </w:r>
    </w:p>
    <w:p w:rsidR="00031E4C" w:rsidRPr="00D175FD" w:rsidRDefault="00031E4C" w:rsidP="00031E4C">
      <w:pPr>
        <w:spacing w:line="240" w:lineRule="auto"/>
        <w:jc w:val="both"/>
        <w:rPr>
          <w:rFonts w:ascii="Times New Roman" w:hAnsi="Times New Roman" w:cs="Times New Roman"/>
          <w:sz w:val="24"/>
          <w:szCs w:val="24"/>
        </w:rPr>
      </w:pPr>
      <w:r w:rsidRPr="00D175FD">
        <w:rPr>
          <w:rFonts w:ascii="Times New Roman" w:hAnsi="Times New Roman" w:cs="Times New Roman"/>
          <w:sz w:val="24"/>
          <w:szCs w:val="24"/>
        </w:rPr>
        <w:t>Con todo lo anterior, se puede concluir que el BCE, en teoría, está dando los pasos adecuados para poner coto a la inflación y reducir el daño que ésta genera en la economía. La inflación ha seguido subiendo porque la política monetaria tarda en trasladarse a la economía real varios trimestres. Sin en 2023 la inflación sigue subiendo o se mantiene muy alta, entonces quizá cobraría más sentido profundizar en la crítica al banco central y en el análisis de por qué los precios no se moderan con las subidas del precio del dinero.</w:t>
      </w:r>
    </w:p>
    <w:p w:rsidR="00031E4C" w:rsidRPr="00D175FD" w:rsidRDefault="005B142A" w:rsidP="00031E4C">
      <w:pPr>
        <w:spacing w:line="240" w:lineRule="auto"/>
        <w:jc w:val="both"/>
        <w:rPr>
          <w:rFonts w:ascii="Times New Roman" w:hAnsi="Times New Roman" w:cs="Times New Roman"/>
          <w:sz w:val="24"/>
          <w:szCs w:val="24"/>
          <w:u w:val="single"/>
        </w:rPr>
      </w:pPr>
      <w:r w:rsidRPr="00D175FD">
        <w:rPr>
          <w:rFonts w:ascii="Times New Roman" w:hAnsi="Times New Roman" w:cs="Times New Roman"/>
          <w:sz w:val="24"/>
          <w:szCs w:val="24"/>
          <w:u w:val="single"/>
        </w:rPr>
        <w:t>(</w:t>
      </w:r>
      <w:r w:rsidRPr="00D175FD">
        <w:rPr>
          <w:rFonts w:ascii="Times New Roman" w:hAnsi="Times New Roman" w:cs="Times New Roman"/>
          <w:b/>
          <w:sz w:val="24"/>
          <w:szCs w:val="24"/>
          <w:u w:val="single"/>
        </w:rPr>
        <w:t>8/11/22</w:t>
      </w:r>
      <w:r w:rsidRPr="00D175FD">
        <w:rPr>
          <w:rFonts w:ascii="Times New Roman" w:hAnsi="Times New Roman" w:cs="Times New Roman"/>
          <w:sz w:val="24"/>
          <w:szCs w:val="24"/>
          <w:u w:val="single"/>
        </w:rPr>
        <w:t>) Powell firma un “</w:t>
      </w:r>
      <w:r w:rsidR="00031E4C" w:rsidRPr="00D175FD">
        <w:rPr>
          <w:rFonts w:ascii="Times New Roman" w:hAnsi="Times New Roman" w:cs="Times New Roman"/>
          <w:sz w:val="24"/>
          <w:szCs w:val="24"/>
          <w:u w:val="single"/>
        </w:rPr>
        <w:t>pact</w:t>
      </w:r>
      <w:r w:rsidRPr="00D175FD">
        <w:rPr>
          <w:rFonts w:ascii="Times New Roman" w:hAnsi="Times New Roman" w:cs="Times New Roman"/>
          <w:sz w:val="24"/>
          <w:szCs w:val="24"/>
          <w:u w:val="single"/>
        </w:rPr>
        <w:t>o con el diablo”</w:t>
      </w:r>
      <w:r w:rsidR="00031E4C" w:rsidRPr="00D175FD">
        <w:rPr>
          <w:rFonts w:ascii="Times New Roman" w:hAnsi="Times New Roman" w:cs="Times New Roman"/>
          <w:sz w:val="24"/>
          <w:szCs w:val="24"/>
          <w:u w:val="single"/>
        </w:rPr>
        <w:t xml:space="preserve"> para acabar con la inflación: menores subidas de tipos, pero con un techo más alto y por más tiempo</w:t>
      </w:r>
    </w:p>
    <w:p w:rsidR="00031E4C" w:rsidRPr="00D175FD" w:rsidRDefault="00031E4C" w:rsidP="00031E4C">
      <w:pPr>
        <w:spacing w:line="240" w:lineRule="auto"/>
        <w:jc w:val="both"/>
        <w:rPr>
          <w:rFonts w:ascii="Times New Roman" w:hAnsi="Times New Roman" w:cs="Times New Roman"/>
          <w:sz w:val="24"/>
          <w:szCs w:val="24"/>
        </w:rPr>
      </w:pPr>
      <w:r w:rsidRPr="00D175FD">
        <w:rPr>
          <w:rFonts w:ascii="Times New Roman" w:hAnsi="Times New Roman" w:cs="Times New Roman"/>
          <w:sz w:val="24"/>
          <w:szCs w:val="24"/>
        </w:rPr>
        <w:t>En la rueda de prensa, en la que llegó a arrugar el gesto cuando se le hizo referencia a la reacción de los mercados a sus palabras, Powell sacó la artillería, a</w:t>
      </w:r>
      <w:r w:rsidR="005B142A" w:rsidRPr="00D175FD">
        <w:rPr>
          <w:rFonts w:ascii="Times New Roman" w:hAnsi="Times New Roman" w:cs="Times New Roman"/>
          <w:sz w:val="24"/>
          <w:szCs w:val="24"/>
        </w:rPr>
        <w:t>segurando que la Fed tiene aún “mucho camino por recorrer”</w:t>
      </w:r>
      <w:r w:rsidRPr="00D175FD">
        <w:rPr>
          <w:rFonts w:ascii="Times New Roman" w:hAnsi="Times New Roman" w:cs="Times New Roman"/>
          <w:sz w:val="24"/>
          <w:szCs w:val="24"/>
        </w:rPr>
        <w:t>. Si p</w:t>
      </w:r>
      <w:r w:rsidR="005B142A" w:rsidRPr="00D175FD">
        <w:rPr>
          <w:rFonts w:ascii="Times New Roman" w:hAnsi="Times New Roman" w:cs="Times New Roman"/>
          <w:sz w:val="24"/>
          <w:szCs w:val="24"/>
        </w:rPr>
        <w:t>or un lado dijo que todavía es “muy prematuro”</w:t>
      </w:r>
      <w:r w:rsidRPr="00D175FD">
        <w:rPr>
          <w:rFonts w:ascii="Times New Roman" w:hAnsi="Times New Roman" w:cs="Times New Roman"/>
          <w:sz w:val="24"/>
          <w:szCs w:val="24"/>
        </w:rPr>
        <w:t xml:space="preserve"> hablar de pausa en las subidas de tipos, por otro destacó que lo importante ahora, más que la velocidad de las subidas, es el tipo máximo al que se llegue en este ciclo y el t</w:t>
      </w:r>
      <w:r w:rsidR="00727177" w:rsidRPr="00D175FD">
        <w:rPr>
          <w:rFonts w:ascii="Times New Roman" w:hAnsi="Times New Roman" w:cs="Times New Roman"/>
          <w:sz w:val="24"/>
          <w:szCs w:val="24"/>
        </w:rPr>
        <w:t>iempo que se permanezca en él. “</w:t>
      </w:r>
      <w:r w:rsidRPr="00D175FD">
        <w:rPr>
          <w:rFonts w:ascii="Times New Roman" w:hAnsi="Times New Roman" w:cs="Times New Roman"/>
          <w:sz w:val="24"/>
          <w:szCs w:val="24"/>
        </w:rPr>
        <w:t>La cuestión de cuándo moderar el ritmo de subidas es ahora mucho menos importante que la cuestión de hasta dónde subir los tipos y cuánto tiempo mantener la política moneta</w:t>
      </w:r>
      <w:r w:rsidR="00727177" w:rsidRPr="00D175FD">
        <w:rPr>
          <w:rFonts w:ascii="Times New Roman" w:hAnsi="Times New Roman" w:cs="Times New Roman"/>
          <w:sz w:val="24"/>
          <w:szCs w:val="24"/>
        </w:rPr>
        <w:t>ria restrictiva”</w:t>
      </w:r>
      <w:r w:rsidRPr="00D175FD">
        <w:rPr>
          <w:rFonts w:ascii="Times New Roman" w:hAnsi="Times New Roman" w:cs="Times New Roman"/>
          <w:sz w:val="24"/>
          <w:szCs w:val="24"/>
        </w:rPr>
        <w:t>, enfatizó.</w:t>
      </w:r>
    </w:p>
    <w:p w:rsidR="00031E4C" w:rsidRPr="00D175FD" w:rsidRDefault="00031E4C" w:rsidP="00031E4C">
      <w:pPr>
        <w:spacing w:line="240" w:lineRule="auto"/>
        <w:jc w:val="both"/>
        <w:rPr>
          <w:rFonts w:ascii="Times New Roman" w:hAnsi="Times New Roman" w:cs="Times New Roman"/>
          <w:sz w:val="24"/>
          <w:szCs w:val="24"/>
        </w:rPr>
      </w:pPr>
      <w:r w:rsidRPr="00D175FD">
        <w:rPr>
          <w:rFonts w:ascii="Times New Roman" w:hAnsi="Times New Roman" w:cs="Times New Roman"/>
          <w:sz w:val="24"/>
          <w:szCs w:val="24"/>
        </w:rPr>
        <w:t>En este punto, el banquero central dijo que ese tipo terminal seguramente sea más alto de lo que recogían las previsiones de la Fed en septiembre: un 4,50-4,75% en 2023. Sin hacer referencia explícita a si será de 75 o de 50 puntos básicos, la subida de tipos de diciembre pasaba a un segundo plano. Las contundentes palab</w:t>
      </w:r>
      <w:r w:rsidR="00727177" w:rsidRPr="00D175FD">
        <w:rPr>
          <w:rFonts w:ascii="Times New Roman" w:hAnsi="Times New Roman" w:cs="Times New Roman"/>
          <w:sz w:val="24"/>
          <w:szCs w:val="24"/>
        </w:rPr>
        <w:t>ras de Powell, para algunos un “Jackson Hole 2.0”</w:t>
      </w:r>
      <w:r w:rsidRPr="00D175FD">
        <w:rPr>
          <w:rFonts w:ascii="Times New Roman" w:hAnsi="Times New Roman" w:cs="Times New Roman"/>
          <w:sz w:val="24"/>
          <w:szCs w:val="24"/>
        </w:rPr>
        <w:t xml:space="preserve"> después del simposio de agosto en e</w:t>
      </w:r>
      <w:r w:rsidR="00727177" w:rsidRPr="00D175FD">
        <w:rPr>
          <w:rFonts w:ascii="Times New Roman" w:hAnsi="Times New Roman" w:cs="Times New Roman"/>
          <w:sz w:val="24"/>
          <w:szCs w:val="24"/>
        </w:rPr>
        <w:t>l que Powell llegó a hablar de “dolor”</w:t>
      </w:r>
      <w:r w:rsidRPr="00D175FD">
        <w:rPr>
          <w:rFonts w:ascii="Times New Roman" w:hAnsi="Times New Roman" w:cs="Times New Roman"/>
          <w:sz w:val="24"/>
          <w:szCs w:val="24"/>
        </w:rPr>
        <w:t xml:space="preserve"> para los hogares, han dado un vuelco a las expectativas de tipos. El mercado ha vuelto a contemplar un tipo terminal por encima del 5% entre la primavera y el verano 2023. El techo se fija ahora cerca del 5,2% para junio del año próximo.</w:t>
      </w:r>
    </w:p>
    <w:p w:rsidR="00031E4C" w:rsidRPr="00D175FD" w:rsidRDefault="00727177" w:rsidP="00031E4C">
      <w:pPr>
        <w:spacing w:line="240" w:lineRule="auto"/>
        <w:jc w:val="both"/>
        <w:rPr>
          <w:rFonts w:ascii="Times New Roman" w:hAnsi="Times New Roman" w:cs="Times New Roman"/>
          <w:sz w:val="24"/>
          <w:szCs w:val="24"/>
        </w:rPr>
      </w:pPr>
      <w:r w:rsidRPr="00D175FD">
        <w:rPr>
          <w:rFonts w:ascii="Times New Roman" w:hAnsi="Times New Roman" w:cs="Times New Roman"/>
          <w:sz w:val="24"/>
          <w:szCs w:val="24"/>
        </w:rPr>
        <w:lastRenderedPageBreak/>
        <w:t>¿Por qué un “pacto con el diablo”</w:t>
      </w:r>
      <w:r w:rsidR="00031E4C" w:rsidRPr="00D175FD">
        <w:rPr>
          <w:rFonts w:ascii="Times New Roman" w:hAnsi="Times New Roman" w:cs="Times New Roman"/>
          <w:sz w:val="24"/>
          <w:szCs w:val="24"/>
        </w:rPr>
        <w:t>? Para Chiavarone, de F</w:t>
      </w:r>
      <w:r w:rsidRPr="00D175FD">
        <w:rPr>
          <w:rFonts w:ascii="Times New Roman" w:hAnsi="Times New Roman" w:cs="Times New Roman"/>
          <w:sz w:val="24"/>
          <w:szCs w:val="24"/>
        </w:rPr>
        <w:t>ederated Hermes, “</w:t>
      </w:r>
      <w:r w:rsidR="00031E4C" w:rsidRPr="00D175FD">
        <w:rPr>
          <w:rFonts w:ascii="Times New Roman" w:hAnsi="Times New Roman" w:cs="Times New Roman"/>
          <w:sz w:val="24"/>
          <w:szCs w:val="24"/>
        </w:rPr>
        <w:t xml:space="preserve">el tamaño de las subidas de tipos probablemente se reducirá, pero el tipo terminal es probablemente más alto -la implicación es un mayor número de subidas de tipos </w:t>
      </w:r>
      <w:r w:rsidRPr="00D175FD">
        <w:rPr>
          <w:rFonts w:ascii="Times New Roman" w:hAnsi="Times New Roman" w:cs="Times New Roman"/>
          <w:sz w:val="24"/>
          <w:szCs w:val="24"/>
        </w:rPr>
        <w:t>más pequeñas-. Eso no es dovish”. “</w:t>
      </w:r>
      <w:r w:rsidR="00031E4C" w:rsidRPr="00D175FD">
        <w:rPr>
          <w:rFonts w:ascii="Times New Roman" w:hAnsi="Times New Roman" w:cs="Times New Roman"/>
          <w:sz w:val="24"/>
          <w:szCs w:val="24"/>
        </w:rPr>
        <w:t>En nuestra opinión, el enfoque de Powell fue explicar el cambio de cuán rápido a cuán alto, algo que pareció causar la confusión inicial del mercado. Powell dio una lección sobre las etapas del endurecimiento de la política monetaria, explicando que la Fed estaba pasando de la fase inicial de subir los tipos rápidamente a un ritmo más lento, ya que la Fed busca hasta dónde deben llegar los tipos para garantizar e</w:t>
      </w:r>
      <w:r w:rsidRPr="00D175FD">
        <w:rPr>
          <w:rFonts w:ascii="Times New Roman" w:hAnsi="Times New Roman" w:cs="Times New Roman"/>
          <w:sz w:val="24"/>
          <w:szCs w:val="24"/>
        </w:rPr>
        <w:t>l retorno de la inflación al 2%”</w:t>
      </w:r>
      <w:r w:rsidR="00031E4C" w:rsidRPr="00D175FD">
        <w:rPr>
          <w:rFonts w:ascii="Times New Roman" w:hAnsi="Times New Roman" w:cs="Times New Roman"/>
          <w:sz w:val="24"/>
          <w:szCs w:val="24"/>
        </w:rPr>
        <w:t>, sintetiza David Page, de AXA IM.</w:t>
      </w:r>
    </w:p>
    <w:p w:rsidR="00031E4C" w:rsidRPr="00D175FD" w:rsidRDefault="00727177" w:rsidP="00031E4C">
      <w:pPr>
        <w:spacing w:line="240" w:lineRule="auto"/>
        <w:jc w:val="both"/>
        <w:rPr>
          <w:rFonts w:ascii="Times New Roman" w:hAnsi="Times New Roman" w:cs="Times New Roman"/>
          <w:sz w:val="24"/>
          <w:szCs w:val="24"/>
        </w:rPr>
      </w:pPr>
      <w:r w:rsidRPr="00D175FD">
        <w:rPr>
          <w:rFonts w:ascii="Times New Roman" w:hAnsi="Times New Roman" w:cs="Times New Roman"/>
          <w:sz w:val="24"/>
          <w:szCs w:val="24"/>
        </w:rPr>
        <w:t>“Hay que distinguir entre un “pivote”</w:t>
      </w:r>
      <w:r w:rsidR="00031E4C" w:rsidRPr="00D175FD">
        <w:rPr>
          <w:rFonts w:ascii="Times New Roman" w:hAnsi="Times New Roman" w:cs="Times New Roman"/>
          <w:sz w:val="24"/>
          <w:szCs w:val="24"/>
        </w:rPr>
        <w:t xml:space="preserve"> (giro a la moderación) y un ritmo lento de subidas de tipos. Las subidas de tipos más pequeñas siguen siendo subidas de tipos y no apuntan a un cambio en la política de endurecimiento. El mercado ha estado malinterpretando este lenguaje recientemente, tratando de fijar el precio de la tasa terminal y asumiendo que habrá un cambio rápido en la política que requiere una política moneta</w:t>
      </w:r>
      <w:r w:rsidRPr="00D175FD">
        <w:rPr>
          <w:rFonts w:ascii="Times New Roman" w:hAnsi="Times New Roman" w:cs="Times New Roman"/>
          <w:sz w:val="24"/>
          <w:szCs w:val="24"/>
        </w:rPr>
        <w:t>ria más baja y más acomodaticia”</w:t>
      </w:r>
      <w:r w:rsidR="00031E4C" w:rsidRPr="00D175FD">
        <w:rPr>
          <w:rFonts w:ascii="Times New Roman" w:hAnsi="Times New Roman" w:cs="Times New Roman"/>
          <w:sz w:val="24"/>
          <w:szCs w:val="24"/>
        </w:rPr>
        <w:t>, detalla Brian Mulberry, gestor de carteras de clientes de Zacks Investment Management.</w:t>
      </w:r>
    </w:p>
    <w:p w:rsidR="00031E4C" w:rsidRPr="00D175FD" w:rsidRDefault="00727177" w:rsidP="00031E4C">
      <w:pPr>
        <w:spacing w:line="240" w:lineRule="auto"/>
        <w:jc w:val="both"/>
        <w:rPr>
          <w:rFonts w:ascii="Times New Roman" w:hAnsi="Times New Roman" w:cs="Times New Roman"/>
          <w:sz w:val="24"/>
          <w:szCs w:val="24"/>
        </w:rPr>
      </w:pPr>
      <w:r w:rsidRPr="00D175FD">
        <w:rPr>
          <w:rFonts w:ascii="Times New Roman" w:hAnsi="Times New Roman" w:cs="Times New Roman"/>
          <w:sz w:val="24"/>
          <w:szCs w:val="24"/>
        </w:rPr>
        <w:t>“</w:t>
      </w:r>
      <w:r w:rsidR="00031E4C" w:rsidRPr="00D175FD">
        <w:rPr>
          <w:rFonts w:ascii="Times New Roman" w:hAnsi="Times New Roman" w:cs="Times New Roman"/>
          <w:sz w:val="24"/>
          <w:szCs w:val="24"/>
        </w:rPr>
        <w:t>Tal y como ha insinuado Powell, el destino del ciclo de tipos es probablemente más importante que su velocidad. Las estimaciones del mercado sobre la tasa terminal no muestran aún signos de haber alcanzado un máximo. Aunque la economía estadounidense está empezando a desacelerarse, la inflación sigue siendo obstinadamente alta (la subyacente en máximos de cuatro décadas) y el mercado laboral sigue siendo muy ajustado. Aunque el balance de la evidencia sugiere que las noticias sobre la inflación mejorarán a partir de ahora, es poco probable que la Fed emita tonos dovish hasta que sur</w:t>
      </w:r>
      <w:r w:rsidRPr="00D175FD">
        <w:rPr>
          <w:rFonts w:ascii="Times New Roman" w:hAnsi="Times New Roman" w:cs="Times New Roman"/>
          <w:sz w:val="24"/>
          <w:szCs w:val="24"/>
        </w:rPr>
        <w:t>jan pruebas más sólidas de ello”</w:t>
      </w:r>
      <w:r w:rsidR="00031E4C" w:rsidRPr="00D175FD">
        <w:rPr>
          <w:rFonts w:ascii="Times New Roman" w:hAnsi="Times New Roman" w:cs="Times New Roman"/>
          <w:sz w:val="24"/>
          <w:szCs w:val="24"/>
        </w:rPr>
        <w:t>, explica Paul O'Connor, responsable de Multiactivos de Janus Henderson.</w:t>
      </w:r>
    </w:p>
    <w:p w:rsidR="00031E4C" w:rsidRPr="00D175FD" w:rsidRDefault="00727177" w:rsidP="00031E4C">
      <w:pPr>
        <w:spacing w:line="240" w:lineRule="auto"/>
        <w:jc w:val="both"/>
        <w:rPr>
          <w:rFonts w:ascii="Times New Roman" w:hAnsi="Times New Roman" w:cs="Times New Roman"/>
          <w:sz w:val="24"/>
          <w:szCs w:val="24"/>
        </w:rPr>
      </w:pPr>
      <w:r w:rsidRPr="00D175FD">
        <w:rPr>
          <w:rFonts w:ascii="Times New Roman" w:hAnsi="Times New Roman" w:cs="Times New Roman"/>
          <w:sz w:val="24"/>
          <w:szCs w:val="24"/>
        </w:rPr>
        <w:t>“</w:t>
      </w:r>
      <w:r w:rsidR="00031E4C" w:rsidRPr="00D175FD">
        <w:rPr>
          <w:rFonts w:ascii="Times New Roman" w:hAnsi="Times New Roman" w:cs="Times New Roman"/>
          <w:sz w:val="24"/>
          <w:szCs w:val="24"/>
        </w:rPr>
        <w:t>Aunque la Fed puede estar dispuesta a ralentizar el ritmo de las subidas de tipos dado el retraso con el que las subidas de tipos acumuladas afectan a la economía y a la inflación, la Fed necesitará ver muchas más pruebas de ralentización de la inflación y de condiciones más equilibradas del mercado laboral antes de plantearse una pausa en las subidas de tipos. Powell citó algunos avances menores recientes hacia la flexibilización de las condiciones del mercado laboral, pero señaló que las ofertas de empleo siguen siendo elevadas, que la oferta de trabajo no está aumentando como esperaba la Fed y que el crecimiento de los salarios -aunque se está aplanando- sigue a un ritmo que no es coheren</w:t>
      </w:r>
      <w:r w:rsidRPr="00D175FD">
        <w:rPr>
          <w:rFonts w:ascii="Times New Roman" w:hAnsi="Times New Roman" w:cs="Times New Roman"/>
          <w:sz w:val="24"/>
          <w:szCs w:val="24"/>
        </w:rPr>
        <w:t>te con la caída de la inflación”</w:t>
      </w:r>
      <w:r w:rsidR="00031E4C" w:rsidRPr="00D175FD">
        <w:rPr>
          <w:rFonts w:ascii="Times New Roman" w:hAnsi="Times New Roman" w:cs="Times New Roman"/>
          <w:sz w:val="24"/>
          <w:szCs w:val="24"/>
        </w:rPr>
        <w:t>, valora Nancy Vanden Houten, de Oxford Economics.</w:t>
      </w:r>
    </w:p>
    <w:p w:rsidR="00031E4C" w:rsidRPr="00D175FD" w:rsidRDefault="00727177" w:rsidP="00031E4C">
      <w:pPr>
        <w:spacing w:line="240" w:lineRule="auto"/>
        <w:jc w:val="both"/>
        <w:rPr>
          <w:rFonts w:ascii="Times New Roman" w:hAnsi="Times New Roman" w:cs="Times New Roman"/>
          <w:sz w:val="24"/>
          <w:szCs w:val="24"/>
        </w:rPr>
      </w:pPr>
      <w:r w:rsidRPr="00D175FD">
        <w:rPr>
          <w:rFonts w:ascii="Times New Roman" w:hAnsi="Times New Roman" w:cs="Times New Roman"/>
          <w:sz w:val="24"/>
          <w:szCs w:val="24"/>
        </w:rPr>
        <w:t>“</w:t>
      </w:r>
      <w:r w:rsidR="00031E4C" w:rsidRPr="00D175FD">
        <w:rPr>
          <w:rFonts w:ascii="Times New Roman" w:hAnsi="Times New Roman" w:cs="Times New Roman"/>
          <w:sz w:val="24"/>
          <w:szCs w:val="24"/>
        </w:rPr>
        <w:t>Según Powell, la Fed sigue prefiriendo arriesgarse a hacer demasiado para bajar la inflación que a hacer demasiado poco. La Fed confía más en que puede estimular una economía en desaceleración con sus herramientas políticas que en que puede curar los daños más durader</w:t>
      </w:r>
      <w:r w:rsidRPr="00D175FD">
        <w:rPr>
          <w:rFonts w:ascii="Times New Roman" w:hAnsi="Times New Roman" w:cs="Times New Roman"/>
          <w:sz w:val="24"/>
          <w:szCs w:val="24"/>
        </w:rPr>
        <w:t>os de una inflación que no baja”</w:t>
      </w:r>
      <w:r w:rsidR="00031E4C" w:rsidRPr="00D175FD">
        <w:rPr>
          <w:rFonts w:ascii="Times New Roman" w:hAnsi="Times New Roman" w:cs="Times New Roman"/>
          <w:sz w:val="24"/>
          <w:szCs w:val="24"/>
        </w:rPr>
        <w:t>, añade la economista.</w:t>
      </w:r>
    </w:p>
    <w:p w:rsidR="00031E4C" w:rsidRPr="00D175FD" w:rsidRDefault="00727177" w:rsidP="00031E4C">
      <w:pPr>
        <w:spacing w:line="240" w:lineRule="auto"/>
        <w:jc w:val="both"/>
        <w:rPr>
          <w:rFonts w:ascii="Times New Roman" w:hAnsi="Times New Roman" w:cs="Times New Roman"/>
          <w:sz w:val="24"/>
          <w:szCs w:val="24"/>
        </w:rPr>
      </w:pPr>
      <w:r w:rsidRPr="00D175FD">
        <w:rPr>
          <w:rFonts w:ascii="Times New Roman" w:hAnsi="Times New Roman" w:cs="Times New Roman"/>
          <w:sz w:val="24"/>
          <w:szCs w:val="24"/>
        </w:rPr>
        <w:t>“</w:t>
      </w:r>
      <w:r w:rsidR="00031E4C" w:rsidRPr="00D175FD">
        <w:rPr>
          <w:rFonts w:ascii="Times New Roman" w:hAnsi="Times New Roman" w:cs="Times New Roman"/>
          <w:sz w:val="24"/>
          <w:szCs w:val="24"/>
        </w:rPr>
        <w:t>Si bien hay incertidumbre en torno al retraso en el impacto del endurecimiento de la política monetaria en la economía real, Powell hizo hincapié en que la Fed está siguiendo de cerca la evolución de las condiciones financieras generales. Como destacamos previamente, no hemos visto que las condiciones financieras reales se hayan endurecido en el último mes, y, en cambio, las expectativas de inflación han subido ligeramente. Por lo tanto, la Fed no ha avanzado en sus objetivos a pesar de que la inflación realizada sigue sorprendie</w:t>
      </w:r>
      <w:r w:rsidRPr="00D175FD">
        <w:rPr>
          <w:rFonts w:ascii="Times New Roman" w:hAnsi="Times New Roman" w:cs="Times New Roman"/>
          <w:sz w:val="24"/>
          <w:szCs w:val="24"/>
        </w:rPr>
        <w:t>ndo al alza”</w:t>
      </w:r>
      <w:r w:rsidR="00031E4C" w:rsidRPr="00D175FD">
        <w:rPr>
          <w:rFonts w:ascii="Times New Roman" w:hAnsi="Times New Roman" w:cs="Times New Roman"/>
          <w:sz w:val="24"/>
          <w:szCs w:val="24"/>
        </w:rPr>
        <w:t>, señala Antti Ilvonen, estratega de Danske Bank.</w:t>
      </w:r>
    </w:p>
    <w:p w:rsidR="00031E4C" w:rsidRPr="00D175FD" w:rsidRDefault="00727177" w:rsidP="00031E4C">
      <w:pPr>
        <w:spacing w:line="240" w:lineRule="auto"/>
        <w:jc w:val="both"/>
        <w:rPr>
          <w:rFonts w:ascii="Times New Roman" w:hAnsi="Times New Roman" w:cs="Times New Roman"/>
          <w:sz w:val="24"/>
          <w:szCs w:val="24"/>
        </w:rPr>
      </w:pPr>
      <w:r w:rsidRPr="00D175FD">
        <w:rPr>
          <w:rFonts w:ascii="Times New Roman" w:hAnsi="Times New Roman" w:cs="Times New Roman"/>
          <w:sz w:val="24"/>
          <w:szCs w:val="24"/>
        </w:rPr>
        <w:t>“</w:t>
      </w:r>
      <w:r w:rsidR="00031E4C" w:rsidRPr="00D175FD">
        <w:rPr>
          <w:rFonts w:ascii="Times New Roman" w:hAnsi="Times New Roman" w:cs="Times New Roman"/>
          <w:sz w:val="24"/>
          <w:szCs w:val="24"/>
        </w:rPr>
        <w:t xml:space="preserve">Desde el punto de vista de la gestión del riesgo, se puede argumentar a favor de que la Reserva Federal reduzca la velocidad a partir de ahora. Los tipos de interés en EEUU han </w:t>
      </w:r>
      <w:r w:rsidR="00031E4C" w:rsidRPr="00D175FD">
        <w:rPr>
          <w:rFonts w:ascii="Times New Roman" w:hAnsi="Times New Roman" w:cs="Times New Roman"/>
          <w:sz w:val="24"/>
          <w:szCs w:val="24"/>
        </w:rPr>
        <w:lastRenderedPageBreak/>
        <w:t>subido con una rapidez inusitada este año y ya están haciendo mella en la vivienda y en otros sectores de la economía estadounidense sensibles a los tipos. El impulso económico en estas áreas parece que se debilitará aún más en los próximos trimestres, a medida que los aumentos recientes y futuros de los tipos de interés, los tipos hipotecarios y los rendimientos de los bonos se vayan abriendo paso en el sistema. Otros grandes bancos centrales ya han empezado a ralentizar el ritmo de sus subidas de tipos, reflejando estas preocupaciones y considerac</w:t>
      </w:r>
      <w:r w:rsidRPr="00D175FD">
        <w:rPr>
          <w:rFonts w:ascii="Times New Roman" w:hAnsi="Times New Roman" w:cs="Times New Roman"/>
          <w:sz w:val="24"/>
          <w:szCs w:val="24"/>
        </w:rPr>
        <w:t>iones de estabilidad financiera”</w:t>
      </w:r>
      <w:r w:rsidR="00031E4C" w:rsidRPr="00D175FD">
        <w:rPr>
          <w:rFonts w:ascii="Times New Roman" w:hAnsi="Times New Roman" w:cs="Times New Roman"/>
          <w:sz w:val="24"/>
          <w:szCs w:val="24"/>
        </w:rPr>
        <w:t>, contemporiza O'Connor, de Janus Henderson.</w:t>
      </w:r>
    </w:p>
    <w:p w:rsidR="00031E4C" w:rsidRPr="00D175FD" w:rsidRDefault="00031E4C" w:rsidP="00031E4C">
      <w:pPr>
        <w:spacing w:line="240" w:lineRule="auto"/>
        <w:jc w:val="both"/>
        <w:rPr>
          <w:rFonts w:ascii="Times New Roman" w:hAnsi="Times New Roman" w:cs="Times New Roman"/>
          <w:sz w:val="24"/>
          <w:szCs w:val="24"/>
        </w:rPr>
      </w:pPr>
      <w:r w:rsidRPr="00D175FD">
        <w:rPr>
          <w:rFonts w:ascii="Times New Roman" w:hAnsi="Times New Roman" w:cs="Times New Roman"/>
          <w:sz w:val="24"/>
          <w:szCs w:val="24"/>
        </w:rPr>
        <w:t>El estratega eleva ligeramente sus expectativas de subidas de tipos, esperando todavía una reducción del ritmo a una subida del 0,50% en diciembre y del 0,25% en febrero, pero añadiendo un 0,25% má</w:t>
      </w:r>
      <w:r w:rsidR="00727177" w:rsidRPr="00D175FD">
        <w:rPr>
          <w:rFonts w:ascii="Times New Roman" w:hAnsi="Times New Roman" w:cs="Times New Roman"/>
          <w:sz w:val="24"/>
          <w:szCs w:val="24"/>
        </w:rPr>
        <w:t>s hasta el 5% en marzo, siendo “consciente”</w:t>
      </w:r>
      <w:r w:rsidRPr="00D175FD">
        <w:rPr>
          <w:rFonts w:ascii="Times New Roman" w:hAnsi="Times New Roman" w:cs="Times New Roman"/>
          <w:sz w:val="24"/>
          <w:szCs w:val="24"/>
        </w:rPr>
        <w:t xml:space="preserve"> de los riesgos de que en febrero se produzca u</w:t>
      </w:r>
      <w:r w:rsidR="00973312">
        <w:rPr>
          <w:rFonts w:ascii="Times New Roman" w:hAnsi="Times New Roman" w:cs="Times New Roman"/>
          <w:sz w:val="24"/>
          <w:szCs w:val="24"/>
        </w:rPr>
        <w:t>na subida adicional del 0,50%. “</w:t>
      </w:r>
      <w:r w:rsidRPr="00D175FD">
        <w:rPr>
          <w:rFonts w:ascii="Times New Roman" w:hAnsi="Times New Roman" w:cs="Times New Roman"/>
          <w:sz w:val="24"/>
          <w:szCs w:val="24"/>
        </w:rPr>
        <w:t>Sin embargo, pensamos que la Fed pronto pasará de la altura a la duración. En el 5% creemos que habrá importantes vientos en contra de la actividad y que estos aumentarán a lo largo del próximo año. Creemos que la Fed seg</w:t>
      </w:r>
      <w:r w:rsidR="00727177" w:rsidRPr="00D175FD">
        <w:rPr>
          <w:rFonts w:ascii="Times New Roman" w:hAnsi="Times New Roman" w:cs="Times New Roman"/>
          <w:sz w:val="24"/>
          <w:szCs w:val="24"/>
        </w:rPr>
        <w:t>uirá tratando de anticiparse a “un ajuste suficiente”</w:t>
      </w:r>
      <w:r w:rsidRPr="00D175FD">
        <w:rPr>
          <w:rFonts w:ascii="Times New Roman" w:hAnsi="Times New Roman" w:cs="Times New Roman"/>
          <w:sz w:val="24"/>
          <w:szCs w:val="24"/>
        </w:rPr>
        <w:t>, en lugar de subir hasta que la economía se rompa y luego tener que recortar inmediatamente. Por ello, mantenemos nuestra opinión de que la Fed no recortar</w:t>
      </w:r>
      <w:r w:rsidR="00727177" w:rsidRPr="00D175FD">
        <w:rPr>
          <w:rFonts w:ascii="Times New Roman" w:hAnsi="Times New Roman" w:cs="Times New Roman"/>
          <w:sz w:val="24"/>
          <w:szCs w:val="24"/>
        </w:rPr>
        <w:t>á los tipos hasta 2024”</w:t>
      </w:r>
      <w:r w:rsidRPr="00D175FD">
        <w:rPr>
          <w:rFonts w:ascii="Times New Roman" w:hAnsi="Times New Roman" w:cs="Times New Roman"/>
          <w:sz w:val="24"/>
          <w:szCs w:val="24"/>
        </w:rPr>
        <w:t>, añade.</w:t>
      </w:r>
    </w:p>
    <w:p w:rsidR="00031E4C" w:rsidRPr="00D175FD" w:rsidRDefault="00727177" w:rsidP="00031E4C">
      <w:pPr>
        <w:spacing w:line="240" w:lineRule="auto"/>
        <w:jc w:val="both"/>
        <w:rPr>
          <w:rFonts w:ascii="Times New Roman" w:hAnsi="Times New Roman" w:cs="Times New Roman"/>
          <w:sz w:val="24"/>
          <w:szCs w:val="24"/>
        </w:rPr>
      </w:pPr>
      <w:r w:rsidRPr="00D175FD">
        <w:rPr>
          <w:rFonts w:ascii="Times New Roman" w:hAnsi="Times New Roman" w:cs="Times New Roman"/>
          <w:sz w:val="24"/>
          <w:szCs w:val="24"/>
        </w:rPr>
        <w:t>“</w:t>
      </w:r>
      <w:r w:rsidR="00031E4C" w:rsidRPr="00D175FD">
        <w:rPr>
          <w:rFonts w:ascii="Times New Roman" w:hAnsi="Times New Roman" w:cs="Times New Roman"/>
          <w:sz w:val="24"/>
          <w:szCs w:val="24"/>
        </w:rPr>
        <w:t xml:space="preserve">En general, la declaración y la conferencia de prensa no cambiaron nuestra opinión de que la Fed probablemente hará una pausa entre el 4,5%-5%. Por otra parte, prevemos una recesión en EEUU a principios de 2023, lo que, en nuestra opinión, limitará el apetito de la Fed por nuevas subidas de tipos, a pesar de que la inflación siga siendo elevada. No obstante, no creemos que la Fed recorte los tipos hasta que la inflación </w:t>
      </w:r>
      <w:r w:rsidRPr="00D175FD">
        <w:rPr>
          <w:rFonts w:ascii="Times New Roman" w:hAnsi="Times New Roman" w:cs="Times New Roman"/>
          <w:sz w:val="24"/>
          <w:szCs w:val="24"/>
        </w:rPr>
        <w:t>empiece a caer a finales de año”</w:t>
      </w:r>
      <w:r w:rsidR="00031E4C" w:rsidRPr="00D175FD">
        <w:rPr>
          <w:rFonts w:ascii="Times New Roman" w:hAnsi="Times New Roman" w:cs="Times New Roman"/>
          <w:sz w:val="24"/>
          <w:szCs w:val="24"/>
        </w:rPr>
        <w:t>, zanja Tiffany Wilding, de Pimco.</w:t>
      </w:r>
    </w:p>
    <w:p w:rsidR="00727177" w:rsidRPr="00D175FD" w:rsidRDefault="00727177" w:rsidP="00031E4C">
      <w:pPr>
        <w:spacing w:line="240" w:lineRule="auto"/>
        <w:jc w:val="both"/>
        <w:rPr>
          <w:rFonts w:ascii="Times New Roman" w:hAnsi="Times New Roman" w:cs="Times New Roman"/>
          <w:b/>
          <w:sz w:val="24"/>
          <w:szCs w:val="24"/>
        </w:rPr>
      </w:pPr>
      <w:r w:rsidRPr="00D175FD">
        <w:rPr>
          <w:rFonts w:ascii="Times New Roman" w:hAnsi="Times New Roman" w:cs="Times New Roman"/>
          <w:b/>
          <w:sz w:val="24"/>
          <w:szCs w:val="24"/>
        </w:rPr>
        <w:t>El irresistible encanto de las mentiras</w:t>
      </w:r>
    </w:p>
    <w:p w:rsidR="00005634" w:rsidRPr="00D175FD" w:rsidRDefault="00932C15" w:rsidP="00031E4C">
      <w:pPr>
        <w:spacing w:line="240" w:lineRule="auto"/>
        <w:jc w:val="both"/>
        <w:rPr>
          <w:rFonts w:ascii="Times New Roman" w:hAnsi="Times New Roman" w:cs="Times New Roman"/>
          <w:sz w:val="24"/>
          <w:szCs w:val="24"/>
        </w:rPr>
      </w:pPr>
      <w:r w:rsidRPr="00D175FD">
        <w:rPr>
          <w:rFonts w:ascii="Times New Roman" w:hAnsi="Times New Roman" w:cs="Times New Roman"/>
          <w:sz w:val="24"/>
          <w:szCs w:val="24"/>
        </w:rPr>
        <w:t>¿</w:t>
      </w:r>
      <w:r w:rsidR="00727177" w:rsidRPr="00D175FD">
        <w:rPr>
          <w:rFonts w:ascii="Times New Roman" w:hAnsi="Times New Roman" w:cs="Times New Roman"/>
          <w:sz w:val="24"/>
          <w:szCs w:val="24"/>
        </w:rPr>
        <w:t xml:space="preserve">Qué diferencia hay entre ser contemporizador, acomodaticio, cómplice, connivente, profesional de la quietud, servidor lealísimo de la inmovilidad, </w:t>
      </w:r>
      <w:r w:rsidRPr="00D175FD">
        <w:rPr>
          <w:rFonts w:ascii="Times New Roman" w:hAnsi="Times New Roman" w:cs="Times New Roman"/>
          <w:sz w:val="24"/>
          <w:szCs w:val="24"/>
        </w:rPr>
        <w:t>paralítico fingido, ciego voluntario,</w:t>
      </w:r>
      <w:r w:rsidR="00005634" w:rsidRPr="00D175FD">
        <w:rPr>
          <w:rFonts w:ascii="Times New Roman" w:hAnsi="Times New Roman" w:cs="Times New Roman"/>
          <w:sz w:val="24"/>
          <w:szCs w:val="24"/>
        </w:rPr>
        <w:t xml:space="preserve"> amnésico de conveniencia, o</w:t>
      </w:r>
      <w:r w:rsidRPr="00D175FD">
        <w:rPr>
          <w:rFonts w:ascii="Times New Roman" w:hAnsi="Times New Roman" w:cs="Times New Roman"/>
          <w:sz w:val="24"/>
          <w:szCs w:val="24"/>
        </w:rPr>
        <w:t xml:space="preserve"> simple simulador…</w:t>
      </w:r>
      <w:r w:rsidR="00005634" w:rsidRPr="00D175FD">
        <w:rPr>
          <w:rFonts w:ascii="Times New Roman" w:hAnsi="Times New Roman" w:cs="Times New Roman"/>
          <w:sz w:val="24"/>
          <w:szCs w:val="24"/>
        </w:rPr>
        <w:t xml:space="preserve"> </w:t>
      </w:r>
      <w:r w:rsidRPr="00D175FD">
        <w:rPr>
          <w:rFonts w:ascii="Times New Roman" w:hAnsi="Times New Roman" w:cs="Times New Roman"/>
          <w:sz w:val="24"/>
          <w:szCs w:val="24"/>
        </w:rPr>
        <w:t>y estar enfermo, afectado por la idiotez, o</w:t>
      </w:r>
      <w:r w:rsidR="00005634" w:rsidRPr="00D175FD">
        <w:rPr>
          <w:rFonts w:ascii="Times New Roman" w:hAnsi="Times New Roman" w:cs="Times New Roman"/>
          <w:sz w:val="24"/>
          <w:szCs w:val="24"/>
        </w:rPr>
        <w:t xml:space="preserve"> ser un</w:t>
      </w:r>
      <w:r w:rsidRPr="00D175FD">
        <w:rPr>
          <w:rFonts w:ascii="Times New Roman" w:hAnsi="Times New Roman" w:cs="Times New Roman"/>
          <w:sz w:val="24"/>
          <w:szCs w:val="24"/>
        </w:rPr>
        <w:t xml:space="preserve"> incapaz manifiesto?</w:t>
      </w:r>
    </w:p>
    <w:p w:rsidR="00727177" w:rsidRPr="00D175FD" w:rsidRDefault="002B6E91" w:rsidP="00031E4C">
      <w:pPr>
        <w:spacing w:line="240" w:lineRule="auto"/>
        <w:jc w:val="both"/>
        <w:rPr>
          <w:rFonts w:ascii="Times New Roman" w:hAnsi="Times New Roman" w:cs="Times New Roman"/>
          <w:sz w:val="24"/>
          <w:szCs w:val="24"/>
        </w:rPr>
      </w:pPr>
      <w:r w:rsidRPr="00D175FD">
        <w:rPr>
          <w:rFonts w:ascii="Times New Roman" w:hAnsi="Times New Roman" w:cs="Times New Roman"/>
          <w:sz w:val="24"/>
          <w:szCs w:val="24"/>
        </w:rPr>
        <w:t>¿En cuál</w:t>
      </w:r>
      <w:r w:rsidR="00005634" w:rsidRPr="00D175FD">
        <w:rPr>
          <w:rFonts w:ascii="Times New Roman" w:hAnsi="Times New Roman" w:cs="Times New Roman"/>
          <w:sz w:val="24"/>
          <w:szCs w:val="24"/>
        </w:rPr>
        <w:t xml:space="preserve"> categoría (dentro de esta lista</w:t>
      </w:r>
      <w:r w:rsidRPr="00D175FD">
        <w:rPr>
          <w:rFonts w:ascii="Times New Roman" w:hAnsi="Times New Roman" w:cs="Times New Roman"/>
          <w:sz w:val="24"/>
          <w:szCs w:val="24"/>
        </w:rPr>
        <w:t xml:space="preserve"> de calificativos</w:t>
      </w:r>
      <w:r w:rsidR="00005634" w:rsidRPr="00D175FD">
        <w:rPr>
          <w:rFonts w:ascii="Times New Roman" w:hAnsi="Times New Roman" w:cs="Times New Roman"/>
          <w:sz w:val="24"/>
          <w:szCs w:val="24"/>
        </w:rPr>
        <w:t xml:space="preserve">, que pueden </w:t>
      </w:r>
      <w:r w:rsidRPr="00D175FD">
        <w:rPr>
          <w:rFonts w:ascii="Times New Roman" w:hAnsi="Times New Roman" w:cs="Times New Roman"/>
          <w:sz w:val="24"/>
          <w:szCs w:val="24"/>
        </w:rPr>
        <w:t>ampliar</w:t>
      </w:r>
      <w:r w:rsidR="00005634" w:rsidRPr="00D175FD">
        <w:rPr>
          <w:rFonts w:ascii="Times New Roman" w:hAnsi="Times New Roman" w:cs="Times New Roman"/>
          <w:sz w:val="24"/>
          <w:szCs w:val="24"/>
        </w:rPr>
        <w:t>)</w:t>
      </w:r>
      <w:r w:rsidRPr="00D175FD">
        <w:rPr>
          <w:rFonts w:ascii="Times New Roman" w:hAnsi="Times New Roman" w:cs="Times New Roman"/>
          <w:sz w:val="24"/>
          <w:szCs w:val="24"/>
        </w:rPr>
        <w:t xml:space="preserve"> colocarían ustedes a Alan Greenspan</w:t>
      </w:r>
      <w:r w:rsidR="00CF31F5" w:rsidRPr="00D175FD">
        <w:rPr>
          <w:rFonts w:ascii="Times New Roman" w:hAnsi="Times New Roman" w:cs="Times New Roman"/>
          <w:sz w:val="24"/>
          <w:szCs w:val="24"/>
        </w:rPr>
        <w:t xml:space="preserve"> (el Maestro: “Que fluya el dinero,</w:t>
      </w:r>
      <w:r w:rsidR="00462D76" w:rsidRPr="00D175FD">
        <w:rPr>
          <w:rFonts w:ascii="Times New Roman" w:hAnsi="Times New Roman" w:cs="Times New Roman"/>
          <w:sz w:val="24"/>
          <w:szCs w:val="24"/>
        </w:rPr>
        <w:t xml:space="preserve"> ya veremos más adelante cómo lo</w:t>
      </w:r>
      <w:r w:rsidR="00CF31F5" w:rsidRPr="00D175FD">
        <w:rPr>
          <w:rFonts w:ascii="Times New Roman" w:hAnsi="Times New Roman" w:cs="Times New Roman"/>
          <w:sz w:val="24"/>
          <w:szCs w:val="24"/>
        </w:rPr>
        <w:t xml:space="preserve"> recoge</w:t>
      </w:r>
      <w:r w:rsidR="00462D76" w:rsidRPr="00D175FD">
        <w:rPr>
          <w:rFonts w:ascii="Times New Roman" w:hAnsi="Times New Roman" w:cs="Times New Roman"/>
          <w:sz w:val="24"/>
          <w:szCs w:val="24"/>
        </w:rPr>
        <w:t>mos</w:t>
      </w:r>
      <w:r w:rsidR="00CF31F5" w:rsidRPr="00D175FD">
        <w:rPr>
          <w:rFonts w:ascii="Times New Roman" w:hAnsi="Times New Roman" w:cs="Times New Roman"/>
          <w:sz w:val="24"/>
          <w:szCs w:val="24"/>
        </w:rPr>
        <w:t>”)</w:t>
      </w:r>
      <w:r w:rsidRPr="00D175FD">
        <w:rPr>
          <w:rFonts w:ascii="Times New Roman" w:hAnsi="Times New Roman" w:cs="Times New Roman"/>
          <w:sz w:val="24"/>
          <w:szCs w:val="24"/>
        </w:rPr>
        <w:t xml:space="preserve">, </w:t>
      </w:r>
      <w:r w:rsidR="00543F82" w:rsidRPr="00D175FD">
        <w:rPr>
          <w:rFonts w:ascii="Times New Roman" w:hAnsi="Times New Roman" w:cs="Times New Roman"/>
          <w:sz w:val="24"/>
          <w:szCs w:val="24"/>
        </w:rPr>
        <w:t xml:space="preserve">a </w:t>
      </w:r>
      <w:r w:rsidRPr="00D175FD">
        <w:rPr>
          <w:rFonts w:ascii="Times New Roman" w:hAnsi="Times New Roman" w:cs="Times New Roman"/>
          <w:sz w:val="24"/>
          <w:szCs w:val="24"/>
        </w:rPr>
        <w:t>Ben Bernanke</w:t>
      </w:r>
      <w:r w:rsidR="00CF31F5" w:rsidRPr="00D175FD">
        <w:rPr>
          <w:rFonts w:ascii="Times New Roman" w:hAnsi="Times New Roman" w:cs="Times New Roman"/>
          <w:sz w:val="24"/>
          <w:szCs w:val="24"/>
        </w:rPr>
        <w:t xml:space="preserve"> (el Nobel de economía: </w:t>
      </w:r>
      <w:r w:rsidR="00543F82" w:rsidRPr="00D175FD">
        <w:rPr>
          <w:rFonts w:ascii="Times New Roman" w:hAnsi="Times New Roman" w:cs="Times New Roman"/>
          <w:sz w:val="24"/>
          <w:szCs w:val="24"/>
        </w:rPr>
        <w:t>“El helicóptero del dinero deber ser una herramienta a tener en cuenta”)</w:t>
      </w:r>
      <w:r w:rsidRPr="00D175FD">
        <w:rPr>
          <w:rFonts w:ascii="Times New Roman" w:hAnsi="Times New Roman" w:cs="Times New Roman"/>
          <w:sz w:val="24"/>
          <w:szCs w:val="24"/>
        </w:rPr>
        <w:t xml:space="preserve">, </w:t>
      </w:r>
      <w:r w:rsidR="00543F82" w:rsidRPr="00D175FD">
        <w:rPr>
          <w:rFonts w:ascii="Times New Roman" w:hAnsi="Times New Roman" w:cs="Times New Roman"/>
          <w:sz w:val="24"/>
          <w:szCs w:val="24"/>
        </w:rPr>
        <w:t xml:space="preserve">a </w:t>
      </w:r>
      <w:r w:rsidRPr="00D175FD">
        <w:rPr>
          <w:rFonts w:ascii="Times New Roman" w:hAnsi="Times New Roman" w:cs="Times New Roman"/>
          <w:sz w:val="24"/>
          <w:szCs w:val="24"/>
        </w:rPr>
        <w:t>Mario Draghi</w:t>
      </w:r>
      <w:r w:rsidR="00CF31F5" w:rsidRPr="00D175FD">
        <w:rPr>
          <w:rFonts w:ascii="Times New Roman" w:hAnsi="Times New Roman" w:cs="Times New Roman"/>
          <w:sz w:val="24"/>
          <w:szCs w:val="24"/>
        </w:rPr>
        <w:t xml:space="preserve"> (Súper Mario: “Haré lo que sea necesario para salvar el euro... Y créanme, será suficiente”</w:t>
      </w:r>
      <w:r w:rsidRPr="00D175FD">
        <w:rPr>
          <w:rFonts w:ascii="Times New Roman" w:hAnsi="Times New Roman" w:cs="Times New Roman"/>
          <w:sz w:val="24"/>
          <w:szCs w:val="24"/>
        </w:rPr>
        <w:t>, o</w:t>
      </w:r>
      <w:r w:rsidR="00543F82" w:rsidRPr="00D175FD">
        <w:rPr>
          <w:rFonts w:ascii="Times New Roman" w:hAnsi="Times New Roman" w:cs="Times New Roman"/>
          <w:sz w:val="24"/>
          <w:szCs w:val="24"/>
        </w:rPr>
        <w:t xml:space="preserve"> a</w:t>
      </w:r>
      <w:r w:rsidRPr="00D175FD">
        <w:rPr>
          <w:rFonts w:ascii="Times New Roman" w:hAnsi="Times New Roman" w:cs="Times New Roman"/>
          <w:sz w:val="24"/>
          <w:szCs w:val="24"/>
        </w:rPr>
        <w:t xml:space="preserve"> Cristine Lagard</w:t>
      </w:r>
      <w:r w:rsidR="00462D76" w:rsidRPr="00D175FD">
        <w:rPr>
          <w:rFonts w:ascii="Times New Roman" w:hAnsi="Times New Roman" w:cs="Times New Roman"/>
          <w:sz w:val="24"/>
          <w:szCs w:val="24"/>
        </w:rPr>
        <w:t xml:space="preserve"> (abogada y política francesa, ex directora de FMI:</w:t>
      </w:r>
      <w:r w:rsidRPr="00D175FD">
        <w:rPr>
          <w:rFonts w:ascii="Times New Roman" w:hAnsi="Times New Roman" w:cs="Times New Roman"/>
          <w:sz w:val="24"/>
          <w:szCs w:val="24"/>
        </w:rPr>
        <w:t xml:space="preserve"> </w:t>
      </w:r>
      <w:r w:rsidR="00462D76" w:rsidRPr="00D175FD">
        <w:rPr>
          <w:rFonts w:ascii="Times New Roman" w:hAnsi="Times New Roman" w:cs="Times New Roman"/>
          <w:sz w:val="24"/>
          <w:szCs w:val="24"/>
        </w:rPr>
        <w:t>“La inflación es transitoria”</w:t>
      </w:r>
      <w:r w:rsidR="00543F82" w:rsidRPr="00D175FD">
        <w:rPr>
          <w:rFonts w:ascii="Times New Roman" w:hAnsi="Times New Roman" w:cs="Times New Roman"/>
          <w:sz w:val="24"/>
          <w:szCs w:val="24"/>
        </w:rPr>
        <w:t>)</w:t>
      </w:r>
      <w:r w:rsidR="00462D76" w:rsidRPr="00D175FD">
        <w:rPr>
          <w:rFonts w:ascii="Times New Roman" w:hAnsi="Times New Roman" w:cs="Times New Roman"/>
          <w:sz w:val="24"/>
          <w:szCs w:val="24"/>
        </w:rPr>
        <w:t xml:space="preserve">… </w:t>
      </w:r>
      <w:r w:rsidR="00543F82" w:rsidRPr="00D175FD">
        <w:rPr>
          <w:rFonts w:ascii="Times New Roman" w:hAnsi="Times New Roman" w:cs="Times New Roman"/>
          <w:sz w:val="24"/>
          <w:szCs w:val="24"/>
        </w:rPr>
        <w:t>por ejemplo</w:t>
      </w:r>
      <w:r w:rsidRPr="00D175FD">
        <w:rPr>
          <w:rFonts w:ascii="Times New Roman" w:hAnsi="Times New Roman" w:cs="Times New Roman"/>
          <w:sz w:val="24"/>
          <w:szCs w:val="24"/>
        </w:rPr>
        <w:t xml:space="preserve">? </w:t>
      </w:r>
      <w:r w:rsidR="00727177" w:rsidRPr="00D175FD">
        <w:rPr>
          <w:rFonts w:ascii="Times New Roman" w:hAnsi="Times New Roman" w:cs="Times New Roman"/>
          <w:sz w:val="24"/>
          <w:szCs w:val="24"/>
        </w:rPr>
        <w:t xml:space="preserve">  </w:t>
      </w:r>
    </w:p>
    <w:p w:rsidR="00252667" w:rsidRPr="00D175FD" w:rsidRDefault="00252667" w:rsidP="00252667">
      <w:pPr>
        <w:spacing w:line="240" w:lineRule="auto"/>
        <w:jc w:val="both"/>
        <w:rPr>
          <w:rFonts w:ascii="Times New Roman" w:hAnsi="Times New Roman" w:cs="Times New Roman"/>
          <w:sz w:val="24"/>
          <w:szCs w:val="24"/>
        </w:rPr>
      </w:pPr>
      <w:r w:rsidRPr="00D175FD">
        <w:rPr>
          <w:rFonts w:ascii="Times New Roman" w:hAnsi="Times New Roman" w:cs="Times New Roman"/>
          <w:sz w:val="24"/>
          <w:szCs w:val="24"/>
        </w:rPr>
        <w:t>Reitero la</w:t>
      </w:r>
      <w:r w:rsidR="00A15E0F" w:rsidRPr="00D175FD">
        <w:rPr>
          <w:rFonts w:ascii="Times New Roman" w:hAnsi="Times New Roman" w:cs="Times New Roman"/>
          <w:sz w:val="24"/>
          <w:szCs w:val="24"/>
        </w:rPr>
        <w:t>s</w:t>
      </w:r>
      <w:r w:rsidRPr="00D175FD">
        <w:rPr>
          <w:rFonts w:ascii="Times New Roman" w:hAnsi="Times New Roman" w:cs="Times New Roman"/>
          <w:sz w:val="24"/>
          <w:szCs w:val="24"/>
        </w:rPr>
        <w:t xml:space="preserve"> pregunta</w:t>
      </w:r>
      <w:r w:rsidR="00A15E0F" w:rsidRPr="00D175FD">
        <w:rPr>
          <w:rFonts w:ascii="Times New Roman" w:hAnsi="Times New Roman" w:cs="Times New Roman"/>
          <w:sz w:val="24"/>
          <w:szCs w:val="24"/>
        </w:rPr>
        <w:t>s</w:t>
      </w:r>
      <w:r w:rsidRPr="00D175FD">
        <w:rPr>
          <w:rFonts w:ascii="Times New Roman" w:hAnsi="Times New Roman" w:cs="Times New Roman"/>
          <w:sz w:val="24"/>
          <w:szCs w:val="24"/>
        </w:rPr>
        <w:t xml:space="preserve"> (sin respuesta, aún): ¿Tienen acaso taponada la capacidad de pensar?</w:t>
      </w:r>
    </w:p>
    <w:p w:rsidR="00252667" w:rsidRPr="00D175FD" w:rsidRDefault="00252667" w:rsidP="00252667">
      <w:pPr>
        <w:spacing w:line="240" w:lineRule="auto"/>
        <w:jc w:val="both"/>
        <w:rPr>
          <w:rFonts w:ascii="Times New Roman" w:hAnsi="Times New Roman" w:cs="Times New Roman"/>
          <w:sz w:val="24"/>
          <w:szCs w:val="24"/>
        </w:rPr>
      </w:pPr>
      <w:r w:rsidRPr="00D175FD">
        <w:rPr>
          <w:rFonts w:ascii="Times New Roman" w:hAnsi="Times New Roman" w:cs="Times New Roman"/>
          <w:sz w:val="24"/>
          <w:szCs w:val="24"/>
        </w:rPr>
        <w:t>¿No saben discernir entre cuáles hechos son verdad y cuáles son mentira?</w:t>
      </w:r>
    </w:p>
    <w:p w:rsidR="00252667" w:rsidRPr="00D175FD" w:rsidRDefault="00252667" w:rsidP="00252667">
      <w:pPr>
        <w:spacing w:line="240" w:lineRule="auto"/>
        <w:jc w:val="both"/>
        <w:rPr>
          <w:rFonts w:ascii="Times New Roman" w:hAnsi="Times New Roman" w:cs="Times New Roman"/>
          <w:sz w:val="24"/>
          <w:szCs w:val="24"/>
        </w:rPr>
      </w:pPr>
      <w:r w:rsidRPr="00D175FD">
        <w:rPr>
          <w:rFonts w:ascii="Times New Roman" w:hAnsi="Times New Roman" w:cs="Times New Roman"/>
          <w:sz w:val="24"/>
          <w:szCs w:val="24"/>
        </w:rPr>
        <w:t>Esta suposición tampoco se tiene en pie. Entonces, lamentablemente, debemos concluir que son</w:t>
      </w:r>
      <w:r w:rsidR="00A15E0F" w:rsidRPr="00D175FD">
        <w:rPr>
          <w:rFonts w:ascii="Times New Roman" w:hAnsi="Times New Roman" w:cs="Times New Roman"/>
          <w:sz w:val="24"/>
          <w:szCs w:val="24"/>
        </w:rPr>
        <w:t xml:space="preserve"> los</w:t>
      </w:r>
      <w:r w:rsidRPr="00D175FD">
        <w:rPr>
          <w:rFonts w:ascii="Times New Roman" w:hAnsi="Times New Roman" w:cs="Times New Roman"/>
          <w:sz w:val="24"/>
          <w:szCs w:val="24"/>
        </w:rPr>
        <w:t xml:space="preserve"> cómplices de la estafa, negándose a certificar la muerte del dinero barato, e intentando prolongar la falacia (utopía) de la teoría monetaria moderna (que ni era una teoría, ni era monetaria, ni era moderna). </w:t>
      </w:r>
    </w:p>
    <w:p w:rsidR="00252667" w:rsidRPr="00D175FD" w:rsidRDefault="00252667" w:rsidP="00252667">
      <w:pPr>
        <w:spacing w:line="240" w:lineRule="auto"/>
        <w:jc w:val="both"/>
        <w:rPr>
          <w:rFonts w:ascii="Times New Roman" w:hAnsi="Times New Roman" w:cs="Times New Roman"/>
          <w:sz w:val="24"/>
          <w:szCs w:val="24"/>
        </w:rPr>
      </w:pPr>
      <w:r w:rsidRPr="00D175FD">
        <w:rPr>
          <w:rFonts w:ascii="Times New Roman" w:hAnsi="Times New Roman" w:cs="Times New Roman"/>
          <w:sz w:val="24"/>
          <w:szCs w:val="24"/>
        </w:rPr>
        <w:t xml:space="preserve">Desde aquel 15 de septiembre de 2008 cuando se declaró la quiebra de Lehman Brothers hasta ahora han pasado algo más de 14 años. ¿Cómo se gestó? (Resumen) Todo el problema se generó por un entorno de tipos de interés artificialmente bajos que alimentaron la compra de vivienda con la constitución de hipotecas. Unas hipotecas que se agrupaban en conjunto y se convertían en un producto financiero considerado de máxima solvencia, la famosa triple A. </w:t>
      </w:r>
      <w:r w:rsidRPr="00D175FD">
        <w:rPr>
          <w:rFonts w:ascii="Times New Roman" w:hAnsi="Times New Roman" w:cs="Times New Roman"/>
          <w:sz w:val="24"/>
          <w:szCs w:val="24"/>
        </w:rPr>
        <w:lastRenderedPageBreak/>
        <w:t>Estos paquetes se compraban y vendían en los mercados y se utilizaban de colateral, a su vez, para otras operaciones, inundando el mercado y multiplicando los beneficios de las entidades financieras. (Fuente: ¿Se está preparando un nuevo Lehman Brothers? “Esta vez no caerán los bancos, caerán los estados” - Luis Fernando Quintero - Liberta Digital - 10/11/22)</w:t>
      </w:r>
    </w:p>
    <w:p w:rsidR="00252667" w:rsidRPr="00D175FD" w:rsidRDefault="00252667" w:rsidP="00252667">
      <w:pPr>
        <w:spacing w:line="240" w:lineRule="auto"/>
        <w:jc w:val="both"/>
        <w:rPr>
          <w:rFonts w:ascii="Times New Roman" w:hAnsi="Times New Roman" w:cs="Times New Roman"/>
          <w:sz w:val="24"/>
          <w:szCs w:val="24"/>
        </w:rPr>
      </w:pPr>
      <w:r w:rsidRPr="00D175FD">
        <w:rPr>
          <w:rFonts w:ascii="Times New Roman" w:hAnsi="Times New Roman" w:cs="Times New Roman"/>
          <w:sz w:val="24"/>
          <w:szCs w:val="24"/>
        </w:rPr>
        <w:t>Se descubrió que la mayor parte de esos paquetes estaban sostenidos por un subyacente (valor final que sostiene el producto) que eran hipotecas que se estaban impagando de forma mayoritaria. Es decir que eran productos construidos sobre un valor que se había esfumado. Si se impagaban las hipotecas, toda la cadena de valor que había recorrido ese producto se había quebrado. Cuando se descubrió con la caída de Lehman Brothers, la incertidumbre inundó los mercados, nadie se fiaba de nadie y la solvencia de todo el sistema financiero (hasta arriba de estos productos) estaba en entredicho.</w:t>
      </w:r>
    </w:p>
    <w:p w:rsidR="00252667" w:rsidRPr="00D175FD" w:rsidRDefault="00252667" w:rsidP="00252667">
      <w:pPr>
        <w:spacing w:line="240" w:lineRule="auto"/>
        <w:jc w:val="both"/>
        <w:rPr>
          <w:rFonts w:ascii="Times New Roman" w:hAnsi="Times New Roman" w:cs="Times New Roman"/>
          <w:sz w:val="24"/>
          <w:szCs w:val="24"/>
        </w:rPr>
      </w:pPr>
      <w:r w:rsidRPr="00D175FD">
        <w:rPr>
          <w:rFonts w:ascii="Times New Roman" w:hAnsi="Times New Roman" w:cs="Times New Roman"/>
          <w:sz w:val="24"/>
          <w:szCs w:val="24"/>
        </w:rPr>
        <w:t>De aquella crisis se salió inundando de liquidez los mercados. Los bancos centrales, a un lado y otro del atlántico, se dedicaron a imprimir billetes a un ritmo nunca visto hasta el momento. Compraban deuda de los estados y emitían más dinero. Dólares y euros sin freno. Ben Bernanke creo los QE (expansión cuantitativa), lanzado billetes desde el helicóptero de la Fed. “Haremos todo lo que sea necesario” dijo Mario Draghi siendo presidente del BCE en 2012 ante la tensión que estaban sufriendo las primas de riesgo de los países periféricos en Europa y que mantuvieron a países como España al borde del default.</w:t>
      </w:r>
    </w:p>
    <w:p w:rsidR="00252667" w:rsidRPr="00D175FD" w:rsidRDefault="00252667" w:rsidP="00252667">
      <w:pPr>
        <w:spacing w:line="240" w:lineRule="auto"/>
        <w:jc w:val="both"/>
        <w:rPr>
          <w:rFonts w:ascii="Times New Roman" w:hAnsi="Times New Roman" w:cs="Times New Roman"/>
          <w:sz w:val="24"/>
          <w:szCs w:val="24"/>
        </w:rPr>
      </w:pPr>
      <w:r w:rsidRPr="00D175FD">
        <w:rPr>
          <w:rFonts w:ascii="Times New Roman" w:hAnsi="Times New Roman" w:cs="Times New Roman"/>
          <w:sz w:val="24"/>
          <w:szCs w:val="24"/>
        </w:rPr>
        <w:t>Y lo hicieron. Es decir, que para salir de una crisis provocada, en última instancia, por unos tipos de interés artificialmente bajos, decidieron, no bajarlos, sino hundirlos hasta dejarlos en terreno negativo.</w:t>
      </w:r>
    </w:p>
    <w:p w:rsidR="00252667" w:rsidRPr="00D175FD" w:rsidRDefault="00252667" w:rsidP="00252667">
      <w:pPr>
        <w:spacing w:line="240" w:lineRule="auto"/>
        <w:jc w:val="both"/>
        <w:rPr>
          <w:rFonts w:ascii="Times New Roman" w:hAnsi="Times New Roman" w:cs="Times New Roman"/>
          <w:sz w:val="24"/>
          <w:szCs w:val="24"/>
        </w:rPr>
      </w:pPr>
      <w:r w:rsidRPr="00D175FD">
        <w:rPr>
          <w:rFonts w:ascii="Times New Roman" w:hAnsi="Times New Roman" w:cs="Times New Roman"/>
          <w:sz w:val="24"/>
          <w:szCs w:val="24"/>
        </w:rPr>
        <w:t>Esto supuso un incentivo enorme para los estados que dispararon su endeudamiento y su gasto público con excusa de la crisis. Así, desde entonces, por ejemplo España ha pasado de sostener una deuda del 60% del PIB en 2008 hasta el 120% del PIB de deuda que tenemos ahora.</w:t>
      </w:r>
    </w:p>
    <w:p w:rsidR="00252667" w:rsidRPr="00D175FD" w:rsidRDefault="00252667" w:rsidP="00252667">
      <w:pPr>
        <w:spacing w:line="240" w:lineRule="auto"/>
        <w:jc w:val="both"/>
        <w:rPr>
          <w:rFonts w:ascii="Times New Roman" w:hAnsi="Times New Roman" w:cs="Times New Roman"/>
          <w:sz w:val="24"/>
          <w:szCs w:val="24"/>
        </w:rPr>
      </w:pPr>
      <w:r w:rsidRPr="00D175FD">
        <w:rPr>
          <w:rFonts w:ascii="Times New Roman" w:hAnsi="Times New Roman" w:cs="Times New Roman"/>
          <w:sz w:val="24"/>
          <w:szCs w:val="24"/>
        </w:rPr>
        <w:t>Es más, si uno observa la evolución del endeudamiento de los países europeos desde 2008 hasta ahora es, sin excepción, una curva ascendente muy pronunciada.</w:t>
      </w:r>
    </w:p>
    <w:p w:rsidR="00252667" w:rsidRPr="00D175FD" w:rsidRDefault="00252667" w:rsidP="00252667">
      <w:pPr>
        <w:spacing w:line="240" w:lineRule="auto"/>
        <w:jc w:val="both"/>
        <w:rPr>
          <w:rFonts w:ascii="Times New Roman" w:hAnsi="Times New Roman" w:cs="Times New Roman"/>
          <w:sz w:val="24"/>
          <w:szCs w:val="24"/>
        </w:rPr>
      </w:pPr>
      <w:r w:rsidRPr="00D175FD">
        <w:rPr>
          <w:rFonts w:ascii="Times New Roman" w:hAnsi="Times New Roman" w:cs="Times New Roman"/>
          <w:sz w:val="24"/>
          <w:szCs w:val="24"/>
        </w:rPr>
        <w:t>¿Y cómo ha favorecido el regulador este flujo de financiación ilimitada a los estados? Muy sencillo, cambiando las reglas del juego para que la deuda soberana de los países europeos sea considerada “risk free” o “Triple A”. Es más, es el único producto financiero que goza de dispensas de provisionamiento.</w:t>
      </w:r>
    </w:p>
    <w:p w:rsidR="00252667" w:rsidRPr="00D175FD" w:rsidRDefault="00252667" w:rsidP="00252667">
      <w:pPr>
        <w:spacing w:line="240" w:lineRule="auto"/>
        <w:jc w:val="both"/>
        <w:rPr>
          <w:rFonts w:ascii="Times New Roman" w:hAnsi="Times New Roman" w:cs="Times New Roman"/>
          <w:sz w:val="24"/>
          <w:szCs w:val="24"/>
        </w:rPr>
      </w:pPr>
      <w:r w:rsidRPr="00D175FD">
        <w:rPr>
          <w:rFonts w:ascii="Times New Roman" w:hAnsi="Times New Roman" w:cs="Times New Roman"/>
          <w:sz w:val="24"/>
          <w:szCs w:val="24"/>
        </w:rPr>
        <w:t>El BCE ofrecía financiación prácticamente gratuita siempre y cuando se le ofreciera como colateral deuda soberana de países europeos. No valía ningún otro producto: sólo la deuda soberana.</w:t>
      </w:r>
    </w:p>
    <w:p w:rsidR="00252667" w:rsidRPr="00D175FD" w:rsidRDefault="00252667" w:rsidP="00252667">
      <w:pPr>
        <w:spacing w:line="240" w:lineRule="auto"/>
        <w:jc w:val="both"/>
        <w:rPr>
          <w:rFonts w:ascii="Times New Roman" w:hAnsi="Times New Roman" w:cs="Times New Roman"/>
          <w:sz w:val="24"/>
          <w:szCs w:val="24"/>
        </w:rPr>
      </w:pPr>
      <w:r w:rsidRPr="00D175FD">
        <w:rPr>
          <w:rFonts w:ascii="Times New Roman" w:hAnsi="Times New Roman" w:cs="Times New Roman"/>
          <w:sz w:val="24"/>
          <w:szCs w:val="24"/>
        </w:rPr>
        <w:t>Es un mecanismo similar al que funciona con las hipotecas, que son créditos que cuentan con la garantía de la vivienda. Pues en este caso, el BCE para prestar dinero gratis pedía como “colateral” o garantía esa deuda soberana.</w:t>
      </w:r>
    </w:p>
    <w:p w:rsidR="00252667" w:rsidRPr="00D175FD" w:rsidRDefault="00252667" w:rsidP="00252667">
      <w:pPr>
        <w:spacing w:line="240" w:lineRule="auto"/>
        <w:jc w:val="both"/>
        <w:rPr>
          <w:rFonts w:ascii="Times New Roman" w:hAnsi="Times New Roman" w:cs="Times New Roman"/>
          <w:sz w:val="24"/>
          <w:szCs w:val="24"/>
        </w:rPr>
      </w:pPr>
      <w:r w:rsidRPr="00D175FD">
        <w:rPr>
          <w:rFonts w:ascii="Times New Roman" w:hAnsi="Times New Roman" w:cs="Times New Roman"/>
          <w:sz w:val="24"/>
          <w:szCs w:val="24"/>
        </w:rPr>
        <w:t xml:space="preserve">Así es como se libera la llave del grifo de la liquidez infinita. El regulador le dijo a los bancos que si acudían al BCE a obtener financiación, podrían obtenerla gratuita siempre que ofrecieran como colateral la deuda soberana. Y si empleaban esa liquidez para operar, no tendrían la necesidad de provisionar. </w:t>
      </w:r>
    </w:p>
    <w:p w:rsidR="00252667" w:rsidRPr="00D175FD" w:rsidRDefault="00252667" w:rsidP="00252667">
      <w:pPr>
        <w:spacing w:line="240" w:lineRule="auto"/>
        <w:jc w:val="both"/>
        <w:rPr>
          <w:rFonts w:ascii="Times New Roman" w:hAnsi="Times New Roman" w:cs="Times New Roman"/>
          <w:sz w:val="24"/>
          <w:szCs w:val="24"/>
        </w:rPr>
      </w:pPr>
      <w:r w:rsidRPr="00D175FD">
        <w:rPr>
          <w:rFonts w:ascii="Times New Roman" w:hAnsi="Times New Roman" w:cs="Times New Roman"/>
          <w:sz w:val="24"/>
          <w:szCs w:val="24"/>
        </w:rPr>
        <w:t xml:space="preserve">Básicamente lo que le dijo el regulador a los bancos es que, mientras para operar emplearan fondos propios (los recursos de sus depositantes), tendrían que aplicar un porcentaje </w:t>
      </w:r>
      <w:r w:rsidRPr="00D175FD">
        <w:rPr>
          <w:rFonts w:ascii="Times New Roman" w:hAnsi="Times New Roman" w:cs="Times New Roman"/>
          <w:sz w:val="24"/>
          <w:szCs w:val="24"/>
        </w:rPr>
        <w:lastRenderedPageBreak/>
        <w:t>equivalente en provisiones… Pero si seguían las indicaciones del BCE, compraban deuda soberana de los países miembros de la UE, el BCE le ofrecería una financiación que podrían emplear para operar sin necesidad de provisionar absolutamente nada.</w:t>
      </w:r>
    </w:p>
    <w:p w:rsidR="00252667" w:rsidRPr="00D175FD" w:rsidRDefault="00252667" w:rsidP="00252667">
      <w:pPr>
        <w:spacing w:line="240" w:lineRule="auto"/>
        <w:jc w:val="both"/>
        <w:rPr>
          <w:rFonts w:ascii="Times New Roman" w:hAnsi="Times New Roman" w:cs="Times New Roman"/>
          <w:sz w:val="24"/>
          <w:szCs w:val="24"/>
        </w:rPr>
      </w:pPr>
      <w:r w:rsidRPr="00D175FD">
        <w:rPr>
          <w:rFonts w:ascii="Times New Roman" w:hAnsi="Times New Roman" w:cs="Times New Roman"/>
          <w:sz w:val="24"/>
          <w:szCs w:val="24"/>
        </w:rPr>
        <w:t>Ante esta situación, parece ya más lógico que los bancos hayan comprado toda la deuda pública que hayan podido incluso a tipos negativos. No sólo no impactaban sobre resultados, sino que además gozaban de una materia prima (liquidez) enorme para desarrollar su negocio y además, casi gratis.</w:t>
      </w:r>
    </w:p>
    <w:p w:rsidR="00252667" w:rsidRPr="00D175FD" w:rsidRDefault="00252667" w:rsidP="00252667">
      <w:pPr>
        <w:spacing w:line="240" w:lineRule="auto"/>
        <w:jc w:val="both"/>
        <w:rPr>
          <w:rFonts w:ascii="Times New Roman" w:hAnsi="Times New Roman" w:cs="Times New Roman"/>
          <w:sz w:val="24"/>
          <w:szCs w:val="24"/>
        </w:rPr>
      </w:pPr>
      <w:r w:rsidRPr="00D175FD">
        <w:rPr>
          <w:rFonts w:ascii="Times New Roman" w:hAnsi="Times New Roman" w:cs="Times New Roman"/>
          <w:sz w:val="24"/>
          <w:szCs w:val="24"/>
        </w:rPr>
        <w:t>Por su parte, cientos de miles de productos financieros en los balances de los fondos de pensiones de todo el mundo han estado llenos de una deuda pública que no ofrecía rentabilidad, lo que ha empujado a sus gestores a ofrecer esa renta fija como garantía para contratar otros productos que lleven algo de rentabilidad a sus partícipes. Y como los fondos de pensiones, miles de productos financieros.</w:t>
      </w:r>
    </w:p>
    <w:p w:rsidR="00252667" w:rsidRPr="00D175FD" w:rsidRDefault="00252667" w:rsidP="00252667">
      <w:pPr>
        <w:spacing w:line="240" w:lineRule="auto"/>
        <w:jc w:val="both"/>
        <w:rPr>
          <w:rFonts w:ascii="Times New Roman" w:hAnsi="Times New Roman" w:cs="Times New Roman"/>
          <w:sz w:val="24"/>
          <w:szCs w:val="24"/>
        </w:rPr>
      </w:pPr>
      <w:r w:rsidRPr="00D175FD">
        <w:rPr>
          <w:rFonts w:ascii="Times New Roman" w:hAnsi="Times New Roman" w:cs="Times New Roman"/>
          <w:sz w:val="24"/>
          <w:szCs w:val="24"/>
        </w:rPr>
        <w:t>Como en los 2000 las hipotecas eran consideradas activos triple A, libres de riesgo porque “como todo el mundo sabe las hipotecas se pagan”, ahora el activo libre de riesgo triple A o “risk free”, como se le conoce en el mundillo, es la deuda pública. Y esto es así porque “como todo el mundo sabe, los estados no quiebran”… ¿O sí?</w:t>
      </w:r>
    </w:p>
    <w:p w:rsidR="00252667" w:rsidRPr="00D175FD" w:rsidRDefault="00252667" w:rsidP="00252667">
      <w:pPr>
        <w:spacing w:line="240" w:lineRule="auto"/>
        <w:jc w:val="both"/>
        <w:rPr>
          <w:rFonts w:ascii="Times New Roman" w:hAnsi="Times New Roman" w:cs="Times New Roman"/>
          <w:sz w:val="24"/>
          <w:szCs w:val="24"/>
        </w:rPr>
      </w:pPr>
      <w:r w:rsidRPr="00D175FD">
        <w:rPr>
          <w:rFonts w:ascii="Times New Roman" w:hAnsi="Times New Roman" w:cs="Times New Roman"/>
          <w:sz w:val="24"/>
          <w:szCs w:val="24"/>
        </w:rPr>
        <w:t>Teniendo en cuenta que el volumen de los mercados de deuda pública son mucho mayores a los de acciones, y que el mercado es muy eficiente en la creación de productos que emplean subyacentes o colaterales considerados libres de riesgo unido a una década de dinero gratis, el resultado es una tormenta perfecta que ha comenzado a agitar las aguas con la inflación y la subida de tipos de interés. Y esto, a su vez, tensiona las economías, en este caso, del viejo continente (también de los EEUU).</w:t>
      </w:r>
    </w:p>
    <w:p w:rsidR="00252667" w:rsidRPr="00D175FD" w:rsidRDefault="00252667" w:rsidP="00252667">
      <w:pPr>
        <w:spacing w:line="240" w:lineRule="auto"/>
        <w:jc w:val="both"/>
        <w:rPr>
          <w:rFonts w:ascii="Times New Roman" w:hAnsi="Times New Roman" w:cs="Times New Roman"/>
          <w:sz w:val="24"/>
          <w:szCs w:val="24"/>
        </w:rPr>
      </w:pPr>
      <w:r w:rsidRPr="00D175FD">
        <w:rPr>
          <w:rFonts w:ascii="Times New Roman" w:hAnsi="Times New Roman" w:cs="Times New Roman"/>
          <w:sz w:val="24"/>
          <w:szCs w:val="24"/>
        </w:rPr>
        <w:t>A cierre de 2021 la deuda pública europea en manos de los bancos europeos era de 3,18 billones de euros. Dos veces el PIB español.</w:t>
      </w:r>
    </w:p>
    <w:p w:rsidR="00252667" w:rsidRPr="00D175FD" w:rsidRDefault="00252667" w:rsidP="00252667">
      <w:pPr>
        <w:spacing w:line="240" w:lineRule="auto"/>
        <w:jc w:val="both"/>
        <w:rPr>
          <w:rFonts w:ascii="Times New Roman" w:hAnsi="Times New Roman" w:cs="Times New Roman"/>
          <w:sz w:val="24"/>
          <w:szCs w:val="24"/>
        </w:rPr>
      </w:pPr>
      <w:r w:rsidRPr="00D175FD">
        <w:rPr>
          <w:rFonts w:ascii="Times New Roman" w:hAnsi="Times New Roman" w:cs="Times New Roman"/>
          <w:sz w:val="24"/>
          <w:szCs w:val="24"/>
        </w:rPr>
        <w:t>Si en 2008 estalló la crisis financiera porque se descubrió que las hipotecas que sostenían todos esos paquetes que se compraron y se vendieron en todo el mundo estaban impagadas, ¿qué podría suceder si hay dudas de que algún estado pueda hacer default? Y los estados quiebran. España, en concreto, lo ha hecho 13 veces en su historia. Esto podría provocar una reacción en cadena, al descubrir el mercado que esa deuda que sostiene todo el edificio sobre el que se han construido cientos de miles de productos financieros, ese “subyacente”, esa “hipoteca” puede impagarse.</w:t>
      </w:r>
    </w:p>
    <w:p w:rsidR="00252667" w:rsidRPr="00D175FD" w:rsidRDefault="00252667" w:rsidP="00252667">
      <w:pPr>
        <w:spacing w:line="240" w:lineRule="auto"/>
        <w:jc w:val="both"/>
        <w:rPr>
          <w:rFonts w:ascii="Times New Roman" w:hAnsi="Times New Roman" w:cs="Times New Roman"/>
          <w:sz w:val="24"/>
          <w:szCs w:val="24"/>
        </w:rPr>
      </w:pPr>
      <w:r w:rsidRPr="00D175FD">
        <w:rPr>
          <w:rFonts w:ascii="Times New Roman" w:hAnsi="Times New Roman" w:cs="Times New Roman"/>
          <w:sz w:val="24"/>
          <w:szCs w:val="24"/>
        </w:rPr>
        <w:t>Quizá el ejemplo más cercano en el tiempo y que supuso una luz de alarma fue lo sucedido en Reino Unido con Liz Trust y su plan de rebaja de impuestos sin tocar el gasto público. Se invirtió la curva de tipos y, de repente, los subyacentes sobre una deuda soberana que no se iba a impagar, comenzó a pensarse que podría impagarse. Los fondos de pensiones, se hundieron en bolsa y Trust tuvo que dar marcha atrás y dimitir.</w:t>
      </w:r>
    </w:p>
    <w:p w:rsidR="00252667" w:rsidRPr="00D175FD" w:rsidRDefault="00252667" w:rsidP="00252667">
      <w:pPr>
        <w:spacing w:line="240" w:lineRule="auto"/>
        <w:jc w:val="both"/>
        <w:rPr>
          <w:rFonts w:ascii="Times New Roman" w:hAnsi="Times New Roman" w:cs="Times New Roman"/>
          <w:sz w:val="24"/>
          <w:szCs w:val="24"/>
        </w:rPr>
      </w:pPr>
      <w:r w:rsidRPr="00D175FD">
        <w:rPr>
          <w:rFonts w:ascii="Times New Roman" w:hAnsi="Times New Roman" w:cs="Times New Roman"/>
          <w:sz w:val="24"/>
          <w:szCs w:val="24"/>
        </w:rPr>
        <w:t>¿Se está fraguando un nuevo Lehman Brothers?</w:t>
      </w:r>
    </w:p>
    <w:p w:rsidR="00252667" w:rsidRPr="00D175FD" w:rsidRDefault="00252667" w:rsidP="00252667">
      <w:pPr>
        <w:spacing w:line="240" w:lineRule="auto"/>
        <w:jc w:val="both"/>
        <w:rPr>
          <w:rFonts w:ascii="Times New Roman" w:hAnsi="Times New Roman" w:cs="Times New Roman"/>
          <w:sz w:val="24"/>
          <w:szCs w:val="24"/>
        </w:rPr>
      </w:pPr>
      <w:r w:rsidRPr="00D175FD">
        <w:rPr>
          <w:rFonts w:ascii="Times New Roman" w:hAnsi="Times New Roman" w:cs="Times New Roman"/>
          <w:sz w:val="24"/>
          <w:szCs w:val="24"/>
        </w:rPr>
        <w:t>Una confesión de una fuente financiera presente en un cónclave con miembros del BCE: “Le preguntamos cómo iba a terminar todo esto. Ahora no van a quebrar los bancos como en 2008, van a quebrar los estados, dijo”. Esto es lo único que separa la tragedia de la impostura.</w:t>
      </w:r>
    </w:p>
    <w:p w:rsidR="00252667" w:rsidRPr="00D175FD" w:rsidRDefault="00252667" w:rsidP="00252667">
      <w:pPr>
        <w:spacing w:line="240" w:lineRule="auto"/>
        <w:jc w:val="both"/>
        <w:rPr>
          <w:rFonts w:ascii="Times New Roman" w:hAnsi="Times New Roman" w:cs="Times New Roman"/>
          <w:sz w:val="24"/>
          <w:szCs w:val="24"/>
        </w:rPr>
      </w:pPr>
      <w:r w:rsidRPr="00D175FD">
        <w:rPr>
          <w:rFonts w:ascii="Times New Roman" w:hAnsi="Times New Roman" w:cs="Times New Roman"/>
          <w:sz w:val="24"/>
          <w:szCs w:val="24"/>
        </w:rPr>
        <w:t xml:space="preserve">Puede que no sea posible una política monetaria de puertas abiertas, pero sí es posible una política monetaria sincera y rigurosa, que no acabe en este debate patético e inmoral en el que </w:t>
      </w:r>
      <w:r w:rsidRPr="00D175FD">
        <w:rPr>
          <w:rFonts w:ascii="Times New Roman" w:hAnsi="Times New Roman" w:cs="Times New Roman"/>
          <w:sz w:val="24"/>
          <w:szCs w:val="24"/>
        </w:rPr>
        <w:lastRenderedPageBreak/>
        <w:t>solo parece importar como seguir “empujando la soga” (dopando los mercados, y sosteniendo déficit y deuda pública, desmesurados), mientras una inflación alta licua sus pasivos.</w:t>
      </w:r>
    </w:p>
    <w:p w:rsidR="00252667" w:rsidRPr="00D175FD" w:rsidRDefault="00252667" w:rsidP="00252667">
      <w:pPr>
        <w:spacing w:line="240" w:lineRule="auto"/>
        <w:jc w:val="both"/>
        <w:rPr>
          <w:rFonts w:ascii="Times New Roman" w:hAnsi="Times New Roman" w:cs="Times New Roman"/>
          <w:sz w:val="24"/>
          <w:szCs w:val="24"/>
        </w:rPr>
      </w:pPr>
      <w:r w:rsidRPr="00D175FD">
        <w:rPr>
          <w:rFonts w:ascii="Times New Roman" w:hAnsi="Times New Roman" w:cs="Times New Roman"/>
          <w:sz w:val="24"/>
          <w:szCs w:val="24"/>
        </w:rPr>
        <w:t>Uno de los instrumentos utilizados para evitar esa connivencia es la independencia de los Bancos Centrales, formados aparentemente por tecnócratas que eviten el manoseo de los políticos, y actúen en nombre del bien común. El problema es que los miembros de dichos Bancos Centrales están estrechamente vinculados al sistema financiero, y han sido copartícipes de las distintas burbujas financieras generadas en las dos últimas décadas y del rescate bancario a costa de la ciudadanía.</w:t>
      </w:r>
    </w:p>
    <w:p w:rsidR="00B50C43" w:rsidRDefault="007D3DA0" w:rsidP="00A15E0F">
      <w:pPr>
        <w:pStyle w:val="yiv5244443261msonormal"/>
        <w:shd w:val="clear" w:color="auto" w:fill="FFFFFF"/>
        <w:jc w:val="both"/>
        <w:rPr>
          <w:color w:val="000000"/>
        </w:rPr>
      </w:pPr>
      <w:r w:rsidRPr="00A15E0F">
        <w:rPr>
          <w:color w:val="000000"/>
        </w:rPr>
        <w:t>¿Cómo definir</w:t>
      </w:r>
      <w:r w:rsidR="00A15E0F">
        <w:rPr>
          <w:color w:val="000000"/>
        </w:rPr>
        <w:t xml:space="preserve"> la</w:t>
      </w:r>
      <w:r w:rsidRPr="00A15E0F">
        <w:rPr>
          <w:color w:val="000000"/>
        </w:rPr>
        <w:t xml:space="preserve"> solvencia moral</w:t>
      </w:r>
      <w:r w:rsidR="00A15E0F">
        <w:rPr>
          <w:color w:val="000000"/>
        </w:rPr>
        <w:t xml:space="preserve"> de un alto funcionario del Banco Central? </w:t>
      </w:r>
    </w:p>
    <w:p w:rsidR="007D3DA0" w:rsidRPr="00A15E0F" w:rsidRDefault="00A15E0F" w:rsidP="00A15E0F">
      <w:pPr>
        <w:pStyle w:val="yiv5244443261msonormal"/>
        <w:shd w:val="clear" w:color="auto" w:fill="FFFFFF"/>
        <w:jc w:val="both"/>
        <w:rPr>
          <w:color w:val="000000"/>
        </w:rPr>
      </w:pPr>
      <w:r>
        <w:rPr>
          <w:color w:val="000000"/>
        </w:rPr>
        <w:t>En este asunto pueden servir</w:t>
      </w:r>
      <w:r w:rsidR="007D3DA0" w:rsidRPr="00A15E0F">
        <w:rPr>
          <w:color w:val="000000"/>
        </w:rPr>
        <w:t xml:space="preserve"> los </w:t>
      </w:r>
      <w:hyperlink r:id="rId119" w:tgtFrame="_blank" w:history="1">
        <w:r w:rsidR="007D3DA0" w:rsidRPr="00A15E0F">
          <w:rPr>
            <w:rStyle w:val="Hipervnculo"/>
            <w:color w:val="auto"/>
            <w:u w:val="none"/>
          </w:rPr>
          <w:t>Principios Nolan</w:t>
        </w:r>
      </w:hyperlink>
      <w:r w:rsidR="007D3DA0" w:rsidRPr="00A15E0F">
        <w:rPr>
          <w:color w:val="000000"/>
        </w:rPr>
        <w:t> o  </w:t>
      </w:r>
      <w:r>
        <w:rPr>
          <w:color w:val="000000"/>
        </w:rPr>
        <w:t>“</w:t>
      </w:r>
      <w:r w:rsidR="007D3DA0" w:rsidRPr="00A15E0F">
        <w:rPr>
          <w:iCs/>
          <w:color w:val="000000"/>
        </w:rPr>
        <w:t>Standards in Public Life</w:t>
      </w:r>
      <w:r>
        <w:rPr>
          <w:iCs/>
          <w:color w:val="000000"/>
        </w:rPr>
        <w:t>”</w:t>
      </w:r>
      <w:r w:rsidR="007D3DA0" w:rsidRPr="00A15E0F">
        <w:rPr>
          <w:color w:val="000000"/>
        </w:rPr>
        <w:t>, redactados en 1994 en el Reino Unido por la comisión presidida por Lord Michael Nolan, bajo el patrocinio del entonces Primer Ministro John Major, con el objeto de fijar normas indeclinables de conducta de los funcionarios.</w:t>
      </w:r>
    </w:p>
    <w:p w:rsidR="007D3DA0" w:rsidRPr="00A15E0F" w:rsidRDefault="007D3DA0" w:rsidP="00A15E0F">
      <w:pPr>
        <w:pStyle w:val="yiv5244443261msonormal"/>
        <w:shd w:val="clear" w:color="auto" w:fill="FFFFFF"/>
        <w:jc w:val="both"/>
      </w:pPr>
      <w:r w:rsidRPr="00A15E0F">
        <w:rPr>
          <w:color w:val="000000"/>
        </w:rPr>
        <w:t>Tales principios han sido adoptados por numerosos países como norma obligatoria de cond</w:t>
      </w:r>
      <w:r w:rsidR="00A15E0F">
        <w:rPr>
          <w:color w:val="000000"/>
        </w:rPr>
        <w:t xml:space="preserve">ucta en la gestión pública y podrían servir para el caso en cuestión. </w:t>
      </w:r>
      <w:hyperlink r:id="rId120" w:tgtFrame="_blank" w:history="1">
        <w:r w:rsidRPr="00A15E0F">
          <w:rPr>
            <w:rStyle w:val="Hipervnculo"/>
            <w:color w:val="auto"/>
            <w:u w:val="none"/>
          </w:rPr>
          <w:t>Son los siguientes</w:t>
        </w:r>
      </w:hyperlink>
      <w:r w:rsidRPr="00A15E0F">
        <w:t>:</w:t>
      </w:r>
    </w:p>
    <w:p w:rsidR="007D3DA0" w:rsidRPr="00A15E0F" w:rsidRDefault="007D3DA0" w:rsidP="00A15E0F">
      <w:pPr>
        <w:pStyle w:val="yiv5244443261msonormal"/>
        <w:shd w:val="clear" w:color="auto" w:fill="FFFFFF"/>
        <w:jc w:val="both"/>
        <w:rPr>
          <w:color w:val="000000"/>
        </w:rPr>
      </w:pPr>
      <w:r w:rsidRPr="00A15E0F">
        <w:rPr>
          <w:b/>
          <w:bCs/>
          <w:color w:val="000000"/>
        </w:rPr>
        <w:t>1. Altruismo: </w:t>
      </w:r>
      <w:r w:rsidRPr="00A15E0F">
        <w:rPr>
          <w:color w:val="000000"/>
        </w:rPr>
        <w:t>quienes ostentan un cargo público (los funcionarios) deben actuar solamente en términos del interés público.</w:t>
      </w:r>
    </w:p>
    <w:p w:rsidR="007D3DA0" w:rsidRPr="00A15E0F" w:rsidRDefault="007D3DA0" w:rsidP="00A15E0F">
      <w:pPr>
        <w:pStyle w:val="yiv5244443261msonormal"/>
        <w:shd w:val="clear" w:color="auto" w:fill="FFFFFF"/>
        <w:jc w:val="both"/>
        <w:rPr>
          <w:color w:val="000000"/>
        </w:rPr>
      </w:pPr>
      <w:r w:rsidRPr="00A15E0F">
        <w:rPr>
          <w:b/>
          <w:bCs/>
          <w:color w:val="000000"/>
        </w:rPr>
        <w:t>2. Integridad:</w:t>
      </w:r>
      <w:r w:rsidRPr="00A15E0F">
        <w:rPr>
          <w:color w:val="000000"/>
        </w:rPr>
        <w:t> los funcionarios no deben ponerse al servicio de personas u organizaciones que tratan inapropiadamente de influenciarlos en sus funciones. No deben actuar o tomar decisiones que induzcan a beneficios financieros o materiales para ellos, sus familias o sus amigos.</w:t>
      </w:r>
    </w:p>
    <w:p w:rsidR="007D3DA0" w:rsidRPr="00A15E0F" w:rsidRDefault="007D3DA0" w:rsidP="00A15E0F">
      <w:pPr>
        <w:pStyle w:val="yiv5244443261msonormal"/>
        <w:shd w:val="clear" w:color="auto" w:fill="FFFFFF"/>
        <w:jc w:val="both"/>
        <w:rPr>
          <w:color w:val="000000"/>
        </w:rPr>
      </w:pPr>
      <w:r w:rsidRPr="00A15E0F">
        <w:rPr>
          <w:b/>
          <w:bCs/>
          <w:color w:val="000000"/>
        </w:rPr>
        <w:t>3. Objetividad: </w:t>
      </w:r>
      <w:r w:rsidRPr="00A15E0F">
        <w:rPr>
          <w:color w:val="000000"/>
        </w:rPr>
        <w:t>los funcionarios deben tomar decisiones imparciales, basadas en el principio de méritos, usando la mejor evidencia y sin discriminación o sesgo.</w:t>
      </w:r>
    </w:p>
    <w:p w:rsidR="007D3DA0" w:rsidRPr="00A15E0F" w:rsidRDefault="00B50C43" w:rsidP="00A15E0F">
      <w:pPr>
        <w:pStyle w:val="yiv5244443261msonormal"/>
        <w:shd w:val="clear" w:color="auto" w:fill="FFFFFF"/>
        <w:jc w:val="both"/>
        <w:rPr>
          <w:color w:val="000000"/>
        </w:rPr>
      </w:pPr>
      <w:r>
        <w:rPr>
          <w:b/>
          <w:bCs/>
          <w:color w:val="000000"/>
        </w:rPr>
        <w:t>4. Responsabilidad</w:t>
      </w:r>
      <w:r w:rsidR="007D3DA0" w:rsidRPr="00A15E0F">
        <w:rPr>
          <w:b/>
          <w:bCs/>
          <w:color w:val="000000"/>
        </w:rPr>
        <w:t>: </w:t>
      </w:r>
      <w:r w:rsidR="007D3DA0" w:rsidRPr="00A15E0F">
        <w:rPr>
          <w:color w:val="000000"/>
        </w:rPr>
        <w:t>El funcionario es responsable por las decisiones y actos que afecten a la sociedad y debe someterse a cualquier tipo de escrutinio que se considere necesario.</w:t>
      </w:r>
    </w:p>
    <w:p w:rsidR="007D3DA0" w:rsidRPr="00A15E0F" w:rsidRDefault="007D3DA0" w:rsidP="00A15E0F">
      <w:pPr>
        <w:pStyle w:val="yiv5244443261msonormal"/>
        <w:shd w:val="clear" w:color="auto" w:fill="FFFFFF"/>
        <w:jc w:val="both"/>
        <w:rPr>
          <w:color w:val="000000"/>
        </w:rPr>
      </w:pPr>
      <w:r w:rsidRPr="00A15E0F">
        <w:rPr>
          <w:b/>
          <w:bCs/>
          <w:color w:val="000000"/>
        </w:rPr>
        <w:t>5. Transparencia: </w:t>
      </w:r>
      <w:r w:rsidRPr="00A15E0F">
        <w:rPr>
          <w:color w:val="000000"/>
        </w:rPr>
        <w:t>El funcionario debe tomar decisiones de manera abierta y transparente. La información no debe ser escondida del público, salvo que haya razones legales para hacerlo.</w:t>
      </w:r>
    </w:p>
    <w:p w:rsidR="007D3DA0" w:rsidRPr="00A15E0F" w:rsidRDefault="007D3DA0" w:rsidP="00A15E0F">
      <w:pPr>
        <w:pStyle w:val="yiv5244443261msonormal"/>
        <w:shd w:val="clear" w:color="auto" w:fill="FFFFFF"/>
        <w:jc w:val="both"/>
        <w:rPr>
          <w:color w:val="000000"/>
        </w:rPr>
      </w:pPr>
      <w:r w:rsidRPr="00A15E0F">
        <w:rPr>
          <w:b/>
          <w:bCs/>
          <w:color w:val="000000"/>
        </w:rPr>
        <w:t>6. Honestidad: </w:t>
      </w:r>
      <w:r w:rsidRPr="00A15E0F">
        <w:rPr>
          <w:color w:val="000000"/>
        </w:rPr>
        <w:t>El funcionario tiene el deber de declarar cualquier interés privado que pueda guardar relación con sus actividades públicas y adoptar cuantas medidas sean necesarias para resolver cualquier conflicto, para salvaguardar el interés público.</w:t>
      </w:r>
    </w:p>
    <w:p w:rsidR="007D3DA0" w:rsidRPr="00A15E0F" w:rsidRDefault="007D3DA0" w:rsidP="00A15E0F">
      <w:pPr>
        <w:pStyle w:val="yiv5244443261msonormal"/>
        <w:shd w:val="clear" w:color="auto" w:fill="FFFFFF"/>
        <w:jc w:val="both"/>
        <w:rPr>
          <w:color w:val="000000"/>
        </w:rPr>
      </w:pPr>
      <w:r w:rsidRPr="00A15E0F">
        <w:rPr>
          <w:b/>
          <w:bCs/>
          <w:color w:val="000000"/>
        </w:rPr>
        <w:t>7. Liderazgo: </w:t>
      </w:r>
      <w:r w:rsidRPr="00A15E0F">
        <w:rPr>
          <w:color w:val="000000"/>
        </w:rPr>
        <w:t>El funcionario deberá promover y respetar estos principios como modelo en la toma de decisiones. Debe promover y apoyar estos principios y contrarrestar una conducta inapropiada donde quiera que ocurra.</w:t>
      </w:r>
    </w:p>
    <w:p w:rsidR="00A15E0F" w:rsidRDefault="007D3DA0" w:rsidP="00A15E0F">
      <w:pPr>
        <w:pStyle w:val="yiv5244443261msonormal"/>
        <w:shd w:val="clear" w:color="auto" w:fill="FFFFFF"/>
        <w:jc w:val="both"/>
        <w:rPr>
          <w:color w:val="000000"/>
        </w:rPr>
      </w:pPr>
      <w:r w:rsidRPr="00A15E0F">
        <w:rPr>
          <w:color w:val="000000"/>
        </w:rPr>
        <w:t>Son principios sensatos, aunque a</w:t>
      </w:r>
      <w:r w:rsidR="00A15E0F">
        <w:rPr>
          <w:color w:val="000000"/>
        </w:rPr>
        <w:t xml:space="preserve"> juzgar por la </w:t>
      </w:r>
      <w:r w:rsidRPr="00A15E0F">
        <w:rPr>
          <w:color w:val="000000"/>
        </w:rPr>
        <w:t>historia</w:t>
      </w:r>
      <w:r w:rsidR="00A15E0F">
        <w:rPr>
          <w:color w:val="000000"/>
        </w:rPr>
        <w:t xml:space="preserve"> reciente</w:t>
      </w:r>
      <w:r w:rsidRPr="00A15E0F">
        <w:rPr>
          <w:color w:val="000000"/>
        </w:rPr>
        <w:t xml:space="preserve">, nada fáciles de ejecutar. </w:t>
      </w:r>
    </w:p>
    <w:p w:rsidR="00193947" w:rsidRDefault="00193947" w:rsidP="00A15E0F">
      <w:pPr>
        <w:pStyle w:val="yiv5244443261msonormal"/>
        <w:shd w:val="clear" w:color="auto" w:fill="FFFFFF"/>
        <w:jc w:val="both"/>
        <w:rPr>
          <w:b/>
          <w:color w:val="000000"/>
        </w:rPr>
      </w:pPr>
    </w:p>
    <w:p w:rsidR="00193947" w:rsidRDefault="00193947" w:rsidP="00A15E0F">
      <w:pPr>
        <w:pStyle w:val="yiv5244443261msonormal"/>
        <w:shd w:val="clear" w:color="auto" w:fill="FFFFFF"/>
        <w:jc w:val="both"/>
        <w:rPr>
          <w:b/>
          <w:color w:val="000000"/>
        </w:rPr>
      </w:pPr>
    </w:p>
    <w:p w:rsidR="007D3DA0" w:rsidRPr="00A15E0F" w:rsidRDefault="00B50C43" w:rsidP="00A15E0F">
      <w:pPr>
        <w:pStyle w:val="yiv5244443261msonormal"/>
        <w:shd w:val="clear" w:color="auto" w:fill="FFFFFF"/>
        <w:jc w:val="both"/>
        <w:rPr>
          <w:b/>
          <w:color w:val="000000"/>
        </w:rPr>
      </w:pPr>
      <w:r w:rsidRPr="00B50C43">
        <w:rPr>
          <w:b/>
          <w:color w:val="000000"/>
        </w:rPr>
        <w:lastRenderedPageBreak/>
        <w:t>Esperando a Godot</w:t>
      </w:r>
      <w:r w:rsidR="00177C44">
        <w:rPr>
          <w:b/>
          <w:color w:val="000000"/>
        </w:rPr>
        <w:t xml:space="preserve"> (ré</w:t>
      </w:r>
      <w:r>
        <w:rPr>
          <w:b/>
          <w:color w:val="000000"/>
        </w:rPr>
        <w:t>quiem por la independencia de los Bancos Centrales)</w:t>
      </w:r>
    </w:p>
    <w:p w:rsidR="00AB5454" w:rsidRPr="00AB5454" w:rsidRDefault="00AB5454" w:rsidP="00AB5454">
      <w:pPr>
        <w:pStyle w:val="Ttulo2"/>
        <w:shd w:val="clear" w:color="auto" w:fill="FFFFFF"/>
        <w:spacing w:line="240" w:lineRule="auto"/>
        <w:jc w:val="both"/>
        <w:rPr>
          <w:rFonts w:ascii="Times New Roman" w:hAnsi="Times New Roman" w:cs="Times New Roman"/>
          <w:bCs w:val="0"/>
          <w:color w:val="auto"/>
          <w:sz w:val="24"/>
          <w:szCs w:val="24"/>
        </w:rPr>
      </w:pPr>
      <w:r w:rsidRPr="00AB5454">
        <w:rPr>
          <w:rFonts w:ascii="Times New Roman" w:hAnsi="Times New Roman" w:cs="Times New Roman"/>
          <w:bCs w:val="0"/>
          <w:color w:val="auto"/>
          <w:sz w:val="24"/>
          <w:szCs w:val="24"/>
        </w:rPr>
        <w:t xml:space="preserve">¿Cuándo purgarán las estrategias imprudentes, o incluso fraudulentas, de gobiernos y empresas, al calor del crédito laxo? </w:t>
      </w:r>
    </w:p>
    <w:p w:rsidR="00AB5454" w:rsidRPr="00AB5454" w:rsidRDefault="00AB5454" w:rsidP="00AB5454">
      <w:pPr>
        <w:pStyle w:val="Ttulo2"/>
        <w:shd w:val="clear" w:color="auto" w:fill="FFFFFF"/>
        <w:spacing w:line="240" w:lineRule="auto"/>
        <w:jc w:val="both"/>
        <w:rPr>
          <w:rFonts w:ascii="Times New Roman" w:hAnsi="Times New Roman" w:cs="Times New Roman"/>
          <w:bCs w:val="0"/>
          <w:color w:val="auto"/>
          <w:sz w:val="24"/>
          <w:szCs w:val="24"/>
        </w:rPr>
      </w:pPr>
      <w:r w:rsidRPr="00AB5454">
        <w:rPr>
          <w:rFonts w:ascii="Times New Roman" w:hAnsi="Times New Roman" w:cs="Times New Roman"/>
          <w:bCs w:val="0"/>
          <w:color w:val="auto"/>
          <w:sz w:val="24"/>
          <w:szCs w:val="24"/>
        </w:rPr>
        <w:t xml:space="preserve">¿Cuándo dejarán de emitir moneda sin respaldo? </w:t>
      </w:r>
    </w:p>
    <w:p w:rsidR="00AB5454" w:rsidRPr="00AB5454" w:rsidRDefault="00AB5454" w:rsidP="00AB5454">
      <w:pPr>
        <w:pStyle w:val="Ttulo2"/>
        <w:shd w:val="clear" w:color="auto" w:fill="FFFFFF"/>
        <w:spacing w:line="240" w:lineRule="auto"/>
        <w:jc w:val="both"/>
        <w:rPr>
          <w:rFonts w:ascii="Times New Roman" w:hAnsi="Times New Roman" w:cs="Times New Roman"/>
          <w:bCs w:val="0"/>
          <w:color w:val="auto"/>
          <w:sz w:val="24"/>
          <w:szCs w:val="24"/>
        </w:rPr>
      </w:pPr>
      <w:r w:rsidRPr="00AB5454">
        <w:rPr>
          <w:rFonts w:ascii="Times New Roman" w:hAnsi="Times New Roman" w:cs="Times New Roman"/>
          <w:bCs w:val="0"/>
          <w:color w:val="auto"/>
          <w:sz w:val="24"/>
          <w:szCs w:val="24"/>
        </w:rPr>
        <w:t>¿Cuándo dejarán de financiar a políticos derrochólicos y/o a bancos descapitalizados?</w:t>
      </w:r>
    </w:p>
    <w:p w:rsidR="00AB5454" w:rsidRPr="00AB5454" w:rsidRDefault="00AB5454" w:rsidP="00AB5454">
      <w:pPr>
        <w:pStyle w:val="Ttulo2"/>
        <w:shd w:val="clear" w:color="auto" w:fill="FFFFFF"/>
        <w:spacing w:line="240" w:lineRule="auto"/>
        <w:jc w:val="both"/>
        <w:rPr>
          <w:rFonts w:ascii="Times New Roman" w:hAnsi="Times New Roman" w:cs="Times New Roman"/>
          <w:bCs w:val="0"/>
          <w:color w:val="auto"/>
          <w:sz w:val="24"/>
          <w:szCs w:val="24"/>
        </w:rPr>
      </w:pPr>
      <w:r w:rsidRPr="00AB5454">
        <w:rPr>
          <w:rFonts w:ascii="Times New Roman" w:hAnsi="Times New Roman" w:cs="Times New Roman"/>
          <w:bCs w:val="0"/>
          <w:color w:val="auto"/>
          <w:sz w:val="24"/>
          <w:szCs w:val="24"/>
        </w:rPr>
        <w:t xml:space="preserve">¿Cuándo dejaran de ser tan “procíclicos”? </w:t>
      </w:r>
    </w:p>
    <w:p w:rsidR="00AB5454" w:rsidRPr="00AB5454" w:rsidRDefault="00AB5454" w:rsidP="00AB5454">
      <w:pPr>
        <w:pStyle w:val="Ttulo2"/>
        <w:shd w:val="clear" w:color="auto" w:fill="FFFFFF"/>
        <w:spacing w:line="240" w:lineRule="auto"/>
        <w:jc w:val="both"/>
        <w:rPr>
          <w:rFonts w:ascii="Times New Roman" w:hAnsi="Times New Roman" w:cs="Times New Roman"/>
          <w:bCs w:val="0"/>
          <w:color w:val="auto"/>
          <w:sz w:val="24"/>
          <w:szCs w:val="24"/>
        </w:rPr>
      </w:pPr>
      <w:r w:rsidRPr="00AB5454">
        <w:rPr>
          <w:rFonts w:ascii="Times New Roman" w:hAnsi="Times New Roman" w:cs="Times New Roman"/>
          <w:bCs w:val="0"/>
          <w:color w:val="auto"/>
          <w:sz w:val="24"/>
          <w:szCs w:val="24"/>
        </w:rPr>
        <w:t xml:space="preserve">¿Cuándo dejaran de comportarse según el “consenso” del mercado? </w:t>
      </w:r>
    </w:p>
    <w:p w:rsidR="00AB5454" w:rsidRPr="00AB5454" w:rsidRDefault="00AB5454" w:rsidP="00AB5454">
      <w:pPr>
        <w:pStyle w:val="Ttulo2"/>
        <w:shd w:val="clear" w:color="auto" w:fill="FFFFFF"/>
        <w:spacing w:line="240" w:lineRule="auto"/>
        <w:jc w:val="both"/>
        <w:rPr>
          <w:rFonts w:ascii="Times New Roman" w:hAnsi="Times New Roman" w:cs="Times New Roman"/>
          <w:bCs w:val="0"/>
          <w:color w:val="auto"/>
          <w:sz w:val="24"/>
          <w:szCs w:val="24"/>
        </w:rPr>
      </w:pPr>
      <w:r w:rsidRPr="00AB5454">
        <w:rPr>
          <w:rFonts w:ascii="Times New Roman" w:hAnsi="Times New Roman" w:cs="Times New Roman"/>
          <w:bCs w:val="0"/>
          <w:color w:val="auto"/>
          <w:sz w:val="24"/>
          <w:szCs w:val="24"/>
        </w:rPr>
        <w:t xml:space="preserve">¿Cuándo abandonarán el “despacho del pánico”? </w:t>
      </w:r>
    </w:p>
    <w:p w:rsidR="00AB5454" w:rsidRPr="00AB5454" w:rsidRDefault="00AB5454" w:rsidP="00AB5454">
      <w:pPr>
        <w:pStyle w:val="Ttulo2"/>
        <w:shd w:val="clear" w:color="auto" w:fill="FFFFFF"/>
        <w:spacing w:line="240" w:lineRule="auto"/>
        <w:jc w:val="both"/>
        <w:rPr>
          <w:rFonts w:ascii="Times New Roman" w:hAnsi="Times New Roman" w:cs="Times New Roman"/>
          <w:bCs w:val="0"/>
          <w:color w:val="auto"/>
          <w:sz w:val="24"/>
          <w:szCs w:val="24"/>
        </w:rPr>
      </w:pPr>
      <w:r w:rsidRPr="00AB5454">
        <w:rPr>
          <w:rFonts w:ascii="Times New Roman" w:hAnsi="Times New Roman" w:cs="Times New Roman"/>
          <w:bCs w:val="0"/>
          <w:color w:val="auto"/>
          <w:sz w:val="24"/>
          <w:szCs w:val="24"/>
        </w:rPr>
        <w:t xml:space="preserve">¿Cuándo empezarán a “levantar la cabeza”? </w:t>
      </w:r>
    </w:p>
    <w:p w:rsidR="00AB5454" w:rsidRPr="00AB5454" w:rsidRDefault="00AB5454" w:rsidP="00AB5454">
      <w:pPr>
        <w:pStyle w:val="Ttulo2"/>
        <w:shd w:val="clear" w:color="auto" w:fill="FFFFFF"/>
        <w:spacing w:line="240" w:lineRule="auto"/>
        <w:jc w:val="both"/>
        <w:rPr>
          <w:rFonts w:ascii="Times New Roman" w:hAnsi="Times New Roman" w:cs="Times New Roman"/>
          <w:bCs w:val="0"/>
          <w:color w:val="auto"/>
          <w:sz w:val="24"/>
          <w:szCs w:val="24"/>
        </w:rPr>
      </w:pPr>
      <w:r w:rsidRPr="00AB5454">
        <w:rPr>
          <w:rFonts w:ascii="Times New Roman" w:hAnsi="Times New Roman" w:cs="Times New Roman"/>
          <w:bCs w:val="0"/>
          <w:color w:val="auto"/>
          <w:sz w:val="24"/>
          <w:szCs w:val="24"/>
        </w:rPr>
        <w:t>¿Cuándo volverán a “hacerse respetar” (mejor, “temer”)?</w:t>
      </w:r>
    </w:p>
    <w:p w:rsidR="00EA3F11" w:rsidRDefault="00EA3F11" w:rsidP="00A15E0F">
      <w:pPr>
        <w:pStyle w:val="yiv5244443261msonormal"/>
        <w:shd w:val="clear" w:color="auto" w:fill="FFFFFF"/>
        <w:jc w:val="both"/>
        <w:rPr>
          <w:b/>
          <w:color w:val="000000"/>
        </w:rPr>
      </w:pPr>
      <w:r>
        <w:rPr>
          <w:b/>
          <w:color w:val="000000"/>
        </w:rPr>
        <w:t>¿Será mucho pedir (e inútil esperar) que los BC</w:t>
      </w:r>
      <w:r w:rsidR="003E04F1">
        <w:rPr>
          <w:b/>
          <w:color w:val="000000"/>
        </w:rPr>
        <w:t>s</w:t>
      </w:r>
      <w:r>
        <w:rPr>
          <w:b/>
          <w:color w:val="000000"/>
        </w:rPr>
        <w:t xml:space="preserve"> recuperen su independencia?</w:t>
      </w:r>
    </w:p>
    <w:p w:rsidR="00EA3F11" w:rsidRDefault="00EA3F11" w:rsidP="00EA3F11">
      <w:pPr>
        <w:pStyle w:val="yiv5244443261msonormal"/>
        <w:shd w:val="clear" w:color="auto" w:fill="FFFFFF"/>
        <w:jc w:val="both"/>
        <w:rPr>
          <w:b/>
          <w:color w:val="000000"/>
        </w:rPr>
      </w:pPr>
      <w:r>
        <w:rPr>
          <w:b/>
          <w:color w:val="000000"/>
        </w:rPr>
        <w:t>¿Será mucho pedir (e inútil esperar) que los BC</w:t>
      </w:r>
      <w:r w:rsidR="003E04F1">
        <w:rPr>
          <w:b/>
          <w:color w:val="000000"/>
        </w:rPr>
        <w:t>s</w:t>
      </w:r>
      <w:r>
        <w:rPr>
          <w:b/>
          <w:color w:val="000000"/>
        </w:rPr>
        <w:t xml:space="preserve"> protejan la moneda?</w:t>
      </w:r>
    </w:p>
    <w:p w:rsidR="00EA3F11" w:rsidRDefault="00EA3F11" w:rsidP="00EA3F11">
      <w:pPr>
        <w:pStyle w:val="yiv5244443261msonormal"/>
        <w:shd w:val="clear" w:color="auto" w:fill="FFFFFF"/>
        <w:jc w:val="both"/>
        <w:rPr>
          <w:b/>
          <w:color w:val="000000"/>
        </w:rPr>
      </w:pPr>
      <w:r>
        <w:rPr>
          <w:b/>
          <w:color w:val="000000"/>
        </w:rPr>
        <w:t>¿Será mucho pedir (e inútil esperar) que l</w:t>
      </w:r>
      <w:r w:rsidR="009C6560">
        <w:rPr>
          <w:b/>
          <w:color w:val="000000"/>
        </w:rPr>
        <w:t>os BC</w:t>
      </w:r>
      <w:r w:rsidR="003E04F1">
        <w:rPr>
          <w:b/>
          <w:color w:val="000000"/>
        </w:rPr>
        <w:t>s</w:t>
      </w:r>
      <w:r w:rsidR="009C6560">
        <w:rPr>
          <w:b/>
          <w:color w:val="000000"/>
        </w:rPr>
        <w:t xml:space="preserve"> no estimulen</w:t>
      </w:r>
      <w:r>
        <w:rPr>
          <w:b/>
          <w:color w:val="000000"/>
        </w:rPr>
        <w:t xml:space="preserve"> la especulación?</w:t>
      </w:r>
    </w:p>
    <w:p w:rsidR="009C6560" w:rsidRPr="00A15E0F" w:rsidRDefault="009C6560" w:rsidP="009C6560">
      <w:pPr>
        <w:pStyle w:val="yiv5244443261msonormal"/>
        <w:shd w:val="clear" w:color="auto" w:fill="FFFFFF"/>
        <w:jc w:val="both"/>
        <w:rPr>
          <w:b/>
          <w:color w:val="000000"/>
        </w:rPr>
      </w:pPr>
      <w:r>
        <w:rPr>
          <w:b/>
          <w:color w:val="000000"/>
        </w:rPr>
        <w:t>¿Será mucho pedir (e inútil esperar) que los BC</w:t>
      </w:r>
      <w:r w:rsidR="003E04F1">
        <w:rPr>
          <w:b/>
          <w:color w:val="000000"/>
        </w:rPr>
        <w:t>s</w:t>
      </w:r>
      <w:r>
        <w:rPr>
          <w:b/>
          <w:color w:val="000000"/>
        </w:rPr>
        <w:t xml:space="preserve"> no dopen los mercados?</w:t>
      </w:r>
    </w:p>
    <w:p w:rsidR="00EA3F11" w:rsidRPr="00A15E0F" w:rsidRDefault="00EA3F11" w:rsidP="00EA3F11">
      <w:pPr>
        <w:pStyle w:val="yiv5244443261msonormal"/>
        <w:shd w:val="clear" w:color="auto" w:fill="FFFFFF"/>
        <w:jc w:val="both"/>
        <w:rPr>
          <w:b/>
          <w:color w:val="000000"/>
        </w:rPr>
      </w:pPr>
      <w:r>
        <w:rPr>
          <w:b/>
          <w:color w:val="000000"/>
        </w:rPr>
        <w:t>¿Será mucho pedir (e inútil esperar) que los BC</w:t>
      </w:r>
      <w:r w:rsidR="003E04F1">
        <w:rPr>
          <w:b/>
          <w:color w:val="000000"/>
        </w:rPr>
        <w:t>s</w:t>
      </w:r>
      <w:r>
        <w:rPr>
          <w:b/>
          <w:color w:val="000000"/>
        </w:rPr>
        <w:t xml:space="preserve"> controlen a los bancos?</w:t>
      </w:r>
    </w:p>
    <w:p w:rsidR="00EA3F11" w:rsidRDefault="00EA3F11" w:rsidP="00EA3F11">
      <w:pPr>
        <w:pStyle w:val="yiv5244443261msonormal"/>
        <w:shd w:val="clear" w:color="auto" w:fill="FFFFFF"/>
        <w:jc w:val="both"/>
        <w:rPr>
          <w:b/>
          <w:color w:val="000000"/>
        </w:rPr>
      </w:pPr>
      <w:r>
        <w:rPr>
          <w:b/>
          <w:color w:val="000000"/>
        </w:rPr>
        <w:t xml:space="preserve">¿Será mucho pedir (e inútil esperar) que los </w:t>
      </w:r>
      <w:r w:rsidR="003E04F1">
        <w:rPr>
          <w:b/>
          <w:color w:val="000000"/>
        </w:rPr>
        <w:t>BC no adquieran deuda pública</w:t>
      </w:r>
      <w:r>
        <w:rPr>
          <w:b/>
          <w:color w:val="000000"/>
        </w:rPr>
        <w:t>?</w:t>
      </w:r>
    </w:p>
    <w:p w:rsidR="00EA3F11" w:rsidRDefault="00EA3F11" w:rsidP="00EA3F11">
      <w:pPr>
        <w:pStyle w:val="yiv5244443261msonormal"/>
        <w:shd w:val="clear" w:color="auto" w:fill="FFFFFF"/>
        <w:jc w:val="both"/>
        <w:rPr>
          <w:b/>
          <w:color w:val="000000"/>
        </w:rPr>
      </w:pPr>
      <w:r>
        <w:rPr>
          <w:b/>
          <w:color w:val="000000"/>
        </w:rPr>
        <w:t>¿Será mucho pedir (e inútil esperar) que los BC</w:t>
      </w:r>
      <w:r w:rsidR="003E04F1">
        <w:rPr>
          <w:b/>
          <w:color w:val="000000"/>
        </w:rPr>
        <w:t>s</w:t>
      </w:r>
      <w:r>
        <w:rPr>
          <w:b/>
          <w:color w:val="000000"/>
        </w:rPr>
        <w:t xml:space="preserve"> no desalienten el ahorro</w:t>
      </w:r>
      <w:r w:rsidR="003E04F1">
        <w:rPr>
          <w:b/>
          <w:color w:val="000000"/>
        </w:rPr>
        <w:t xml:space="preserve"> privado</w:t>
      </w:r>
      <w:r>
        <w:rPr>
          <w:b/>
          <w:color w:val="000000"/>
        </w:rPr>
        <w:t>?</w:t>
      </w:r>
    </w:p>
    <w:p w:rsidR="00EA3F11" w:rsidRDefault="00EA3F11" w:rsidP="00EA3F11">
      <w:pPr>
        <w:pStyle w:val="yiv5244443261msonormal"/>
        <w:shd w:val="clear" w:color="auto" w:fill="FFFFFF"/>
        <w:jc w:val="both"/>
        <w:rPr>
          <w:b/>
          <w:color w:val="000000"/>
        </w:rPr>
      </w:pPr>
      <w:r>
        <w:rPr>
          <w:b/>
          <w:color w:val="000000"/>
        </w:rPr>
        <w:t>¿Será mucho pedir (e inútil esperar) que los BC</w:t>
      </w:r>
      <w:r w:rsidR="003E04F1">
        <w:rPr>
          <w:b/>
          <w:color w:val="000000"/>
        </w:rPr>
        <w:t>s</w:t>
      </w:r>
      <w:r>
        <w:rPr>
          <w:b/>
          <w:color w:val="000000"/>
        </w:rPr>
        <w:t xml:space="preserve"> combatan la inflación?</w:t>
      </w:r>
    </w:p>
    <w:p w:rsidR="00EA3F11" w:rsidRPr="00A15E0F" w:rsidRDefault="00EA3F11" w:rsidP="00EA3F11">
      <w:pPr>
        <w:pStyle w:val="yiv5244443261msonormal"/>
        <w:shd w:val="clear" w:color="auto" w:fill="FFFFFF"/>
        <w:jc w:val="both"/>
        <w:rPr>
          <w:b/>
          <w:color w:val="000000"/>
        </w:rPr>
      </w:pPr>
      <w:r>
        <w:rPr>
          <w:b/>
          <w:color w:val="000000"/>
        </w:rPr>
        <w:t>¿Será mucho pedir (e inútil</w:t>
      </w:r>
      <w:r w:rsidR="003E04F1">
        <w:rPr>
          <w:b/>
          <w:color w:val="000000"/>
        </w:rPr>
        <w:t xml:space="preserve"> esperar) que los BCs no apoyen</w:t>
      </w:r>
      <w:r>
        <w:rPr>
          <w:b/>
          <w:color w:val="000000"/>
        </w:rPr>
        <w:t xml:space="preserve"> la represión financiera?</w:t>
      </w:r>
    </w:p>
    <w:p w:rsidR="00EA3F11" w:rsidRPr="00A15E0F" w:rsidRDefault="00EA3F11" w:rsidP="00EA3F11">
      <w:pPr>
        <w:pStyle w:val="yiv5244443261msonormal"/>
        <w:shd w:val="clear" w:color="auto" w:fill="FFFFFF"/>
        <w:jc w:val="both"/>
        <w:rPr>
          <w:b/>
          <w:color w:val="000000"/>
        </w:rPr>
      </w:pPr>
      <w:r>
        <w:rPr>
          <w:b/>
          <w:color w:val="000000"/>
        </w:rPr>
        <w:t>¿Será mucho pedir (e inútil esperar) que los BC</w:t>
      </w:r>
      <w:r w:rsidR="003E04F1">
        <w:rPr>
          <w:b/>
          <w:color w:val="000000"/>
        </w:rPr>
        <w:t>s</w:t>
      </w:r>
      <w:r>
        <w:rPr>
          <w:b/>
          <w:color w:val="000000"/>
        </w:rPr>
        <w:t xml:space="preserve"> no socialicen las pérdidas bancarias?</w:t>
      </w:r>
    </w:p>
    <w:p w:rsidR="00EA3F11" w:rsidRDefault="00EA3F11" w:rsidP="00EA3F11">
      <w:pPr>
        <w:pStyle w:val="yiv5244443261msonormal"/>
        <w:shd w:val="clear" w:color="auto" w:fill="FFFFFF"/>
        <w:jc w:val="both"/>
        <w:rPr>
          <w:b/>
          <w:color w:val="000000"/>
        </w:rPr>
      </w:pPr>
      <w:r>
        <w:rPr>
          <w:b/>
          <w:color w:val="000000"/>
        </w:rPr>
        <w:t>¿Será mucho pedir (e inútil esperar) que l</w:t>
      </w:r>
      <w:r w:rsidR="009C6560">
        <w:rPr>
          <w:b/>
          <w:color w:val="000000"/>
        </w:rPr>
        <w:t>os BC</w:t>
      </w:r>
      <w:r w:rsidR="003E04F1">
        <w:rPr>
          <w:b/>
          <w:color w:val="000000"/>
        </w:rPr>
        <w:t>s</w:t>
      </w:r>
      <w:r w:rsidR="009C6560">
        <w:rPr>
          <w:b/>
          <w:color w:val="000000"/>
        </w:rPr>
        <w:t xml:space="preserve"> no moneticen la deuda pública</w:t>
      </w:r>
      <w:r>
        <w:rPr>
          <w:b/>
          <w:color w:val="000000"/>
        </w:rPr>
        <w:t>?</w:t>
      </w:r>
    </w:p>
    <w:p w:rsidR="00193947" w:rsidRDefault="009C6560" w:rsidP="009C6560">
      <w:pPr>
        <w:pStyle w:val="yiv5244443261msonormal"/>
        <w:shd w:val="clear" w:color="auto" w:fill="FFFFFF"/>
        <w:jc w:val="both"/>
        <w:rPr>
          <w:b/>
          <w:color w:val="000000"/>
        </w:rPr>
      </w:pPr>
      <w:r>
        <w:rPr>
          <w:b/>
          <w:color w:val="000000"/>
        </w:rPr>
        <w:t>¿Será mucho pedir (e inútil esperar) que al frente de los BC</w:t>
      </w:r>
      <w:r w:rsidR="003E04F1">
        <w:rPr>
          <w:b/>
          <w:color w:val="000000"/>
        </w:rPr>
        <w:t>s</w:t>
      </w:r>
      <w:r>
        <w:rPr>
          <w:b/>
          <w:color w:val="000000"/>
        </w:rPr>
        <w:t xml:space="preserve"> haya hombres prudentes,</w:t>
      </w:r>
      <w:r w:rsidR="00A44F68">
        <w:rPr>
          <w:b/>
          <w:color w:val="000000"/>
        </w:rPr>
        <w:t xml:space="preserve"> honestos, y justos (que no se nieguen a contemplar </w:t>
      </w:r>
      <w:r w:rsidR="00DC03E5">
        <w:rPr>
          <w:b/>
          <w:color w:val="000000"/>
        </w:rPr>
        <w:t xml:space="preserve">la evidencia, que no se conformen con ser los </w:t>
      </w:r>
      <w:r w:rsidR="00DC03E5" w:rsidRPr="00DC03E5">
        <w:rPr>
          <w:b/>
          <w:color w:val="000000"/>
        </w:rPr>
        <w:t>vencedor</w:t>
      </w:r>
      <w:r w:rsidR="00DC03E5">
        <w:rPr>
          <w:b/>
          <w:color w:val="000000"/>
        </w:rPr>
        <w:t>es</w:t>
      </w:r>
      <w:r w:rsidR="00DC03E5" w:rsidRPr="00DC03E5">
        <w:rPr>
          <w:b/>
          <w:color w:val="000000"/>
        </w:rPr>
        <w:t xml:space="preserve"> de todas las derrotas</w:t>
      </w:r>
      <w:r w:rsidR="00DC03E5">
        <w:rPr>
          <w:b/>
          <w:color w:val="000000"/>
        </w:rPr>
        <w:t>)?</w:t>
      </w:r>
    </w:p>
    <w:p w:rsidR="00193947" w:rsidRDefault="00193947" w:rsidP="00193947">
      <w:pPr>
        <w:pStyle w:val="yiv5244443261msonormal"/>
        <w:shd w:val="clear" w:color="auto" w:fill="FFFFFF"/>
        <w:jc w:val="both"/>
        <w:rPr>
          <w:b/>
          <w:color w:val="000000"/>
        </w:rPr>
      </w:pPr>
      <w:r>
        <w:rPr>
          <w:b/>
          <w:color w:val="000000"/>
        </w:rPr>
        <w:t xml:space="preserve">¿Será mucho pedir (e inútil esperar) que al frente de los BCs haya hombres que no solo se dediquen a </w:t>
      </w:r>
      <w:r w:rsidRPr="00DC03E5">
        <w:rPr>
          <w:b/>
          <w:color w:val="000000"/>
        </w:rPr>
        <w:t>hablar paus</w:t>
      </w:r>
      <w:r>
        <w:rPr>
          <w:b/>
          <w:color w:val="000000"/>
        </w:rPr>
        <w:t xml:space="preserve">adamente sin perder el aplomo, sino que cuando presenten </w:t>
      </w:r>
      <w:r w:rsidRPr="00193947">
        <w:rPr>
          <w:b/>
          <w:color w:val="000000"/>
        </w:rPr>
        <w:t>las s</w:t>
      </w:r>
      <w:r>
        <w:rPr>
          <w:b/>
          <w:color w:val="000000"/>
        </w:rPr>
        <w:t>umas y las restas no exhiban su desnudez?</w:t>
      </w:r>
    </w:p>
    <w:p w:rsidR="003E04F1" w:rsidRDefault="003E04F1" w:rsidP="009C6560">
      <w:pPr>
        <w:pStyle w:val="yiv5244443261msonormal"/>
        <w:shd w:val="clear" w:color="auto" w:fill="FFFFFF"/>
        <w:jc w:val="both"/>
        <w:rPr>
          <w:b/>
          <w:color w:val="000000"/>
        </w:rPr>
      </w:pPr>
      <w:r>
        <w:rPr>
          <w:b/>
          <w:color w:val="000000"/>
        </w:rPr>
        <w:t xml:space="preserve">¿Será mucho pedir (e inútil esperar) que los BCs </w:t>
      </w:r>
      <w:r w:rsidR="00E0526E">
        <w:rPr>
          <w:b/>
          <w:color w:val="000000"/>
        </w:rPr>
        <w:t>entiendan que</w:t>
      </w:r>
      <w:r w:rsidR="005150F7">
        <w:rPr>
          <w:b/>
          <w:color w:val="000000"/>
        </w:rPr>
        <w:t xml:space="preserve"> la sociedad </w:t>
      </w:r>
      <w:r w:rsidR="00E0526E">
        <w:rPr>
          <w:b/>
          <w:color w:val="000000"/>
        </w:rPr>
        <w:t>espera de ellos</w:t>
      </w:r>
      <w:r w:rsidR="005150F7">
        <w:rPr>
          <w:b/>
          <w:color w:val="000000"/>
        </w:rPr>
        <w:t>,</w:t>
      </w:r>
      <w:r w:rsidR="00E0526E">
        <w:rPr>
          <w:b/>
          <w:color w:val="000000"/>
        </w:rPr>
        <w:t xml:space="preserve"> que produzcan</w:t>
      </w:r>
      <w:r>
        <w:rPr>
          <w:b/>
          <w:color w:val="000000"/>
        </w:rPr>
        <w:t xml:space="preserve"> historia</w:t>
      </w:r>
      <w:r w:rsidR="00E0526E">
        <w:rPr>
          <w:b/>
          <w:color w:val="000000"/>
        </w:rPr>
        <w:t>,</w:t>
      </w:r>
      <w:r>
        <w:rPr>
          <w:b/>
          <w:color w:val="000000"/>
        </w:rPr>
        <w:t xml:space="preserve"> y no</w:t>
      </w:r>
      <w:r w:rsidR="00E0526E">
        <w:rPr>
          <w:b/>
          <w:color w:val="000000"/>
        </w:rPr>
        <w:t>, que consuman</w:t>
      </w:r>
      <w:r>
        <w:rPr>
          <w:b/>
          <w:color w:val="000000"/>
        </w:rPr>
        <w:t xml:space="preserve"> historia?</w:t>
      </w:r>
    </w:p>
    <w:p w:rsidR="00B50C43" w:rsidRPr="009C6560" w:rsidRDefault="009C6560" w:rsidP="009C6560">
      <w:pPr>
        <w:pStyle w:val="yiv5244443261msonormal"/>
        <w:shd w:val="clear" w:color="auto" w:fill="FFFFFF"/>
        <w:jc w:val="both"/>
        <w:rPr>
          <w:b/>
          <w:color w:val="000000"/>
        </w:rPr>
      </w:pPr>
      <w:r>
        <w:rPr>
          <w:b/>
          <w:color w:val="000000"/>
        </w:rPr>
        <w:lastRenderedPageBreak/>
        <w:t xml:space="preserve">- </w:t>
      </w:r>
      <w:r w:rsidR="00177C44" w:rsidRPr="00177C44">
        <w:rPr>
          <w:b/>
        </w:rPr>
        <w:t xml:space="preserve">Anexo </w:t>
      </w:r>
      <w:r w:rsidR="00177C44">
        <w:rPr>
          <w:b/>
        </w:rPr>
        <w:t>(</w:t>
      </w:r>
      <w:r w:rsidR="00177C44" w:rsidRPr="00177C44">
        <w:rPr>
          <w:b/>
        </w:rPr>
        <w:t>II</w:t>
      </w:r>
      <w:r w:rsidR="00177C44">
        <w:rPr>
          <w:b/>
        </w:rPr>
        <w:t>)</w:t>
      </w:r>
      <w:r w:rsidR="00177C44" w:rsidRPr="00177C44">
        <w:rPr>
          <w:b/>
        </w:rPr>
        <w:t>:</w:t>
      </w:r>
      <w:r w:rsidR="00B50C43" w:rsidRPr="00177C44">
        <w:rPr>
          <w:b/>
        </w:rPr>
        <w:t xml:space="preserve"> Fatos y fotos (Hay tres clases de mentiras: las mentiras, las grandes mentiras</w:t>
      </w:r>
      <w:r>
        <w:rPr>
          <w:b/>
        </w:rPr>
        <w:t>,</w:t>
      </w:r>
      <w:r w:rsidR="00B50C43" w:rsidRPr="00177C44">
        <w:rPr>
          <w:b/>
        </w:rPr>
        <w:t xml:space="preserve"> y… las estadísticas)</w:t>
      </w:r>
    </w:p>
    <w:p w:rsidR="00B50C43" w:rsidRDefault="00B50C43" w:rsidP="00B50C43">
      <w:r>
        <w:rPr>
          <w:noProof/>
          <w:lang w:eastAsia="es-ES"/>
        </w:rPr>
        <w:drawing>
          <wp:inline distT="0" distB="0" distL="0" distR="0" wp14:anchorId="116D5C78" wp14:editId="2B8110A8">
            <wp:extent cx="5726729" cy="3257550"/>
            <wp:effectExtent l="0" t="0" r="7620" b="0"/>
            <wp:docPr id="93" name="Imagen 93" descr="https://phantom-expansion.unidadeditorial.es/9b0e0e6d827638c5b2a95efe66730986/crop/0x547/2048x1908/resize/828/f/jpg/assets/multimedia/imagenes/2022/07/29/165912503723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phantom-expansion.unidadeditorial.es/9b0e0e6d827638c5b2a95efe66730986/crop/0x547/2048x1908/resize/828/f/jpg/assets/multimedia/imagenes/2022/07/29/16591250372377.jpg"/>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731510" cy="3260270"/>
                    </a:xfrm>
                    <a:prstGeom prst="rect">
                      <a:avLst/>
                    </a:prstGeom>
                    <a:noFill/>
                    <a:ln>
                      <a:noFill/>
                    </a:ln>
                  </pic:spPr>
                </pic:pic>
              </a:graphicData>
            </a:graphic>
          </wp:inline>
        </w:drawing>
      </w:r>
    </w:p>
    <w:p w:rsidR="00B50C43" w:rsidRDefault="00B50C43" w:rsidP="00B50C43">
      <w:r w:rsidRPr="000D71BC">
        <w:rPr>
          <w:rFonts w:ascii="Times New Roman" w:hAnsi="Times New Roman" w:cs="Times New Roman"/>
          <w:noProof/>
          <w:sz w:val="24"/>
          <w:szCs w:val="24"/>
          <w:lang w:eastAsia="es-ES"/>
        </w:rPr>
        <w:drawing>
          <wp:inline distT="0" distB="0" distL="0" distR="0" wp14:anchorId="1168C531" wp14:editId="7B619933">
            <wp:extent cx="5733676" cy="4819650"/>
            <wp:effectExtent l="0" t="0" r="635" b="0"/>
            <wp:docPr id="94" name="Imagen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2"/>
                    <a:stretch>
                      <a:fillRect/>
                    </a:stretch>
                  </pic:blipFill>
                  <pic:spPr>
                    <a:xfrm>
                      <a:off x="0" y="0"/>
                      <a:ext cx="5731510" cy="4817829"/>
                    </a:xfrm>
                    <a:prstGeom prst="rect">
                      <a:avLst/>
                    </a:prstGeom>
                  </pic:spPr>
                </pic:pic>
              </a:graphicData>
            </a:graphic>
          </wp:inline>
        </w:drawing>
      </w:r>
    </w:p>
    <w:p w:rsidR="00B50C43" w:rsidRDefault="00B50C43" w:rsidP="00B50C43">
      <w:r w:rsidRPr="000D71BC">
        <w:rPr>
          <w:rFonts w:ascii="Times New Roman" w:hAnsi="Times New Roman" w:cs="Times New Roman"/>
          <w:noProof/>
          <w:sz w:val="24"/>
          <w:szCs w:val="24"/>
          <w:lang w:eastAsia="es-ES"/>
        </w:rPr>
        <w:lastRenderedPageBreak/>
        <w:drawing>
          <wp:inline distT="0" distB="0" distL="0" distR="0" wp14:anchorId="6A3F46C4" wp14:editId="188AB62E">
            <wp:extent cx="5731510" cy="4216400"/>
            <wp:effectExtent l="0" t="0" r="2540" b="0"/>
            <wp:docPr id="95" name="Imagen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3"/>
                    <a:stretch>
                      <a:fillRect/>
                    </a:stretch>
                  </pic:blipFill>
                  <pic:spPr>
                    <a:xfrm>
                      <a:off x="0" y="0"/>
                      <a:ext cx="5731510" cy="4216400"/>
                    </a:xfrm>
                    <a:prstGeom prst="rect">
                      <a:avLst/>
                    </a:prstGeom>
                  </pic:spPr>
                </pic:pic>
              </a:graphicData>
            </a:graphic>
          </wp:inline>
        </w:drawing>
      </w:r>
    </w:p>
    <w:p w:rsidR="00B50C43" w:rsidRDefault="00B50C43" w:rsidP="00B50C43">
      <w:r w:rsidRPr="000D71BC">
        <w:rPr>
          <w:rFonts w:ascii="Times New Roman" w:hAnsi="Times New Roman" w:cs="Times New Roman"/>
          <w:noProof/>
          <w:sz w:val="24"/>
          <w:szCs w:val="24"/>
          <w:lang w:eastAsia="es-ES"/>
        </w:rPr>
        <w:drawing>
          <wp:inline distT="0" distB="0" distL="0" distR="0" wp14:anchorId="1C7BC88C" wp14:editId="53C9616C">
            <wp:extent cx="5727700" cy="4191000"/>
            <wp:effectExtent l="0" t="0" r="6350" b="0"/>
            <wp:docPr id="96" name="Imagen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4"/>
                    <a:stretch>
                      <a:fillRect/>
                    </a:stretch>
                  </pic:blipFill>
                  <pic:spPr>
                    <a:xfrm>
                      <a:off x="0" y="0"/>
                      <a:ext cx="5731510" cy="4193788"/>
                    </a:xfrm>
                    <a:prstGeom prst="rect">
                      <a:avLst/>
                    </a:prstGeom>
                  </pic:spPr>
                </pic:pic>
              </a:graphicData>
            </a:graphic>
          </wp:inline>
        </w:drawing>
      </w:r>
    </w:p>
    <w:p w:rsidR="00B50C43" w:rsidRDefault="00B50C43" w:rsidP="00B50C43">
      <w:r w:rsidRPr="000D71BC">
        <w:rPr>
          <w:rFonts w:ascii="Times New Roman" w:hAnsi="Times New Roman" w:cs="Times New Roman"/>
          <w:noProof/>
          <w:sz w:val="24"/>
          <w:szCs w:val="24"/>
          <w:lang w:eastAsia="es-ES"/>
        </w:rPr>
        <w:lastRenderedPageBreak/>
        <w:drawing>
          <wp:inline distT="0" distB="0" distL="0" distR="0" wp14:anchorId="6FAB5FC5" wp14:editId="1C860C38">
            <wp:extent cx="5727747" cy="4064000"/>
            <wp:effectExtent l="0" t="0" r="6350" b="0"/>
            <wp:docPr id="97" name="Imagen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5"/>
                    <a:stretch>
                      <a:fillRect/>
                    </a:stretch>
                  </pic:blipFill>
                  <pic:spPr>
                    <a:xfrm>
                      <a:off x="0" y="0"/>
                      <a:ext cx="5731510" cy="4066670"/>
                    </a:xfrm>
                    <a:prstGeom prst="rect">
                      <a:avLst/>
                    </a:prstGeom>
                  </pic:spPr>
                </pic:pic>
              </a:graphicData>
            </a:graphic>
          </wp:inline>
        </w:drawing>
      </w:r>
    </w:p>
    <w:p w:rsidR="00B50C43" w:rsidRDefault="00B50C43" w:rsidP="00B50C43">
      <w:r w:rsidRPr="00401CD3">
        <w:rPr>
          <w:rFonts w:ascii="Times New Roman" w:hAnsi="Times New Roman" w:cs="Times New Roman"/>
          <w:noProof/>
          <w:sz w:val="24"/>
          <w:szCs w:val="24"/>
          <w:lang w:eastAsia="es-ES"/>
        </w:rPr>
        <w:drawing>
          <wp:inline distT="0" distB="0" distL="0" distR="0" wp14:anchorId="5D8F795D" wp14:editId="642FC764">
            <wp:extent cx="5731510" cy="4549775"/>
            <wp:effectExtent l="0" t="0" r="2540" b="3175"/>
            <wp:docPr id="98" name="Imagen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6"/>
                    <a:stretch>
                      <a:fillRect/>
                    </a:stretch>
                  </pic:blipFill>
                  <pic:spPr>
                    <a:xfrm>
                      <a:off x="0" y="0"/>
                      <a:ext cx="5731510" cy="4549775"/>
                    </a:xfrm>
                    <a:prstGeom prst="rect">
                      <a:avLst/>
                    </a:prstGeom>
                  </pic:spPr>
                </pic:pic>
              </a:graphicData>
            </a:graphic>
          </wp:inline>
        </w:drawing>
      </w:r>
    </w:p>
    <w:p w:rsidR="00B50C43" w:rsidRPr="001A09A4" w:rsidRDefault="00B50C43" w:rsidP="00B50C43">
      <w:pPr>
        <w:rPr>
          <w:rFonts w:ascii="Times New Roman" w:hAnsi="Times New Roman" w:cs="Times New Roman"/>
          <w:sz w:val="24"/>
          <w:szCs w:val="24"/>
        </w:rPr>
      </w:pPr>
      <w:r>
        <w:rPr>
          <w:rFonts w:ascii="Times New Roman" w:hAnsi="Times New Roman" w:cs="Times New Roman"/>
          <w:sz w:val="24"/>
          <w:szCs w:val="24"/>
        </w:rPr>
        <w:lastRenderedPageBreak/>
        <w:t xml:space="preserve">Fuente: </w:t>
      </w:r>
      <w:r w:rsidRPr="001A09A4">
        <w:rPr>
          <w:rFonts w:ascii="Times New Roman" w:hAnsi="Times New Roman" w:cs="Times New Roman"/>
          <w:sz w:val="24"/>
          <w:szCs w:val="24"/>
        </w:rPr>
        <w:t>Banco Central Europeo</w:t>
      </w:r>
      <w:r>
        <w:rPr>
          <w:rFonts w:ascii="Times New Roman" w:hAnsi="Times New Roman" w:cs="Times New Roman"/>
          <w:sz w:val="24"/>
          <w:szCs w:val="24"/>
        </w:rPr>
        <w:t xml:space="preserve"> - Datos estadísticos y </w:t>
      </w:r>
      <w:r w:rsidRPr="001A09A4">
        <w:rPr>
          <w:rFonts w:ascii="Times New Roman" w:hAnsi="Times New Roman" w:cs="Times New Roman"/>
          <w:sz w:val="24"/>
          <w:szCs w:val="24"/>
        </w:rPr>
        <w:t>Statistics Bulletin</w:t>
      </w:r>
      <w:r>
        <w:rPr>
          <w:rFonts w:ascii="Times New Roman" w:hAnsi="Times New Roman" w:cs="Times New Roman"/>
          <w:sz w:val="24"/>
          <w:szCs w:val="24"/>
        </w:rPr>
        <w:t xml:space="preserve"> (</w:t>
      </w:r>
      <w:r w:rsidRPr="001A09A4">
        <w:rPr>
          <w:rFonts w:ascii="Times New Roman" w:hAnsi="Times New Roman" w:cs="Times New Roman"/>
          <w:sz w:val="24"/>
          <w:szCs w:val="24"/>
        </w:rPr>
        <w:t>Pa</w:t>
      </w:r>
      <w:r>
        <w:rPr>
          <w:rFonts w:ascii="Times New Roman" w:hAnsi="Times New Roman" w:cs="Times New Roman"/>
          <w:sz w:val="24"/>
          <w:szCs w:val="24"/>
        </w:rPr>
        <w:t>ge last updated on 01-11-2022)</w:t>
      </w:r>
    </w:p>
    <w:p w:rsidR="00B50C43" w:rsidRDefault="00B50C43" w:rsidP="00B50C43">
      <w:r w:rsidRPr="00401CD3">
        <w:rPr>
          <w:rFonts w:ascii="Times New Roman" w:hAnsi="Times New Roman" w:cs="Times New Roman"/>
          <w:noProof/>
          <w:sz w:val="24"/>
          <w:szCs w:val="24"/>
          <w:lang w:eastAsia="es-ES"/>
        </w:rPr>
        <w:drawing>
          <wp:inline distT="0" distB="0" distL="0" distR="0" wp14:anchorId="180122AB" wp14:editId="7E9BBDB4">
            <wp:extent cx="5731510" cy="3646805"/>
            <wp:effectExtent l="0" t="0" r="2540" b="0"/>
            <wp:docPr id="99" name="Imagen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7"/>
                    <a:stretch>
                      <a:fillRect/>
                    </a:stretch>
                  </pic:blipFill>
                  <pic:spPr>
                    <a:xfrm>
                      <a:off x="0" y="0"/>
                      <a:ext cx="5731510" cy="3646805"/>
                    </a:xfrm>
                    <a:prstGeom prst="rect">
                      <a:avLst/>
                    </a:prstGeom>
                  </pic:spPr>
                </pic:pic>
              </a:graphicData>
            </a:graphic>
          </wp:inline>
        </w:drawing>
      </w:r>
    </w:p>
    <w:p w:rsidR="00B50C43" w:rsidRDefault="00B50C43" w:rsidP="00B50C43">
      <w:r w:rsidRPr="0038730F">
        <w:rPr>
          <w:rFonts w:ascii="Times New Roman" w:hAnsi="Times New Roman" w:cs="Times New Roman"/>
          <w:noProof/>
          <w:sz w:val="24"/>
          <w:szCs w:val="24"/>
          <w:lang w:eastAsia="es-ES"/>
        </w:rPr>
        <w:drawing>
          <wp:inline distT="0" distB="0" distL="0" distR="0" wp14:anchorId="37C99C73" wp14:editId="4C83BD92">
            <wp:extent cx="5731510" cy="3643630"/>
            <wp:effectExtent l="0" t="0" r="2540" b="0"/>
            <wp:docPr id="100" name="Imagen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8"/>
                    <a:stretch>
                      <a:fillRect/>
                    </a:stretch>
                  </pic:blipFill>
                  <pic:spPr>
                    <a:xfrm>
                      <a:off x="0" y="0"/>
                      <a:ext cx="5731510" cy="3643630"/>
                    </a:xfrm>
                    <a:prstGeom prst="rect">
                      <a:avLst/>
                    </a:prstGeom>
                  </pic:spPr>
                </pic:pic>
              </a:graphicData>
            </a:graphic>
          </wp:inline>
        </w:drawing>
      </w:r>
    </w:p>
    <w:p w:rsidR="00B50C43" w:rsidRDefault="00B50C43" w:rsidP="00B50C43">
      <w:r w:rsidRPr="00E4593A">
        <w:rPr>
          <w:noProof/>
          <w:lang w:eastAsia="es-ES"/>
        </w:rPr>
        <w:lastRenderedPageBreak/>
        <w:drawing>
          <wp:inline distT="0" distB="0" distL="0" distR="0" wp14:anchorId="750C630D" wp14:editId="7740E1D4">
            <wp:extent cx="5731510" cy="2258313"/>
            <wp:effectExtent l="0" t="0" r="2540" b="8890"/>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9"/>
                    <a:stretch>
                      <a:fillRect/>
                    </a:stretch>
                  </pic:blipFill>
                  <pic:spPr>
                    <a:xfrm>
                      <a:off x="0" y="0"/>
                      <a:ext cx="5731510" cy="2258313"/>
                    </a:xfrm>
                    <a:prstGeom prst="rect">
                      <a:avLst/>
                    </a:prstGeom>
                  </pic:spPr>
                </pic:pic>
              </a:graphicData>
            </a:graphic>
          </wp:inline>
        </w:drawing>
      </w:r>
    </w:p>
    <w:p w:rsidR="00B50C43" w:rsidRDefault="00B50C43" w:rsidP="00B50C43"/>
    <w:p w:rsidR="00B50C43" w:rsidRDefault="00B50C43" w:rsidP="00B50C43">
      <w:r w:rsidRPr="00E4593A">
        <w:rPr>
          <w:noProof/>
          <w:lang w:eastAsia="es-ES"/>
        </w:rPr>
        <w:drawing>
          <wp:inline distT="0" distB="0" distL="0" distR="0" wp14:anchorId="0F2488D1" wp14:editId="07A164B7">
            <wp:extent cx="5731510" cy="2366085"/>
            <wp:effectExtent l="0" t="0" r="2540" b="0"/>
            <wp:docPr id="101" name="Imagen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0"/>
                    <a:stretch>
                      <a:fillRect/>
                    </a:stretch>
                  </pic:blipFill>
                  <pic:spPr>
                    <a:xfrm>
                      <a:off x="0" y="0"/>
                      <a:ext cx="5731510" cy="2366085"/>
                    </a:xfrm>
                    <a:prstGeom prst="rect">
                      <a:avLst/>
                    </a:prstGeom>
                  </pic:spPr>
                </pic:pic>
              </a:graphicData>
            </a:graphic>
          </wp:inline>
        </w:drawing>
      </w:r>
    </w:p>
    <w:p w:rsidR="00B50C43" w:rsidRDefault="00B50C43" w:rsidP="00B50C43"/>
    <w:p w:rsidR="00B50C43" w:rsidRDefault="00B50C43" w:rsidP="00B50C43">
      <w:r w:rsidRPr="00E4593A">
        <w:rPr>
          <w:noProof/>
          <w:lang w:eastAsia="es-ES"/>
        </w:rPr>
        <w:drawing>
          <wp:inline distT="0" distB="0" distL="0" distR="0" wp14:anchorId="55A16917" wp14:editId="2C49826E">
            <wp:extent cx="5731510" cy="2402825"/>
            <wp:effectExtent l="0" t="0" r="2540" b="0"/>
            <wp:docPr id="102" name="Imagen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1"/>
                    <a:stretch>
                      <a:fillRect/>
                    </a:stretch>
                  </pic:blipFill>
                  <pic:spPr>
                    <a:xfrm>
                      <a:off x="0" y="0"/>
                      <a:ext cx="5731510" cy="2402825"/>
                    </a:xfrm>
                    <a:prstGeom prst="rect">
                      <a:avLst/>
                    </a:prstGeom>
                  </pic:spPr>
                </pic:pic>
              </a:graphicData>
            </a:graphic>
          </wp:inline>
        </w:drawing>
      </w:r>
    </w:p>
    <w:p w:rsidR="00B50C43" w:rsidRDefault="00B50C43" w:rsidP="00B50C43"/>
    <w:p w:rsidR="00B50C43" w:rsidRDefault="00B50C43" w:rsidP="00B50C43">
      <w:r w:rsidRPr="00E4593A">
        <w:rPr>
          <w:noProof/>
          <w:lang w:eastAsia="es-ES"/>
        </w:rPr>
        <w:lastRenderedPageBreak/>
        <w:drawing>
          <wp:inline distT="0" distB="0" distL="0" distR="0" wp14:anchorId="1B1D7F18" wp14:editId="55A179FC">
            <wp:extent cx="5534798" cy="5468114"/>
            <wp:effectExtent l="0" t="0" r="8890" b="0"/>
            <wp:docPr id="104" name="Imagen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2"/>
                    <a:stretch>
                      <a:fillRect/>
                    </a:stretch>
                  </pic:blipFill>
                  <pic:spPr>
                    <a:xfrm>
                      <a:off x="0" y="0"/>
                      <a:ext cx="5534798" cy="5468114"/>
                    </a:xfrm>
                    <a:prstGeom prst="rect">
                      <a:avLst/>
                    </a:prstGeom>
                  </pic:spPr>
                </pic:pic>
              </a:graphicData>
            </a:graphic>
          </wp:inline>
        </w:drawing>
      </w:r>
    </w:p>
    <w:p w:rsidR="00B50C43" w:rsidRDefault="00B50C43" w:rsidP="00B50C43">
      <w:r w:rsidRPr="00AD769E">
        <w:rPr>
          <w:noProof/>
          <w:lang w:eastAsia="es-ES"/>
        </w:rPr>
        <w:drawing>
          <wp:inline distT="0" distB="0" distL="0" distR="0" wp14:anchorId="2ED19037" wp14:editId="38965563">
            <wp:extent cx="5727352" cy="3105150"/>
            <wp:effectExtent l="0" t="0" r="6985" b="0"/>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3"/>
                    <a:stretch>
                      <a:fillRect/>
                    </a:stretch>
                  </pic:blipFill>
                  <pic:spPr>
                    <a:xfrm>
                      <a:off x="0" y="0"/>
                      <a:ext cx="5731510" cy="3107404"/>
                    </a:xfrm>
                    <a:prstGeom prst="rect">
                      <a:avLst/>
                    </a:prstGeom>
                  </pic:spPr>
                </pic:pic>
              </a:graphicData>
            </a:graphic>
          </wp:inline>
        </w:drawing>
      </w:r>
    </w:p>
    <w:p w:rsidR="00B50C43" w:rsidRDefault="00B50C43" w:rsidP="00B50C43">
      <w:r w:rsidRPr="00AD769E">
        <w:rPr>
          <w:noProof/>
          <w:lang w:eastAsia="es-ES"/>
        </w:rPr>
        <w:lastRenderedPageBreak/>
        <w:drawing>
          <wp:inline distT="0" distB="0" distL="0" distR="0" wp14:anchorId="7A5694C6" wp14:editId="669659A7">
            <wp:extent cx="5721350" cy="2667000"/>
            <wp:effectExtent l="0" t="0" r="0" b="0"/>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4"/>
                    <a:stretch>
                      <a:fillRect/>
                    </a:stretch>
                  </pic:blipFill>
                  <pic:spPr>
                    <a:xfrm>
                      <a:off x="0" y="0"/>
                      <a:ext cx="5731510" cy="2671736"/>
                    </a:xfrm>
                    <a:prstGeom prst="rect">
                      <a:avLst/>
                    </a:prstGeom>
                  </pic:spPr>
                </pic:pic>
              </a:graphicData>
            </a:graphic>
          </wp:inline>
        </w:drawing>
      </w:r>
    </w:p>
    <w:p w:rsidR="00B50C43" w:rsidRDefault="00B50C43" w:rsidP="00B50C43">
      <w:r w:rsidRPr="00AD769E">
        <w:rPr>
          <w:noProof/>
          <w:lang w:eastAsia="es-ES"/>
        </w:rPr>
        <w:drawing>
          <wp:inline distT="0" distB="0" distL="0" distR="0" wp14:anchorId="30FA40E6" wp14:editId="0B987A3F">
            <wp:extent cx="5727286" cy="2838450"/>
            <wp:effectExtent l="0" t="0" r="6985" b="0"/>
            <wp:docPr id="107" name="Imagen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5"/>
                    <a:stretch>
                      <a:fillRect/>
                    </a:stretch>
                  </pic:blipFill>
                  <pic:spPr>
                    <a:xfrm>
                      <a:off x="0" y="0"/>
                      <a:ext cx="5731510" cy="2840543"/>
                    </a:xfrm>
                    <a:prstGeom prst="rect">
                      <a:avLst/>
                    </a:prstGeom>
                  </pic:spPr>
                </pic:pic>
              </a:graphicData>
            </a:graphic>
          </wp:inline>
        </w:drawing>
      </w:r>
    </w:p>
    <w:p w:rsidR="00B50C43" w:rsidRDefault="00B50C43" w:rsidP="00B50C43">
      <w:r w:rsidRPr="00AD769E">
        <w:rPr>
          <w:noProof/>
          <w:lang w:eastAsia="es-ES"/>
        </w:rPr>
        <w:drawing>
          <wp:inline distT="0" distB="0" distL="0" distR="0" wp14:anchorId="73966952" wp14:editId="6C5375F5">
            <wp:extent cx="5731510" cy="3043946"/>
            <wp:effectExtent l="0" t="0" r="2540" b="4445"/>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6"/>
                    <a:stretch>
                      <a:fillRect/>
                    </a:stretch>
                  </pic:blipFill>
                  <pic:spPr>
                    <a:xfrm>
                      <a:off x="0" y="0"/>
                      <a:ext cx="5731510" cy="3043946"/>
                    </a:xfrm>
                    <a:prstGeom prst="rect">
                      <a:avLst/>
                    </a:prstGeom>
                  </pic:spPr>
                </pic:pic>
              </a:graphicData>
            </a:graphic>
          </wp:inline>
        </w:drawing>
      </w:r>
    </w:p>
    <w:p w:rsidR="00B50C43" w:rsidRDefault="00B50C43" w:rsidP="00B50C43">
      <w:r w:rsidRPr="00AD769E">
        <w:rPr>
          <w:noProof/>
          <w:lang w:eastAsia="es-ES"/>
        </w:rPr>
        <w:lastRenderedPageBreak/>
        <w:drawing>
          <wp:inline distT="0" distB="0" distL="0" distR="0" wp14:anchorId="58E12BEB" wp14:editId="515EB036">
            <wp:extent cx="5731510" cy="2865755"/>
            <wp:effectExtent l="0" t="0" r="2540" b="0"/>
            <wp:docPr id="109" name="Imagen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7"/>
                    <a:stretch>
                      <a:fillRect/>
                    </a:stretch>
                  </pic:blipFill>
                  <pic:spPr>
                    <a:xfrm>
                      <a:off x="0" y="0"/>
                      <a:ext cx="5731510" cy="2865755"/>
                    </a:xfrm>
                    <a:prstGeom prst="rect">
                      <a:avLst/>
                    </a:prstGeom>
                  </pic:spPr>
                </pic:pic>
              </a:graphicData>
            </a:graphic>
          </wp:inline>
        </w:drawing>
      </w:r>
    </w:p>
    <w:p w:rsidR="00B50C43" w:rsidRDefault="00B50C43" w:rsidP="00B50C43">
      <w:r w:rsidRPr="00C109A1">
        <w:rPr>
          <w:noProof/>
          <w:lang w:eastAsia="es-ES"/>
        </w:rPr>
        <w:drawing>
          <wp:inline distT="0" distB="0" distL="0" distR="0" wp14:anchorId="389AD94A" wp14:editId="278EC546">
            <wp:extent cx="5731510" cy="2685727"/>
            <wp:effectExtent l="0" t="0" r="2540" b="635"/>
            <wp:docPr id="110" name="Imagen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8"/>
                    <a:stretch>
                      <a:fillRect/>
                    </a:stretch>
                  </pic:blipFill>
                  <pic:spPr>
                    <a:xfrm>
                      <a:off x="0" y="0"/>
                      <a:ext cx="5731510" cy="2685727"/>
                    </a:xfrm>
                    <a:prstGeom prst="rect">
                      <a:avLst/>
                    </a:prstGeom>
                  </pic:spPr>
                </pic:pic>
              </a:graphicData>
            </a:graphic>
          </wp:inline>
        </w:drawing>
      </w:r>
    </w:p>
    <w:p w:rsidR="00B50C43" w:rsidRDefault="00B50C43" w:rsidP="00B50C43">
      <w:r w:rsidRPr="00C109A1">
        <w:rPr>
          <w:noProof/>
          <w:lang w:eastAsia="es-ES"/>
        </w:rPr>
        <w:drawing>
          <wp:inline distT="0" distB="0" distL="0" distR="0" wp14:anchorId="2B32DCA8" wp14:editId="5947E4C8">
            <wp:extent cx="5731510" cy="2727366"/>
            <wp:effectExtent l="0" t="0" r="2540" b="0"/>
            <wp:docPr id="111" name="Imagen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9"/>
                    <a:stretch>
                      <a:fillRect/>
                    </a:stretch>
                  </pic:blipFill>
                  <pic:spPr>
                    <a:xfrm>
                      <a:off x="0" y="0"/>
                      <a:ext cx="5731510" cy="2727366"/>
                    </a:xfrm>
                    <a:prstGeom prst="rect">
                      <a:avLst/>
                    </a:prstGeom>
                  </pic:spPr>
                </pic:pic>
              </a:graphicData>
            </a:graphic>
          </wp:inline>
        </w:drawing>
      </w:r>
    </w:p>
    <w:p w:rsidR="00B50C43" w:rsidRDefault="00B50C43" w:rsidP="00B50C43">
      <w:r w:rsidRPr="00C109A1">
        <w:rPr>
          <w:noProof/>
          <w:lang w:eastAsia="es-ES"/>
        </w:rPr>
        <w:lastRenderedPageBreak/>
        <w:drawing>
          <wp:inline distT="0" distB="0" distL="0" distR="0" wp14:anchorId="3620BEFF" wp14:editId="214C1D85">
            <wp:extent cx="5731510" cy="3227036"/>
            <wp:effectExtent l="0" t="0" r="2540" b="0"/>
            <wp:docPr id="112" name="Imagen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0"/>
                    <a:stretch>
                      <a:fillRect/>
                    </a:stretch>
                  </pic:blipFill>
                  <pic:spPr>
                    <a:xfrm>
                      <a:off x="0" y="0"/>
                      <a:ext cx="5731510" cy="3227036"/>
                    </a:xfrm>
                    <a:prstGeom prst="rect">
                      <a:avLst/>
                    </a:prstGeom>
                  </pic:spPr>
                </pic:pic>
              </a:graphicData>
            </a:graphic>
          </wp:inline>
        </w:drawing>
      </w:r>
    </w:p>
    <w:p w:rsidR="00B50C43" w:rsidRDefault="00B50C43" w:rsidP="00B50C43">
      <w:r w:rsidRPr="00C109A1">
        <w:rPr>
          <w:noProof/>
          <w:lang w:eastAsia="es-ES"/>
        </w:rPr>
        <w:drawing>
          <wp:inline distT="0" distB="0" distL="0" distR="0" wp14:anchorId="00154BD7" wp14:editId="4C0B2663">
            <wp:extent cx="5725381" cy="2901950"/>
            <wp:effectExtent l="0" t="0" r="8890" b="0"/>
            <wp:docPr id="114" name="Imagen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1"/>
                    <a:stretch>
                      <a:fillRect/>
                    </a:stretch>
                  </pic:blipFill>
                  <pic:spPr>
                    <a:xfrm>
                      <a:off x="0" y="0"/>
                      <a:ext cx="5731510" cy="2905057"/>
                    </a:xfrm>
                    <a:prstGeom prst="rect">
                      <a:avLst/>
                    </a:prstGeom>
                  </pic:spPr>
                </pic:pic>
              </a:graphicData>
            </a:graphic>
          </wp:inline>
        </w:drawing>
      </w:r>
    </w:p>
    <w:p w:rsidR="00B50C43" w:rsidRDefault="00B50C43" w:rsidP="00B50C43">
      <w:r w:rsidRPr="00C109A1">
        <w:rPr>
          <w:noProof/>
          <w:lang w:eastAsia="es-ES"/>
        </w:rPr>
        <w:drawing>
          <wp:inline distT="0" distB="0" distL="0" distR="0" wp14:anchorId="62CC6F0B" wp14:editId="57CCE09F">
            <wp:extent cx="5731510" cy="2384455"/>
            <wp:effectExtent l="0" t="0" r="2540" b="0"/>
            <wp:docPr id="113" name="Imagen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2"/>
                    <a:stretch>
                      <a:fillRect/>
                    </a:stretch>
                  </pic:blipFill>
                  <pic:spPr>
                    <a:xfrm>
                      <a:off x="0" y="0"/>
                      <a:ext cx="5731510" cy="2384455"/>
                    </a:xfrm>
                    <a:prstGeom prst="rect">
                      <a:avLst/>
                    </a:prstGeom>
                  </pic:spPr>
                </pic:pic>
              </a:graphicData>
            </a:graphic>
          </wp:inline>
        </w:drawing>
      </w:r>
    </w:p>
    <w:p w:rsidR="00B50C43" w:rsidRPr="00046929" w:rsidRDefault="00B50C43" w:rsidP="00B50C43">
      <w:pPr>
        <w:rPr>
          <w:rFonts w:ascii="Times New Roman" w:hAnsi="Times New Roman" w:cs="Times New Roman"/>
          <w:sz w:val="24"/>
          <w:szCs w:val="24"/>
          <w:lang w:val="en-US"/>
        </w:rPr>
      </w:pPr>
      <w:r w:rsidRPr="00046929">
        <w:rPr>
          <w:rFonts w:ascii="Times New Roman" w:hAnsi="Times New Roman" w:cs="Times New Roman"/>
          <w:sz w:val="24"/>
          <w:szCs w:val="24"/>
          <w:lang w:val="en-US"/>
        </w:rPr>
        <w:lastRenderedPageBreak/>
        <w:t>Fuente: OECD - Government at a Glance 2021</w:t>
      </w:r>
    </w:p>
    <w:p w:rsidR="00B50C43" w:rsidRDefault="00B50C43" w:rsidP="00B50C43">
      <w:r w:rsidRPr="00046929">
        <w:rPr>
          <w:noProof/>
          <w:lang w:eastAsia="es-ES"/>
        </w:rPr>
        <w:drawing>
          <wp:inline distT="0" distB="0" distL="0" distR="0" wp14:anchorId="69D2159E" wp14:editId="3B9430C8">
            <wp:extent cx="5733156" cy="2851150"/>
            <wp:effectExtent l="0" t="0" r="1270" b="6350"/>
            <wp:docPr id="115" name="Imagen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3"/>
                    <a:stretch>
                      <a:fillRect/>
                    </a:stretch>
                  </pic:blipFill>
                  <pic:spPr>
                    <a:xfrm>
                      <a:off x="0" y="0"/>
                      <a:ext cx="5731510" cy="2850331"/>
                    </a:xfrm>
                    <a:prstGeom prst="rect">
                      <a:avLst/>
                    </a:prstGeom>
                  </pic:spPr>
                </pic:pic>
              </a:graphicData>
            </a:graphic>
          </wp:inline>
        </w:drawing>
      </w:r>
    </w:p>
    <w:p w:rsidR="00B50C43" w:rsidRDefault="00B50C43" w:rsidP="00B50C43">
      <w:r w:rsidRPr="00046929">
        <w:rPr>
          <w:noProof/>
          <w:lang w:eastAsia="es-ES"/>
        </w:rPr>
        <w:drawing>
          <wp:inline distT="0" distB="0" distL="0" distR="0" wp14:anchorId="3F202F17" wp14:editId="50BB554E">
            <wp:extent cx="5726011" cy="2921000"/>
            <wp:effectExtent l="0" t="0" r="8255" b="0"/>
            <wp:docPr id="116" name="Imagen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4"/>
                    <a:stretch>
                      <a:fillRect/>
                    </a:stretch>
                  </pic:blipFill>
                  <pic:spPr>
                    <a:xfrm>
                      <a:off x="0" y="0"/>
                      <a:ext cx="5731510" cy="2923805"/>
                    </a:xfrm>
                    <a:prstGeom prst="rect">
                      <a:avLst/>
                    </a:prstGeom>
                  </pic:spPr>
                </pic:pic>
              </a:graphicData>
            </a:graphic>
          </wp:inline>
        </w:drawing>
      </w:r>
    </w:p>
    <w:p w:rsidR="00B50C43" w:rsidRDefault="00B50C43" w:rsidP="00B50C43">
      <w:r w:rsidRPr="00046929">
        <w:rPr>
          <w:noProof/>
          <w:lang w:eastAsia="es-ES"/>
        </w:rPr>
        <w:drawing>
          <wp:inline distT="0" distB="0" distL="0" distR="0" wp14:anchorId="3DC463E8" wp14:editId="32399B91">
            <wp:extent cx="5731510" cy="2235656"/>
            <wp:effectExtent l="0" t="0" r="2540" b="0"/>
            <wp:docPr id="69" name="Imagen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5"/>
                    <a:stretch>
                      <a:fillRect/>
                    </a:stretch>
                  </pic:blipFill>
                  <pic:spPr>
                    <a:xfrm>
                      <a:off x="0" y="0"/>
                      <a:ext cx="5731510" cy="2235656"/>
                    </a:xfrm>
                    <a:prstGeom prst="rect">
                      <a:avLst/>
                    </a:prstGeom>
                  </pic:spPr>
                </pic:pic>
              </a:graphicData>
            </a:graphic>
          </wp:inline>
        </w:drawing>
      </w:r>
    </w:p>
    <w:p w:rsidR="00B50C43" w:rsidRDefault="00B50C43" w:rsidP="00B50C43">
      <w:r w:rsidRPr="00046929">
        <w:rPr>
          <w:noProof/>
          <w:lang w:eastAsia="es-ES"/>
        </w:rPr>
        <w:lastRenderedPageBreak/>
        <w:drawing>
          <wp:inline distT="0" distB="0" distL="0" distR="0" wp14:anchorId="6711CCCF" wp14:editId="30EB17D0">
            <wp:extent cx="5731510" cy="2536316"/>
            <wp:effectExtent l="0" t="0" r="2540" b="0"/>
            <wp:docPr id="118" name="Imagen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6"/>
                    <a:stretch>
                      <a:fillRect/>
                    </a:stretch>
                  </pic:blipFill>
                  <pic:spPr>
                    <a:xfrm>
                      <a:off x="0" y="0"/>
                      <a:ext cx="5731510" cy="2536316"/>
                    </a:xfrm>
                    <a:prstGeom prst="rect">
                      <a:avLst/>
                    </a:prstGeom>
                  </pic:spPr>
                </pic:pic>
              </a:graphicData>
            </a:graphic>
          </wp:inline>
        </w:drawing>
      </w:r>
    </w:p>
    <w:p w:rsidR="00B50C43" w:rsidRDefault="00B50C43" w:rsidP="00B50C43">
      <w:r w:rsidRPr="00046929">
        <w:rPr>
          <w:noProof/>
          <w:lang w:eastAsia="es-ES"/>
        </w:rPr>
        <w:drawing>
          <wp:inline distT="0" distB="0" distL="0" distR="0" wp14:anchorId="45FD4EA5" wp14:editId="21BEDFBE">
            <wp:extent cx="5731510" cy="2457324"/>
            <wp:effectExtent l="0" t="0" r="2540" b="635"/>
            <wp:docPr id="119" name="Imagen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7"/>
                    <a:stretch>
                      <a:fillRect/>
                    </a:stretch>
                  </pic:blipFill>
                  <pic:spPr>
                    <a:xfrm>
                      <a:off x="0" y="0"/>
                      <a:ext cx="5731510" cy="2457324"/>
                    </a:xfrm>
                    <a:prstGeom prst="rect">
                      <a:avLst/>
                    </a:prstGeom>
                  </pic:spPr>
                </pic:pic>
              </a:graphicData>
            </a:graphic>
          </wp:inline>
        </w:drawing>
      </w:r>
    </w:p>
    <w:p w:rsidR="00B50C43" w:rsidRDefault="00B50C43" w:rsidP="00B50C43">
      <w:r w:rsidRPr="007452AB">
        <w:rPr>
          <w:noProof/>
          <w:lang w:eastAsia="es-ES"/>
        </w:rPr>
        <w:drawing>
          <wp:inline distT="0" distB="0" distL="0" distR="0" wp14:anchorId="329A40A9" wp14:editId="62AF558E">
            <wp:extent cx="5731510" cy="3223362"/>
            <wp:effectExtent l="0" t="0" r="2540" b="0"/>
            <wp:docPr id="120" name="Imagen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8"/>
                    <a:stretch>
                      <a:fillRect/>
                    </a:stretch>
                  </pic:blipFill>
                  <pic:spPr>
                    <a:xfrm>
                      <a:off x="0" y="0"/>
                      <a:ext cx="5731510" cy="3223362"/>
                    </a:xfrm>
                    <a:prstGeom prst="rect">
                      <a:avLst/>
                    </a:prstGeom>
                  </pic:spPr>
                </pic:pic>
              </a:graphicData>
            </a:graphic>
          </wp:inline>
        </w:drawing>
      </w:r>
    </w:p>
    <w:p w:rsidR="00B50C43" w:rsidRDefault="00B50C43" w:rsidP="00B50C43">
      <w:r w:rsidRPr="007452AB">
        <w:rPr>
          <w:noProof/>
          <w:lang w:eastAsia="es-ES"/>
        </w:rPr>
        <w:lastRenderedPageBreak/>
        <w:drawing>
          <wp:inline distT="0" distB="0" distL="0" distR="0" wp14:anchorId="7B721155" wp14:editId="620FE788">
            <wp:extent cx="5731510" cy="3188459"/>
            <wp:effectExtent l="0" t="0" r="2540" b="0"/>
            <wp:docPr id="121" name="Imagen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9"/>
                    <a:stretch>
                      <a:fillRect/>
                    </a:stretch>
                  </pic:blipFill>
                  <pic:spPr>
                    <a:xfrm>
                      <a:off x="0" y="0"/>
                      <a:ext cx="5731510" cy="3188459"/>
                    </a:xfrm>
                    <a:prstGeom prst="rect">
                      <a:avLst/>
                    </a:prstGeom>
                  </pic:spPr>
                </pic:pic>
              </a:graphicData>
            </a:graphic>
          </wp:inline>
        </w:drawing>
      </w:r>
    </w:p>
    <w:p w:rsidR="00B50C43" w:rsidRDefault="00B50C43" w:rsidP="00B50C43">
      <w:r w:rsidRPr="007452AB">
        <w:rPr>
          <w:noProof/>
          <w:lang w:eastAsia="es-ES"/>
        </w:rPr>
        <w:drawing>
          <wp:inline distT="0" distB="0" distL="0" distR="0" wp14:anchorId="17323DC7" wp14:editId="7D78A7F2">
            <wp:extent cx="5731510" cy="2235044"/>
            <wp:effectExtent l="0" t="0" r="2540" b="0"/>
            <wp:docPr id="122" name="Imagen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0"/>
                    <a:stretch>
                      <a:fillRect/>
                    </a:stretch>
                  </pic:blipFill>
                  <pic:spPr>
                    <a:xfrm>
                      <a:off x="0" y="0"/>
                      <a:ext cx="5731510" cy="2235044"/>
                    </a:xfrm>
                    <a:prstGeom prst="rect">
                      <a:avLst/>
                    </a:prstGeom>
                  </pic:spPr>
                </pic:pic>
              </a:graphicData>
            </a:graphic>
          </wp:inline>
        </w:drawing>
      </w:r>
    </w:p>
    <w:p w:rsidR="00B50C43" w:rsidRDefault="00B50C43" w:rsidP="00B50C43">
      <w:r w:rsidRPr="007452AB">
        <w:rPr>
          <w:noProof/>
          <w:lang w:eastAsia="es-ES"/>
        </w:rPr>
        <w:drawing>
          <wp:inline distT="0" distB="0" distL="0" distR="0" wp14:anchorId="18CFF902" wp14:editId="7D909292">
            <wp:extent cx="5731510" cy="2358737"/>
            <wp:effectExtent l="0" t="0" r="2540" b="3810"/>
            <wp:docPr id="123" name="Imagen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1"/>
                    <a:stretch>
                      <a:fillRect/>
                    </a:stretch>
                  </pic:blipFill>
                  <pic:spPr>
                    <a:xfrm>
                      <a:off x="0" y="0"/>
                      <a:ext cx="5731510" cy="2358737"/>
                    </a:xfrm>
                    <a:prstGeom prst="rect">
                      <a:avLst/>
                    </a:prstGeom>
                  </pic:spPr>
                </pic:pic>
              </a:graphicData>
            </a:graphic>
          </wp:inline>
        </w:drawing>
      </w:r>
    </w:p>
    <w:p w:rsidR="00B50C43" w:rsidRDefault="00B50C43" w:rsidP="00B50C43">
      <w:r w:rsidRPr="007452AB">
        <w:rPr>
          <w:noProof/>
          <w:lang w:eastAsia="es-ES"/>
        </w:rPr>
        <w:lastRenderedPageBreak/>
        <w:drawing>
          <wp:inline distT="0" distB="0" distL="0" distR="0" wp14:anchorId="2E53EADE" wp14:editId="64661BFD">
            <wp:extent cx="5731510" cy="2293829"/>
            <wp:effectExtent l="0" t="0" r="2540" b="0"/>
            <wp:docPr id="124" name="Imagen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2"/>
                    <a:stretch>
                      <a:fillRect/>
                    </a:stretch>
                  </pic:blipFill>
                  <pic:spPr>
                    <a:xfrm>
                      <a:off x="0" y="0"/>
                      <a:ext cx="5731510" cy="2293829"/>
                    </a:xfrm>
                    <a:prstGeom prst="rect">
                      <a:avLst/>
                    </a:prstGeom>
                  </pic:spPr>
                </pic:pic>
              </a:graphicData>
            </a:graphic>
          </wp:inline>
        </w:drawing>
      </w:r>
    </w:p>
    <w:p w:rsidR="00B50C43" w:rsidRDefault="00B50C43" w:rsidP="00B50C43"/>
    <w:p w:rsidR="00B50C43" w:rsidRDefault="00B50C43" w:rsidP="00B50C43">
      <w:r w:rsidRPr="00395244">
        <w:rPr>
          <w:noProof/>
          <w:lang w:eastAsia="es-ES"/>
        </w:rPr>
        <w:drawing>
          <wp:inline distT="0" distB="0" distL="0" distR="0" wp14:anchorId="3C4CB4D8" wp14:editId="65C28694">
            <wp:extent cx="5731510" cy="2363636"/>
            <wp:effectExtent l="0" t="0" r="2540" b="0"/>
            <wp:docPr id="125" name="Imagen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3"/>
                    <a:stretch>
                      <a:fillRect/>
                    </a:stretch>
                  </pic:blipFill>
                  <pic:spPr>
                    <a:xfrm>
                      <a:off x="0" y="0"/>
                      <a:ext cx="5731510" cy="2363636"/>
                    </a:xfrm>
                    <a:prstGeom prst="rect">
                      <a:avLst/>
                    </a:prstGeom>
                  </pic:spPr>
                </pic:pic>
              </a:graphicData>
            </a:graphic>
          </wp:inline>
        </w:drawing>
      </w:r>
    </w:p>
    <w:p w:rsidR="00B50C43" w:rsidRDefault="00B50C43" w:rsidP="00B50C43"/>
    <w:p w:rsidR="00B50C43" w:rsidRDefault="00B50C43" w:rsidP="00B50C43">
      <w:r w:rsidRPr="00395244">
        <w:rPr>
          <w:noProof/>
          <w:lang w:eastAsia="es-ES"/>
        </w:rPr>
        <w:drawing>
          <wp:inline distT="0" distB="0" distL="0" distR="0" wp14:anchorId="72B1B9DF" wp14:editId="2734A59C">
            <wp:extent cx="5731510" cy="2336693"/>
            <wp:effectExtent l="0" t="0" r="2540" b="6985"/>
            <wp:docPr id="126" name="Imagen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4"/>
                    <a:stretch>
                      <a:fillRect/>
                    </a:stretch>
                  </pic:blipFill>
                  <pic:spPr>
                    <a:xfrm>
                      <a:off x="0" y="0"/>
                      <a:ext cx="5731510" cy="2336693"/>
                    </a:xfrm>
                    <a:prstGeom prst="rect">
                      <a:avLst/>
                    </a:prstGeom>
                  </pic:spPr>
                </pic:pic>
              </a:graphicData>
            </a:graphic>
          </wp:inline>
        </w:drawing>
      </w:r>
    </w:p>
    <w:p w:rsidR="00B50C43" w:rsidRDefault="00B50C43" w:rsidP="00B50C43">
      <w:r w:rsidRPr="00395244">
        <w:rPr>
          <w:noProof/>
          <w:lang w:eastAsia="es-ES"/>
        </w:rPr>
        <w:lastRenderedPageBreak/>
        <w:drawing>
          <wp:inline distT="0" distB="0" distL="0" distR="0" wp14:anchorId="29C2266B" wp14:editId="18489B0F">
            <wp:extent cx="5731510" cy="2219123"/>
            <wp:effectExtent l="0" t="0" r="2540" b="0"/>
            <wp:docPr id="127" name="Imagen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5"/>
                    <a:stretch>
                      <a:fillRect/>
                    </a:stretch>
                  </pic:blipFill>
                  <pic:spPr>
                    <a:xfrm>
                      <a:off x="0" y="0"/>
                      <a:ext cx="5731510" cy="2219123"/>
                    </a:xfrm>
                    <a:prstGeom prst="rect">
                      <a:avLst/>
                    </a:prstGeom>
                  </pic:spPr>
                </pic:pic>
              </a:graphicData>
            </a:graphic>
          </wp:inline>
        </w:drawing>
      </w:r>
    </w:p>
    <w:p w:rsidR="00B50C43" w:rsidRDefault="00B50C43" w:rsidP="00B50C43">
      <w:r w:rsidRPr="00395244">
        <w:rPr>
          <w:noProof/>
          <w:lang w:eastAsia="es-ES"/>
        </w:rPr>
        <w:drawing>
          <wp:inline distT="0" distB="0" distL="0" distR="0" wp14:anchorId="34714D2A" wp14:editId="79AA1F5E">
            <wp:extent cx="5731510" cy="2303014"/>
            <wp:effectExtent l="0" t="0" r="2540" b="2540"/>
            <wp:docPr id="128" name="Imagen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6"/>
                    <a:stretch>
                      <a:fillRect/>
                    </a:stretch>
                  </pic:blipFill>
                  <pic:spPr>
                    <a:xfrm>
                      <a:off x="0" y="0"/>
                      <a:ext cx="5731510" cy="2303014"/>
                    </a:xfrm>
                    <a:prstGeom prst="rect">
                      <a:avLst/>
                    </a:prstGeom>
                  </pic:spPr>
                </pic:pic>
              </a:graphicData>
            </a:graphic>
          </wp:inline>
        </w:drawing>
      </w:r>
    </w:p>
    <w:p w:rsidR="00B50C43" w:rsidRDefault="00B50C43" w:rsidP="00B50C43">
      <w:r w:rsidRPr="00395244">
        <w:rPr>
          <w:noProof/>
          <w:lang w:eastAsia="es-ES"/>
        </w:rPr>
        <w:drawing>
          <wp:inline distT="0" distB="0" distL="0" distR="0" wp14:anchorId="0E82548F" wp14:editId="38F2ABB8">
            <wp:extent cx="5731510" cy="2336693"/>
            <wp:effectExtent l="0" t="0" r="2540" b="6985"/>
            <wp:docPr id="129" name="Imagen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7"/>
                    <a:stretch>
                      <a:fillRect/>
                    </a:stretch>
                  </pic:blipFill>
                  <pic:spPr>
                    <a:xfrm>
                      <a:off x="0" y="0"/>
                      <a:ext cx="5731510" cy="2336693"/>
                    </a:xfrm>
                    <a:prstGeom prst="rect">
                      <a:avLst/>
                    </a:prstGeom>
                  </pic:spPr>
                </pic:pic>
              </a:graphicData>
            </a:graphic>
          </wp:inline>
        </w:drawing>
      </w:r>
    </w:p>
    <w:p w:rsidR="00B50C43" w:rsidRDefault="00B50C43" w:rsidP="00B50C43">
      <w:r w:rsidRPr="00395244">
        <w:rPr>
          <w:noProof/>
          <w:lang w:eastAsia="es-ES"/>
        </w:rPr>
        <w:drawing>
          <wp:inline distT="0" distB="0" distL="0" distR="0" wp14:anchorId="50B28D68" wp14:editId="6CE7A745">
            <wp:extent cx="5731510" cy="432313"/>
            <wp:effectExtent l="0" t="0" r="2540" b="6350"/>
            <wp:docPr id="130" name="Imagen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8"/>
                    <a:stretch>
                      <a:fillRect/>
                    </a:stretch>
                  </pic:blipFill>
                  <pic:spPr>
                    <a:xfrm>
                      <a:off x="0" y="0"/>
                      <a:ext cx="5731510" cy="432313"/>
                    </a:xfrm>
                    <a:prstGeom prst="rect">
                      <a:avLst/>
                    </a:prstGeom>
                  </pic:spPr>
                </pic:pic>
              </a:graphicData>
            </a:graphic>
          </wp:inline>
        </w:drawing>
      </w:r>
    </w:p>
    <w:p w:rsidR="00B50C43" w:rsidRDefault="00B50C43" w:rsidP="00B50C43">
      <w:r w:rsidRPr="00395244">
        <w:rPr>
          <w:noProof/>
          <w:lang w:eastAsia="es-ES"/>
        </w:rPr>
        <w:drawing>
          <wp:inline distT="0" distB="0" distL="0" distR="0" wp14:anchorId="0E08EFC4" wp14:editId="07E2E2AF">
            <wp:extent cx="5734050" cy="323850"/>
            <wp:effectExtent l="0" t="0" r="0" b="0"/>
            <wp:docPr id="131" name="Imagen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9"/>
                    <a:stretch>
                      <a:fillRect/>
                    </a:stretch>
                  </pic:blipFill>
                  <pic:spPr>
                    <a:xfrm>
                      <a:off x="0" y="0"/>
                      <a:ext cx="5731510" cy="323707"/>
                    </a:xfrm>
                    <a:prstGeom prst="rect">
                      <a:avLst/>
                    </a:prstGeom>
                  </pic:spPr>
                </pic:pic>
              </a:graphicData>
            </a:graphic>
          </wp:inline>
        </w:drawing>
      </w:r>
    </w:p>
    <w:p w:rsidR="00B50C43" w:rsidRDefault="00B50C43" w:rsidP="00B50C43">
      <w:r w:rsidRPr="00395244">
        <w:rPr>
          <w:noProof/>
          <w:lang w:eastAsia="es-ES"/>
        </w:rPr>
        <w:lastRenderedPageBreak/>
        <w:drawing>
          <wp:inline distT="0" distB="0" distL="0" distR="0" wp14:anchorId="261F1B0F" wp14:editId="125DCCDE">
            <wp:extent cx="5731510" cy="2258313"/>
            <wp:effectExtent l="0" t="0" r="2540" b="8890"/>
            <wp:docPr id="132" name="Imagen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0"/>
                    <a:stretch>
                      <a:fillRect/>
                    </a:stretch>
                  </pic:blipFill>
                  <pic:spPr>
                    <a:xfrm>
                      <a:off x="0" y="0"/>
                      <a:ext cx="5731510" cy="2258313"/>
                    </a:xfrm>
                    <a:prstGeom prst="rect">
                      <a:avLst/>
                    </a:prstGeom>
                  </pic:spPr>
                </pic:pic>
              </a:graphicData>
            </a:graphic>
          </wp:inline>
        </w:drawing>
      </w:r>
    </w:p>
    <w:p w:rsidR="00B50C43" w:rsidRDefault="00B50C43" w:rsidP="00B50C43">
      <w:r w:rsidRPr="00D448C1">
        <w:rPr>
          <w:noProof/>
          <w:lang w:eastAsia="es-ES"/>
        </w:rPr>
        <w:drawing>
          <wp:inline distT="0" distB="0" distL="0" distR="0" wp14:anchorId="33891FE4" wp14:editId="2E992CFE">
            <wp:extent cx="5731510" cy="2337917"/>
            <wp:effectExtent l="0" t="0" r="2540" b="5715"/>
            <wp:docPr id="133" name="Imagen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1"/>
                    <a:stretch>
                      <a:fillRect/>
                    </a:stretch>
                  </pic:blipFill>
                  <pic:spPr>
                    <a:xfrm>
                      <a:off x="0" y="0"/>
                      <a:ext cx="5731510" cy="2337917"/>
                    </a:xfrm>
                    <a:prstGeom prst="rect">
                      <a:avLst/>
                    </a:prstGeom>
                  </pic:spPr>
                </pic:pic>
              </a:graphicData>
            </a:graphic>
          </wp:inline>
        </w:drawing>
      </w:r>
    </w:p>
    <w:p w:rsidR="00B50C43" w:rsidRDefault="00B50C43" w:rsidP="00B50C43">
      <w:pPr>
        <w:rPr>
          <w:rFonts w:ascii="Times New Roman" w:hAnsi="Times New Roman" w:cs="Times New Roman"/>
          <w:sz w:val="24"/>
          <w:szCs w:val="24"/>
          <w:lang w:val="en-US"/>
        </w:rPr>
      </w:pPr>
      <w:r w:rsidRPr="002B39FB">
        <w:rPr>
          <w:rFonts w:ascii="Times New Roman" w:hAnsi="Times New Roman" w:cs="Times New Roman"/>
          <w:sz w:val="24"/>
          <w:szCs w:val="24"/>
          <w:lang w:val="en-US"/>
        </w:rPr>
        <w:t>Fuente: OECD - Main Economic Indicators, Volume 2022 Issue 10</w:t>
      </w:r>
    </w:p>
    <w:p w:rsidR="00B50C43" w:rsidRDefault="00B50C43" w:rsidP="00B50C43">
      <w:pPr>
        <w:rPr>
          <w:rFonts w:ascii="Times New Roman" w:hAnsi="Times New Roman" w:cs="Times New Roman"/>
          <w:sz w:val="24"/>
          <w:szCs w:val="24"/>
          <w:lang w:val="en-US"/>
        </w:rPr>
      </w:pPr>
      <w:r w:rsidRPr="002B39FB">
        <w:rPr>
          <w:rFonts w:ascii="Times New Roman" w:hAnsi="Times New Roman" w:cs="Times New Roman"/>
          <w:noProof/>
          <w:sz w:val="24"/>
          <w:szCs w:val="24"/>
          <w:lang w:eastAsia="es-ES"/>
        </w:rPr>
        <w:drawing>
          <wp:inline distT="0" distB="0" distL="0" distR="0" wp14:anchorId="455FEAD5" wp14:editId="0BC0D010">
            <wp:extent cx="5731510" cy="537023"/>
            <wp:effectExtent l="0" t="0" r="2540" b="0"/>
            <wp:docPr id="141" name="Imagen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2"/>
                    <a:stretch>
                      <a:fillRect/>
                    </a:stretch>
                  </pic:blipFill>
                  <pic:spPr>
                    <a:xfrm>
                      <a:off x="0" y="0"/>
                      <a:ext cx="5731510" cy="537023"/>
                    </a:xfrm>
                    <a:prstGeom prst="rect">
                      <a:avLst/>
                    </a:prstGeom>
                  </pic:spPr>
                </pic:pic>
              </a:graphicData>
            </a:graphic>
          </wp:inline>
        </w:drawing>
      </w:r>
    </w:p>
    <w:p w:rsidR="00B50C43" w:rsidRDefault="00B50C43" w:rsidP="00B50C43">
      <w:pPr>
        <w:rPr>
          <w:rFonts w:ascii="Times New Roman" w:hAnsi="Times New Roman" w:cs="Times New Roman"/>
          <w:sz w:val="24"/>
          <w:szCs w:val="24"/>
          <w:lang w:val="en-US"/>
        </w:rPr>
      </w:pPr>
      <w:r w:rsidRPr="002B39FB">
        <w:rPr>
          <w:rFonts w:ascii="Times New Roman" w:hAnsi="Times New Roman" w:cs="Times New Roman"/>
          <w:noProof/>
          <w:sz w:val="24"/>
          <w:szCs w:val="24"/>
          <w:lang w:eastAsia="es-ES"/>
        </w:rPr>
        <w:drawing>
          <wp:inline distT="0" distB="0" distL="0" distR="0" wp14:anchorId="7EFAB1C0" wp14:editId="72821EF0">
            <wp:extent cx="5731510" cy="497833"/>
            <wp:effectExtent l="0" t="0" r="0" b="0"/>
            <wp:docPr id="138" name="Imagen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3"/>
                    <a:stretch>
                      <a:fillRect/>
                    </a:stretch>
                  </pic:blipFill>
                  <pic:spPr>
                    <a:xfrm>
                      <a:off x="0" y="0"/>
                      <a:ext cx="5731510" cy="497833"/>
                    </a:xfrm>
                    <a:prstGeom prst="rect">
                      <a:avLst/>
                    </a:prstGeom>
                  </pic:spPr>
                </pic:pic>
              </a:graphicData>
            </a:graphic>
          </wp:inline>
        </w:drawing>
      </w:r>
    </w:p>
    <w:p w:rsidR="00B50C43" w:rsidRDefault="00B50C43" w:rsidP="00B50C43">
      <w:pPr>
        <w:rPr>
          <w:rFonts w:ascii="Times New Roman" w:hAnsi="Times New Roman" w:cs="Times New Roman"/>
          <w:sz w:val="24"/>
          <w:szCs w:val="24"/>
          <w:lang w:val="en-US"/>
        </w:rPr>
      </w:pPr>
      <w:r w:rsidRPr="002B39FB">
        <w:rPr>
          <w:rFonts w:ascii="Times New Roman" w:hAnsi="Times New Roman" w:cs="Times New Roman"/>
          <w:noProof/>
          <w:sz w:val="24"/>
          <w:szCs w:val="24"/>
          <w:lang w:eastAsia="es-ES"/>
        </w:rPr>
        <w:drawing>
          <wp:inline distT="0" distB="0" distL="0" distR="0" wp14:anchorId="04E9D7B3" wp14:editId="1A04A0E8">
            <wp:extent cx="5731510" cy="465991"/>
            <wp:effectExtent l="0" t="0" r="2540" b="0"/>
            <wp:docPr id="139" name="Imagen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4"/>
                    <a:stretch>
                      <a:fillRect/>
                    </a:stretch>
                  </pic:blipFill>
                  <pic:spPr>
                    <a:xfrm>
                      <a:off x="0" y="0"/>
                      <a:ext cx="5731510" cy="465991"/>
                    </a:xfrm>
                    <a:prstGeom prst="rect">
                      <a:avLst/>
                    </a:prstGeom>
                  </pic:spPr>
                </pic:pic>
              </a:graphicData>
            </a:graphic>
          </wp:inline>
        </w:drawing>
      </w:r>
    </w:p>
    <w:p w:rsidR="00B50C43" w:rsidRDefault="00B50C43" w:rsidP="00B50C43">
      <w:pPr>
        <w:rPr>
          <w:rFonts w:ascii="Times New Roman" w:hAnsi="Times New Roman" w:cs="Times New Roman"/>
          <w:sz w:val="24"/>
          <w:szCs w:val="24"/>
          <w:lang w:val="en-US"/>
        </w:rPr>
      </w:pPr>
      <w:r w:rsidRPr="002B39FB">
        <w:rPr>
          <w:rFonts w:ascii="Times New Roman" w:hAnsi="Times New Roman" w:cs="Times New Roman"/>
          <w:noProof/>
          <w:sz w:val="24"/>
          <w:szCs w:val="24"/>
          <w:lang w:eastAsia="es-ES"/>
        </w:rPr>
        <w:drawing>
          <wp:inline distT="0" distB="0" distL="0" distR="0" wp14:anchorId="3E9DA492" wp14:editId="40BF4909">
            <wp:extent cx="5731510" cy="481300"/>
            <wp:effectExtent l="0" t="0" r="0" b="0"/>
            <wp:docPr id="140" name="Imagen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5"/>
                    <a:stretch>
                      <a:fillRect/>
                    </a:stretch>
                  </pic:blipFill>
                  <pic:spPr>
                    <a:xfrm>
                      <a:off x="0" y="0"/>
                      <a:ext cx="5731510" cy="481300"/>
                    </a:xfrm>
                    <a:prstGeom prst="rect">
                      <a:avLst/>
                    </a:prstGeom>
                  </pic:spPr>
                </pic:pic>
              </a:graphicData>
            </a:graphic>
          </wp:inline>
        </w:drawing>
      </w:r>
    </w:p>
    <w:p w:rsidR="00B50C43" w:rsidRDefault="00B50C43" w:rsidP="00B50C43">
      <w:pPr>
        <w:rPr>
          <w:rFonts w:ascii="Times New Roman" w:hAnsi="Times New Roman" w:cs="Times New Roman"/>
          <w:sz w:val="24"/>
          <w:szCs w:val="24"/>
          <w:lang w:val="en-US"/>
        </w:rPr>
      </w:pPr>
    </w:p>
    <w:p w:rsidR="00B50C43" w:rsidRDefault="00B50C43" w:rsidP="00B50C43">
      <w:pPr>
        <w:rPr>
          <w:rFonts w:ascii="Times New Roman" w:hAnsi="Times New Roman" w:cs="Times New Roman"/>
          <w:sz w:val="24"/>
          <w:szCs w:val="24"/>
          <w:lang w:val="en-US"/>
        </w:rPr>
      </w:pPr>
    </w:p>
    <w:p w:rsidR="00B50C43" w:rsidRDefault="00B50C43" w:rsidP="00B50C43">
      <w:pPr>
        <w:rPr>
          <w:rFonts w:ascii="Times New Roman" w:hAnsi="Times New Roman" w:cs="Times New Roman"/>
          <w:sz w:val="24"/>
          <w:szCs w:val="24"/>
          <w:lang w:val="en-US"/>
        </w:rPr>
      </w:pPr>
    </w:p>
    <w:p w:rsidR="00B50C43" w:rsidRDefault="00B50C43" w:rsidP="00B50C43">
      <w:pPr>
        <w:rPr>
          <w:rFonts w:ascii="Times New Roman" w:hAnsi="Times New Roman" w:cs="Times New Roman"/>
          <w:sz w:val="24"/>
          <w:szCs w:val="24"/>
          <w:lang w:val="en-US"/>
        </w:rPr>
      </w:pPr>
      <w:r>
        <w:rPr>
          <w:rFonts w:ascii="Times New Roman" w:hAnsi="Times New Roman" w:cs="Times New Roman"/>
          <w:sz w:val="24"/>
          <w:szCs w:val="24"/>
          <w:lang w:val="en-US"/>
        </w:rPr>
        <w:lastRenderedPageBreak/>
        <w:t xml:space="preserve">Fuente: </w:t>
      </w:r>
      <w:r w:rsidRPr="006E3927">
        <w:rPr>
          <w:rFonts w:ascii="Times New Roman" w:hAnsi="Times New Roman" w:cs="Times New Roman"/>
          <w:sz w:val="24"/>
          <w:szCs w:val="24"/>
          <w:lang w:val="en-US"/>
        </w:rPr>
        <w:t>Global Financial</w:t>
      </w:r>
      <w:r>
        <w:rPr>
          <w:rFonts w:ascii="Times New Roman" w:hAnsi="Times New Roman" w:cs="Times New Roman"/>
          <w:sz w:val="24"/>
          <w:szCs w:val="24"/>
          <w:lang w:val="en-US"/>
        </w:rPr>
        <w:t xml:space="preserve"> Stability Report, October 2022 - </w:t>
      </w:r>
      <w:r w:rsidRPr="006E3927">
        <w:rPr>
          <w:rFonts w:ascii="Times New Roman" w:hAnsi="Times New Roman" w:cs="Times New Roman"/>
          <w:sz w:val="24"/>
          <w:szCs w:val="24"/>
          <w:lang w:val="en-US"/>
        </w:rPr>
        <w:t>International Mone</w:t>
      </w:r>
      <w:r>
        <w:rPr>
          <w:rFonts w:ascii="Times New Roman" w:hAnsi="Times New Roman" w:cs="Times New Roman"/>
          <w:sz w:val="24"/>
          <w:szCs w:val="24"/>
          <w:lang w:val="en-US"/>
        </w:rPr>
        <w:t xml:space="preserve">tary Fund </w:t>
      </w:r>
    </w:p>
    <w:p w:rsidR="00B50C43" w:rsidRDefault="00B50C43" w:rsidP="00B50C43">
      <w:pPr>
        <w:rPr>
          <w:rFonts w:ascii="Times New Roman" w:hAnsi="Times New Roman" w:cs="Times New Roman"/>
          <w:sz w:val="24"/>
          <w:szCs w:val="24"/>
          <w:lang w:val="en-US"/>
        </w:rPr>
      </w:pPr>
      <w:r w:rsidRPr="006E3927">
        <w:rPr>
          <w:rFonts w:ascii="Times New Roman" w:hAnsi="Times New Roman" w:cs="Times New Roman"/>
          <w:noProof/>
          <w:sz w:val="24"/>
          <w:szCs w:val="24"/>
          <w:lang w:eastAsia="es-ES"/>
        </w:rPr>
        <w:drawing>
          <wp:inline distT="0" distB="0" distL="0" distR="0" wp14:anchorId="0561A980" wp14:editId="0EB05511">
            <wp:extent cx="5731510" cy="4276588"/>
            <wp:effectExtent l="0" t="0" r="2540" b="0"/>
            <wp:docPr id="85" name="Imagen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6"/>
                    <a:stretch>
                      <a:fillRect/>
                    </a:stretch>
                  </pic:blipFill>
                  <pic:spPr>
                    <a:xfrm>
                      <a:off x="0" y="0"/>
                      <a:ext cx="5731510" cy="4276588"/>
                    </a:xfrm>
                    <a:prstGeom prst="rect">
                      <a:avLst/>
                    </a:prstGeom>
                  </pic:spPr>
                </pic:pic>
              </a:graphicData>
            </a:graphic>
          </wp:inline>
        </w:drawing>
      </w:r>
    </w:p>
    <w:p w:rsidR="00B50C43" w:rsidRDefault="00B50C43" w:rsidP="00B50C43">
      <w:pPr>
        <w:rPr>
          <w:rFonts w:ascii="Times New Roman" w:hAnsi="Times New Roman" w:cs="Times New Roman"/>
          <w:sz w:val="24"/>
          <w:szCs w:val="24"/>
          <w:lang w:val="en-US"/>
        </w:rPr>
      </w:pPr>
      <w:r w:rsidRPr="006E3927">
        <w:rPr>
          <w:rFonts w:ascii="Times New Roman" w:hAnsi="Times New Roman" w:cs="Times New Roman"/>
          <w:noProof/>
          <w:sz w:val="24"/>
          <w:szCs w:val="24"/>
          <w:lang w:eastAsia="es-ES"/>
        </w:rPr>
        <w:drawing>
          <wp:inline distT="0" distB="0" distL="0" distR="0" wp14:anchorId="1DBC1E2E" wp14:editId="54DE9C9B">
            <wp:extent cx="2806700" cy="2679700"/>
            <wp:effectExtent l="0" t="0" r="0" b="6350"/>
            <wp:docPr id="86" name="Imagen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7"/>
                    <a:stretch>
                      <a:fillRect/>
                    </a:stretch>
                  </pic:blipFill>
                  <pic:spPr>
                    <a:xfrm>
                      <a:off x="0" y="0"/>
                      <a:ext cx="2807093" cy="2680075"/>
                    </a:xfrm>
                    <a:prstGeom prst="rect">
                      <a:avLst/>
                    </a:prstGeom>
                  </pic:spPr>
                </pic:pic>
              </a:graphicData>
            </a:graphic>
          </wp:inline>
        </w:drawing>
      </w:r>
      <w:r w:rsidRPr="006E3927">
        <w:rPr>
          <w:rFonts w:ascii="Times New Roman" w:hAnsi="Times New Roman" w:cs="Times New Roman"/>
          <w:noProof/>
          <w:sz w:val="24"/>
          <w:szCs w:val="24"/>
          <w:lang w:eastAsia="es-ES"/>
        </w:rPr>
        <w:drawing>
          <wp:inline distT="0" distB="0" distL="0" distR="0" wp14:anchorId="7B2AD49A" wp14:editId="352B002C">
            <wp:extent cx="2679700" cy="2755900"/>
            <wp:effectExtent l="0" t="0" r="6350" b="6350"/>
            <wp:docPr id="87" name="Imagen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8"/>
                    <a:stretch>
                      <a:fillRect/>
                    </a:stretch>
                  </pic:blipFill>
                  <pic:spPr>
                    <a:xfrm>
                      <a:off x="0" y="0"/>
                      <a:ext cx="2682877" cy="2759167"/>
                    </a:xfrm>
                    <a:prstGeom prst="rect">
                      <a:avLst/>
                    </a:prstGeom>
                  </pic:spPr>
                </pic:pic>
              </a:graphicData>
            </a:graphic>
          </wp:inline>
        </w:drawing>
      </w:r>
    </w:p>
    <w:p w:rsidR="00B50C43" w:rsidRDefault="00B50C43" w:rsidP="00B50C43">
      <w:pPr>
        <w:rPr>
          <w:rFonts w:ascii="Times New Roman" w:hAnsi="Times New Roman" w:cs="Times New Roman"/>
          <w:sz w:val="24"/>
          <w:szCs w:val="24"/>
          <w:lang w:val="en-US"/>
        </w:rPr>
      </w:pPr>
      <w:r w:rsidRPr="001E0E67">
        <w:rPr>
          <w:rFonts w:ascii="Times New Roman" w:hAnsi="Times New Roman" w:cs="Times New Roman"/>
          <w:noProof/>
          <w:sz w:val="24"/>
          <w:szCs w:val="24"/>
          <w:lang w:eastAsia="es-ES"/>
        </w:rPr>
        <w:lastRenderedPageBreak/>
        <w:drawing>
          <wp:inline distT="0" distB="0" distL="0" distR="0" wp14:anchorId="4DB264EF" wp14:editId="4FD71391">
            <wp:extent cx="5731510" cy="2635515"/>
            <wp:effectExtent l="0" t="0" r="2540" b="0"/>
            <wp:docPr id="134" name="Imagen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9"/>
                    <a:stretch>
                      <a:fillRect/>
                    </a:stretch>
                  </pic:blipFill>
                  <pic:spPr>
                    <a:xfrm>
                      <a:off x="0" y="0"/>
                      <a:ext cx="5731510" cy="2635515"/>
                    </a:xfrm>
                    <a:prstGeom prst="rect">
                      <a:avLst/>
                    </a:prstGeom>
                  </pic:spPr>
                </pic:pic>
              </a:graphicData>
            </a:graphic>
          </wp:inline>
        </w:drawing>
      </w:r>
    </w:p>
    <w:p w:rsidR="00B50C43" w:rsidRDefault="00B50C43" w:rsidP="00B50C43">
      <w:pPr>
        <w:rPr>
          <w:rFonts w:ascii="Times New Roman" w:hAnsi="Times New Roman" w:cs="Times New Roman"/>
          <w:sz w:val="24"/>
          <w:szCs w:val="24"/>
          <w:lang w:val="en-US"/>
        </w:rPr>
      </w:pPr>
      <w:r w:rsidRPr="001E0E67">
        <w:rPr>
          <w:rFonts w:ascii="Times New Roman" w:hAnsi="Times New Roman" w:cs="Times New Roman"/>
          <w:noProof/>
          <w:sz w:val="24"/>
          <w:szCs w:val="24"/>
          <w:lang w:eastAsia="es-ES"/>
        </w:rPr>
        <w:drawing>
          <wp:inline distT="0" distB="0" distL="0" distR="0" wp14:anchorId="09168D5A" wp14:editId="413969D8">
            <wp:extent cx="5725357" cy="2209800"/>
            <wp:effectExtent l="0" t="0" r="8890" b="0"/>
            <wp:docPr id="135" name="Imagen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0"/>
                    <a:stretch>
                      <a:fillRect/>
                    </a:stretch>
                  </pic:blipFill>
                  <pic:spPr>
                    <a:xfrm>
                      <a:off x="0" y="0"/>
                      <a:ext cx="5731510" cy="2212175"/>
                    </a:xfrm>
                    <a:prstGeom prst="rect">
                      <a:avLst/>
                    </a:prstGeom>
                  </pic:spPr>
                </pic:pic>
              </a:graphicData>
            </a:graphic>
          </wp:inline>
        </w:drawing>
      </w:r>
    </w:p>
    <w:p w:rsidR="00B50C43" w:rsidRDefault="00B50C43" w:rsidP="00B50C43">
      <w:pPr>
        <w:rPr>
          <w:rFonts w:ascii="Times New Roman" w:hAnsi="Times New Roman" w:cs="Times New Roman"/>
          <w:sz w:val="24"/>
          <w:szCs w:val="24"/>
          <w:lang w:val="en-US"/>
        </w:rPr>
      </w:pPr>
      <w:r w:rsidRPr="001E0E67">
        <w:rPr>
          <w:rFonts w:ascii="Times New Roman" w:hAnsi="Times New Roman" w:cs="Times New Roman"/>
          <w:noProof/>
          <w:sz w:val="24"/>
          <w:szCs w:val="24"/>
          <w:lang w:eastAsia="es-ES"/>
        </w:rPr>
        <w:drawing>
          <wp:inline distT="0" distB="0" distL="0" distR="0" wp14:anchorId="529E6D7E" wp14:editId="22DB5570">
            <wp:extent cx="5734050" cy="3613150"/>
            <wp:effectExtent l="0" t="0" r="0" b="6350"/>
            <wp:docPr id="136" name="Imagen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1"/>
                    <a:stretch>
                      <a:fillRect/>
                    </a:stretch>
                  </pic:blipFill>
                  <pic:spPr>
                    <a:xfrm>
                      <a:off x="0" y="0"/>
                      <a:ext cx="5731510" cy="3611549"/>
                    </a:xfrm>
                    <a:prstGeom prst="rect">
                      <a:avLst/>
                    </a:prstGeom>
                  </pic:spPr>
                </pic:pic>
              </a:graphicData>
            </a:graphic>
          </wp:inline>
        </w:drawing>
      </w:r>
    </w:p>
    <w:p w:rsidR="00B50C43" w:rsidRDefault="00B50C43" w:rsidP="00B50C43">
      <w:pPr>
        <w:rPr>
          <w:rFonts w:ascii="Times New Roman" w:hAnsi="Times New Roman" w:cs="Times New Roman"/>
          <w:sz w:val="24"/>
          <w:szCs w:val="24"/>
          <w:lang w:val="en-US"/>
        </w:rPr>
      </w:pPr>
      <w:r w:rsidRPr="001E0E67">
        <w:rPr>
          <w:rFonts w:ascii="Times New Roman" w:hAnsi="Times New Roman" w:cs="Times New Roman"/>
          <w:noProof/>
          <w:sz w:val="24"/>
          <w:szCs w:val="24"/>
          <w:lang w:eastAsia="es-ES"/>
        </w:rPr>
        <w:lastRenderedPageBreak/>
        <w:drawing>
          <wp:inline distT="0" distB="0" distL="0" distR="0" wp14:anchorId="53697B49" wp14:editId="10AB71F2">
            <wp:extent cx="5201376" cy="6115904"/>
            <wp:effectExtent l="0" t="0" r="0" b="0"/>
            <wp:docPr id="145" name="Imagen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2"/>
                    <a:stretch>
                      <a:fillRect/>
                    </a:stretch>
                  </pic:blipFill>
                  <pic:spPr>
                    <a:xfrm>
                      <a:off x="0" y="0"/>
                      <a:ext cx="5201376" cy="6115904"/>
                    </a:xfrm>
                    <a:prstGeom prst="rect">
                      <a:avLst/>
                    </a:prstGeom>
                  </pic:spPr>
                </pic:pic>
              </a:graphicData>
            </a:graphic>
          </wp:inline>
        </w:drawing>
      </w:r>
    </w:p>
    <w:p w:rsidR="00B50C43" w:rsidRDefault="00B50C43" w:rsidP="00B50C43">
      <w:pPr>
        <w:rPr>
          <w:rFonts w:ascii="Times New Roman" w:hAnsi="Times New Roman" w:cs="Times New Roman"/>
          <w:sz w:val="24"/>
          <w:szCs w:val="24"/>
          <w:lang w:val="en-US"/>
        </w:rPr>
      </w:pPr>
      <w:r w:rsidRPr="001E0E67">
        <w:rPr>
          <w:rFonts w:ascii="Times New Roman" w:hAnsi="Times New Roman" w:cs="Times New Roman"/>
          <w:noProof/>
          <w:sz w:val="24"/>
          <w:szCs w:val="24"/>
          <w:lang w:eastAsia="es-ES"/>
        </w:rPr>
        <w:lastRenderedPageBreak/>
        <w:drawing>
          <wp:inline distT="0" distB="0" distL="0" distR="0" wp14:anchorId="1C3EFCE6" wp14:editId="3778CEEF">
            <wp:extent cx="4906118" cy="6769100"/>
            <wp:effectExtent l="0" t="0" r="8890" b="0"/>
            <wp:docPr id="147" name="Imagen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3"/>
                    <a:stretch>
                      <a:fillRect/>
                    </a:stretch>
                  </pic:blipFill>
                  <pic:spPr>
                    <a:xfrm>
                      <a:off x="0" y="0"/>
                      <a:ext cx="4909235" cy="6773400"/>
                    </a:xfrm>
                    <a:prstGeom prst="rect">
                      <a:avLst/>
                    </a:prstGeom>
                  </pic:spPr>
                </pic:pic>
              </a:graphicData>
            </a:graphic>
          </wp:inline>
        </w:drawing>
      </w:r>
    </w:p>
    <w:p w:rsidR="00B50C43" w:rsidRDefault="00B50C43" w:rsidP="00B50C43">
      <w:pPr>
        <w:rPr>
          <w:rFonts w:ascii="Times New Roman" w:hAnsi="Times New Roman" w:cs="Times New Roman"/>
          <w:sz w:val="24"/>
          <w:szCs w:val="24"/>
          <w:lang w:val="en-US"/>
        </w:rPr>
      </w:pPr>
      <w:r w:rsidRPr="001E0E67">
        <w:rPr>
          <w:rFonts w:ascii="Times New Roman" w:hAnsi="Times New Roman" w:cs="Times New Roman"/>
          <w:noProof/>
          <w:sz w:val="24"/>
          <w:szCs w:val="24"/>
          <w:lang w:eastAsia="es-ES"/>
        </w:rPr>
        <w:drawing>
          <wp:inline distT="0" distB="0" distL="0" distR="0" wp14:anchorId="30A77653" wp14:editId="23731D47">
            <wp:extent cx="4864100" cy="1371600"/>
            <wp:effectExtent l="0" t="0" r="0" b="0"/>
            <wp:docPr id="148" name="Imagen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4"/>
                    <a:stretch>
                      <a:fillRect/>
                    </a:stretch>
                  </pic:blipFill>
                  <pic:spPr>
                    <a:xfrm>
                      <a:off x="0" y="0"/>
                      <a:ext cx="4873757" cy="1374323"/>
                    </a:xfrm>
                    <a:prstGeom prst="rect">
                      <a:avLst/>
                    </a:prstGeom>
                  </pic:spPr>
                </pic:pic>
              </a:graphicData>
            </a:graphic>
          </wp:inline>
        </w:drawing>
      </w:r>
    </w:p>
    <w:p w:rsidR="00B50C43" w:rsidRDefault="00B50C43" w:rsidP="00B50C43">
      <w:pPr>
        <w:rPr>
          <w:rFonts w:ascii="Times New Roman" w:hAnsi="Times New Roman" w:cs="Times New Roman"/>
          <w:sz w:val="24"/>
          <w:szCs w:val="24"/>
          <w:lang w:val="en-US"/>
        </w:rPr>
      </w:pPr>
      <w:r w:rsidRPr="0036574D">
        <w:rPr>
          <w:rFonts w:ascii="Times New Roman" w:hAnsi="Times New Roman" w:cs="Times New Roman"/>
          <w:noProof/>
          <w:sz w:val="24"/>
          <w:szCs w:val="24"/>
          <w:lang w:eastAsia="es-ES"/>
        </w:rPr>
        <w:lastRenderedPageBreak/>
        <w:drawing>
          <wp:inline distT="0" distB="0" distL="0" distR="0" wp14:anchorId="1236FF71" wp14:editId="62F252F0">
            <wp:extent cx="5658640" cy="5906325"/>
            <wp:effectExtent l="0" t="0" r="0" b="0"/>
            <wp:docPr id="149" name="Imagen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5"/>
                    <a:stretch>
                      <a:fillRect/>
                    </a:stretch>
                  </pic:blipFill>
                  <pic:spPr>
                    <a:xfrm>
                      <a:off x="0" y="0"/>
                      <a:ext cx="5658640" cy="5906325"/>
                    </a:xfrm>
                    <a:prstGeom prst="rect">
                      <a:avLst/>
                    </a:prstGeom>
                  </pic:spPr>
                </pic:pic>
              </a:graphicData>
            </a:graphic>
          </wp:inline>
        </w:drawing>
      </w:r>
    </w:p>
    <w:p w:rsidR="00B50C43" w:rsidRDefault="00B50C43" w:rsidP="00B50C43">
      <w:pPr>
        <w:rPr>
          <w:rFonts w:ascii="Times New Roman" w:hAnsi="Times New Roman" w:cs="Times New Roman"/>
          <w:sz w:val="24"/>
          <w:szCs w:val="24"/>
          <w:lang w:val="en-US"/>
        </w:rPr>
      </w:pPr>
      <w:r w:rsidRPr="0036574D">
        <w:rPr>
          <w:rFonts w:ascii="Times New Roman" w:hAnsi="Times New Roman" w:cs="Times New Roman"/>
          <w:noProof/>
          <w:sz w:val="24"/>
          <w:szCs w:val="24"/>
          <w:lang w:eastAsia="es-ES"/>
        </w:rPr>
        <w:drawing>
          <wp:inline distT="0" distB="0" distL="0" distR="0" wp14:anchorId="0564A692" wp14:editId="0156D94E">
            <wp:extent cx="5668564" cy="2216150"/>
            <wp:effectExtent l="0" t="0" r="8890" b="0"/>
            <wp:docPr id="158" name="Imagen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6"/>
                    <a:stretch>
                      <a:fillRect/>
                    </a:stretch>
                  </pic:blipFill>
                  <pic:spPr>
                    <a:xfrm>
                      <a:off x="0" y="0"/>
                      <a:ext cx="5677693" cy="2219719"/>
                    </a:xfrm>
                    <a:prstGeom prst="rect">
                      <a:avLst/>
                    </a:prstGeom>
                  </pic:spPr>
                </pic:pic>
              </a:graphicData>
            </a:graphic>
          </wp:inline>
        </w:drawing>
      </w:r>
    </w:p>
    <w:p w:rsidR="00B50C43" w:rsidRDefault="00B50C43" w:rsidP="00B50C43">
      <w:pPr>
        <w:rPr>
          <w:rFonts w:ascii="Times New Roman" w:hAnsi="Times New Roman" w:cs="Times New Roman"/>
          <w:sz w:val="24"/>
          <w:szCs w:val="24"/>
          <w:lang w:val="en-US"/>
        </w:rPr>
      </w:pPr>
      <w:r w:rsidRPr="0036574D">
        <w:rPr>
          <w:rFonts w:ascii="Times New Roman" w:hAnsi="Times New Roman" w:cs="Times New Roman"/>
          <w:noProof/>
          <w:sz w:val="24"/>
          <w:szCs w:val="24"/>
          <w:lang w:eastAsia="es-ES"/>
        </w:rPr>
        <w:lastRenderedPageBreak/>
        <w:drawing>
          <wp:inline distT="0" distB="0" distL="0" distR="0" wp14:anchorId="7BDB2387" wp14:editId="20EEF9F7">
            <wp:extent cx="5601482" cy="6697010"/>
            <wp:effectExtent l="0" t="0" r="0" b="8890"/>
            <wp:docPr id="159" name="Imagen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7"/>
                    <a:stretch>
                      <a:fillRect/>
                    </a:stretch>
                  </pic:blipFill>
                  <pic:spPr>
                    <a:xfrm>
                      <a:off x="0" y="0"/>
                      <a:ext cx="5601482" cy="6697010"/>
                    </a:xfrm>
                    <a:prstGeom prst="rect">
                      <a:avLst/>
                    </a:prstGeom>
                  </pic:spPr>
                </pic:pic>
              </a:graphicData>
            </a:graphic>
          </wp:inline>
        </w:drawing>
      </w:r>
    </w:p>
    <w:p w:rsidR="00B50C43" w:rsidRDefault="00B50C43" w:rsidP="00B50C43">
      <w:pPr>
        <w:rPr>
          <w:rFonts w:ascii="Times New Roman" w:hAnsi="Times New Roman" w:cs="Times New Roman"/>
          <w:sz w:val="24"/>
          <w:szCs w:val="24"/>
          <w:lang w:val="en-US"/>
        </w:rPr>
      </w:pPr>
      <w:r w:rsidRPr="0036574D">
        <w:rPr>
          <w:rFonts w:ascii="Times New Roman" w:hAnsi="Times New Roman" w:cs="Times New Roman"/>
          <w:noProof/>
          <w:sz w:val="24"/>
          <w:szCs w:val="24"/>
          <w:lang w:eastAsia="es-ES"/>
        </w:rPr>
        <w:drawing>
          <wp:inline distT="0" distB="0" distL="0" distR="0" wp14:anchorId="0AF84AC8" wp14:editId="72598A28">
            <wp:extent cx="5600700" cy="1200150"/>
            <wp:effectExtent l="0" t="0" r="0" b="0"/>
            <wp:docPr id="160" name="Imagen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8"/>
                    <a:stretch>
                      <a:fillRect/>
                    </a:stretch>
                  </pic:blipFill>
                  <pic:spPr>
                    <a:xfrm>
                      <a:off x="0" y="0"/>
                      <a:ext cx="5614389" cy="1203083"/>
                    </a:xfrm>
                    <a:prstGeom prst="rect">
                      <a:avLst/>
                    </a:prstGeom>
                  </pic:spPr>
                </pic:pic>
              </a:graphicData>
            </a:graphic>
          </wp:inline>
        </w:drawing>
      </w:r>
    </w:p>
    <w:p w:rsidR="00B50C43" w:rsidRDefault="00B50C43" w:rsidP="00B50C43">
      <w:pPr>
        <w:rPr>
          <w:rFonts w:ascii="Times New Roman" w:hAnsi="Times New Roman" w:cs="Times New Roman"/>
          <w:sz w:val="24"/>
          <w:szCs w:val="24"/>
          <w:lang w:val="en-US"/>
        </w:rPr>
      </w:pPr>
      <w:r w:rsidRPr="0036574D">
        <w:rPr>
          <w:rFonts w:ascii="Times New Roman" w:hAnsi="Times New Roman" w:cs="Times New Roman"/>
          <w:noProof/>
          <w:sz w:val="24"/>
          <w:szCs w:val="24"/>
          <w:lang w:eastAsia="es-ES"/>
        </w:rPr>
        <w:lastRenderedPageBreak/>
        <w:drawing>
          <wp:inline distT="0" distB="0" distL="0" distR="0" wp14:anchorId="701626E0" wp14:editId="1CDE5371">
            <wp:extent cx="5657850" cy="5276850"/>
            <wp:effectExtent l="0" t="0" r="0" b="0"/>
            <wp:docPr id="161" name="Imagen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9"/>
                    <a:stretch>
                      <a:fillRect/>
                    </a:stretch>
                  </pic:blipFill>
                  <pic:spPr>
                    <a:xfrm>
                      <a:off x="0" y="0"/>
                      <a:ext cx="5658640" cy="5277587"/>
                    </a:xfrm>
                    <a:prstGeom prst="rect">
                      <a:avLst/>
                    </a:prstGeom>
                  </pic:spPr>
                </pic:pic>
              </a:graphicData>
            </a:graphic>
          </wp:inline>
        </w:drawing>
      </w:r>
    </w:p>
    <w:p w:rsidR="00B50C43" w:rsidRDefault="00B50C43" w:rsidP="00B50C43">
      <w:pPr>
        <w:rPr>
          <w:rFonts w:ascii="Times New Roman" w:hAnsi="Times New Roman" w:cs="Times New Roman"/>
          <w:sz w:val="24"/>
          <w:szCs w:val="24"/>
          <w:lang w:val="en-US"/>
        </w:rPr>
      </w:pPr>
      <w:r w:rsidRPr="0036574D">
        <w:rPr>
          <w:rFonts w:ascii="Times New Roman" w:hAnsi="Times New Roman" w:cs="Times New Roman"/>
          <w:noProof/>
          <w:sz w:val="24"/>
          <w:szCs w:val="24"/>
          <w:lang w:eastAsia="es-ES"/>
        </w:rPr>
        <w:drawing>
          <wp:inline distT="0" distB="0" distL="0" distR="0" wp14:anchorId="1833D777" wp14:editId="17DDB9AA">
            <wp:extent cx="5727700" cy="3378200"/>
            <wp:effectExtent l="0" t="0" r="6350" b="0"/>
            <wp:docPr id="162" name="Imagen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0"/>
                    <a:stretch>
                      <a:fillRect/>
                    </a:stretch>
                  </pic:blipFill>
                  <pic:spPr>
                    <a:xfrm>
                      <a:off x="0" y="0"/>
                      <a:ext cx="5731510" cy="3380447"/>
                    </a:xfrm>
                    <a:prstGeom prst="rect">
                      <a:avLst/>
                    </a:prstGeom>
                  </pic:spPr>
                </pic:pic>
              </a:graphicData>
            </a:graphic>
          </wp:inline>
        </w:drawing>
      </w:r>
    </w:p>
    <w:p w:rsidR="00B50C43" w:rsidRDefault="00B50C43" w:rsidP="00B50C43">
      <w:pPr>
        <w:rPr>
          <w:rFonts w:ascii="Times New Roman" w:hAnsi="Times New Roman" w:cs="Times New Roman"/>
          <w:sz w:val="24"/>
          <w:szCs w:val="24"/>
          <w:lang w:val="en-US"/>
        </w:rPr>
      </w:pPr>
      <w:r w:rsidRPr="00340ADD">
        <w:rPr>
          <w:rFonts w:ascii="Times New Roman" w:hAnsi="Times New Roman" w:cs="Times New Roman"/>
          <w:noProof/>
          <w:sz w:val="24"/>
          <w:szCs w:val="24"/>
          <w:lang w:eastAsia="es-ES"/>
        </w:rPr>
        <w:lastRenderedPageBreak/>
        <w:drawing>
          <wp:inline distT="0" distB="0" distL="0" distR="0" wp14:anchorId="30286289" wp14:editId="1858E8F4">
            <wp:extent cx="5731109" cy="3054350"/>
            <wp:effectExtent l="0" t="0" r="3175" b="0"/>
            <wp:docPr id="163" name="Imagen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1"/>
                    <a:stretch>
                      <a:fillRect/>
                    </a:stretch>
                  </pic:blipFill>
                  <pic:spPr>
                    <a:xfrm>
                      <a:off x="0" y="0"/>
                      <a:ext cx="5731510" cy="3054563"/>
                    </a:xfrm>
                    <a:prstGeom prst="rect">
                      <a:avLst/>
                    </a:prstGeom>
                  </pic:spPr>
                </pic:pic>
              </a:graphicData>
            </a:graphic>
          </wp:inline>
        </w:drawing>
      </w:r>
    </w:p>
    <w:p w:rsidR="00B50C43" w:rsidRDefault="00B50C43" w:rsidP="00B50C43">
      <w:pPr>
        <w:rPr>
          <w:rFonts w:ascii="Times New Roman" w:hAnsi="Times New Roman" w:cs="Times New Roman"/>
          <w:sz w:val="24"/>
          <w:szCs w:val="24"/>
          <w:lang w:val="en-US"/>
        </w:rPr>
      </w:pPr>
      <w:r w:rsidRPr="00340ADD">
        <w:rPr>
          <w:rFonts w:ascii="Times New Roman" w:hAnsi="Times New Roman" w:cs="Times New Roman"/>
          <w:noProof/>
          <w:sz w:val="24"/>
          <w:szCs w:val="24"/>
          <w:lang w:eastAsia="es-ES"/>
        </w:rPr>
        <w:drawing>
          <wp:inline distT="0" distB="0" distL="0" distR="0" wp14:anchorId="25EDA18C" wp14:editId="285B4796">
            <wp:extent cx="5730429" cy="2673350"/>
            <wp:effectExtent l="0" t="0" r="3810" b="0"/>
            <wp:docPr id="164" name="Imagen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2"/>
                    <a:stretch>
                      <a:fillRect/>
                    </a:stretch>
                  </pic:blipFill>
                  <pic:spPr>
                    <a:xfrm>
                      <a:off x="0" y="0"/>
                      <a:ext cx="5731510" cy="2673854"/>
                    </a:xfrm>
                    <a:prstGeom prst="rect">
                      <a:avLst/>
                    </a:prstGeom>
                  </pic:spPr>
                </pic:pic>
              </a:graphicData>
            </a:graphic>
          </wp:inline>
        </w:drawing>
      </w:r>
    </w:p>
    <w:p w:rsidR="00B50C43" w:rsidRDefault="00B50C43" w:rsidP="00B50C43">
      <w:pPr>
        <w:rPr>
          <w:rFonts w:ascii="Times New Roman" w:hAnsi="Times New Roman" w:cs="Times New Roman"/>
          <w:sz w:val="24"/>
          <w:szCs w:val="24"/>
          <w:lang w:val="en-US"/>
        </w:rPr>
      </w:pPr>
      <w:r w:rsidRPr="00340ADD">
        <w:rPr>
          <w:rFonts w:ascii="Times New Roman" w:hAnsi="Times New Roman" w:cs="Times New Roman"/>
          <w:noProof/>
          <w:sz w:val="24"/>
          <w:szCs w:val="24"/>
          <w:lang w:eastAsia="es-ES"/>
        </w:rPr>
        <w:drawing>
          <wp:inline distT="0" distB="0" distL="0" distR="0" wp14:anchorId="50D60328" wp14:editId="3D44022E">
            <wp:extent cx="5727700" cy="2813050"/>
            <wp:effectExtent l="0" t="0" r="6350" b="6350"/>
            <wp:docPr id="165" name="Imagen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3"/>
                    <a:stretch>
                      <a:fillRect/>
                    </a:stretch>
                  </pic:blipFill>
                  <pic:spPr>
                    <a:xfrm>
                      <a:off x="0" y="0"/>
                      <a:ext cx="5727700" cy="2813050"/>
                    </a:xfrm>
                    <a:prstGeom prst="rect">
                      <a:avLst/>
                    </a:prstGeom>
                  </pic:spPr>
                </pic:pic>
              </a:graphicData>
            </a:graphic>
          </wp:inline>
        </w:drawing>
      </w:r>
    </w:p>
    <w:p w:rsidR="00B50C43" w:rsidRDefault="00B50C43" w:rsidP="00B50C43">
      <w:pPr>
        <w:rPr>
          <w:rFonts w:ascii="Times New Roman" w:hAnsi="Times New Roman" w:cs="Times New Roman"/>
          <w:sz w:val="24"/>
          <w:szCs w:val="24"/>
          <w:lang w:val="en-US"/>
        </w:rPr>
      </w:pPr>
      <w:r w:rsidRPr="00340ADD">
        <w:rPr>
          <w:rFonts w:ascii="Times New Roman" w:hAnsi="Times New Roman" w:cs="Times New Roman"/>
          <w:noProof/>
          <w:sz w:val="24"/>
          <w:szCs w:val="24"/>
          <w:lang w:eastAsia="es-ES"/>
        </w:rPr>
        <w:lastRenderedPageBreak/>
        <w:drawing>
          <wp:inline distT="0" distB="0" distL="0" distR="0" wp14:anchorId="751460B8" wp14:editId="29CF7406">
            <wp:extent cx="5731510" cy="3944087"/>
            <wp:effectExtent l="0" t="0" r="2540" b="0"/>
            <wp:docPr id="166" name="Imagen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4"/>
                    <a:stretch>
                      <a:fillRect/>
                    </a:stretch>
                  </pic:blipFill>
                  <pic:spPr>
                    <a:xfrm>
                      <a:off x="0" y="0"/>
                      <a:ext cx="5731510" cy="3944087"/>
                    </a:xfrm>
                    <a:prstGeom prst="rect">
                      <a:avLst/>
                    </a:prstGeom>
                  </pic:spPr>
                </pic:pic>
              </a:graphicData>
            </a:graphic>
          </wp:inline>
        </w:drawing>
      </w:r>
    </w:p>
    <w:p w:rsidR="00B50C43" w:rsidRDefault="00B50C43" w:rsidP="00B50C43">
      <w:pPr>
        <w:rPr>
          <w:rFonts w:ascii="Times New Roman" w:hAnsi="Times New Roman" w:cs="Times New Roman"/>
          <w:sz w:val="24"/>
          <w:szCs w:val="24"/>
          <w:lang w:val="en-US"/>
        </w:rPr>
      </w:pPr>
      <w:r w:rsidRPr="00340ADD">
        <w:rPr>
          <w:rFonts w:ascii="Times New Roman" w:hAnsi="Times New Roman" w:cs="Times New Roman"/>
          <w:noProof/>
          <w:sz w:val="24"/>
          <w:szCs w:val="24"/>
          <w:lang w:eastAsia="es-ES"/>
        </w:rPr>
        <w:drawing>
          <wp:inline distT="0" distB="0" distL="0" distR="0" wp14:anchorId="16A2C35A" wp14:editId="7D2D1DDF">
            <wp:extent cx="5731510" cy="4593781"/>
            <wp:effectExtent l="0" t="0" r="2540" b="0"/>
            <wp:docPr id="167" name="Imagen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5"/>
                    <a:stretch>
                      <a:fillRect/>
                    </a:stretch>
                  </pic:blipFill>
                  <pic:spPr>
                    <a:xfrm>
                      <a:off x="0" y="0"/>
                      <a:ext cx="5731510" cy="4593781"/>
                    </a:xfrm>
                    <a:prstGeom prst="rect">
                      <a:avLst/>
                    </a:prstGeom>
                  </pic:spPr>
                </pic:pic>
              </a:graphicData>
            </a:graphic>
          </wp:inline>
        </w:drawing>
      </w:r>
    </w:p>
    <w:p w:rsidR="00B50C43" w:rsidRDefault="00B50C43" w:rsidP="00B50C43">
      <w:pPr>
        <w:rPr>
          <w:rFonts w:ascii="Times New Roman" w:hAnsi="Times New Roman" w:cs="Times New Roman"/>
          <w:sz w:val="24"/>
          <w:szCs w:val="24"/>
          <w:lang w:val="en-US"/>
        </w:rPr>
      </w:pPr>
      <w:r w:rsidRPr="00493C77">
        <w:rPr>
          <w:rFonts w:ascii="Times New Roman" w:hAnsi="Times New Roman" w:cs="Times New Roman"/>
          <w:noProof/>
          <w:sz w:val="24"/>
          <w:szCs w:val="24"/>
          <w:lang w:eastAsia="es-ES"/>
        </w:rPr>
        <w:lastRenderedPageBreak/>
        <w:drawing>
          <wp:inline distT="0" distB="0" distL="0" distR="0" wp14:anchorId="46DFED78" wp14:editId="17A5FF5F">
            <wp:extent cx="5733023" cy="2470150"/>
            <wp:effectExtent l="0" t="0" r="1270" b="6350"/>
            <wp:docPr id="168" name="Imagen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6"/>
                    <a:stretch>
                      <a:fillRect/>
                    </a:stretch>
                  </pic:blipFill>
                  <pic:spPr>
                    <a:xfrm>
                      <a:off x="0" y="0"/>
                      <a:ext cx="5731510" cy="2469498"/>
                    </a:xfrm>
                    <a:prstGeom prst="rect">
                      <a:avLst/>
                    </a:prstGeom>
                  </pic:spPr>
                </pic:pic>
              </a:graphicData>
            </a:graphic>
          </wp:inline>
        </w:drawing>
      </w:r>
    </w:p>
    <w:p w:rsidR="00B50C43" w:rsidRDefault="00B50C43" w:rsidP="00B50C43">
      <w:pPr>
        <w:rPr>
          <w:rFonts w:ascii="Times New Roman" w:hAnsi="Times New Roman" w:cs="Times New Roman"/>
          <w:sz w:val="24"/>
          <w:szCs w:val="24"/>
          <w:lang w:val="en-US"/>
        </w:rPr>
      </w:pPr>
      <w:r w:rsidRPr="00493C77">
        <w:rPr>
          <w:rFonts w:ascii="Times New Roman" w:hAnsi="Times New Roman" w:cs="Times New Roman"/>
          <w:noProof/>
          <w:sz w:val="24"/>
          <w:szCs w:val="24"/>
          <w:lang w:eastAsia="es-ES"/>
        </w:rPr>
        <w:drawing>
          <wp:inline distT="0" distB="0" distL="0" distR="0" wp14:anchorId="56428CC4" wp14:editId="521F3051">
            <wp:extent cx="5731518" cy="3956050"/>
            <wp:effectExtent l="0" t="0" r="2540" b="6350"/>
            <wp:docPr id="169" name="Imagen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7"/>
                    <a:stretch>
                      <a:fillRect/>
                    </a:stretch>
                  </pic:blipFill>
                  <pic:spPr>
                    <a:xfrm>
                      <a:off x="0" y="0"/>
                      <a:ext cx="5731510" cy="3956044"/>
                    </a:xfrm>
                    <a:prstGeom prst="rect">
                      <a:avLst/>
                    </a:prstGeom>
                  </pic:spPr>
                </pic:pic>
              </a:graphicData>
            </a:graphic>
          </wp:inline>
        </w:drawing>
      </w:r>
    </w:p>
    <w:p w:rsidR="00B50C43" w:rsidRDefault="00B50C43" w:rsidP="00B50C43">
      <w:pPr>
        <w:rPr>
          <w:rFonts w:ascii="Times New Roman" w:hAnsi="Times New Roman" w:cs="Times New Roman"/>
          <w:sz w:val="24"/>
          <w:szCs w:val="24"/>
          <w:lang w:val="en-US"/>
        </w:rPr>
      </w:pPr>
      <w:r w:rsidRPr="00493C77">
        <w:rPr>
          <w:rFonts w:ascii="Times New Roman" w:hAnsi="Times New Roman" w:cs="Times New Roman"/>
          <w:noProof/>
          <w:sz w:val="24"/>
          <w:szCs w:val="24"/>
          <w:lang w:eastAsia="es-ES"/>
        </w:rPr>
        <w:drawing>
          <wp:inline distT="0" distB="0" distL="0" distR="0" wp14:anchorId="118D6999" wp14:editId="7918C1B5">
            <wp:extent cx="5734050" cy="2089150"/>
            <wp:effectExtent l="0" t="0" r="0" b="6350"/>
            <wp:docPr id="170" name="Imagen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8"/>
                    <a:stretch>
                      <a:fillRect/>
                    </a:stretch>
                  </pic:blipFill>
                  <pic:spPr>
                    <a:xfrm>
                      <a:off x="0" y="0"/>
                      <a:ext cx="5731510" cy="2088225"/>
                    </a:xfrm>
                    <a:prstGeom prst="rect">
                      <a:avLst/>
                    </a:prstGeom>
                  </pic:spPr>
                </pic:pic>
              </a:graphicData>
            </a:graphic>
          </wp:inline>
        </w:drawing>
      </w:r>
    </w:p>
    <w:p w:rsidR="00B50C43" w:rsidRDefault="00B50C43" w:rsidP="00B50C43">
      <w:pPr>
        <w:rPr>
          <w:rFonts w:ascii="Times New Roman" w:hAnsi="Times New Roman" w:cs="Times New Roman"/>
          <w:sz w:val="24"/>
          <w:szCs w:val="24"/>
        </w:rPr>
      </w:pPr>
      <w:r w:rsidRPr="00493C77">
        <w:rPr>
          <w:rFonts w:ascii="Times New Roman" w:hAnsi="Times New Roman" w:cs="Times New Roman"/>
          <w:sz w:val="24"/>
          <w:szCs w:val="24"/>
        </w:rPr>
        <w:lastRenderedPageBreak/>
        <w:t>Fuente: A</w:t>
      </w:r>
      <w:r>
        <w:rPr>
          <w:rFonts w:ascii="Times New Roman" w:hAnsi="Times New Roman" w:cs="Times New Roman"/>
          <w:sz w:val="24"/>
          <w:szCs w:val="24"/>
        </w:rPr>
        <w:t>ctualización de Perspectivas de la Economía Mundial de Julio de 2022 - FMI</w:t>
      </w:r>
    </w:p>
    <w:p w:rsidR="00B50C43" w:rsidRDefault="00B50C43" w:rsidP="00B50C43">
      <w:pPr>
        <w:rPr>
          <w:rFonts w:ascii="Times New Roman" w:hAnsi="Times New Roman" w:cs="Times New Roman"/>
          <w:sz w:val="24"/>
          <w:szCs w:val="24"/>
        </w:rPr>
      </w:pPr>
      <w:r w:rsidRPr="00493C77">
        <w:rPr>
          <w:rFonts w:ascii="Times New Roman" w:hAnsi="Times New Roman" w:cs="Times New Roman"/>
          <w:noProof/>
          <w:sz w:val="24"/>
          <w:szCs w:val="24"/>
          <w:lang w:eastAsia="es-ES"/>
        </w:rPr>
        <w:drawing>
          <wp:inline distT="0" distB="0" distL="0" distR="0" wp14:anchorId="45CC469F" wp14:editId="48BE23FE">
            <wp:extent cx="2978150" cy="3981450"/>
            <wp:effectExtent l="0" t="0" r="0" b="0"/>
            <wp:docPr id="171" name="Imagen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9"/>
                    <a:stretch>
                      <a:fillRect/>
                    </a:stretch>
                  </pic:blipFill>
                  <pic:spPr>
                    <a:xfrm>
                      <a:off x="0" y="0"/>
                      <a:ext cx="2980318" cy="3984349"/>
                    </a:xfrm>
                    <a:prstGeom prst="rect">
                      <a:avLst/>
                    </a:prstGeom>
                  </pic:spPr>
                </pic:pic>
              </a:graphicData>
            </a:graphic>
          </wp:inline>
        </w:drawing>
      </w:r>
      <w:r w:rsidRPr="00493C77">
        <w:rPr>
          <w:rFonts w:ascii="Times New Roman" w:hAnsi="Times New Roman" w:cs="Times New Roman"/>
          <w:noProof/>
          <w:sz w:val="24"/>
          <w:szCs w:val="24"/>
          <w:lang w:eastAsia="es-ES"/>
        </w:rPr>
        <w:drawing>
          <wp:inline distT="0" distB="0" distL="0" distR="0" wp14:anchorId="4177A622" wp14:editId="262D3E8B">
            <wp:extent cx="2698750" cy="3943350"/>
            <wp:effectExtent l="0" t="0" r="6350" b="0"/>
            <wp:docPr id="172" name="Imagen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0"/>
                    <a:stretch>
                      <a:fillRect/>
                    </a:stretch>
                  </pic:blipFill>
                  <pic:spPr>
                    <a:xfrm>
                      <a:off x="0" y="0"/>
                      <a:ext cx="2700945" cy="3946558"/>
                    </a:xfrm>
                    <a:prstGeom prst="rect">
                      <a:avLst/>
                    </a:prstGeom>
                  </pic:spPr>
                </pic:pic>
              </a:graphicData>
            </a:graphic>
          </wp:inline>
        </w:drawing>
      </w:r>
    </w:p>
    <w:p w:rsidR="00B50C43" w:rsidRDefault="00B50C43" w:rsidP="00B50C43">
      <w:pPr>
        <w:rPr>
          <w:rFonts w:ascii="Times New Roman" w:hAnsi="Times New Roman" w:cs="Times New Roman"/>
          <w:sz w:val="24"/>
          <w:szCs w:val="24"/>
        </w:rPr>
      </w:pPr>
      <w:r w:rsidRPr="00507DB6">
        <w:rPr>
          <w:rFonts w:ascii="Times New Roman" w:hAnsi="Times New Roman" w:cs="Times New Roman"/>
          <w:noProof/>
          <w:sz w:val="24"/>
          <w:szCs w:val="24"/>
          <w:lang w:eastAsia="es-ES"/>
        </w:rPr>
        <w:drawing>
          <wp:inline distT="0" distB="0" distL="0" distR="0" wp14:anchorId="30C52C52" wp14:editId="174206C1">
            <wp:extent cx="5731510" cy="3881628"/>
            <wp:effectExtent l="0" t="0" r="2540" b="5080"/>
            <wp:docPr id="173" name="Imagen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1"/>
                    <a:stretch>
                      <a:fillRect/>
                    </a:stretch>
                  </pic:blipFill>
                  <pic:spPr>
                    <a:xfrm>
                      <a:off x="0" y="0"/>
                      <a:ext cx="5731510" cy="3881628"/>
                    </a:xfrm>
                    <a:prstGeom prst="rect">
                      <a:avLst/>
                    </a:prstGeom>
                  </pic:spPr>
                </pic:pic>
              </a:graphicData>
            </a:graphic>
          </wp:inline>
        </w:drawing>
      </w:r>
    </w:p>
    <w:p w:rsidR="00B50C43" w:rsidRDefault="00B50C43" w:rsidP="00B50C43">
      <w:pPr>
        <w:spacing w:line="240" w:lineRule="auto"/>
        <w:jc w:val="both"/>
        <w:rPr>
          <w:rFonts w:ascii="Times New Roman" w:hAnsi="Times New Roman" w:cs="Times New Roman"/>
          <w:sz w:val="24"/>
          <w:szCs w:val="24"/>
        </w:rPr>
      </w:pPr>
    </w:p>
    <w:p w:rsidR="00B50C43" w:rsidRDefault="00B50C43" w:rsidP="00B50C43">
      <w:pPr>
        <w:spacing w:line="240" w:lineRule="auto"/>
        <w:jc w:val="both"/>
        <w:rPr>
          <w:rFonts w:ascii="Times New Roman" w:hAnsi="Times New Roman" w:cs="Times New Roman"/>
          <w:sz w:val="24"/>
          <w:szCs w:val="24"/>
        </w:rPr>
      </w:pPr>
      <w:r w:rsidRPr="00507DB6">
        <w:rPr>
          <w:rFonts w:ascii="Times New Roman" w:hAnsi="Times New Roman" w:cs="Times New Roman"/>
          <w:b/>
          <w:sz w:val="24"/>
          <w:szCs w:val="24"/>
        </w:rPr>
        <w:lastRenderedPageBreak/>
        <w:t>La desinflación es más costosa de lo previsto</w:t>
      </w:r>
      <w:r w:rsidRPr="00507DB6">
        <w:rPr>
          <w:rFonts w:ascii="Times New Roman" w:hAnsi="Times New Roman" w:cs="Times New Roman"/>
          <w:sz w:val="24"/>
          <w:szCs w:val="24"/>
        </w:rPr>
        <w:t>. Los principales bancos centrales han elevado las tasas de interés en respuesta al alto nivel de inflación. Pero el grado exacto de endurecimiento de las políticas necesario para reducir la inflación sin provocar una recesión es difícil de determinar. Son varios los factores que han afectado al costo económico de episodios anteriores de desinflación, incluidos el nivel inicial de inflación y expectativas de inflación, las rigideces de salarios y precios, la sensibilidad de los precios y salarios a una caída de la demanda, y la orientación de la política fiscal. Si la evolución de estos factores sorprende a las autoridades económicas, o si estas no calibran bien</w:t>
      </w:r>
      <w:r>
        <w:rPr>
          <w:rFonts w:ascii="Times New Roman" w:hAnsi="Times New Roman" w:cs="Times New Roman"/>
          <w:sz w:val="24"/>
          <w:szCs w:val="24"/>
        </w:rPr>
        <w:t xml:space="preserve"> la orientación de la política -</w:t>
      </w:r>
      <w:r w:rsidRPr="00507DB6">
        <w:rPr>
          <w:rFonts w:ascii="Times New Roman" w:hAnsi="Times New Roman" w:cs="Times New Roman"/>
          <w:sz w:val="24"/>
          <w:szCs w:val="24"/>
        </w:rPr>
        <w:t xml:space="preserve">incluido el nivel de </w:t>
      </w:r>
      <w:r>
        <w:rPr>
          <w:rFonts w:ascii="Times New Roman" w:hAnsi="Times New Roman" w:cs="Times New Roman"/>
          <w:sz w:val="24"/>
          <w:szCs w:val="24"/>
        </w:rPr>
        <w:t>las tasas de interés neutrales-</w:t>
      </w:r>
      <w:r w:rsidRPr="00507DB6">
        <w:rPr>
          <w:rFonts w:ascii="Times New Roman" w:hAnsi="Times New Roman" w:cs="Times New Roman"/>
          <w:sz w:val="24"/>
          <w:szCs w:val="24"/>
        </w:rPr>
        <w:t>, el próximo ajuste desinflacionario podría ser más desestabilizador de lo que se prevé en la actualidad. Los episodios anteriores de desinflación asociados con el endurecimiento de la política monetaria, como los que experimentaron las economías avanzadas a comienzos de la década de 1980, a menudo fueron costosos, siendo un alto nivel de desempleo el precio que se debió pagar para controlar la inflación. Esta vez, un nivel de inflación inicial más bajo, expectativas inflacionarias más bajas y mejor ancladas y la mayor flexibilidad de los mercados de trabajo y de productos en las economías avanzadas hacen pensar que los costos podrían ser menores. Sin embargo, el mayor nivel de apalancamiento de las entidades soberanas y las empresas podría ampliar los efectos del endurecimiento de la política e incidir en la voluntad de los bancos centrales para tomar medidas contundentes frente a la inflación, con costos para el producto a mediano plazo que podrían ser mayores si las expectativas de inflación aumentan de forma significativa y dan lugar a aumentos más pronunciados de las tasas de interés. El riesgo de recesión es especialmente destacado en 2023, cuando se prevé que el crecimiento en varias economías toque fondo, que el ahorro de los hogares acumulado durante la pandemia se haya reducido y que incluso shocks leves puedan provocar el estancamiento de las economías. Por ejemplo, según los últimos pronósticos, el crecimiento interanual del PIB real de Estados Unidos en el cuarto trimestre de 2023 será solo de 0,6%, lo que hará cada vez más difícil evitar una recesión (cuadro 1). En varias economías avanzadas, la subida de las tasas de interés, sumada al bajo crecimiento, empeorará la dinámica de la deuda y aumentará los diferenciales soberanos y empresariales, sobre todo en los países con altos niveles de deuda. De hecho, las condiciones financieras más restrictivas ya están contribuyendo a la divergencia en las tasas de endeudamiento y a preoc</w:t>
      </w:r>
      <w:r w:rsidR="00805D3B">
        <w:rPr>
          <w:rFonts w:ascii="Times New Roman" w:hAnsi="Times New Roman" w:cs="Times New Roman"/>
          <w:sz w:val="24"/>
          <w:szCs w:val="24"/>
        </w:rPr>
        <w:t>upaciones acerca del riesgo de “fragmentación financiera”</w:t>
      </w:r>
      <w:r w:rsidRPr="00507DB6">
        <w:rPr>
          <w:rFonts w:ascii="Times New Roman" w:hAnsi="Times New Roman" w:cs="Times New Roman"/>
          <w:sz w:val="24"/>
          <w:szCs w:val="24"/>
        </w:rPr>
        <w:t xml:space="preserve"> en la zona del euro, lo cual podría entorpecer la transmisión de la política monetaria</w:t>
      </w:r>
      <w:r>
        <w:rPr>
          <w:rFonts w:ascii="Times New Roman" w:hAnsi="Times New Roman" w:cs="Times New Roman"/>
          <w:sz w:val="24"/>
          <w:szCs w:val="24"/>
        </w:rPr>
        <w:t>…</w:t>
      </w:r>
    </w:p>
    <w:p w:rsidR="00B50C43" w:rsidRPr="00D00C9E" w:rsidRDefault="00B50C43" w:rsidP="00B50C43">
      <w:pPr>
        <w:spacing w:line="240" w:lineRule="auto"/>
        <w:jc w:val="both"/>
        <w:rPr>
          <w:rFonts w:ascii="Times New Roman" w:hAnsi="Times New Roman" w:cs="Times New Roman"/>
          <w:sz w:val="24"/>
          <w:szCs w:val="24"/>
        </w:rPr>
      </w:pPr>
      <w:r w:rsidRPr="00D00C9E">
        <w:rPr>
          <w:rFonts w:ascii="Times New Roman" w:hAnsi="Times New Roman" w:cs="Times New Roman"/>
          <w:b/>
          <w:sz w:val="24"/>
          <w:szCs w:val="24"/>
        </w:rPr>
        <w:t>Prioridades en materia de políticas</w:t>
      </w:r>
      <w:r>
        <w:rPr>
          <w:rFonts w:ascii="Times New Roman" w:hAnsi="Times New Roman" w:cs="Times New Roman"/>
          <w:sz w:val="24"/>
          <w:szCs w:val="24"/>
        </w:rPr>
        <w:t>.</w:t>
      </w:r>
      <w:r w:rsidRPr="00D00C9E">
        <w:rPr>
          <w:rFonts w:ascii="Times New Roman" w:hAnsi="Times New Roman" w:cs="Times New Roman"/>
          <w:sz w:val="24"/>
          <w:szCs w:val="24"/>
        </w:rPr>
        <w:t xml:space="preserve"> Restaurar la estabilidad de precios y proteger a la vez a los vulnerables: En este momento, la principal prioridad en materia de políticas es controlar la inflación, ya que la estabilidad de precios es una condición previa para lograr aumentos duraderos del bienestar económico y de la estabilidad financiera. La combinación adecuada de políticas monetarias, fiscales y estructurales para reducir la inflación varía entre las economías, dependiendo de las fuentes y la intensidad de las presiones de precios: </w:t>
      </w:r>
    </w:p>
    <w:p w:rsidR="00B50C43" w:rsidRPr="00D00C9E" w:rsidRDefault="00B50C43" w:rsidP="00B50C43">
      <w:pPr>
        <w:spacing w:line="240" w:lineRule="auto"/>
        <w:jc w:val="both"/>
        <w:rPr>
          <w:rFonts w:ascii="Times New Roman" w:hAnsi="Times New Roman" w:cs="Times New Roman"/>
          <w:sz w:val="24"/>
          <w:szCs w:val="24"/>
        </w:rPr>
      </w:pPr>
      <w:r w:rsidRPr="00D00C9E">
        <w:rPr>
          <w:rFonts w:ascii="Times New Roman" w:hAnsi="Times New Roman" w:cs="Times New Roman"/>
          <w:sz w:val="24"/>
          <w:szCs w:val="24"/>
        </w:rPr>
        <w:t xml:space="preserve">• Las economías en las que la inflación y las presiones inflacionarias subyacentes han aumentado de forma persistente y significativa por encima de los niveles fijados como meta deben tomar medidas contundentes para endurecer la política monetaria, y los bancos centrales deben reducir sus balances y elevar las tasas de interés real. En el corto plazo, esas políticas reducen la inflación a expensas de una menor actividad real, mayor desempleo y salarios más bajos. Las mismas personas que sufrieron de forma más directa en años </w:t>
      </w:r>
      <w:r>
        <w:rPr>
          <w:rFonts w:ascii="Times New Roman" w:hAnsi="Times New Roman" w:cs="Times New Roman"/>
          <w:sz w:val="24"/>
          <w:szCs w:val="24"/>
        </w:rPr>
        <w:t>recientes -</w:t>
      </w:r>
      <w:r w:rsidRPr="00D00C9E">
        <w:rPr>
          <w:rFonts w:ascii="Times New Roman" w:hAnsi="Times New Roman" w:cs="Times New Roman"/>
          <w:sz w:val="24"/>
          <w:szCs w:val="24"/>
        </w:rPr>
        <w:t>las que tenían salarios más bajos, una situación laboral precaria y pocos ahorr</w:t>
      </w:r>
      <w:r>
        <w:rPr>
          <w:rFonts w:ascii="Times New Roman" w:hAnsi="Times New Roman" w:cs="Times New Roman"/>
          <w:sz w:val="24"/>
          <w:szCs w:val="24"/>
        </w:rPr>
        <w:t>os o acceso limitado al crédito-</w:t>
      </w:r>
      <w:r w:rsidRPr="00D00C9E">
        <w:rPr>
          <w:rFonts w:ascii="Times New Roman" w:hAnsi="Times New Roman" w:cs="Times New Roman"/>
          <w:sz w:val="24"/>
          <w:szCs w:val="24"/>
        </w:rPr>
        <w:t xml:space="preserve"> probablemente sentirán más el impacto de cualquier desaceleración. El afán de proteger a los más vulnerables y reducir el costo económico, así como de limitar el impacto en los precios de los activos, puede parecer una razón válida para endurecer la </w:t>
      </w:r>
      <w:r w:rsidRPr="00D00C9E">
        <w:rPr>
          <w:rFonts w:ascii="Times New Roman" w:hAnsi="Times New Roman" w:cs="Times New Roman"/>
          <w:sz w:val="24"/>
          <w:szCs w:val="24"/>
        </w:rPr>
        <w:lastRenderedPageBreak/>
        <w:t xml:space="preserve">política monetaria más lentamente. Sin embargo, una estrategia de este tipo tendería a ser contraproducente, ya que hay escasa evidencia de que esta gradualidad limite los costos de la desinflación. El retorno a una inflación baja y estable antes de que las expectativas se desanclen crearía un entorno propicio para la inversión y el crecimiento y evitaría la necesidad de un ajuste más brusco y disruptivo más adelante. </w:t>
      </w:r>
    </w:p>
    <w:p w:rsidR="00B50C43" w:rsidRPr="00D00C9E" w:rsidRDefault="00B50C43" w:rsidP="00B50C43">
      <w:pPr>
        <w:spacing w:line="240" w:lineRule="auto"/>
        <w:jc w:val="both"/>
        <w:rPr>
          <w:rFonts w:ascii="Times New Roman" w:hAnsi="Times New Roman" w:cs="Times New Roman"/>
          <w:sz w:val="24"/>
          <w:szCs w:val="24"/>
        </w:rPr>
      </w:pPr>
      <w:r w:rsidRPr="00D00C9E">
        <w:rPr>
          <w:rFonts w:ascii="Times New Roman" w:hAnsi="Times New Roman" w:cs="Times New Roman"/>
          <w:sz w:val="24"/>
          <w:szCs w:val="24"/>
        </w:rPr>
        <w:t xml:space="preserve">• Durante el período de desinflación, la política fiscal ha de cumplir una función especial, que consiste en proteger a los más vulnerables del impacto del necesario enfriamiento de la actividad económica, mediante transferencias fiscales focalizadas y temporales. En lo posible, este amortiguamiento debe lograrse mediante estabilizadores automáticos (véanse las ediciones de abril de 2020 del informe WEO y del Monitor Fiscal). Y como complemento de la política monetaria mientras la orientación general de la política macroeconómica se torna más restrictiva, todo cambio de la política fiscal debe tener un efecto neutral en el presupuesto (como mínimo) en términos ajustados en función del ciclo, y ha de encuadrarse dentro de un marco fiscal a mediano plazo creíble y coherente con la sostenibilidad de la deuda. Aunque la austeridad salarial en el sector público puede aliviar la presión inflacionaria, en general deben evitarse las políticas que procuran ante todo contener directamente los precios y los salarios en el sector privado, ya que en el pasado tales políticas a menudo han demostrado ser costosas e ineficaces. </w:t>
      </w:r>
    </w:p>
    <w:p w:rsidR="00B50C43" w:rsidRPr="00D00C9E" w:rsidRDefault="00B50C43" w:rsidP="00B50C43">
      <w:pPr>
        <w:spacing w:line="240" w:lineRule="auto"/>
        <w:jc w:val="both"/>
        <w:rPr>
          <w:rFonts w:ascii="Times New Roman" w:hAnsi="Times New Roman" w:cs="Times New Roman"/>
          <w:sz w:val="24"/>
          <w:szCs w:val="24"/>
        </w:rPr>
      </w:pPr>
      <w:r w:rsidRPr="00D00C9E">
        <w:rPr>
          <w:rFonts w:ascii="Times New Roman" w:hAnsi="Times New Roman" w:cs="Times New Roman"/>
          <w:sz w:val="24"/>
          <w:szCs w:val="24"/>
        </w:rPr>
        <w:t>• Las reformas estructurales también pueden ayudar a abordar la inflación al ampliar la oferta agregada, pero es poco probable que incidan rápidamente en la inflación. Las políticas para incrementar la oferta de mano de obra, incluidos mayores créditos tributarios sobre la renta del trabajo, más fondos para el cuidado infantil, acceso mejorado a vacunas y terapias para la COVID-19 y reforma de los canales de inmigración, estimularían la productividad y los ingresos reales y contribuirían a reducir la inflación. En las economías de mercados emergentes y en desarrollo, las mejoras del entorno empresarial, las inversiones verdes y la digitalización también pueden fomentar la oferta agregada.</w:t>
      </w:r>
    </w:p>
    <w:p w:rsidR="00B50C43" w:rsidRPr="00D00C9E" w:rsidRDefault="00B50C43" w:rsidP="00B50C43">
      <w:pPr>
        <w:spacing w:line="240" w:lineRule="auto"/>
        <w:jc w:val="both"/>
        <w:rPr>
          <w:rFonts w:ascii="Times New Roman" w:hAnsi="Times New Roman" w:cs="Times New Roman"/>
          <w:sz w:val="24"/>
          <w:szCs w:val="24"/>
        </w:rPr>
      </w:pPr>
      <w:r w:rsidRPr="00D00C9E">
        <w:rPr>
          <w:rFonts w:ascii="Times New Roman" w:hAnsi="Times New Roman" w:cs="Times New Roman"/>
          <w:sz w:val="24"/>
          <w:szCs w:val="24"/>
        </w:rPr>
        <w:t>Prepararse para un crédito más restringido e inestabilidad financiera: Las condiciones monetarias más restrictivas incidirán en los mercados mundiales de capital y exigirán respuestas de políticas en varios frentes. A medida que aumentan las tasas de interés, las instituciones financieras se benefician de un mayor ingreso neto pero se ven perjudicadas porque disminuye la contratación de préstamos nuevos y aumentan las tasas de incumplimiento. El juego entre estos factores determinará la salud del sector financiero y el uso adecuado de las herramientas macroprudenciales…</w:t>
      </w:r>
    </w:p>
    <w:p w:rsidR="00B50C43" w:rsidRPr="00D00C9E" w:rsidRDefault="00B50C43" w:rsidP="00B50C43">
      <w:pPr>
        <w:spacing w:line="240" w:lineRule="auto"/>
        <w:jc w:val="both"/>
        <w:rPr>
          <w:rFonts w:ascii="Times New Roman" w:hAnsi="Times New Roman" w:cs="Times New Roman"/>
          <w:sz w:val="24"/>
          <w:szCs w:val="24"/>
        </w:rPr>
      </w:pPr>
      <w:r w:rsidRPr="00D00C9E">
        <w:rPr>
          <w:rFonts w:ascii="Times New Roman" w:hAnsi="Times New Roman" w:cs="Times New Roman"/>
          <w:sz w:val="24"/>
          <w:szCs w:val="24"/>
        </w:rPr>
        <w:t>En la zona del euro se justifica abordar el riesgo de fragmentación financiera mediante un instrumento del Banco Central Europeo debidamente concebido para tal fin. Dicho instrumento complementaría el actual instrumento condicional de Operaciones Monetarias de Compraventa y el programa de préstamo del Mecanismo Europeo de Estabilidad, y facilitaría aún más la tarea de fijar las tasas de interés de política monetaria en función de las condiciones macroeconómicas de toda la zona del euro. Pero esa herramienta no debe distorsionar los mercados hasta el punto de que los precios dejen de reflejar los riesgos fundamentales.</w:t>
      </w:r>
    </w:p>
    <w:p w:rsidR="00B47328" w:rsidRPr="007D3DA0" w:rsidRDefault="00B50C43" w:rsidP="00B47328">
      <w:pPr>
        <w:spacing w:line="240" w:lineRule="auto"/>
        <w:jc w:val="both"/>
        <w:rPr>
          <w:rFonts w:ascii="Times New Roman" w:hAnsi="Times New Roman" w:cs="Times New Roman"/>
          <w:sz w:val="24"/>
          <w:szCs w:val="24"/>
        </w:rPr>
      </w:pPr>
      <w:r w:rsidRPr="00507DB6">
        <w:rPr>
          <w:rFonts w:ascii="Times New Roman" w:hAnsi="Times New Roman" w:cs="Times New Roman"/>
          <w:sz w:val="24"/>
          <w:szCs w:val="24"/>
        </w:rPr>
        <w:t xml:space="preserve"> </w:t>
      </w:r>
    </w:p>
    <w:p w:rsidR="00B47328" w:rsidRPr="007D3DA0" w:rsidRDefault="00B47328" w:rsidP="00B47328">
      <w:pPr>
        <w:spacing w:line="240" w:lineRule="auto"/>
        <w:jc w:val="both"/>
        <w:rPr>
          <w:rFonts w:ascii="Times New Roman" w:hAnsi="Times New Roman" w:cs="Times New Roman"/>
          <w:color w:val="FF0000"/>
          <w:sz w:val="24"/>
          <w:szCs w:val="24"/>
          <w:u w:val="single"/>
        </w:rPr>
      </w:pPr>
    </w:p>
    <w:p w:rsidR="004E5D37" w:rsidRPr="007D3DA0" w:rsidRDefault="004E5D37" w:rsidP="00613B05">
      <w:pPr>
        <w:shd w:val="clear" w:color="auto" w:fill="FDFDFD"/>
        <w:spacing w:after="0" w:line="240" w:lineRule="auto"/>
        <w:jc w:val="both"/>
        <w:rPr>
          <w:rFonts w:ascii="Times New Roman" w:eastAsia="Times New Roman" w:hAnsi="Times New Roman" w:cs="Times New Roman"/>
          <w:color w:val="FF0000"/>
          <w:sz w:val="24"/>
          <w:szCs w:val="24"/>
          <w:u w:val="single"/>
          <w:lang w:eastAsia="es-ES"/>
        </w:rPr>
      </w:pPr>
    </w:p>
    <w:p w:rsidR="00C13D96" w:rsidRPr="007D3DA0" w:rsidRDefault="00C13D96" w:rsidP="00C13D96">
      <w:pPr>
        <w:rPr>
          <w:rFonts w:ascii="Times New Roman" w:hAnsi="Times New Roman" w:cs="Times New Roman"/>
          <w:sz w:val="24"/>
          <w:szCs w:val="24"/>
        </w:rPr>
      </w:pPr>
    </w:p>
    <w:sectPr w:rsidR="00C13D96" w:rsidRPr="007D3DA0">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Sans">
    <w:altName w:val="Times New Roman"/>
    <w:panose1 w:val="00000000000000000000"/>
    <w:charset w:val="00"/>
    <w:family w:val="roman"/>
    <w:notTrueType/>
    <w:pitch w:val="default"/>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8A33C98"/>
    <w:multiLevelType w:val="hybridMultilevel"/>
    <w:tmpl w:val="9CB425D0"/>
    <w:lvl w:ilvl="0" w:tplc="04662046">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C5C1E"/>
    <w:rsid w:val="00001E58"/>
    <w:rsid w:val="00005634"/>
    <w:rsid w:val="00031E4C"/>
    <w:rsid w:val="00093A50"/>
    <w:rsid w:val="000D3AFC"/>
    <w:rsid w:val="000F2209"/>
    <w:rsid w:val="000F3D8F"/>
    <w:rsid w:val="001001CC"/>
    <w:rsid w:val="00156838"/>
    <w:rsid w:val="00157516"/>
    <w:rsid w:val="00157808"/>
    <w:rsid w:val="00161E9B"/>
    <w:rsid w:val="00164D6E"/>
    <w:rsid w:val="00165E51"/>
    <w:rsid w:val="00167516"/>
    <w:rsid w:val="00173662"/>
    <w:rsid w:val="00177C44"/>
    <w:rsid w:val="0018621F"/>
    <w:rsid w:val="00193947"/>
    <w:rsid w:val="001B464B"/>
    <w:rsid w:val="001B6753"/>
    <w:rsid w:val="001D02F7"/>
    <w:rsid w:val="001D2FD6"/>
    <w:rsid w:val="001E4CD8"/>
    <w:rsid w:val="00252667"/>
    <w:rsid w:val="00260465"/>
    <w:rsid w:val="002959D5"/>
    <w:rsid w:val="00296368"/>
    <w:rsid w:val="002B128B"/>
    <w:rsid w:val="002B6E91"/>
    <w:rsid w:val="002C5C1E"/>
    <w:rsid w:val="002F4074"/>
    <w:rsid w:val="0030344B"/>
    <w:rsid w:val="00343C25"/>
    <w:rsid w:val="0034663B"/>
    <w:rsid w:val="00354328"/>
    <w:rsid w:val="00397376"/>
    <w:rsid w:val="003C478B"/>
    <w:rsid w:val="003E04F1"/>
    <w:rsid w:val="003E7405"/>
    <w:rsid w:val="004067FD"/>
    <w:rsid w:val="0041338F"/>
    <w:rsid w:val="004301A6"/>
    <w:rsid w:val="00440741"/>
    <w:rsid w:val="00442C6B"/>
    <w:rsid w:val="004505F4"/>
    <w:rsid w:val="00462D76"/>
    <w:rsid w:val="004902CA"/>
    <w:rsid w:val="004A134F"/>
    <w:rsid w:val="004A1D98"/>
    <w:rsid w:val="004A36DE"/>
    <w:rsid w:val="004B799F"/>
    <w:rsid w:val="004D408D"/>
    <w:rsid w:val="004D63D4"/>
    <w:rsid w:val="004E4096"/>
    <w:rsid w:val="004E5D37"/>
    <w:rsid w:val="005150F7"/>
    <w:rsid w:val="00516209"/>
    <w:rsid w:val="00543F82"/>
    <w:rsid w:val="00555A07"/>
    <w:rsid w:val="00557409"/>
    <w:rsid w:val="00562074"/>
    <w:rsid w:val="005A4899"/>
    <w:rsid w:val="005A533F"/>
    <w:rsid w:val="005B142A"/>
    <w:rsid w:val="005C6BAA"/>
    <w:rsid w:val="005D24AE"/>
    <w:rsid w:val="005E53EB"/>
    <w:rsid w:val="00613B05"/>
    <w:rsid w:val="006E3489"/>
    <w:rsid w:val="006E6BC9"/>
    <w:rsid w:val="00714DB3"/>
    <w:rsid w:val="007157B1"/>
    <w:rsid w:val="00727177"/>
    <w:rsid w:val="00746987"/>
    <w:rsid w:val="00762D2D"/>
    <w:rsid w:val="00781E2B"/>
    <w:rsid w:val="007A1AF6"/>
    <w:rsid w:val="007D3DA0"/>
    <w:rsid w:val="007E22C6"/>
    <w:rsid w:val="00805D3B"/>
    <w:rsid w:val="00811E34"/>
    <w:rsid w:val="00814E8D"/>
    <w:rsid w:val="008357A3"/>
    <w:rsid w:val="00853C4C"/>
    <w:rsid w:val="008A0E88"/>
    <w:rsid w:val="008E102F"/>
    <w:rsid w:val="008F0249"/>
    <w:rsid w:val="00920CDF"/>
    <w:rsid w:val="0092698E"/>
    <w:rsid w:val="00932C15"/>
    <w:rsid w:val="009668F6"/>
    <w:rsid w:val="00973312"/>
    <w:rsid w:val="00975CB3"/>
    <w:rsid w:val="009903D6"/>
    <w:rsid w:val="00991ACD"/>
    <w:rsid w:val="009A58FD"/>
    <w:rsid w:val="009C155A"/>
    <w:rsid w:val="009C6560"/>
    <w:rsid w:val="009C6ACB"/>
    <w:rsid w:val="009E6083"/>
    <w:rsid w:val="009F5141"/>
    <w:rsid w:val="00A076A8"/>
    <w:rsid w:val="00A15E0F"/>
    <w:rsid w:val="00A23BB6"/>
    <w:rsid w:val="00A33DCF"/>
    <w:rsid w:val="00A440AD"/>
    <w:rsid w:val="00A44F68"/>
    <w:rsid w:val="00A540F0"/>
    <w:rsid w:val="00AA03D0"/>
    <w:rsid w:val="00AB5454"/>
    <w:rsid w:val="00B00031"/>
    <w:rsid w:val="00B47328"/>
    <w:rsid w:val="00B50C43"/>
    <w:rsid w:val="00B5431F"/>
    <w:rsid w:val="00B81907"/>
    <w:rsid w:val="00B8610D"/>
    <w:rsid w:val="00B977A4"/>
    <w:rsid w:val="00BA11D7"/>
    <w:rsid w:val="00BD1B89"/>
    <w:rsid w:val="00BD5348"/>
    <w:rsid w:val="00BD6518"/>
    <w:rsid w:val="00BE2592"/>
    <w:rsid w:val="00C13D96"/>
    <w:rsid w:val="00C31994"/>
    <w:rsid w:val="00C50110"/>
    <w:rsid w:val="00C556E9"/>
    <w:rsid w:val="00C70690"/>
    <w:rsid w:val="00C85A76"/>
    <w:rsid w:val="00CF31F5"/>
    <w:rsid w:val="00D175FD"/>
    <w:rsid w:val="00D43269"/>
    <w:rsid w:val="00D57D94"/>
    <w:rsid w:val="00D62DB5"/>
    <w:rsid w:val="00D71B68"/>
    <w:rsid w:val="00D72F14"/>
    <w:rsid w:val="00D86C50"/>
    <w:rsid w:val="00DA256D"/>
    <w:rsid w:val="00DB4158"/>
    <w:rsid w:val="00DC03E5"/>
    <w:rsid w:val="00E0526E"/>
    <w:rsid w:val="00E071BC"/>
    <w:rsid w:val="00E23A7B"/>
    <w:rsid w:val="00E43F9C"/>
    <w:rsid w:val="00E7489D"/>
    <w:rsid w:val="00EA3F11"/>
    <w:rsid w:val="00EB20FB"/>
    <w:rsid w:val="00EB3A48"/>
    <w:rsid w:val="00EE5C02"/>
    <w:rsid w:val="00F12292"/>
    <w:rsid w:val="00F26171"/>
    <w:rsid w:val="00F87E87"/>
    <w:rsid w:val="00FD5B9C"/>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C5C1E"/>
  </w:style>
  <w:style w:type="paragraph" w:styleId="Ttulo1">
    <w:name w:val="heading 1"/>
    <w:basedOn w:val="Normal"/>
    <w:next w:val="Normal"/>
    <w:link w:val="Ttulo1Car"/>
    <w:uiPriority w:val="9"/>
    <w:qFormat/>
    <w:rsid w:val="002C5C1E"/>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ar"/>
    <w:uiPriority w:val="9"/>
    <w:unhideWhenUsed/>
    <w:qFormat/>
    <w:rsid w:val="00C556E9"/>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2C5C1E"/>
    <w:rPr>
      <w:rFonts w:asciiTheme="majorHAnsi" w:eastAsiaTheme="majorEastAsia" w:hAnsiTheme="majorHAnsi" w:cstheme="majorBidi"/>
      <w:b/>
      <w:bCs/>
      <w:color w:val="365F91" w:themeColor="accent1" w:themeShade="BF"/>
      <w:sz w:val="28"/>
      <w:szCs w:val="28"/>
    </w:rPr>
  </w:style>
  <w:style w:type="paragraph" w:styleId="NormalWeb">
    <w:name w:val="Normal (Web)"/>
    <w:basedOn w:val="Normal"/>
    <w:uiPriority w:val="99"/>
    <w:unhideWhenUsed/>
    <w:rsid w:val="002C5C1E"/>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bbc-1s1cxbv">
    <w:name w:val="bbc-1s1cxbv"/>
    <w:basedOn w:val="Normal"/>
    <w:rsid w:val="002C5C1E"/>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bbc-1gnhmg2">
    <w:name w:val="bbc-1gnhmg2"/>
    <w:basedOn w:val="Fuentedeprrafopredeter"/>
    <w:rsid w:val="002C5C1E"/>
  </w:style>
  <w:style w:type="paragraph" w:customStyle="1" w:styleId="bbc-hhl7in">
    <w:name w:val="bbc-hhl7in"/>
    <w:basedOn w:val="Normal"/>
    <w:rsid w:val="002C5C1E"/>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styleId="Textodeglobo">
    <w:name w:val="Balloon Text"/>
    <w:basedOn w:val="Normal"/>
    <w:link w:val="TextodegloboCar"/>
    <w:uiPriority w:val="99"/>
    <w:semiHidden/>
    <w:unhideWhenUsed/>
    <w:rsid w:val="002C5C1E"/>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2C5C1E"/>
    <w:rPr>
      <w:rFonts w:ascii="Tahoma" w:hAnsi="Tahoma" w:cs="Tahoma"/>
      <w:sz w:val="16"/>
      <w:szCs w:val="16"/>
    </w:rPr>
  </w:style>
  <w:style w:type="paragraph" w:styleId="Prrafodelista">
    <w:name w:val="List Paragraph"/>
    <w:basedOn w:val="Normal"/>
    <w:uiPriority w:val="34"/>
    <w:qFormat/>
    <w:rsid w:val="00746987"/>
    <w:pPr>
      <w:ind w:left="720"/>
      <w:contextualSpacing/>
    </w:pPr>
  </w:style>
  <w:style w:type="paragraph" w:customStyle="1" w:styleId="selectionshareable">
    <w:name w:val="selectionshareable"/>
    <w:basedOn w:val="Normal"/>
    <w:rsid w:val="004067FD"/>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bbc-bm53ic">
    <w:name w:val="bbc-bm53ic"/>
    <w:basedOn w:val="Normal"/>
    <w:rsid w:val="00557409"/>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Ttulo2Car">
    <w:name w:val="Título 2 Car"/>
    <w:basedOn w:val="Fuentedeprrafopredeter"/>
    <w:link w:val="Ttulo2"/>
    <w:uiPriority w:val="9"/>
    <w:rsid w:val="00C556E9"/>
    <w:rPr>
      <w:rFonts w:asciiTheme="majorHAnsi" w:eastAsiaTheme="majorEastAsia" w:hAnsiTheme="majorHAnsi" w:cstheme="majorBidi"/>
      <w:b/>
      <w:bCs/>
      <w:color w:val="4F81BD" w:themeColor="accent1"/>
      <w:sz w:val="26"/>
      <w:szCs w:val="26"/>
    </w:rPr>
  </w:style>
  <w:style w:type="character" w:styleId="Hipervnculo">
    <w:name w:val="Hyperlink"/>
    <w:basedOn w:val="Fuentedeprrafopredeter"/>
    <w:uiPriority w:val="99"/>
    <w:semiHidden/>
    <w:unhideWhenUsed/>
    <w:rsid w:val="00C556E9"/>
    <w:rPr>
      <w:color w:val="0000FF"/>
      <w:u w:val="single"/>
    </w:rPr>
  </w:style>
  <w:style w:type="character" w:styleId="Textoennegrita">
    <w:name w:val="Strong"/>
    <w:basedOn w:val="Fuentedeprrafopredeter"/>
    <w:uiPriority w:val="22"/>
    <w:qFormat/>
    <w:rsid w:val="00C556E9"/>
    <w:rPr>
      <w:b/>
      <w:bCs/>
    </w:rPr>
  </w:style>
  <w:style w:type="character" w:styleId="nfasis">
    <w:name w:val="Emphasis"/>
    <w:basedOn w:val="Fuentedeprrafopredeter"/>
    <w:uiPriority w:val="20"/>
    <w:qFormat/>
    <w:rsid w:val="00C556E9"/>
    <w:rPr>
      <w:i/>
      <w:iCs/>
    </w:rPr>
  </w:style>
  <w:style w:type="paragraph" w:customStyle="1" w:styleId="yiv5244443261msonormal">
    <w:name w:val="yiv5244443261msonormal"/>
    <w:basedOn w:val="Normal"/>
    <w:rsid w:val="007D3DA0"/>
    <w:pPr>
      <w:spacing w:before="100" w:beforeAutospacing="1" w:after="100" w:afterAutospacing="1" w:line="240" w:lineRule="auto"/>
    </w:pPr>
    <w:rPr>
      <w:rFonts w:ascii="Times New Roman" w:eastAsia="Times New Roman" w:hAnsi="Times New Roman" w:cs="Times New Roman"/>
      <w:sz w:val="24"/>
      <w:szCs w:val="24"/>
      <w:lang w:eastAsia="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C5C1E"/>
  </w:style>
  <w:style w:type="paragraph" w:styleId="Ttulo1">
    <w:name w:val="heading 1"/>
    <w:basedOn w:val="Normal"/>
    <w:next w:val="Normal"/>
    <w:link w:val="Ttulo1Car"/>
    <w:uiPriority w:val="9"/>
    <w:qFormat/>
    <w:rsid w:val="002C5C1E"/>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ar"/>
    <w:uiPriority w:val="9"/>
    <w:unhideWhenUsed/>
    <w:qFormat/>
    <w:rsid w:val="00C556E9"/>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2C5C1E"/>
    <w:rPr>
      <w:rFonts w:asciiTheme="majorHAnsi" w:eastAsiaTheme="majorEastAsia" w:hAnsiTheme="majorHAnsi" w:cstheme="majorBidi"/>
      <w:b/>
      <w:bCs/>
      <w:color w:val="365F91" w:themeColor="accent1" w:themeShade="BF"/>
      <w:sz w:val="28"/>
      <w:szCs w:val="28"/>
    </w:rPr>
  </w:style>
  <w:style w:type="paragraph" w:styleId="NormalWeb">
    <w:name w:val="Normal (Web)"/>
    <w:basedOn w:val="Normal"/>
    <w:uiPriority w:val="99"/>
    <w:unhideWhenUsed/>
    <w:rsid w:val="002C5C1E"/>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bbc-1s1cxbv">
    <w:name w:val="bbc-1s1cxbv"/>
    <w:basedOn w:val="Normal"/>
    <w:rsid w:val="002C5C1E"/>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bbc-1gnhmg2">
    <w:name w:val="bbc-1gnhmg2"/>
    <w:basedOn w:val="Fuentedeprrafopredeter"/>
    <w:rsid w:val="002C5C1E"/>
  </w:style>
  <w:style w:type="paragraph" w:customStyle="1" w:styleId="bbc-hhl7in">
    <w:name w:val="bbc-hhl7in"/>
    <w:basedOn w:val="Normal"/>
    <w:rsid w:val="002C5C1E"/>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styleId="Textodeglobo">
    <w:name w:val="Balloon Text"/>
    <w:basedOn w:val="Normal"/>
    <w:link w:val="TextodegloboCar"/>
    <w:uiPriority w:val="99"/>
    <w:semiHidden/>
    <w:unhideWhenUsed/>
    <w:rsid w:val="002C5C1E"/>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2C5C1E"/>
    <w:rPr>
      <w:rFonts w:ascii="Tahoma" w:hAnsi="Tahoma" w:cs="Tahoma"/>
      <w:sz w:val="16"/>
      <w:szCs w:val="16"/>
    </w:rPr>
  </w:style>
  <w:style w:type="paragraph" w:styleId="Prrafodelista">
    <w:name w:val="List Paragraph"/>
    <w:basedOn w:val="Normal"/>
    <w:uiPriority w:val="34"/>
    <w:qFormat/>
    <w:rsid w:val="00746987"/>
    <w:pPr>
      <w:ind w:left="720"/>
      <w:contextualSpacing/>
    </w:pPr>
  </w:style>
  <w:style w:type="paragraph" w:customStyle="1" w:styleId="selectionshareable">
    <w:name w:val="selectionshareable"/>
    <w:basedOn w:val="Normal"/>
    <w:rsid w:val="004067FD"/>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bbc-bm53ic">
    <w:name w:val="bbc-bm53ic"/>
    <w:basedOn w:val="Normal"/>
    <w:rsid w:val="00557409"/>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Ttulo2Car">
    <w:name w:val="Título 2 Car"/>
    <w:basedOn w:val="Fuentedeprrafopredeter"/>
    <w:link w:val="Ttulo2"/>
    <w:uiPriority w:val="9"/>
    <w:rsid w:val="00C556E9"/>
    <w:rPr>
      <w:rFonts w:asciiTheme="majorHAnsi" w:eastAsiaTheme="majorEastAsia" w:hAnsiTheme="majorHAnsi" w:cstheme="majorBidi"/>
      <w:b/>
      <w:bCs/>
      <w:color w:val="4F81BD" w:themeColor="accent1"/>
      <w:sz w:val="26"/>
      <w:szCs w:val="26"/>
    </w:rPr>
  </w:style>
  <w:style w:type="character" w:styleId="Hipervnculo">
    <w:name w:val="Hyperlink"/>
    <w:basedOn w:val="Fuentedeprrafopredeter"/>
    <w:uiPriority w:val="99"/>
    <w:semiHidden/>
    <w:unhideWhenUsed/>
    <w:rsid w:val="00C556E9"/>
    <w:rPr>
      <w:color w:val="0000FF"/>
      <w:u w:val="single"/>
    </w:rPr>
  </w:style>
  <w:style w:type="character" w:styleId="Textoennegrita">
    <w:name w:val="Strong"/>
    <w:basedOn w:val="Fuentedeprrafopredeter"/>
    <w:uiPriority w:val="22"/>
    <w:qFormat/>
    <w:rsid w:val="00C556E9"/>
    <w:rPr>
      <w:b/>
      <w:bCs/>
    </w:rPr>
  </w:style>
  <w:style w:type="character" w:styleId="nfasis">
    <w:name w:val="Emphasis"/>
    <w:basedOn w:val="Fuentedeprrafopredeter"/>
    <w:uiPriority w:val="20"/>
    <w:qFormat/>
    <w:rsid w:val="00C556E9"/>
    <w:rPr>
      <w:i/>
      <w:iCs/>
    </w:rPr>
  </w:style>
  <w:style w:type="paragraph" w:customStyle="1" w:styleId="yiv5244443261msonormal">
    <w:name w:val="yiv5244443261msonormal"/>
    <w:basedOn w:val="Normal"/>
    <w:rsid w:val="007D3DA0"/>
    <w:pPr>
      <w:spacing w:before="100" w:beforeAutospacing="1" w:after="100" w:afterAutospacing="1" w:line="240" w:lineRule="auto"/>
    </w:pPr>
    <w:rPr>
      <w:rFonts w:ascii="Times New Roman" w:eastAsia="Times New Roman" w:hAnsi="Times New Roman" w:cs="Times New Roman"/>
      <w:sz w:val="24"/>
      <w:szCs w:val="24"/>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8.jpeg"/><Relationship Id="rId21" Type="http://schemas.openxmlformats.org/officeDocument/2006/relationships/image" Target="media/image15.png"/><Relationship Id="rId42" Type="http://schemas.openxmlformats.org/officeDocument/2006/relationships/image" Target="media/image36.png"/><Relationship Id="rId63" Type="http://schemas.openxmlformats.org/officeDocument/2006/relationships/image" Target="media/image53.jpeg"/><Relationship Id="rId84" Type="http://schemas.openxmlformats.org/officeDocument/2006/relationships/image" Target="media/image74.png"/><Relationship Id="rId138" Type="http://schemas.openxmlformats.org/officeDocument/2006/relationships/image" Target="media/image117.png"/><Relationship Id="rId159" Type="http://schemas.openxmlformats.org/officeDocument/2006/relationships/image" Target="media/image138.png"/><Relationship Id="rId170" Type="http://schemas.openxmlformats.org/officeDocument/2006/relationships/image" Target="media/image149.png"/><Relationship Id="rId191" Type="http://schemas.openxmlformats.org/officeDocument/2006/relationships/image" Target="media/image170.png"/><Relationship Id="rId107" Type="http://schemas.openxmlformats.org/officeDocument/2006/relationships/image" Target="media/image88.jpeg"/><Relationship Id="rId11" Type="http://schemas.openxmlformats.org/officeDocument/2006/relationships/image" Target="media/image5.jpeg"/><Relationship Id="rId32" Type="http://schemas.openxmlformats.org/officeDocument/2006/relationships/image" Target="media/image26.jpeg"/><Relationship Id="rId53" Type="http://schemas.openxmlformats.org/officeDocument/2006/relationships/image" Target="media/image45.jpeg"/><Relationship Id="rId74" Type="http://schemas.openxmlformats.org/officeDocument/2006/relationships/image" Target="media/image64.png"/><Relationship Id="rId128" Type="http://schemas.openxmlformats.org/officeDocument/2006/relationships/image" Target="media/image107.png"/><Relationship Id="rId149" Type="http://schemas.openxmlformats.org/officeDocument/2006/relationships/image" Target="media/image128.png"/><Relationship Id="rId5" Type="http://schemas.openxmlformats.org/officeDocument/2006/relationships/settings" Target="settings.xml"/><Relationship Id="rId95" Type="http://schemas.openxmlformats.org/officeDocument/2006/relationships/image" Target="media/image85.png"/><Relationship Id="rId160" Type="http://schemas.openxmlformats.org/officeDocument/2006/relationships/image" Target="media/image139.png"/><Relationship Id="rId181" Type="http://schemas.openxmlformats.org/officeDocument/2006/relationships/image" Target="media/image160.png"/><Relationship Id="rId22" Type="http://schemas.openxmlformats.org/officeDocument/2006/relationships/image" Target="media/image16.jpeg"/><Relationship Id="rId43" Type="http://schemas.openxmlformats.org/officeDocument/2006/relationships/image" Target="media/image37.jpeg"/><Relationship Id="rId64" Type="http://schemas.openxmlformats.org/officeDocument/2006/relationships/image" Target="media/image54.png"/><Relationship Id="rId118" Type="http://schemas.openxmlformats.org/officeDocument/2006/relationships/image" Target="media/image99.png"/><Relationship Id="rId139" Type="http://schemas.openxmlformats.org/officeDocument/2006/relationships/image" Target="media/image118.png"/><Relationship Id="rId85" Type="http://schemas.openxmlformats.org/officeDocument/2006/relationships/image" Target="media/image75.jpeg"/><Relationship Id="rId150" Type="http://schemas.openxmlformats.org/officeDocument/2006/relationships/image" Target="media/image129.png"/><Relationship Id="rId171" Type="http://schemas.openxmlformats.org/officeDocument/2006/relationships/image" Target="media/image150.png"/><Relationship Id="rId192" Type="http://schemas.openxmlformats.org/officeDocument/2006/relationships/fontTable" Target="fontTable.xml"/><Relationship Id="rId12" Type="http://schemas.openxmlformats.org/officeDocument/2006/relationships/image" Target="media/image6.jpeg"/><Relationship Id="rId33" Type="http://schemas.openxmlformats.org/officeDocument/2006/relationships/image" Target="media/image27.jpeg"/><Relationship Id="rId108" Type="http://schemas.openxmlformats.org/officeDocument/2006/relationships/image" Target="media/image89.jpeg"/><Relationship Id="rId129" Type="http://schemas.openxmlformats.org/officeDocument/2006/relationships/image" Target="media/image108.png"/><Relationship Id="rId54" Type="http://schemas.openxmlformats.org/officeDocument/2006/relationships/hyperlink" Target="https://s.libertaddigital.com/2022/06/11/crecimiento-ocde.jpg" TargetMode="External"/><Relationship Id="rId75" Type="http://schemas.openxmlformats.org/officeDocument/2006/relationships/image" Target="media/image65.png"/><Relationship Id="rId96" Type="http://schemas.openxmlformats.org/officeDocument/2006/relationships/image" Target="media/image86.png"/><Relationship Id="rId140" Type="http://schemas.openxmlformats.org/officeDocument/2006/relationships/image" Target="media/image119.png"/><Relationship Id="rId161" Type="http://schemas.openxmlformats.org/officeDocument/2006/relationships/image" Target="media/image140.png"/><Relationship Id="rId182" Type="http://schemas.openxmlformats.org/officeDocument/2006/relationships/image" Target="media/image161.png"/><Relationship Id="rId6" Type="http://schemas.openxmlformats.org/officeDocument/2006/relationships/webSettings" Target="webSettings.xml"/><Relationship Id="rId23" Type="http://schemas.openxmlformats.org/officeDocument/2006/relationships/image" Target="media/image17.jpeg"/><Relationship Id="rId119" Type="http://schemas.openxmlformats.org/officeDocument/2006/relationships/hyperlink" Target="https://www.blogger.com/blog/post/edit/8918872498108334143/2237032378531195230?hl=es-419" TargetMode="External"/><Relationship Id="rId44" Type="http://schemas.openxmlformats.org/officeDocument/2006/relationships/image" Target="media/image38.jpeg"/><Relationship Id="rId65" Type="http://schemas.openxmlformats.org/officeDocument/2006/relationships/image" Target="media/image55.png"/><Relationship Id="rId86" Type="http://schemas.openxmlformats.org/officeDocument/2006/relationships/image" Target="media/image76.jpeg"/><Relationship Id="rId130" Type="http://schemas.openxmlformats.org/officeDocument/2006/relationships/image" Target="media/image109.png"/><Relationship Id="rId151" Type="http://schemas.openxmlformats.org/officeDocument/2006/relationships/image" Target="media/image130.png"/><Relationship Id="rId172" Type="http://schemas.openxmlformats.org/officeDocument/2006/relationships/image" Target="media/image151.png"/><Relationship Id="rId193" Type="http://schemas.openxmlformats.org/officeDocument/2006/relationships/theme" Target="theme/theme1.xml"/><Relationship Id="rId13" Type="http://schemas.openxmlformats.org/officeDocument/2006/relationships/image" Target="media/image7.jpeg"/><Relationship Id="rId109" Type="http://schemas.openxmlformats.org/officeDocument/2006/relationships/image" Target="media/image90.png"/><Relationship Id="rId34" Type="http://schemas.openxmlformats.org/officeDocument/2006/relationships/image" Target="media/image28.png"/><Relationship Id="rId50" Type="http://schemas.openxmlformats.org/officeDocument/2006/relationships/hyperlink" Target="https://s.libertaddigital.com/2022/06/11/tipos-de-interes.jpg" TargetMode="External"/><Relationship Id="rId55" Type="http://schemas.openxmlformats.org/officeDocument/2006/relationships/image" Target="media/image46.jpeg"/><Relationship Id="rId76" Type="http://schemas.openxmlformats.org/officeDocument/2006/relationships/image" Target="media/image66.png"/><Relationship Id="rId97" Type="http://schemas.openxmlformats.org/officeDocument/2006/relationships/hyperlink" Target="https://www.elconfidencial.com/autores/fernando-primo-de-rivera-3372/" TargetMode="External"/><Relationship Id="rId104" Type="http://schemas.openxmlformats.org/officeDocument/2006/relationships/hyperlink" Target="https://blogs.elconfidencial.com/economia/tribuna/2022-10-03/fondos-next-generation-eu-oportunidad-perdida_3499207/" TargetMode="External"/><Relationship Id="rId120" Type="http://schemas.openxmlformats.org/officeDocument/2006/relationships/hyperlink" Target="https://www.blogger.com/blog/post/edit/8918872498108334143/2237032378531195230?hl=es-419" TargetMode="External"/><Relationship Id="rId125" Type="http://schemas.openxmlformats.org/officeDocument/2006/relationships/image" Target="media/image104.png"/><Relationship Id="rId141" Type="http://schemas.openxmlformats.org/officeDocument/2006/relationships/image" Target="media/image120.png"/><Relationship Id="rId146" Type="http://schemas.openxmlformats.org/officeDocument/2006/relationships/image" Target="media/image125.png"/><Relationship Id="rId167" Type="http://schemas.openxmlformats.org/officeDocument/2006/relationships/image" Target="media/image146.png"/><Relationship Id="rId188" Type="http://schemas.openxmlformats.org/officeDocument/2006/relationships/image" Target="media/image167.png"/><Relationship Id="rId7" Type="http://schemas.openxmlformats.org/officeDocument/2006/relationships/image" Target="media/image1.jpeg"/><Relationship Id="rId71" Type="http://schemas.openxmlformats.org/officeDocument/2006/relationships/image" Target="media/image61.png"/><Relationship Id="rId92" Type="http://schemas.openxmlformats.org/officeDocument/2006/relationships/image" Target="media/image82.png"/><Relationship Id="rId162" Type="http://schemas.openxmlformats.org/officeDocument/2006/relationships/image" Target="media/image141.png"/><Relationship Id="rId183" Type="http://schemas.openxmlformats.org/officeDocument/2006/relationships/image" Target="media/image162.png"/><Relationship Id="rId2" Type="http://schemas.openxmlformats.org/officeDocument/2006/relationships/numbering" Target="numbering.xml"/><Relationship Id="rId29" Type="http://schemas.openxmlformats.org/officeDocument/2006/relationships/image" Target="media/image23.png"/><Relationship Id="rId24" Type="http://schemas.openxmlformats.org/officeDocument/2006/relationships/image" Target="media/image18.jpeg"/><Relationship Id="rId40" Type="http://schemas.openxmlformats.org/officeDocument/2006/relationships/image" Target="media/image34.jpeg"/><Relationship Id="rId45" Type="http://schemas.openxmlformats.org/officeDocument/2006/relationships/image" Target="media/image39.jpeg"/><Relationship Id="rId66" Type="http://schemas.openxmlformats.org/officeDocument/2006/relationships/image" Target="media/image56.jpeg"/><Relationship Id="rId87" Type="http://schemas.openxmlformats.org/officeDocument/2006/relationships/image" Target="media/image77.jpeg"/><Relationship Id="rId110" Type="http://schemas.openxmlformats.org/officeDocument/2006/relationships/image" Target="media/image91.png"/><Relationship Id="rId115" Type="http://schemas.openxmlformats.org/officeDocument/2006/relationships/image" Target="media/image96.png"/><Relationship Id="rId131" Type="http://schemas.openxmlformats.org/officeDocument/2006/relationships/image" Target="media/image110.png"/><Relationship Id="rId136" Type="http://schemas.openxmlformats.org/officeDocument/2006/relationships/image" Target="media/image115.png"/><Relationship Id="rId157" Type="http://schemas.openxmlformats.org/officeDocument/2006/relationships/image" Target="media/image136.png"/><Relationship Id="rId178" Type="http://schemas.openxmlformats.org/officeDocument/2006/relationships/image" Target="media/image157.png"/><Relationship Id="rId61" Type="http://schemas.openxmlformats.org/officeDocument/2006/relationships/image" Target="media/image51.gif"/><Relationship Id="rId82" Type="http://schemas.openxmlformats.org/officeDocument/2006/relationships/image" Target="media/image72.jpeg"/><Relationship Id="rId152" Type="http://schemas.openxmlformats.org/officeDocument/2006/relationships/image" Target="media/image131.png"/><Relationship Id="rId173" Type="http://schemas.openxmlformats.org/officeDocument/2006/relationships/image" Target="media/image152.png"/><Relationship Id="rId19" Type="http://schemas.openxmlformats.org/officeDocument/2006/relationships/image" Target="media/image13.png"/><Relationship Id="rId14" Type="http://schemas.openxmlformats.org/officeDocument/2006/relationships/image" Target="media/image8.jpeg"/><Relationship Id="rId30" Type="http://schemas.openxmlformats.org/officeDocument/2006/relationships/image" Target="media/image24.png"/><Relationship Id="rId35" Type="http://schemas.openxmlformats.org/officeDocument/2006/relationships/image" Target="media/image29.png"/><Relationship Id="rId56" Type="http://schemas.openxmlformats.org/officeDocument/2006/relationships/hyperlink" Target="https://s.libertaddigital.com/2022/06/11/sp-500.jpg" TargetMode="External"/><Relationship Id="rId77" Type="http://schemas.openxmlformats.org/officeDocument/2006/relationships/image" Target="media/image67.png"/><Relationship Id="rId100" Type="http://schemas.openxmlformats.org/officeDocument/2006/relationships/hyperlink" Target="https://www.elconfidencial.com/mundo/2022-09-30/libra-desplome-caida-reino-unido_3499060/" TargetMode="External"/><Relationship Id="rId105" Type="http://schemas.openxmlformats.org/officeDocument/2006/relationships/hyperlink" Target="https://www.elconfidencial.com/mundo/2022-10-26/alemania-francia-no-concretan-avances-materia-energetica-defensa-reunion-macron-scholz_3513133/" TargetMode="External"/><Relationship Id="rId126" Type="http://schemas.openxmlformats.org/officeDocument/2006/relationships/image" Target="media/image105.png"/><Relationship Id="rId147" Type="http://schemas.openxmlformats.org/officeDocument/2006/relationships/image" Target="media/image126.png"/><Relationship Id="rId168" Type="http://schemas.openxmlformats.org/officeDocument/2006/relationships/image" Target="media/image147.png"/><Relationship Id="rId8" Type="http://schemas.openxmlformats.org/officeDocument/2006/relationships/image" Target="media/image2.jpeg"/><Relationship Id="rId51" Type="http://schemas.openxmlformats.org/officeDocument/2006/relationships/image" Target="media/image44.jpeg"/><Relationship Id="rId72" Type="http://schemas.openxmlformats.org/officeDocument/2006/relationships/image" Target="media/image62.png"/><Relationship Id="rId93" Type="http://schemas.openxmlformats.org/officeDocument/2006/relationships/image" Target="media/image83.jpeg"/><Relationship Id="rId98" Type="http://schemas.openxmlformats.org/officeDocument/2006/relationships/hyperlink" Target="https://www.elconfidencial.com/economia/2022-10-27/bce-subida-tipos-interes-inflacion-maximos-2009_3513628/" TargetMode="External"/><Relationship Id="rId121" Type="http://schemas.openxmlformats.org/officeDocument/2006/relationships/image" Target="media/image100.jpeg"/><Relationship Id="rId142" Type="http://schemas.openxmlformats.org/officeDocument/2006/relationships/image" Target="media/image121.png"/><Relationship Id="rId163" Type="http://schemas.openxmlformats.org/officeDocument/2006/relationships/image" Target="media/image142.png"/><Relationship Id="rId184" Type="http://schemas.openxmlformats.org/officeDocument/2006/relationships/image" Target="media/image163.png"/><Relationship Id="rId189" Type="http://schemas.openxmlformats.org/officeDocument/2006/relationships/image" Target="media/image168.png"/><Relationship Id="rId3" Type="http://schemas.openxmlformats.org/officeDocument/2006/relationships/styles" Target="styles.xml"/><Relationship Id="rId25" Type="http://schemas.openxmlformats.org/officeDocument/2006/relationships/image" Target="media/image19.jpeg"/><Relationship Id="rId46" Type="http://schemas.openxmlformats.org/officeDocument/2006/relationships/image" Target="media/image40.png"/><Relationship Id="rId67" Type="http://schemas.openxmlformats.org/officeDocument/2006/relationships/image" Target="media/image57.jpeg"/><Relationship Id="rId116" Type="http://schemas.openxmlformats.org/officeDocument/2006/relationships/image" Target="media/image97.png"/><Relationship Id="rId137" Type="http://schemas.openxmlformats.org/officeDocument/2006/relationships/image" Target="media/image116.png"/><Relationship Id="rId158" Type="http://schemas.openxmlformats.org/officeDocument/2006/relationships/image" Target="media/image137.png"/><Relationship Id="rId20" Type="http://schemas.openxmlformats.org/officeDocument/2006/relationships/image" Target="media/image14.jpeg"/><Relationship Id="rId41" Type="http://schemas.openxmlformats.org/officeDocument/2006/relationships/image" Target="media/image35.jpeg"/><Relationship Id="rId62" Type="http://schemas.openxmlformats.org/officeDocument/2006/relationships/image" Target="media/image52.jpeg"/><Relationship Id="rId83" Type="http://schemas.openxmlformats.org/officeDocument/2006/relationships/image" Target="media/image73.jpeg"/><Relationship Id="rId88" Type="http://schemas.openxmlformats.org/officeDocument/2006/relationships/image" Target="media/image78.jpeg"/><Relationship Id="rId111" Type="http://schemas.openxmlformats.org/officeDocument/2006/relationships/image" Target="media/image92.png"/><Relationship Id="rId132" Type="http://schemas.openxmlformats.org/officeDocument/2006/relationships/image" Target="media/image111.png"/><Relationship Id="rId153" Type="http://schemas.openxmlformats.org/officeDocument/2006/relationships/image" Target="media/image132.png"/><Relationship Id="rId174" Type="http://schemas.openxmlformats.org/officeDocument/2006/relationships/image" Target="media/image153.png"/><Relationship Id="rId179" Type="http://schemas.openxmlformats.org/officeDocument/2006/relationships/image" Target="media/image158.png"/><Relationship Id="rId190" Type="http://schemas.openxmlformats.org/officeDocument/2006/relationships/image" Target="media/image169.png"/><Relationship Id="rId15" Type="http://schemas.openxmlformats.org/officeDocument/2006/relationships/image" Target="media/image9.jpeg"/><Relationship Id="rId36" Type="http://schemas.openxmlformats.org/officeDocument/2006/relationships/image" Target="media/image30.jpeg"/><Relationship Id="rId57" Type="http://schemas.openxmlformats.org/officeDocument/2006/relationships/image" Target="media/image47.jpeg"/><Relationship Id="rId106" Type="http://schemas.openxmlformats.org/officeDocument/2006/relationships/image" Target="media/image87.jpeg"/><Relationship Id="rId127" Type="http://schemas.openxmlformats.org/officeDocument/2006/relationships/image" Target="media/image106.png"/><Relationship Id="rId10" Type="http://schemas.openxmlformats.org/officeDocument/2006/relationships/image" Target="media/image4.jpeg"/><Relationship Id="rId31" Type="http://schemas.openxmlformats.org/officeDocument/2006/relationships/image" Target="media/image25.png"/><Relationship Id="rId52" Type="http://schemas.openxmlformats.org/officeDocument/2006/relationships/hyperlink" Target="https://s.libertaddigital.com/2022/06/11/tamano-bancos-centrales.jpg" TargetMode="External"/><Relationship Id="rId73" Type="http://schemas.openxmlformats.org/officeDocument/2006/relationships/image" Target="media/image63.png"/><Relationship Id="rId78" Type="http://schemas.openxmlformats.org/officeDocument/2006/relationships/image" Target="media/image68.png"/><Relationship Id="rId94" Type="http://schemas.openxmlformats.org/officeDocument/2006/relationships/image" Target="media/image84.png"/><Relationship Id="rId99" Type="http://schemas.openxmlformats.org/officeDocument/2006/relationships/hyperlink" Target="https://www.elconfidencial.com/economia/2022-04-04/impacto-crisis-energetica-triple-espana-europa-bde_3402611/" TargetMode="External"/><Relationship Id="rId101" Type="http://schemas.openxmlformats.org/officeDocument/2006/relationships/hyperlink" Target="https://www.elconfidencial.com/mercados/2022-10-19/libro-beige-fed-regiones-eeuu-recesion-regiones_3509371/" TargetMode="External"/><Relationship Id="rId122" Type="http://schemas.openxmlformats.org/officeDocument/2006/relationships/image" Target="media/image101.png"/><Relationship Id="rId143" Type="http://schemas.openxmlformats.org/officeDocument/2006/relationships/image" Target="media/image122.png"/><Relationship Id="rId148" Type="http://schemas.openxmlformats.org/officeDocument/2006/relationships/image" Target="media/image127.png"/><Relationship Id="rId164" Type="http://schemas.openxmlformats.org/officeDocument/2006/relationships/image" Target="media/image143.png"/><Relationship Id="rId169" Type="http://schemas.openxmlformats.org/officeDocument/2006/relationships/image" Target="media/image148.png"/><Relationship Id="rId185" Type="http://schemas.openxmlformats.org/officeDocument/2006/relationships/image" Target="media/image164.png"/><Relationship Id="rId4" Type="http://schemas.microsoft.com/office/2007/relationships/stylesWithEffects" Target="stylesWithEffects.xml"/><Relationship Id="rId9" Type="http://schemas.openxmlformats.org/officeDocument/2006/relationships/image" Target="media/image3.jpeg"/><Relationship Id="rId180" Type="http://schemas.openxmlformats.org/officeDocument/2006/relationships/image" Target="media/image159.png"/><Relationship Id="rId26" Type="http://schemas.openxmlformats.org/officeDocument/2006/relationships/image" Target="media/image20.jpeg"/><Relationship Id="rId47" Type="http://schemas.openxmlformats.org/officeDocument/2006/relationships/image" Target="media/image41.png"/><Relationship Id="rId68" Type="http://schemas.openxmlformats.org/officeDocument/2006/relationships/image" Target="media/image58.jpeg"/><Relationship Id="rId89" Type="http://schemas.openxmlformats.org/officeDocument/2006/relationships/image" Target="media/image79.png"/><Relationship Id="rId112" Type="http://schemas.openxmlformats.org/officeDocument/2006/relationships/image" Target="media/image93.png"/><Relationship Id="rId133" Type="http://schemas.openxmlformats.org/officeDocument/2006/relationships/image" Target="media/image112.png"/><Relationship Id="rId154" Type="http://schemas.openxmlformats.org/officeDocument/2006/relationships/image" Target="media/image133.png"/><Relationship Id="rId175" Type="http://schemas.openxmlformats.org/officeDocument/2006/relationships/image" Target="media/image154.png"/><Relationship Id="rId16" Type="http://schemas.openxmlformats.org/officeDocument/2006/relationships/image" Target="media/image10.png"/><Relationship Id="rId37" Type="http://schemas.openxmlformats.org/officeDocument/2006/relationships/image" Target="media/image31.png"/><Relationship Id="rId58" Type="http://schemas.openxmlformats.org/officeDocument/2006/relationships/image" Target="media/image48.png"/><Relationship Id="rId79" Type="http://schemas.openxmlformats.org/officeDocument/2006/relationships/image" Target="media/image69.png"/><Relationship Id="rId102" Type="http://schemas.openxmlformats.org/officeDocument/2006/relationships/hyperlink" Target="https://www.elconfidencial.com/economia/2022-10-06/bundesbank-sospecha-rusia-esquiva-sanciones-banca-china_3501824/" TargetMode="External"/><Relationship Id="rId123" Type="http://schemas.openxmlformats.org/officeDocument/2006/relationships/image" Target="media/image102.png"/><Relationship Id="rId144" Type="http://schemas.openxmlformats.org/officeDocument/2006/relationships/image" Target="media/image123.png"/><Relationship Id="rId90" Type="http://schemas.openxmlformats.org/officeDocument/2006/relationships/image" Target="media/image80.jpeg"/><Relationship Id="rId165" Type="http://schemas.openxmlformats.org/officeDocument/2006/relationships/image" Target="media/image144.png"/><Relationship Id="rId186" Type="http://schemas.openxmlformats.org/officeDocument/2006/relationships/image" Target="media/image165.png"/><Relationship Id="rId27" Type="http://schemas.openxmlformats.org/officeDocument/2006/relationships/image" Target="media/image21.jpeg"/><Relationship Id="rId48" Type="http://schemas.openxmlformats.org/officeDocument/2006/relationships/image" Target="media/image42.png"/><Relationship Id="rId69" Type="http://schemas.openxmlformats.org/officeDocument/2006/relationships/image" Target="media/image59.jpeg"/><Relationship Id="rId113" Type="http://schemas.openxmlformats.org/officeDocument/2006/relationships/image" Target="media/image94.png"/><Relationship Id="rId134" Type="http://schemas.openxmlformats.org/officeDocument/2006/relationships/image" Target="media/image113.png"/><Relationship Id="rId80" Type="http://schemas.openxmlformats.org/officeDocument/2006/relationships/image" Target="media/image70.jpeg"/><Relationship Id="rId155" Type="http://schemas.openxmlformats.org/officeDocument/2006/relationships/image" Target="media/image134.png"/><Relationship Id="rId176" Type="http://schemas.openxmlformats.org/officeDocument/2006/relationships/image" Target="media/image155.png"/><Relationship Id="rId17" Type="http://schemas.openxmlformats.org/officeDocument/2006/relationships/image" Target="media/image11.png"/><Relationship Id="rId38" Type="http://schemas.openxmlformats.org/officeDocument/2006/relationships/image" Target="media/image32.png"/><Relationship Id="rId59" Type="http://schemas.openxmlformats.org/officeDocument/2006/relationships/image" Target="media/image49.jpeg"/><Relationship Id="rId103" Type="http://schemas.openxmlformats.org/officeDocument/2006/relationships/hyperlink" Target="https://www.elconfidencial.com/economia/2022-10-21/midcat-submarino-macron-argumentos-sanchez_3509831/" TargetMode="External"/><Relationship Id="rId124" Type="http://schemas.openxmlformats.org/officeDocument/2006/relationships/image" Target="media/image103.png"/><Relationship Id="rId70" Type="http://schemas.openxmlformats.org/officeDocument/2006/relationships/image" Target="media/image60.png"/><Relationship Id="rId91" Type="http://schemas.openxmlformats.org/officeDocument/2006/relationships/image" Target="media/image81.jpeg"/><Relationship Id="rId145" Type="http://schemas.openxmlformats.org/officeDocument/2006/relationships/image" Target="media/image124.png"/><Relationship Id="rId166" Type="http://schemas.openxmlformats.org/officeDocument/2006/relationships/image" Target="media/image145.png"/><Relationship Id="rId187" Type="http://schemas.openxmlformats.org/officeDocument/2006/relationships/image" Target="media/image166.png"/><Relationship Id="rId1" Type="http://schemas.openxmlformats.org/officeDocument/2006/relationships/customXml" Target="../customXml/item1.xml"/><Relationship Id="rId28" Type="http://schemas.openxmlformats.org/officeDocument/2006/relationships/image" Target="media/image22.png"/><Relationship Id="rId49" Type="http://schemas.openxmlformats.org/officeDocument/2006/relationships/image" Target="media/image43.jpeg"/><Relationship Id="rId114" Type="http://schemas.openxmlformats.org/officeDocument/2006/relationships/image" Target="media/image95.png"/><Relationship Id="rId60" Type="http://schemas.openxmlformats.org/officeDocument/2006/relationships/image" Target="media/image50.jpeg"/><Relationship Id="rId81" Type="http://schemas.openxmlformats.org/officeDocument/2006/relationships/image" Target="media/image71.jpeg"/><Relationship Id="rId135" Type="http://schemas.openxmlformats.org/officeDocument/2006/relationships/image" Target="media/image114.png"/><Relationship Id="rId156" Type="http://schemas.openxmlformats.org/officeDocument/2006/relationships/image" Target="media/image135.png"/><Relationship Id="rId177" Type="http://schemas.openxmlformats.org/officeDocument/2006/relationships/image" Target="media/image156.png"/><Relationship Id="rId18" Type="http://schemas.openxmlformats.org/officeDocument/2006/relationships/image" Target="media/image12.jpeg"/><Relationship Id="rId39" Type="http://schemas.openxmlformats.org/officeDocument/2006/relationships/image" Target="media/image33.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FE13B81-C62A-4BF2-AFD9-0B3670F5AFD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249</Pages>
  <Words>95453</Words>
  <Characters>524995</Characters>
  <Application>Microsoft Office Word</Application>
  <DocSecurity>0</DocSecurity>
  <Lines>4374</Lines>
  <Paragraphs>1238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619210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Ricardo Lomoro</dc:creator>
  <cp:lastModifiedBy>Ricardo Lomoro</cp:lastModifiedBy>
  <cp:revision>2</cp:revision>
  <dcterms:created xsi:type="dcterms:W3CDTF">2022-11-18T12:11:00Z</dcterms:created>
  <dcterms:modified xsi:type="dcterms:W3CDTF">2022-11-18T12:11:00Z</dcterms:modified>
</cp:coreProperties>
</file>